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Georgia" w:cs="Georgia" w:eastAsia="Georgia" w:hAnsi="Georgia"/>
          <w:b/>
          <w:bCs/>
          <w:color w:val="4A5456"/>
          <w:spacing w:val="60"/>
          <w:sz w:val="17"/>
          <w:szCs w:val="17"/>
        </w:rPr>
        <w:t xml:space="preserve">CUSTOM CANVAS LLC</w:t>
      </w:r>
    </w:p>
    <w:p>
      <w:pPr>
        <w:spacing w:after="120"/>
      </w:pPr>
      <w:r>
        <w:rPr>
          <w:rFonts w:ascii="Georgia" w:cs="Georgia" w:eastAsia="Georgia" w:hAnsi="Georgia"/>
          <w:b/>
          <w:bCs/>
          <w:sz w:val="40"/>
          <w:szCs w:val="40"/>
        </w:rPr>
        <w:t xml:space="preserve">Document Set Overview</w:t>
      </w:r>
    </w:p>
    <w:p>
      <w:pPr>
        <w:pBdr>
          <w:bottom w:val="single" w:color="C4CACB" w:sz="6" w:space="10"/>
        </w:pBdr>
        <w:spacing w:after="60"/>
      </w:pPr>
      <w:r>
        <w:rPr>
          <w:rFonts w:ascii="Georgia" w:cs="Georgia" w:eastAsia="Georgia" w:hAnsi="Georgia"/>
          <w:color w:val="4A5456"/>
          <w:sz w:val="20"/>
          <w:szCs w:val="20"/>
        </w:rPr>
        <w:t xml:space="preserve">Prepared for counsel review</w:t>
      </w:r>
    </w:p>
    <w:p>
      <w:pPr>
        <w:spacing w:after="200"/>
      </w:pPr>
    </w:p>
    <w:p>
      <w:pPr>
        <w:spacing w:after="140" w:line="288"/>
        <w:jc w:val="left"/>
      </w:pPr>
      <w:r>
        <w:rPr>
          <w:rFonts w:ascii="Georgia" w:cs="Georgia" w:eastAsia="Georgia" w:hAnsi="Georgia"/>
          <w:b/>
          <w:bCs/>
          <w:sz w:val="21"/>
          <w:szCs w:val="21"/>
        </w:rPr>
        <w:t xml:space="preserve">Three of the changes in this revision describe behaviour the platform does not have yet</w:t>
      </w:r>
      <w:r>
        <w:rPr>
          <w:rFonts w:ascii="Georgia" w:cs="Georgia" w:eastAsia="Georgia" w:hAnsi="Georgia"/>
          <w:sz w:val="21"/>
          <w:szCs w:val="21"/>
        </w:rPr>
        <w:t xml:space="preserve"> and must not be published until the code matches: the buyer's cancellation right when the shipping window is missed, refunding the service fee on a fault-based refund, and the unilateral refund of an abandoned order. They are marked inline.</w:t>
      </w:r>
    </w:p>
    <w:p>
      <w:pPr>
        <w:keepNext/>
        <w:spacing w:after="140" w:before="360"/>
      </w:pPr>
      <w:r>
        <w:rPr>
          <w:rFonts w:ascii="Georgia" w:cs="Georgia" w:eastAsia="Georgia" w:hAnsi="Georgia"/>
          <w:b/>
          <w:bCs/>
          <w:sz w:val="25"/>
          <w:szCs w:val="25"/>
        </w:rPr>
        <w:t xml:space="preserve">Read this first</w:t>
      </w:r>
    </w:p>
    <w:p>
      <w:pPr>
        <w:spacing w:after="140" w:line="288"/>
        <w:jc w:val="left"/>
      </w:pPr>
      <w:r>
        <w:rPr>
          <w:rFonts w:ascii="Georgia" w:cs="Georgia" w:eastAsia="Georgia" w:hAnsi="Georgia"/>
          <w:b/>
          <w:bCs/>
          <w:sz w:val="21"/>
          <w:szCs w:val="21"/>
        </w:rPr>
        <w:t xml:space="preserve">[00-COUNSEL-BRIEF.md](00-COUNSEL-BRIEF.md)</w:t>
      </w:r>
      <w:r>
        <w:rPr>
          <w:rFonts w:ascii="Georgia" w:cs="Georgia" w:eastAsia="Georgia" w:hAnsi="Georgia"/>
          <w:sz w:val="21"/>
          <w:szCs w:val="21"/>
        </w:rPr>
        <w:t xml:space="preserve"> — a factual description of how the platform actually works: the money flow, the fee formula, refunds, seller protection, tax posture, and every processor that touches user data. Counsel's work is only as correct as their understanding of the mechanics, and this is the part they cannot get from anywhere else. It ends with eight questions that need a ruling.</w:t>
      </w:r>
    </w:p>
    <w:p>
      <w:pPr>
        <w:keepNext/>
        <w:spacing w:after="140" w:before="360"/>
      </w:pPr>
      <w:r>
        <w:rPr>
          <w:rFonts w:ascii="Georgia" w:cs="Georgia" w:eastAsia="Georgia" w:hAnsi="Georgia"/>
          <w:b/>
          <w:bCs/>
          <w:sz w:val="25"/>
          <w:szCs w:val="25"/>
        </w:rPr>
        <w:t xml:space="preserve">The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97"/>
        <w:gridCol w:w="2848"/>
        <w:gridCol w:w="815"/>
      </w:tblGrid>
      <w:tr>
        <w:trPr>
          <w:tblHeader/>
        </w:trPr>
        <w:tc>
          <w:tcPr>
            <w:tcW w:type="dxa" w:w="5697"/>
            <w:shd w:fill="EDEFEF" w:val="clear"/>
            <w:tcMar>
              <w:top w:type="dxa" w:w="90"/>
              <w:left w:type="dxa" w:w="120"/>
              <w:bottom w:type="dxa" w:w="90"/>
              <w:right w:type="dxa" w:w="120"/>
            </w:tcMar>
          </w:tcPr>
          <w:p>
            <w:pPr>
              <w:spacing w:after="0" w:line="264"/>
            </w:pPr>
            <w:r>
              <w:rPr>
                <w:rFonts w:ascii="Georgia" w:cs="Georgia" w:eastAsia="Georgia" w:hAnsi="Georgia"/>
                <w:b/>
                <w:bCs/>
                <w:sz w:val="19"/>
                <w:szCs w:val="19"/>
              </w:rPr>
              <w:t xml:space="preserve">Document</w:t>
            </w:r>
          </w:p>
        </w:tc>
        <w:tc>
          <w:tcPr>
            <w:tcW w:type="dxa" w:w="2848"/>
            <w:shd w:fill="EDEFEF" w:val="clear"/>
            <w:tcMar>
              <w:top w:type="dxa" w:w="90"/>
              <w:left w:type="dxa" w:w="120"/>
              <w:bottom w:type="dxa" w:w="90"/>
              <w:right w:type="dxa" w:w="120"/>
            </w:tcMar>
          </w:tcPr>
          <w:p>
            <w:pPr>
              <w:spacing w:after="0" w:line="264"/>
            </w:pPr>
            <w:r>
              <w:rPr>
                <w:rFonts w:ascii="Georgia" w:cs="Georgia" w:eastAsia="Georgia" w:hAnsi="Georgia"/>
                <w:b/>
                <w:bCs/>
                <w:sz w:val="19"/>
                <w:szCs w:val="19"/>
              </w:rPr>
              <w:t xml:space="preserve">Status</w:t>
            </w:r>
          </w:p>
        </w:tc>
        <w:tc>
          <w:tcPr>
            <w:tcW w:type="dxa" w:w="815"/>
            <w:shd w:fill="EDEFEF" w:val="clear"/>
            <w:tcMar>
              <w:top w:type="dxa" w:w="90"/>
              <w:left w:type="dxa" w:w="120"/>
              <w:bottom w:type="dxa" w:w="90"/>
              <w:right w:type="dxa" w:w="120"/>
            </w:tcMar>
          </w:tcPr>
          <w:p>
            <w:pPr>
              <w:spacing w:after="0" w:line="264"/>
            </w:pPr>
            <w:r>
              <w:rPr>
                <w:rFonts w:ascii="Georgia" w:cs="Georgia" w:eastAsia="Georgia" w:hAnsi="Georgia"/>
                <w:b/>
                <w:bCs/>
                <w:sz w:val="19"/>
                <w:szCs w:val="19"/>
              </w:rPr>
              <w:t xml:space="preserve">Audience</w:t>
            </w:r>
          </w:p>
        </w:tc>
      </w:tr>
      <w:tr>
        <w:trPr>
          <w:tblHeader w:val="false"/>
        </w:trPr>
        <w:tc>
          <w:tcPr>
            <w:tcW w:type="dxa" w:w="5697"/>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[artist-agreement.md](artist-agreement.md)</w:t>
            </w:r>
          </w:p>
        </w:tc>
        <w:tc>
          <w:tcPr>
            <w:tcW w:type="dxa" w:w="2848"/>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Rewrite of live v1.0</w:t>
            </w:r>
          </w:p>
        </w:tc>
        <w:tc>
          <w:tcPr>
            <w:tcW w:type="dxa" w:w="815"/>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Artists</w:t>
            </w:r>
          </w:p>
        </w:tc>
      </w:tr>
      <w:tr>
        <w:trPr>
          <w:tblHeader w:val="false"/>
        </w:trPr>
        <w:tc>
          <w:tcPr>
            <w:tcW w:type="dxa" w:w="5697"/>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[terms-of-service.md](terms-of-service.md)</w:t>
            </w:r>
          </w:p>
        </w:tc>
        <w:tc>
          <w:tcPr>
            <w:tcW w:type="dxa" w:w="2848"/>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Split from existing Terms</w:t>
            </w:r>
          </w:p>
        </w:tc>
        <w:tc>
          <w:tcPr>
            <w:tcW w:type="dxa" w:w="815"/>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Everyone</w:t>
            </w:r>
          </w:p>
        </w:tc>
      </w:tr>
      <w:tr>
        <w:trPr>
          <w:tblHeader w:val="false"/>
        </w:trPr>
        <w:tc>
          <w:tcPr>
            <w:tcW w:type="dxa" w:w="5697"/>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[terms-of-sale.md](terms-of-sale.md)</w:t>
            </w:r>
          </w:p>
        </w:tc>
        <w:tc>
          <w:tcPr>
            <w:tcW w:type="dxa" w:w="2848"/>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Split from existing Terms</w:t>
            </w:r>
          </w:p>
        </w:tc>
        <w:tc>
          <w:tcPr>
            <w:tcW w:type="dxa" w:w="815"/>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Buyers</w:t>
            </w:r>
          </w:p>
        </w:tc>
      </w:tr>
      <w:tr>
        <w:trPr>
          <w:tblHeader w:val="false"/>
        </w:trPr>
        <w:tc>
          <w:tcPr>
            <w:tcW w:type="dxa" w:w="5697"/>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[privacy-policy.md](privacy-policy.md)</w:t>
            </w:r>
          </w:p>
        </w:tc>
        <w:tc>
          <w:tcPr>
            <w:tcW w:type="dxa" w:w="2848"/>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Rewrite of live version</w:t>
            </w:r>
          </w:p>
        </w:tc>
        <w:tc>
          <w:tcPr>
            <w:tcW w:type="dxa" w:w="815"/>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Everyone</w:t>
            </w:r>
          </w:p>
        </w:tc>
      </w:tr>
      <w:tr>
        <w:trPr>
          <w:tblHeader w:val="false"/>
        </w:trPr>
        <w:tc>
          <w:tcPr>
            <w:tcW w:type="dxa" w:w="5697"/>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[cookie-policy.md](cookie-policy.md)</w:t>
            </w:r>
          </w:p>
        </w:tc>
        <w:tc>
          <w:tcPr>
            <w:tcW w:type="dxa" w:w="2848"/>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New</w:t>
            </w:r>
          </w:p>
        </w:tc>
        <w:tc>
          <w:tcPr>
            <w:tcW w:type="dxa" w:w="815"/>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Everyone</w:t>
            </w:r>
          </w:p>
        </w:tc>
      </w:tr>
      <w:tr>
        <w:trPr>
          <w:tblHeader w:val="false"/>
        </w:trPr>
        <w:tc>
          <w:tcPr>
            <w:tcW w:type="dxa" w:w="5697"/>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[dmca-policy.md](dmca-policy.md)</w:t>
            </w:r>
          </w:p>
        </w:tc>
        <w:tc>
          <w:tcPr>
            <w:tcW w:type="dxa" w:w="2848"/>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New — blocks safe harbor</w:t>
            </w:r>
          </w:p>
        </w:tc>
        <w:tc>
          <w:tcPr>
            <w:tcW w:type="dxa" w:w="815"/>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Everyone</w:t>
            </w:r>
          </w:p>
        </w:tc>
      </w:tr>
      <w:tr>
        <w:trPr>
          <w:tblHeader w:val="false"/>
        </w:trPr>
        <w:tc>
          <w:tcPr>
            <w:tcW w:type="dxa" w:w="5697"/>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[prohibited-items.md](prohibited-items.md)</w:t>
            </w:r>
          </w:p>
        </w:tc>
        <w:tc>
          <w:tcPr>
            <w:tcW w:type="dxa" w:w="2848"/>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New</w:t>
            </w:r>
          </w:p>
        </w:tc>
        <w:tc>
          <w:tcPr>
            <w:tcW w:type="dxa" w:w="815"/>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Artists</w:t>
            </w:r>
          </w:p>
        </w:tc>
      </w:tr>
      <w:tr>
        <w:trPr>
          <w:tblHeader w:val="false"/>
        </w:trPr>
        <w:tc>
          <w:tcPr>
            <w:tcW w:type="dxa" w:w="5697"/>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[authenticity-provenance.md](authenticity-provenance.md)</w:t>
            </w:r>
          </w:p>
        </w:tc>
        <w:tc>
          <w:tcPr>
            <w:tcW w:type="dxa" w:w="2848"/>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New</w:t>
            </w:r>
          </w:p>
        </w:tc>
        <w:tc>
          <w:tcPr>
            <w:tcW w:type="dxa" w:w="815"/>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Both</w:t>
            </w:r>
          </w:p>
        </w:tc>
      </w:tr>
      <w:tr>
        <w:trPr>
          <w:tblHeader w:val="false"/>
        </w:trPr>
        <w:tc>
          <w:tcPr>
            <w:tcW w:type="dxa" w:w="5697"/>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[seller-protection.md](seller-protection.md)</w:t>
            </w:r>
          </w:p>
        </w:tc>
        <w:tc>
          <w:tcPr>
            <w:tcW w:type="dxa" w:w="2848"/>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New — system is already live</w:t>
            </w:r>
          </w:p>
        </w:tc>
        <w:tc>
          <w:tcPr>
            <w:tcW w:type="dxa" w:w="815"/>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Artists</w:t>
            </w:r>
          </w:p>
        </w:tc>
      </w:tr>
      <w:tr>
        <w:trPr>
          <w:tblHeader w:val="false"/>
        </w:trPr>
        <w:tc>
          <w:tcPr>
            <w:tcW w:type="dxa" w:w="5697"/>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[returns-refunds.md](returns-refunds.md)</w:t>
            </w:r>
          </w:p>
        </w:tc>
        <w:tc>
          <w:tcPr>
            <w:tcW w:type="dxa" w:w="2848"/>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New — standalone</w:t>
            </w:r>
          </w:p>
        </w:tc>
        <w:tc>
          <w:tcPr>
            <w:tcW w:type="dxa" w:w="815"/>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Buyers</w:t>
            </w:r>
          </w:p>
        </w:tc>
      </w:tr>
      <w:tr>
        <w:trPr>
          <w:tblHeader w:val="false"/>
        </w:trPr>
        <w:tc>
          <w:tcPr>
            <w:tcW w:type="dxa" w:w="5697"/>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[shipping-policy.md](shipping-policy.md)</w:t>
            </w:r>
          </w:p>
        </w:tc>
        <w:tc>
          <w:tcPr>
            <w:tcW w:type="dxa" w:w="2848"/>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New</w:t>
            </w:r>
          </w:p>
        </w:tc>
        <w:tc>
          <w:tcPr>
            <w:tcW w:type="dxa" w:w="815"/>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Buyers</w:t>
            </w:r>
          </w:p>
        </w:tc>
      </w:tr>
      <w:tr>
        <w:trPr>
          <w:tblHeader w:val="false"/>
        </w:trPr>
        <w:tc>
          <w:tcPr>
            <w:tcW w:type="dxa" w:w="5697"/>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[community-guidelines.md](community-guidelines.md)</w:t>
            </w:r>
          </w:p>
        </w:tc>
        <w:tc>
          <w:tcPr>
            <w:tcW w:type="dxa" w:w="2848"/>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New</w:t>
            </w:r>
          </w:p>
        </w:tc>
        <w:tc>
          <w:tcPr>
            <w:tcW w:type="dxa" w:w="815"/>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Everyone</w:t>
            </w:r>
          </w:p>
        </w:tc>
      </w:tr>
    </w:tbl>
    <w:p>
      <w:pPr>
        <w:spacing w:after="140"/>
      </w:pPr>
    </w:p>
    <w:p>
      <w:pPr>
        <w:keepNext/>
        <w:spacing w:after="140" w:before="360"/>
      </w:pPr>
      <w:r>
        <w:rPr>
          <w:rFonts w:ascii="Georgia" w:cs="Georgia" w:eastAsia="Georgia" w:hAnsi="Georgia"/>
          <w:b/>
          <w:bCs/>
          <w:sz w:val="25"/>
          <w:szCs w:val="25"/>
        </w:rPr>
        <w:t xml:space="preserve">Decisions taken in these documents — confirm or overrule</w:t>
      </w:r>
    </w:p>
    <w:p>
      <w:pPr>
        <w:spacing w:after="140" w:line="288"/>
        <w:jc w:val="left"/>
      </w:pPr>
      <w:r>
        <w:rPr>
          <w:rFonts w:ascii="Georgia" w:cs="Georgia" w:eastAsia="Georgia" w:hAnsi="Georgia"/>
          <w:sz w:val="21"/>
          <w:szCs w:val="21"/>
        </w:rPr>
        <w:t xml:space="preserve">Every open question is now answered in the text rather than left blank, so counsel edits rather than originates. Each is flagged inline as in </w:t>
      </w:r>
      <w:r>
        <w:rPr>
          <w:rFonts w:ascii="Georgia" w:cs="Georgia" w:eastAsia="Georgia" w:hAnsi="Georgia"/>
          <w:b/>
          <w:bCs/>
          <w:sz w:val="21"/>
          <w:szCs w:val="21"/>
        </w:rPr>
        <w:t xml:space="preserve">Decisions Required from Counsel</w:t>
      </w:r>
      <w:r>
        <w:rPr>
          <w:rFonts w:ascii="Georgia" w:cs="Georgia" w:eastAsia="Georgia" w:hAnsi="Georgia"/>
          <w:sz w:val="21"/>
          <w:szCs w:val="21"/>
        </w:rPr>
        <w:t xml:space="preserve">, with the reasoning. The seven that carry real business consequence: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14"/>
        <w:gridCol w:w="5464"/>
        <w:gridCol w:w="2682"/>
      </w:tblGrid>
      <w:tr>
        <w:trPr>
          <w:tblHeader/>
        </w:trPr>
        <w:tc>
          <w:tcPr>
            <w:tcW w:type="dxa" w:w="1214"/>
            <w:shd w:fill="EDEFEF" w:val="clear"/>
            <w:tcMar>
              <w:top w:type="dxa" w:w="90"/>
              <w:left w:type="dxa" w:w="120"/>
              <w:bottom w:type="dxa" w:w="90"/>
              <w:right w:type="dxa" w:w="120"/>
            </w:tcMar>
          </w:tcPr>
          <w:p>
            <w:pPr>
              <w:spacing w:after="0" w:line="264"/>
            </w:pPr>
            <w:r>
              <w:rPr>
                <w:rFonts w:ascii="Georgia" w:cs="Georgia" w:eastAsia="Georgia" w:hAnsi="Georgia"/>
                <w:b/>
                <w:bCs/>
                <w:sz w:val="19"/>
                <w:szCs w:val="19"/>
              </w:rPr>
              <w:t xml:space="preserve">Decision</w:t>
            </w:r>
          </w:p>
        </w:tc>
        <w:tc>
          <w:tcPr>
            <w:tcW w:type="dxa" w:w="5464"/>
            <w:shd w:fill="EDEFEF" w:val="clear"/>
            <w:tcMar>
              <w:top w:type="dxa" w:w="90"/>
              <w:left w:type="dxa" w:w="120"/>
              <w:bottom w:type="dxa" w:w="90"/>
              <w:right w:type="dxa" w:w="120"/>
            </w:tcMar>
          </w:tcPr>
          <w:p>
            <w:pPr>
              <w:spacing w:after="0" w:line="264"/>
            </w:pPr>
            <w:r>
              <w:rPr>
                <w:rFonts w:ascii="Georgia" w:cs="Georgia" w:eastAsia="Georgia" w:hAnsi="Georgia"/>
                <w:b/>
                <w:bCs/>
                <w:sz w:val="19"/>
                <w:szCs w:val="19"/>
              </w:rPr>
              <w:t xml:space="preserve">Position taken</w:t>
            </w:r>
          </w:p>
        </w:tc>
        <w:tc>
          <w:tcPr>
            <w:tcW w:type="dxa" w:w="2682"/>
            <w:shd w:fill="EDEFEF" w:val="clear"/>
            <w:tcMar>
              <w:top w:type="dxa" w:w="90"/>
              <w:left w:type="dxa" w:w="120"/>
              <w:bottom w:type="dxa" w:w="90"/>
              <w:right w:type="dxa" w:w="120"/>
            </w:tcMar>
          </w:tcPr>
          <w:p>
            <w:pPr>
              <w:spacing w:after="0" w:line="264"/>
            </w:pPr>
            <w:r>
              <w:rPr>
                <w:rFonts w:ascii="Georgia" w:cs="Georgia" w:eastAsia="Georgia" w:hAnsi="Georgia"/>
                <w:b/>
                <w:bCs/>
                <w:sz w:val="19"/>
                <w:szCs w:val="19"/>
              </w:rPr>
              <w:t xml:space="preserve">Where</w:t>
            </w:r>
          </w:p>
        </w:tc>
      </w:tr>
      <w:tr>
        <w:trPr>
          <w:tblHeader w:val="false"/>
        </w:trPr>
        <w:tc>
          <w:tcPr>
            <w:tcW w:type="dxa" w:w="1214"/>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AI work</w:t>
            </w:r>
          </w:p>
        </w:tc>
        <w:tc>
          <w:tcPr>
            <w:tcW w:type="dxa" w:w="5464"/>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Wholly generated </w:t>
            </w:r>
            <w:r>
              <w:rPr>
                <w:rFonts w:ascii="Georgia" w:cs="Georgia" w:eastAsia="Georgia" w:hAnsi="Georgia"/>
                <w:b w:val="false"/>
                <w:bCs w:val="false"/>
                <w:sz w:val="19"/>
                <w:szCs w:val="19"/>
              </w:rPr>
              <w:t xml:space="preserve">prohibited</w:t>
            </w:r>
            <w:r>
              <w:rPr>
                <w:rFonts w:ascii="Georgia" w:cs="Georgia" w:eastAsia="Georgia" w:hAnsi="Georgia"/>
                <w:b w:val="false"/>
                <w:bCs w:val="false"/>
                <w:sz w:val="19"/>
                <w:szCs w:val="19"/>
              </w:rPr>
              <w:t xml:space="preserve">; assisted permitted </w:t>
            </w:r>
            <w:r>
              <w:rPr>
                <w:rFonts w:ascii="Georgia" w:cs="Georgia" w:eastAsia="Georgia" w:hAnsi="Georgia"/>
                <w:b w:val="false"/>
                <w:bCs w:val="false"/>
                <w:sz w:val="19"/>
                <w:szCs w:val="19"/>
              </w:rPr>
              <w:t xml:space="preserve">with disclosure</w:t>
            </w:r>
          </w:p>
        </w:tc>
        <w:tc>
          <w:tcPr>
            <w:tcW w:type="dxa" w:w="2682"/>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Agreement §5, Authenticity, Prohibited Items</w:t>
            </w:r>
          </w:p>
        </w:tc>
      </w:tr>
      <w:tr>
        <w:trPr>
          <w:tblHeader w:val="false"/>
        </w:trPr>
        <w:tc>
          <w:tcPr>
            <w:tcW w:type="dxa" w:w="1214"/>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Risk of loss</w:t>
            </w:r>
          </w:p>
        </w:tc>
        <w:tc>
          <w:tcPr>
            <w:tcW w:type="dxa" w:w="5464"/>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Artist bears until delivery</w:t>
            </w:r>
            <w:r>
              <w:rPr>
                <w:rFonts w:ascii="Georgia" w:cs="Georgia" w:eastAsia="Georgia" w:hAnsi="Georgia"/>
                <w:b w:val="false"/>
                <w:bCs w:val="false"/>
                <w:sz w:val="19"/>
                <w:szCs w:val="19"/>
              </w:rPr>
              <w:t xml:space="preserve">; artist must insure for the artwork price</w:t>
            </w:r>
          </w:p>
        </w:tc>
        <w:tc>
          <w:tcPr>
            <w:tcW w:type="dxa" w:w="2682"/>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Agreement §7, Terms of Sale §3, Shipping</w:t>
            </w:r>
          </w:p>
        </w:tc>
      </w:tr>
      <w:tr>
        <w:trPr>
          <w:tblHeader w:val="false"/>
        </w:trPr>
        <w:tc>
          <w:tcPr>
            <w:tcW w:type="dxa" w:w="1214"/>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Misdescription</w:t>
            </w:r>
          </w:p>
        </w:tc>
        <w:tc>
          <w:tcPr>
            <w:tcW w:type="dxa" w:w="5464"/>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Overrides</w:t>
            </w:r>
            <w:r>
              <w:rPr>
                <w:rFonts w:ascii="Georgia" w:cs="Georgia" w:eastAsia="Georgia" w:hAnsi="Georgia"/>
                <w:b w:val="false"/>
                <w:bCs w:val="false"/>
                <w:sz w:val="19"/>
                <w:szCs w:val="19"/>
              </w:rPr>
              <w:t xml:space="preserve"> artist refund discretion where substantiated</w:t>
            </w:r>
          </w:p>
        </w:tc>
        <w:tc>
          <w:tcPr>
            <w:tcW w:type="dxa" w:w="2682"/>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Terms of Sale §5, Returns, Authenticity, Agreement §8</w:t>
            </w:r>
          </w:p>
        </w:tc>
      </w:tr>
      <w:tr>
        <w:trPr>
          <w:tblHeader w:val="false"/>
        </w:trPr>
        <w:tc>
          <w:tcPr>
            <w:tcW w:type="dxa" w:w="1214"/>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Arbitration</w:t>
            </w:r>
          </w:p>
        </w:tc>
        <w:tc>
          <w:tcPr>
            <w:tcW w:type="dxa" w:w="5464"/>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Included</w:t>
            </w:r>
            <w:r>
              <w:rPr>
                <w:rFonts w:ascii="Georgia" w:cs="Georgia" w:eastAsia="Georgia" w:hAnsi="Georgia"/>
                <w:b w:val="false"/>
                <w:bCs w:val="false"/>
                <w:sz w:val="19"/>
                <w:szCs w:val="19"/>
              </w:rPr>
              <w:t xml:space="preserve">, individually, with small-claims and injunctive carve-outs, a 30-day opt-out and fee-shifting</w:t>
            </w:r>
          </w:p>
        </w:tc>
        <w:tc>
          <w:tcPr>
            <w:tcW w:type="dxa" w:w="2682"/>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ToS §15, Agreement §13.6</w:t>
            </w:r>
          </w:p>
        </w:tc>
      </w:tr>
      <w:tr>
        <w:trPr>
          <w:tblHeader w:val="false"/>
        </w:trPr>
        <w:tc>
          <w:tcPr>
            <w:tcW w:type="dxa" w:w="1214"/>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Liability cap</w:t>
            </w:r>
          </w:p>
        </w:tc>
        <w:tc>
          <w:tcPr>
            <w:tcW w:type="dxa" w:w="5464"/>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Artists: greater of 12 months' commissions or $500. Everyone: greater of 12 months' transactions or $100</w:t>
            </w:r>
          </w:p>
        </w:tc>
        <w:tc>
          <w:tcPr>
            <w:tcW w:type="dxa" w:w="2682"/>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Agreement §13.3, ToS §13.4</w:t>
            </w:r>
          </w:p>
        </w:tc>
      </w:tr>
      <w:tr>
        <w:trPr>
          <w:tblHeader w:val="false"/>
        </w:trPr>
        <w:tc>
          <w:tcPr>
            <w:tcW w:type="dxa" w:w="1214"/>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Retention</w:t>
            </w:r>
          </w:p>
        </w:tc>
        <w:tc>
          <w:tcPr>
            <w:tcW w:type="dxa" w:w="5464"/>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7 years for order/tax records; 3 years messages; 30 days to delete an account; 90-day backup cycle</w:t>
            </w:r>
          </w:p>
        </w:tc>
        <w:tc>
          <w:tcPr>
            <w:tcW w:type="dxa" w:w="2682"/>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Privacy §6</w:t>
            </w:r>
          </w:p>
        </w:tc>
      </w:tr>
      <w:tr>
        <w:trPr>
          <w:tblHeader w:val="false"/>
        </w:trPr>
        <w:tc>
          <w:tcPr>
            <w:tcW w:type="dxa" w:w="1214"/>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Repeat infringers</w:t>
            </w:r>
          </w:p>
        </w:tc>
        <w:tc>
          <w:tcPr>
            <w:tcW w:type="dxa" w:w="5464"/>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3 substantiated notices in 12 months</w:t>
            </w:r>
            <w:r>
              <w:rPr>
                <w:rFonts w:ascii="Georgia" w:cs="Georgia" w:eastAsia="Georgia" w:hAnsi="Georgia"/>
                <w:b w:val="false"/>
                <w:bCs w:val="false"/>
                <w:sz w:val="19"/>
                <w:szCs w:val="19"/>
              </w:rPr>
              <w:t xml:space="preserve">; immediate for deliberate or large-scale</w:t>
            </w:r>
          </w:p>
        </w:tc>
        <w:tc>
          <w:tcPr>
            <w:tcW w:type="dxa" w:w="2682"/>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DMCA</w:t>
            </w:r>
          </w:p>
        </w:tc>
      </w:tr>
      <w:tr>
        <w:trPr>
          <w:tblHeader w:val="false"/>
        </w:trPr>
        <w:tc>
          <w:tcPr>
            <w:tcW w:type="dxa" w:w="1214"/>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Minimum age</w:t>
            </w:r>
          </w:p>
        </w:tc>
        <w:tc>
          <w:tcPr>
            <w:tcW w:type="dxa" w:w="5464"/>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18 for every account</w:t>
            </w:r>
            <w:r>
              <w:rPr>
                <w:rFonts w:ascii="Georgia" w:cs="Georgia" w:eastAsia="Georgia" w:hAnsi="Georgia"/>
                <w:b w:val="false"/>
                <w:bCs w:val="false"/>
                <w:sz w:val="19"/>
                <w:szCs w:val="19"/>
              </w:rPr>
              <w:t xml:space="preserve">, buyer or seller (was 13)</w:t>
            </w:r>
          </w:p>
        </w:tc>
        <w:tc>
          <w:tcPr>
            <w:tcW w:type="dxa" w:w="2682"/>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ToS §2, Privacy §9</w:t>
            </w:r>
          </w:p>
        </w:tc>
      </w:tr>
      <w:tr>
        <w:trPr>
          <w:tblHeader w:val="false"/>
        </w:trPr>
        <w:tc>
          <w:tcPr>
            <w:tcW w:type="dxa" w:w="1214"/>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Late or unshipped orders</w:t>
            </w:r>
          </w:p>
        </w:tc>
        <w:tc>
          <w:tcPr>
            <w:tcW w:type="dxa" w:w="5464"/>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Buyer may </w:t>
            </w:r>
            <w:r>
              <w:rPr>
                <w:rFonts w:ascii="Georgia" w:cs="Georgia" w:eastAsia="Georgia" w:hAnsi="Georgia"/>
                <w:b w:val="false"/>
                <w:bCs w:val="false"/>
                <w:sz w:val="19"/>
                <w:szCs w:val="19"/>
              </w:rPr>
              <w:t xml:space="preserve">cancel for a full refund</w:t>
            </w:r>
            <w:r>
              <w:rPr>
                <w:rFonts w:ascii="Georgia" w:cs="Georgia" w:eastAsia="Georgia" w:hAnsi="Georgia"/>
                <w:b w:val="false"/>
                <w:bCs w:val="false"/>
                <w:sz w:val="19"/>
                <w:szCs w:val="19"/>
              </w:rPr>
              <w:t xml:space="preserve">; we refund an abandoned order without artist approval</w:t>
            </w:r>
          </w:p>
        </w:tc>
        <w:tc>
          <w:tcPr>
            <w:tcW w:type="dxa" w:w="2682"/>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ToS of Sale §3, Shipping, Returns, Agreement §7–8</w:t>
            </w:r>
          </w:p>
        </w:tc>
      </w:tr>
      <w:tr>
        <w:trPr>
          <w:tblHeader w:val="false"/>
        </w:trPr>
        <w:tc>
          <w:tcPr>
            <w:tcW w:type="dxa" w:w="1214"/>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Service fee on refunds</w:t>
            </w:r>
          </w:p>
        </w:tc>
        <w:tc>
          <w:tcPr>
            <w:tcW w:type="dxa" w:w="5464"/>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Retained on change of mind; </w:t>
            </w:r>
            <w:r>
              <w:rPr>
                <w:rFonts w:ascii="Georgia" w:cs="Georgia" w:eastAsia="Georgia" w:hAnsi="Georgia"/>
                <w:b w:val="false"/>
                <w:bCs w:val="false"/>
                <w:sz w:val="19"/>
                <w:szCs w:val="19"/>
              </w:rPr>
              <w:t xml:space="preserve">refunded</w:t>
            </w:r>
            <w:r>
              <w:rPr>
                <w:rFonts w:ascii="Georgia" w:cs="Georgia" w:eastAsia="Georgia" w:hAnsi="Georgia"/>
                <w:b w:val="false"/>
                <w:bCs w:val="false"/>
                <w:sz w:val="19"/>
                <w:szCs w:val="19"/>
              </w:rPr>
              <w:t xml:space="preserve"> where a piece never arrived, arrived damaged or was misdescribed</w:t>
            </w:r>
          </w:p>
        </w:tc>
        <w:tc>
          <w:tcPr>
            <w:tcW w:type="dxa" w:w="2682"/>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Terms of Sale §2, Returns</w:t>
            </w:r>
          </w:p>
        </w:tc>
      </w:tr>
      <w:tr>
        <w:trPr>
          <w:tblHeader w:val="false"/>
        </w:trPr>
        <w:tc>
          <w:tcPr>
            <w:tcW w:type="dxa" w:w="1214"/>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Vintage and estate work</w:t>
            </w:r>
          </w:p>
        </w:tc>
        <w:tc>
          <w:tcPr>
            <w:tcW w:type="dxa" w:w="5464"/>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Not accepted at launch</w:t>
            </w:r>
            <w:r>
              <w:rPr>
                <w:rFonts w:ascii="Georgia" w:cs="Georgia" w:eastAsia="Georgia" w:hAnsi="Georgia"/>
                <w:b w:val="false"/>
                <w:bCs w:val="false"/>
                <w:sz w:val="19"/>
                <w:szCs w:val="19"/>
              </w:rPr>
              <w:t xml:space="preserve"> (was a restricted category, which contradicted the outright prohibition on reselling)</w:t>
            </w:r>
          </w:p>
        </w:tc>
        <w:tc>
          <w:tcPr>
            <w:tcW w:type="dxa" w:w="2682"/>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Prohibited Items, Authenticity</w:t>
            </w:r>
          </w:p>
        </w:tc>
      </w:tr>
      <w:tr>
        <w:trPr>
          <w:tblHeader w:val="false"/>
        </w:trPr>
        <w:tc>
          <w:tcPr>
            <w:tcW w:type="dxa" w:w="1214"/>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Negative balances</w:t>
            </w:r>
          </w:p>
        </w:tc>
        <w:tc>
          <w:tcPr>
            <w:tcW w:type="dxa" w:w="5464"/>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Set-off against future payouts; reserves permitted pending investigation</w:t>
            </w:r>
          </w:p>
        </w:tc>
        <w:tc>
          <w:tcPr>
            <w:tcW w:type="dxa" w:w="2682"/>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Agreement §4, Seller Protection</w:t>
            </w:r>
          </w:p>
        </w:tc>
      </w:tr>
      <w:tr>
        <w:trPr>
          <w:tblHeader w:val="false"/>
        </w:trPr>
        <w:tc>
          <w:tcPr>
            <w:tcW w:type="dxa" w:w="1214"/>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Shipment insurance</w:t>
            </w:r>
          </w:p>
        </w:tc>
        <w:tc>
          <w:tcPr>
            <w:tcW w:type="dxa" w:w="5464"/>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To the artwork price </w:t>
            </w:r>
            <w:r>
              <w:rPr>
                <w:rFonts w:ascii="Georgia" w:cs="Georgia" w:eastAsia="Georgia" w:hAnsi="Georgia"/>
                <w:b w:val="false"/>
                <w:bCs w:val="false"/>
                <w:sz w:val="19"/>
                <w:szCs w:val="19"/>
              </w:rPr>
              <w:t xml:space="preserve">to the extent cover is available</w:t>
            </w:r>
            <w:r>
              <w:rPr>
                <w:rFonts w:ascii="Georgia" w:cs="Georgia" w:eastAsia="Georgia" w:hAnsi="Georgia"/>
                <w:b w:val="false"/>
                <w:bCs w:val="false"/>
                <w:sz w:val="19"/>
                <w:szCs w:val="19"/>
              </w:rPr>
              <w:t xml:space="preserve">; fine-art shipper for higher values</w:t>
            </w:r>
          </w:p>
        </w:tc>
        <w:tc>
          <w:tcPr>
            <w:tcW w:type="dxa" w:w="2682"/>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Agreement §7, Shipping</w:t>
            </w:r>
          </w:p>
        </w:tc>
      </w:tr>
    </w:tbl>
    <w:p>
      <w:pPr>
        <w:spacing w:after="140"/>
      </w:pPr>
    </w:p>
    <w:p>
      <w:pPr>
        <w:spacing w:after="140" w:line="288"/>
        <w:jc w:val="left"/>
      </w:pPr>
      <w:r>
        <w:rPr>
          <w:rFonts w:ascii="Georgia" w:cs="Georgia" w:eastAsia="Georgia" w:hAnsi="Georgia"/>
          <w:b/>
          <w:bCs/>
          <w:sz w:val="21"/>
          <w:szCs w:val="21"/>
        </w:rPr>
        <w:t xml:space="preserve">Risk of loss is the one I would most want a second opinion on.</w:t>
      </w:r>
      <w:r>
        <w:rPr>
          <w:rFonts w:ascii="Georgia" w:cs="Georgia" w:eastAsia="Georgia" w:hAnsi="Georgia"/>
          <w:sz w:val="21"/>
          <w:szCs w:val="21"/>
        </w:rPr>
        <w:t xml:space="preserve"> The default rule for shipment contracts passes risk on tender to the carrier; these documents deliberately place it on the artist until delivery. The reasoning is that a buyer whose piece never arrives disputes the charge and wins, so the loss lands on the seller regardless of what the document says — stating it plainly makes artists insure for it rather than discover it. That is a commercial judgement, not a legal necessity, and counsel may prefer the default with an insurance requirement bolted on.</w:t>
      </w:r>
    </w:p>
    <w:p>
      <w:pPr>
        <w:keepNext/>
        <w:spacing w:after="140" w:before="360"/>
      </w:pPr>
      <w:r>
        <w:rPr>
          <w:rFonts w:ascii="Georgia" w:cs="Georgia" w:eastAsia="Georgia" w:hAnsi="Georgia"/>
          <w:b/>
          <w:bCs/>
          <w:sz w:val="25"/>
          <w:szCs w:val="25"/>
        </w:rPr>
        <w:t xml:space="preserve">Changes made in the content review, by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11"/>
        <w:gridCol w:w="8949"/>
      </w:tblGrid>
      <w:tr>
        <w:trPr>
          <w:tblHeader/>
        </w:trPr>
        <w:tc>
          <w:tcPr>
            <w:tcW w:type="dxa" w:w="411"/>
            <w:shd w:fill="EDEFEF" w:val="clear"/>
            <w:tcMar>
              <w:top w:type="dxa" w:w="90"/>
              <w:left w:type="dxa" w:w="120"/>
              <w:bottom w:type="dxa" w:w="90"/>
              <w:right w:type="dxa" w:w="120"/>
            </w:tcMar>
          </w:tcPr>
          <w:p>
            <w:pPr>
              <w:spacing w:after="0" w:line="264"/>
            </w:pPr>
            <w:r>
              <w:rPr>
                <w:rFonts w:ascii="Georgia" w:cs="Georgia" w:eastAsia="Georgia" w:hAnsi="Georgia"/>
                <w:b/>
                <w:bCs/>
                <w:sz w:val="19"/>
                <w:szCs w:val="19"/>
              </w:rPr>
              <w:t xml:space="preserve">Document</w:t>
            </w:r>
          </w:p>
        </w:tc>
        <w:tc>
          <w:tcPr>
            <w:tcW w:type="dxa" w:w="8949"/>
            <w:shd w:fill="EDEFEF" w:val="clear"/>
            <w:tcMar>
              <w:top w:type="dxa" w:w="90"/>
              <w:left w:type="dxa" w:w="120"/>
              <w:bottom w:type="dxa" w:w="90"/>
              <w:right w:type="dxa" w:w="120"/>
            </w:tcMar>
          </w:tcPr>
          <w:p>
            <w:pPr>
              <w:spacing w:after="0" w:line="264"/>
            </w:pPr>
            <w:r>
              <w:rPr>
                <w:rFonts w:ascii="Georgia" w:cs="Georgia" w:eastAsia="Georgia" w:hAnsi="Georgia"/>
                <w:b/>
                <w:bCs/>
                <w:sz w:val="19"/>
                <w:szCs w:val="19"/>
              </w:rPr>
              <w:t xml:space="preserve">Change</w:t>
            </w:r>
          </w:p>
        </w:tc>
      </w:tr>
      <w:tr>
        <w:trPr>
          <w:tblHeader w:val="false"/>
        </w:trPr>
        <w:tc>
          <w:tcPr>
            <w:tcW w:type="dxa" w:w="411"/>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Artist Agreement</w:t>
            </w:r>
          </w:p>
        </w:tc>
        <w:tc>
          <w:tcPr>
            <w:tcW w:type="dxa" w:w="8949"/>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Delivery confirmation disclosed as artist-attested; §4.5 typo fixed; message-response requirement bounded in time; </w:t>
            </w:r>
            <w:r>
              <w:rPr>
                <w:rFonts w:ascii="Georgia" w:cs="Georgia" w:eastAsia="Georgia" w:hAnsi="Georgia"/>
                <w:b w:val="false"/>
                <w:bCs w:val="false"/>
                <w:sz w:val="19"/>
                <w:szCs w:val="19"/>
              </w:rPr>
              <w:t xml:space="preserve">local pickup disclosed as not currently protected</w:t>
            </w:r>
            <w:r>
              <w:rPr>
                <w:rFonts w:ascii="Georgia" w:cs="Georgia" w:eastAsia="Georgia" w:hAnsi="Georgia"/>
                <w:b w:val="false"/>
                <w:bCs w:val="false"/>
                <w:sz w:val="19"/>
                <w:szCs w:val="19"/>
              </w:rPr>
              <w:t xml:space="preserve">; set-off and reserve rights added; missed-window cancellation duty added; insurance obligation made performable; fourth refund exception (never shipped) and abandoned-order path added; commissions carved out of the off-platform prohibition; 1099-K responsibility flagged</w:t>
            </w:r>
          </w:p>
        </w:tc>
      </w:tr>
      <w:tr>
        <w:trPr>
          <w:tblHeader w:val="false"/>
        </w:trPr>
        <w:tc>
          <w:tcPr>
            <w:tcW w:type="dxa" w:w="411"/>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Terms of Service</w:t>
            </w:r>
          </w:p>
        </w:tc>
        <w:tc>
          <w:tcPr>
            <w:tcW w:type="dxa" w:w="8949"/>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Account minimum raised to 18; commissions carved out of §6; fee described accurately in §10; merchant-of-record versus warranty-disclaimer tension flagged in §13.2</w:t>
            </w:r>
          </w:p>
        </w:tc>
      </w:tr>
      <w:tr>
        <w:trPr>
          <w:tblHeader w:val="false"/>
        </w:trPr>
        <w:tc>
          <w:tcPr>
            <w:tcW w:type="dxa" w:w="411"/>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Terms of Sale</w:t>
            </w:r>
          </w:p>
        </w:tc>
        <w:tc>
          <w:tcPr>
            <w:tcW w:type="dxa" w:w="8949"/>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Fee described accurately (it is not flatly 3%); non-delivery and late-shipment rights added; fee refunded on fault-based refunds; </w:t>
            </w:r>
            <w:r>
              <w:rPr>
                <w:rFonts w:ascii="Georgia" w:cs="Georgia" w:eastAsia="Georgia" w:hAnsi="Georgia"/>
                <w:b w:val="false"/>
                <w:bCs w:val="false"/>
                <w:sz w:val="19"/>
                <w:szCs w:val="19"/>
              </w:rPr>
              <w:t xml:space="preserve">new §9 incorporating the arbitration clause</w:t>
            </w:r>
            <w:r>
              <w:rPr>
                <w:rFonts w:ascii="Georgia" w:cs="Georgia" w:eastAsia="Georgia" w:hAnsi="Georgia"/>
                <w:b w:val="false"/>
                <w:bCs w:val="false"/>
                <w:sz w:val="19"/>
                <w:szCs w:val="19"/>
              </w:rPr>
              <w:t xml:space="preserve">, which the checkout document previously lacked entirely</w:t>
            </w:r>
          </w:p>
        </w:tc>
      </w:tr>
      <w:tr>
        <w:trPr>
          <w:tblHeader w:val="false"/>
        </w:trPr>
        <w:tc>
          <w:tcPr>
            <w:tcW w:type="dxa" w:w="411"/>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Returns &amp; Refunds</w:t>
            </w:r>
          </w:p>
        </w:tc>
        <w:tc>
          <w:tcPr>
            <w:tcW w:type="dxa" w:w="8949"/>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Four non-discretionary refund grounds stated up front; never-shipped section added; merchant-of-record responsibility restated</w:t>
            </w:r>
          </w:p>
        </w:tc>
      </w:tr>
      <w:tr>
        <w:trPr>
          <w:tblHeader w:val="false"/>
        </w:trPr>
        <w:tc>
          <w:tcPr>
            <w:tcW w:type="dxa" w:w="411"/>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Shipping</w:t>
            </w:r>
          </w:p>
        </w:tc>
        <w:tc>
          <w:tcPr>
            <w:tcW w:type="dxa" w:w="8949"/>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Missed-window cancellation right; signature and insurance obligations phrased as duties on the artist; refund right made independent of whether the artist insured</w:t>
            </w:r>
          </w:p>
        </w:tc>
      </w:tr>
      <w:tr>
        <w:trPr>
          <w:tblHeader w:val="false"/>
        </w:trPr>
        <w:tc>
          <w:tcPr>
            <w:tcW w:type="dxa" w:w="411"/>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Seller Protection</w:t>
            </w:r>
          </w:p>
        </w:tc>
        <w:tc>
          <w:tcPr>
            <w:tcW w:type="dxa" w:w="8949"/>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Pickup ineligibility and attestation limits disclosed; response requirement bounded; negative-balance recovery explained; exclusions widened</w:t>
            </w:r>
          </w:p>
        </w:tc>
      </w:tr>
      <w:tr>
        <w:trPr>
          <w:tblHeader w:val="false"/>
        </w:trPr>
        <w:tc>
          <w:tcPr>
            <w:tcW w:type="dxa" w:w="411"/>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Prohibited Items</w:t>
            </w:r>
          </w:p>
        </w:tc>
        <w:tc>
          <w:tcPr>
            <w:tcW w:type="dxa" w:w="8949"/>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Vintage and estate contradiction resolved against acceptance</w:t>
            </w:r>
          </w:p>
        </w:tc>
      </w:tr>
      <w:tr>
        <w:trPr>
          <w:tblHeader w:val="false"/>
        </w:trPr>
        <w:tc>
          <w:tcPr>
            <w:tcW w:type="dxa" w:w="411"/>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Authenticity</w:t>
            </w:r>
          </w:p>
        </w:tc>
        <w:tc>
          <w:tcPr>
            <w:tcW w:type="dxa" w:w="8949"/>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Aligned with the above; service fee included in a substantiated-misdescription refund</w:t>
            </w:r>
          </w:p>
        </w:tc>
      </w:tr>
      <w:tr>
        <w:trPr>
          <w:tblHeader w:val="false"/>
        </w:trPr>
        <w:tc>
          <w:tcPr>
            <w:tcW w:type="dxa" w:w="411"/>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Community Guidelines</w:t>
            </w:r>
          </w:p>
        </w:tc>
        <w:tc>
          <w:tcPr>
            <w:tcW w:type="dxa" w:w="8949"/>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NCMEC reporting stated; commissions exception noted</w:t>
            </w:r>
          </w:p>
        </w:tc>
      </w:tr>
      <w:tr>
        <w:trPr>
          <w:tblHeader w:val="false"/>
        </w:trPr>
        <w:tc>
          <w:tcPr>
            <w:tcW w:type="dxa" w:w="411"/>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Privacy</w:t>
            </w:r>
          </w:p>
        </w:tc>
        <w:tc>
          <w:tcPr>
            <w:tcW w:type="dxa" w:w="8949"/>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AG breach deadline corrected to 30 days</w:t>
            </w:r>
            <w:r>
              <w:rPr>
                <w:rFonts w:ascii="Georgia" w:cs="Georgia" w:eastAsia="Georgia" w:hAnsi="Georgia"/>
                <w:b w:val="false"/>
                <w:bCs w:val="false"/>
                <w:sz w:val="19"/>
                <w:szCs w:val="19"/>
              </w:rPr>
              <w:t xml:space="preserve"> (individuals stay at 60); rights-appeal process added; Global Privacy Control addressed; children's section replaced with an 18+ section</w:t>
            </w:r>
          </w:p>
        </w:tc>
      </w:tr>
      <w:tr>
        <w:trPr>
          <w:tblHeader w:val="false"/>
        </w:trPr>
        <w:tc>
          <w:tcPr>
            <w:tcW w:type="dxa" w:w="411"/>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DMCA</w:t>
            </w:r>
          </w:p>
        </w:tc>
        <w:tc>
          <w:tcPr>
            <w:tcW w:type="dxa" w:w="8949"/>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Requirement that the published agent details match the Copyright Office record word for word</w:t>
            </w:r>
          </w:p>
        </w:tc>
      </w:tr>
      <w:tr>
        <w:trPr>
          <w:tblHeader w:val="false"/>
        </w:trPr>
        <w:tc>
          <w:tcPr>
            <w:tcW w:type="dxa" w:w="411"/>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Counsel Brief</w:t>
            </w:r>
          </w:p>
        </w:tc>
        <w:tc>
          <w:tcPr>
            <w:tcW w:type="dxa" w:w="8949"/>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Three code-versus-document gaps documented; questions extended from 8 to 16</w:t>
            </w:r>
          </w:p>
        </w:tc>
      </w:tr>
    </w:tbl>
    <w:p>
      <w:pPr>
        <w:spacing w:after="140"/>
      </w:pPr>
    </w:p>
    <w:p>
      <w:pPr>
        <w:keepNext/>
        <w:spacing w:after="140" w:before="360"/>
      </w:pPr>
      <w:r>
        <w:rPr>
          <w:rFonts w:ascii="Georgia" w:cs="Georgia" w:eastAsia="Georgia" w:hAnsi="Georgia"/>
          <w:b/>
          <w:bCs/>
          <w:sz w:val="25"/>
          <w:szCs w:val="25"/>
        </w:rPr>
        <w:t xml:space="preserve">Non-document actions</w:t>
      </w:r>
    </w:p>
    <w:p>
      <w:pPr>
        <w:pStyle w:val="ListParagraph"/>
        <w:numPr>
          <w:ilvl w:val="0"/>
          <w:numId w:val="1"/>
        </w:numPr>
        <w:spacing w:after="90" w:line="288"/>
      </w:pPr>
      <w:r>
        <w:rPr>
          <w:rFonts w:ascii="Georgia" w:cs="Georgia" w:eastAsia="Georgia" w:hAnsi="Georgia"/>
          <w:sz w:val="21"/>
          <w:szCs w:val="21"/>
        </w:rPr>
        <w:t xml:space="preserve">[ ] </w:t>
      </w:r>
      <w:r>
        <w:rPr>
          <w:rFonts w:ascii="Georgia" w:cs="Georgia" w:eastAsia="Georgia" w:hAnsi="Georgia"/>
          <w:b/>
          <w:bCs/>
          <w:sz w:val="21"/>
          <w:szCs w:val="21"/>
        </w:rPr>
        <w:t xml:space="preserve">Register a DMCA designated agent</w:t>
      </w:r>
      <w:r>
        <w:rPr>
          <w:rFonts w:ascii="Georgia" w:cs="Georgia" w:eastAsia="Georgia" w:hAnsi="Georgia"/>
          <w:sz w:val="21"/>
          <w:szCs w:val="21"/>
        </w:rPr>
        <w:t xml:space="preserve"> with the U.S. Copyright Office — $6, online only, renew every 3 years. Without it there is no §512(c) safe harbor for user-uploaded artwork. Nothing else on this list is as cheap or as load-bearing.</w:t>
      </w:r>
    </w:p>
    <w:p>
      <w:pPr>
        <w:pStyle w:val="ListParagraph"/>
        <w:numPr>
          <w:ilvl w:val="0"/>
          <w:numId w:val="1"/>
        </w:numPr>
        <w:spacing w:after="90" w:line="288"/>
      </w:pPr>
      <w:r>
        <w:rPr>
          <w:rFonts w:ascii="Georgia" w:cs="Georgia" w:eastAsia="Georgia" w:hAnsi="Georgia"/>
          <w:sz w:val="21"/>
          <w:szCs w:val="21"/>
        </w:rPr>
        <w:t xml:space="preserve">[ ] Texas sales tax permit (filed; expected ~1 week from 2026-08-25)</w:t>
      </w:r>
    </w:p>
    <w:p>
      <w:pPr>
        <w:pStyle w:val="ListParagraph"/>
        <w:numPr>
          <w:ilvl w:val="0"/>
          <w:numId w:val="1"/>
        </w:numPr>
        <w:spacing w:after="90" w:line="288"/>
      </w:pPr>
      <w:r>
        <w:rPr>
          <w:rFonts w:ascii="Georgia" w:cs="Georgia" w:eastAsia="Georgia" w:hAnsi="Georgia"/>
          <w:sz w:val="21"/>
          <w:szCs w:val="21"/>
        </w:rPr>
        <w:t xml:space="preserve">[ ] General liability / E&amp;O insurance</w:t>
      </w:r>
    </w:p>
    <w:p>
      <w:pPr>
        <w:pStyle w:val="ListParagraph"/>
        <w:numPr>
          <w:ilvl w:val="0"/>
          <w:numId w:val="1"/>
        </w:numPr>
        <w:spacing w:after="90" w:line="288"/>
      </w:pPr>
      <w:r>
        <w:rPr>
          <w:rFonts w:ascii="Georgia" w:cs="Georgia" w:eastAsia="Georgia" w:hAnsi="Georgia"/>
          <w:sz w:val="21"/>
          <w:szCs w:val="21"/>
        </w:rPr>
        <w:t xml:space="preserve">[ ] LLC operating agreement</w:t>
      </w:r>
    </w:p>
    <w:p>
      <w:pPr>
        <w:pStyle w:val="ListParagraph"/>
        <w:numPr>
          <w:ilvl w:val="0"/>
          <w:numId w:val="1"/>
        </w:numPr>
        <w:spacing w:after="90" w:line="288"/>
      </w:pPr>
      <w:r>
        <w:rPr>
          <w:rFonts w:ascii="Georgia" w:cs="Georgia" w:eastAsia="Georgia" w:hAnsi="Georgia"/>
          <w:sz w:val="21"/>
          <w:szCs w:val="21"/>
        </w:rPr>
        <w:t xml:space="preserve">[ ] Trademark search on "Custom Canvas"</w:t>
      </w:r>
    </w:p>
    <w:p>
      <w:pPr>
        <w:pStyle w:val="ListParagraph"/>
        <w:numPr>
          <w:ilvl w:val="0"/>
          <w:numId w:val="1"/>
        </w:numPr>
        <w:spacing w:after="90" w:line="288"/>
      </w:pPr>
      <w:r>
        <w:rPr>
          <w:rFonts w:ascii="Georgia" w:cs="Georgia" w:eastAsia="Georgia" w:hAnsi="Georgia"/>
          <w:sz w:val="21"/>
          <w:szCs w:val="21"/>
        </w:rPr>
        <w:t xml:space="preserve">[ ] </w:t>
      </w:r>
      <w:r>
        <w:rPr>
          <w:rFonts w:ascii="Georgia" w:cs="Georgia" w:eastAsia="Georgia" w:hAnsi="Georgia"/>
          <w:b/>
          <w:bCs/>
          <w:sz w:val="21"/>
          <w:szCs w:val="21"/>
        </w:rPr>
        <w:t xml:space="preserve">Build the local-pickup handoff confirmation</w:t>
      </w:r>
      <w:r>
        <w:rPr>
          <w:rFonts w:ascii="Georgia" w:cs="Georgia" w:eastAsia="Georgia" w:hAnsi="Georgia"/>
          <w:sz w:val="21"/>
          <w:szCs w:val="21"/>
        </w:rPr>
        <w:t xml:space="preserve"> — until it exists, pickup orders are unprotected and the artist-facing document has to say so</w:t>
      </w:r>
    </w:p>
    <w:p>
      <w:pPr>
        <w:pStyle w:val="ListParagraph"/>
        <w:numPr>
          <w:ilvl w:val="0"/>
          <w:numId w:val="1"/>
        </w:numPr>
        <w:spacing w:after="90" w:line="288"/>
      </w:pPr>
      <w:r>
        <w:rPr>
          <w:rFonts w:ascii="Georgia" w:cs="Georgia" w:eastAsia="Georgia" w:hAnsi="Georgia"/>
          <w:sz w:val="21"/>
          <w:szCs w:val="21"/>
        </w:rPr>
        <w:t xml:space="preserve">[ ] </w:t>
      </w:r>
      <w:r>
        <w:rPr>
          <w:rFonts w:ascii="Georgia" w:cs="Georgia" w:eastAsia="Georgia" w:hAnsi="Georgia"/>
          <w:b/>
          <w:bCs/>
          <w:sz w:val="21"/>
          <w:szCs w:val="21"/>
        </w:rPr>
        <w:t xml:space="preserve">Build the non-delivery path</w:t>
      </w:r>
      <w:r>
        <w:rPr>
          <w:rFonts w:ascii="Georgia" w:cs="Georgia" w:eastAsia="Georgia" w:hAnsi="Georgia"/>
          <w:sz w:val="21"/>
          <w:szCs w:val="21"/>
        </w:rPr>
        <w:t xml:space="preserve"> — cancellation right on a missed window, and unilateral refund of an abandoned order</w:t>
      </w:r>
    </w:p>
    <w:p>
      <w:pPr>
        <w:pStyle w:val="ListParagraph"/>
        <w:numPr>
          <w:ilvl w:val="0"/>
          <w:numId w:val="1"/>
        </w:numPr>
        <w:spacing w:after="90" w:line="288"/>
      </w:pPr>
      <w:r>
        <w:rPr>
          <w:rFonts w:ascii="Georgia" w:cs="Georgia" w:eastAsia="Georgia" w:hAnsi="Georgia"/>
          <w:sz w:val="21"/>
          <w:szCs w:val="21"/>
        </w:rPr>
        <w:t xml:space="preserve">[ ] </w:t>
      </w:r>
      <w:r>
        <w:rPr>
          <w:rFonts w:ascii="Georgia" w:cs="Georgia" w:eastAsia="Georgia" w:hAnsi="Georgia"/>
          <w:b/>
          <w:bCs/>
          <w:sz w:val="21"/>
          <w:szCs w:val="21"/>
        </w:rPr>
        <w:t xml:space="preserve">Change the refund code</w:t>
      </w:r>
      <w:r>
        <w:rPr>
          <w:rFonts w:ascii="Georgia" w:cs="Georgia" w:eastAsia="Georgia" w:hAnsi="Georgia"/>
          <w:sz w:val="21"/>
          <w:szCs w:val="21"/>
        </w:rPr>
        <w:t xml:space="preserve"> so the service fee is returned on fault-based refunds</w:t>
      </w:r>
    </w:p>
    <w:p>
      <w:pPr>
        <w:pStyle w:val="ListParagraph"/>
        <w:numPr>
          <w:ilvl w:val="0"/>
          <w:numId w:val="1"/>
        </w:numPr>
        <w:spacing w:after="90" w:line="288"/>
      </w:pPr>
      <w:r>
        <w:rPr>
          <w:rFonts w:ascii="Georgia" w:cs="Georgia" w:eastAsia="Georgia" w:hAnsi="Georgia"/>
          <w:sz w:val="21"/>
          <w:szCs w:val="21"/>
        </w:rPr>
        <w:t xml:space="preserve">[ ] Carrier tracking integration, to replace artist-attested delivery confirmation</w:t>
      </w:r>
    </w:p>
    <w:p>
      <w:pPr>
        <w:pStyle w:val="ListParagraph"/>
        <w:numPr>
          <w:ilvl w:val="0"/>
          <w:numId w:val="1"/>
        </w:numPr>
        <w:spacing w:after="90" w:line="288"/>
      </w:pPr>
      <w:r>
        <w:rPr>
          <w:rFonts w:ascii="Georgia" w:cs="Georgia" w:eastAsia="Georgia" w:hAnsi="Georgia"/>
          <w:sz w:val="21"/>
          <w:szCs w:val="21"/>
        </w:rPr>
        <w:t xml:space="preserve">[ ] Add the AI-disclosure field to the listing form</w:t>
      </w:r>
    </w:p>
    <w:p>
      <w:pPr>
        <w:keepNext/>
        <w:spacing w:after="140" w:before="360"/>
      </w:pPr>
      <w:r>
        <w:rPr>
          <w:rFonts w:ascii="Georgia" w:cs="Georgia" w:eastAsia="Georgia" w:hAnsi="Georgia"/>
          <w:b/>
          <w:bCs/>
          <w:sz w:val="25"/>
          <w:szCs w:val="25"/>
        </w:rPr>
        <w:t xml:space="preserve">Implementation note</w:t>
      </w:r>
    </w:p>
    <w:p>
      <w:pPr>
        <w:spacing w:after="140" w:line="288"/>
        <w:jc w:val="left"/>
      </w:pPr>
      <w:r>
        <w:rPr>
          <w:rFonts w:ascii="Georgia" w:cs="Georgia" w:eastAsia="Georgia" w:hAnsi="Georgia"/>
          <w:sz w:val="21"/>
          <w:szCs w:val="21"/>
        </w:rPr>
        <w:t xml:space="preserve">These documents are not yet published to the site. Once counsel settles the text, each becomes a page under </w:t>
      </w:r>
      <w:r>
        <w:rPr>
          <w:rFonts w:ascii="Georgia" w:cs="Georgia" w:eastAsia="Georgia" w:hAnsi="Georgia"/>
          <w:sz w:val="21"/>
          <w:szCs w:val="21"/>
        </w:rPr>
        <w:t xml:space="preserve">src/app/(public)/</w:t>
      </w:r>
      <w:r>
        <w:rPr>
          <w:rFonts w:ascii="Georgia" w:cs="Georgia" w:eastAsia="Georgia" w:hAnsi="Georgia"/>
          <w:sz w:val="21"/>
          <w:szCs w:val="21"/>
        </w:rPr>
        <w:t xml:space="preserve">. Changing the </w:t>
      </w:r>
      <w:r>
        <w:rPr>
          <w:rFonts w:ascii="Georgia" w:cs="Georgia" w:eastAsia="Georgia" w:hAnsi="Georgia"/>
          <w:b/>
          <w:bCs/>
          <w:sz w:val="21"/>
          <w:szCs w:val="21"/>
        </w:rPr>
        <w:t xml:space="preserve">Artist Agreement</w:t>
      </w:r>
      <w:r>
        <w:rPr>
          <w:rFonts w:ascii="Georgia" w:cs="Georgia" w:eastAsia="Georgia" w:hAnsi="Georgia"/>
          <w:sz w:val="21"/>
          <w:szCs w:val="21"/>
        </w:rPr>
        <w:t xml:space="preserve"> additionally requires bumping </w:t>
      </w:r>
      <w:r>
        <w:rPr>
          <w:rFonts w:ascii="Georgia" w:cs="Georgia" w:eastAsia="Georgia" w:hAnsi="Georgia"/>
          <w:sz w:val="21"/>
          <w:szCs w:val="21"/>
        </w:rPr>
        <w:t xml:space="preserve">ARTIST_AGREEMENT_VERSION</w:t>
      </w:r>
      <w:r>
        <w:rPr>
          <w:rFonts w:ascii="Georgia" w:cs="Georgia" w:eastAsia="Georgia" w:hAnsi="Georgia"/>
          <w:sz w:val="21"/>
          <w:szCs w:val="21"/>
        </w:rPr>
        <w:t xml:space="preserve"> in </w:t>
      </w:r>
      <w:r>
        <w:rPr>
          <w:rFonts w:ascii="Georgia" w:cs="Georgia" w:eastAsia="Georgia" w:hAnsi="Georgia"/>
          <w:sz w:val="21"/>
          <w:szCs w:val="21"/>
        </w:rPr>
        <w:t xml:space="preserve">src/lib/agreement.ts</w:t>
      </w:r>
      <w:r>
        <w:rPr>
          <w:rFonts w:ascii="Georgia" w:cs="Georgia" w:eastAsia="Georgia" w:hAnsi="Georgia"/>
          <w:sz w:val="21"/>
          <w:szCs w:val="21"/>
        </w:rPr>
        <w:t xml:space="preserve">, which forces every existing artist to re-accept — the mechanism already exists and is tested.</w:t>
      </w:r>
    </w:p>
    <w:p>
      <w:pPr>
        <w:pBdr>
          <w:top w:val="single" w:color="C4CACB" w:sz="4" w:space="12"/>
        </w:pBdr>
        <w:spacing w:before="360"/>
      </w:pPr>
    </w:p>
    <w:p>
      <w:pPr>
        <w:spacing w:after="40" w:before="200"/>
      </w:pPr>
      <w:r>
        <w:rPr>
          <w:rFonts w:ascii="Georgia" w:cs="Georgia" w:eastAsia="Georgia" w:hAnsi="Georgia"/>
          <w:b/>
          <w:bCs/>
          <w:color w:val="3D4749"/>
          <w:sz w:val="18"/>
          <w:szCs w:val="18"/>
        </w:rPr>
        <w:t xml:space="preserve">Custom Canvas LLC</w:t>
      </w:r>
    </w:p>
    <w:p>
      <w:pPr>
        <w:spacing w:after="30"/>
      </w:pPr>
      <w:r>
        <w:rPr>
          <w:rFonts w:ascii="Georgia" w:cs="Georgia" w:eastAsia="Georgia" w:hAnsi="Georgia"/>
          <w:color w:val="4A5456"/>
          <w:sz w:val="18"/>
          <w:szCs w:val="18"/>
        </w:rPr>
        <w:t xml:space="preserve">3120 Southwest Freeway, Ste 101 #991985, Houston, Texas 77098</w:t>
      </w:r>
    </w:p>
    <w:p>
      <w:pPr>
        <w:spacing w:after="0"/>
      </w:pPr>
      <w:r>
        <w:rPr>
          <w:rFonts w:ascii="Georgia" w:cs="Georgia" w:eastAsia="Georgia" w:hAnsi="Georgia"/>
          <w:color w:val="4A5456"/>
          <w:sz w:val="18"/>
          <w:szCs w:val="18"/>
        </w:rPr>
        <w:t xml:space="preserve">support@customcanvas.shop  ·  customcanvas.shop</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DDE" w:sz="4" w:space="8"/>
      </w:pBdr>
      <w:tabs>
        <w:tab w:val="right" w:pos="9360"/>
      </w:tabs>
    </w:pPr>
    <w:r>
      <w:rPr>
        <w:rFonts w:ascii="Georgia" w:cs="Georgia" w:eastAsia="Georgia" w:hAnsi="Georgia"/>
        <w:color w:val="6E7B7D"/>
        <w:sz w:val="16"/>
        <w:szCs w:val="16"/>
      </w:rPr>
      <w:t xml:space="preserve">Custom Canvas LLC — Document Set Overview</w:t>
    </w:r>
    <w:r>
      <w:rPr>
        <w:rFonts w:ascii="Georgia" w:cs="Georgia" w:eastAsia="Georgia" w:hAnsi="Georgia"/>
        <w:sz w:val="16"/>
        <w:szCs w:val="16"/>
      </w:rPr>
      <w:t xml:space="preserve">		</w:t>
    </w:r>
    <w:r>
      <w:rPr>
        <w:rFonts w:ascii="Georgia" w:cs="Georgia" w:eastAsia="Georgia" w:hAnsi="Georgia"/>
        <w:color w:val="6E7B7D"/>
        <w:sz w:val="16"/>
        <w:szCs w:val="16"/>
      </w:rPr>
      <w:t xml:space="preserve">Page </w:t>
    </w:r>
    <w:r>
      <w:rPr>
        <w:rFonts w:ascii="Georgia" w:cs="Georgia" w:eastAsia="Georgia" w:hAnsi="Georgia"/>
        <w:color w:val="6E7B7D"/>
        <w:sz w:val="16"/>
        <w:szCs w:val="16"/>
      </w:rPr>
      <w:fldChar w:fldCharType="begin"/>
      <w:instrText xml:space="preserve">PAGE</w:instrText>
      <w:fldChar w:fldCharType="separate"/>
      <w:fldChar w:fldCharType="end"/>
    </w:r>
    <w:r>
      <w:rPr>
        <w:rFonts w:ascii="Georgia" w:cs="Georgia" w:eastAsia="Georgia" w:hAnsi="Georgia"/>
        <w:color w:val="6E7B7D"/>
        <w:sz w:val="16"/>
        <w:szCs w:val="16"/>
      </w:rPr>
      <w:t xml:space="preserve"> of </w:t>
    </w:r>
    <w:r>
      <w:rPr>
        <w:rFonts w:ascii="Georgia" w:cs="Georgia" w:eastAsia="Georgia" w:hAnsi="Georgia"/>
        <w:color w:val="6E7B7D"/>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2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2026-08-25T22:19:19.377Z</dcterms:created>
  <dcterms:modified xsi:type="dcterms:W3CDTF">2026-08-25T22:19:19.377Z</dcterms:modified>
</cp:coreProperties>
</file>

<file path=docProps/custom.xml><?xml version="1.0" encoding="utf-8"?>
<Properties xmlns="http://schemas.openxmlformats.org/officeDocument/2006/custom-properties" xmlns:vt="http://schemas.openxmlformats.org/officeDocument/2006/docPropsVTypes"/>
</file>