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 w:line="240" w:lineRule="auto"/>
      </w:pPr>
      <w:r>
        <w:drawing>
          <wp:inline distT="0" distB="0" distL="0" distR="0">
            <wp:extent cx="2552700" cy="45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552700" cy="457200"/>
                    </a:xfrm>
                    <a:prstGeom prst="rect">
                      <a:avLst/>
                    </a:prstGeom>
                  </pic:spPr>
                </pic:pic>
              </a:graphicData>
            </a:graphic>
          </wp:inline>
        </w:drawing>
      </w:r>
    </w:p>
    <w:p>
      <w:pPr>
        <w:spacing w:after="60" w:before="0"/>
      </w:pPr>
      <w:r>
        <w:rPr>
          <w:rFonts w:ascii="Calibri" w:cs="Calibri" w:eastAsia="Calibri" w:hAnsi="Calibri"/>
          <w:b/>
          <w:bCs/>
          <w:color w:val="E8704A"/>
          <w:spacing w:val="40"/>
          <w:sz w:val="17"/>
          <w:szCs w:val="17"/>
        </w:rPr>
        <w:t xml:space="preserve">CUSTOM CANVAS · INTERNAL</w:t>
      </w:r>
    </w:p>
    <w:p>
      <w:pPr>
        <w:spacing w:after="120" w:before="0"/>
      </w:pPr>
      <w:r>
        <w:rPr>
          <w:rFonts w:ascii="Georgia" w:cs="Georgia" w:eastAsia="Georgia" w:hAnsi="Georgia"/>
          <w:b/>
          <w:bCs/>
          <w:color w:val="2D2A26"/>
          <w:sz w:val="44"/>
          <w:szCs w:val="44"/>
        </w:rPr>
        <w:t xml:space="preserve">Document Set Overview</w:t>
      </w:r>
    </w:p>
    <w:p>
      <w:pPr>
        <w:pBdr>
          <w:bottom w:val="single" w:color="E8704A" w:sz="12" w:space="6"/>
        </w:pBdr>
        <w:spacing w:after="260" w:before="0"/>
      </w:pPr>
      <w:r>
        <w:rPr>
          <w:sz w:val="2"/>
          <w:szCs w:val="2"/>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100"/>
        <w:gridCol w:w="7260"/>
      </w:tblGrid>
      <w:tr>
        <w:tc>
          <w:tcPr>
            <w:tcW w:type="dxa" w:w="2100"/>
            <w:tcBorders>
              <w:top w:val="none" w:color="FFFFFF" w:sz="0"/>
              <w:left w:val="none" w:color="FFFFFF" w:sz="0"/>
              <w:bottom w:val="none" w:color="FFFFFF" w:sz="0"/>
              <w:right w:val="none" w:color="FFFFFF" w:sz="0"/>
            </w:tcBorders>
            <w:tcMar>
              <w:top w:type="dxa" w:w="70"/>
              <w:left w:type="dxa" w:w="0"/>
              <w:bottom w:type="dxa" w:w="70"/>
              <w:right w:type="dxa" w:w="140"/>
            </w:tcMar>
          </w:tcPr>
          <w:p>
            <w:r>
              <w:rPr>
                <w:rFonts w:ascii="Calibri" w:cs="Calibri" w:eastAsia="Calibri" w:hAnsi="Calibri"/>
                <w:b/>
                <w:bCs/>
                <w:color w:val="6B6560"/>
                <w:spacing w:val="20"/>
                <w:sz w:val="16"/>
                <w:szCs w:val="16"/>
              </w:rPr>
              <w:t xml:space="preserve">STATUS</w:t>
            </w:r>
          </w:p>
        </w:tc>
        <w:tc>
          <w:tcPr>
            <w:tcW w:type="dxa" w:w="7260"/>
            <w:tcBorders>
              <w:top w:val="none" w:color="FFFFFF" w:sz="0"/>
              <w:left w:val="none" w:color="FFFFFF" w:sz="0"/>
              <w:bottom w:val="none" w:color="FFFFFF" w:sz="0"/>
              <w:right w:val="none" w:color="FFFFFF" w:sz="0"/>
            </w:tcBorders>
            <w:tcMar>
              <w:top w:type="dxa" w:w="70"/>
              <w:left w:type="dxa" w:w="0"/>
              <w:bottom w:type="dxa" w:w="70"/>
              <w:right w:type="dxa" w:w="0"/>
            </w:tcMar>
          </w:tcPr>
          <w:p>
            <w:r>
              <w:rPr>
                <w:rFonts w:ascii="Calibri" w:cs="Calibri" w:eastAsia="Calibri" w:hAnsi="Calibri"/>
                <w:color w:val="2D2A26"/>
                <w:sz w:val="19"/>
                <w:szCs w:val="19"/>
              </w:rPr>
              <w:t xml:space="preserve">Index and change log for the drafts in this set.</w:t>
            </w:r>
          </w:p>
        </w:tc>
      </w:tr>
      <w:tr>
        <w:tc>
          <w:tcPr>
            <w:tcW w:type="dxa" w:w="2100"/>
            <w:tcBorders>
              <w:top w:val="none" w:color="FFFFFF" w:sz="0"/>
              <w:left w:val="none" w:color="FFFFFF" w:sz="0"/>
              <w:bottom w:val="none" w:color="FFFFFF" w:sz="0"/>
              <w:right w:val="none" w:color="FFFFFF" w:sz="0"/>
            </w:tcBorders>
            <w:tcMar>
              <w:top w:type="dxa" w:w="70"/>
              <w:left w:type="dxa" w:w="0"/>
              <w:bottom w:type="dxa" w:w="70"/>
              <w:right w:type="dxa" w:w="140"/>
            </w:tcMar>
          </w:tcPr>
          <w:p>
            <w:r>
              <w:rPr>
                <w:rFonts w:ascii="Calibri" w:cs="Calibri" w:eastAsia="Calibri" w:hAnsi="Calibri"/>
                <w:b/>
                <w:bCs/>
                <w:color w:val="6B6560"/>
                <w:spacing w:val="20"/>
                <w:sz w:val="16"/>
                <w:szCs w:val="16"/>
              </w:rPr>
              <w:t xml:space="preserve">AUDIENCE</w:t>
            </w:r>
          </w:p>
        </w:tc>
        <w:tc>
          <w:tcPr>
            <w:tcW w:type="dxa" w:w="7260"/>
            <w:tcBorders>
              <w:top w:val="none" w:color="FFFFFF" w:sz="0"/>
              <w:left w:val="none" w:color="FFFFFF" w:sz="0"/>
              <w:bottom w:val="none" w:color="FFFFFF" w:sz="0"/>
              <w:right w:val="none" w:color="FFFFFF" w:sz="0"/>
            </w:tcBorders>
            <w:tcMar>
              <w:top w:type="dxa" w:w="70"/>
              <w:left w:type="dxa" w:w="0"/>
              <w:bottom w:type="dxa" w:w="70"/>
              <w:right w:type="dxa" w:w="0"/>
            </w:tcMar>
          </w:tcPr>
          <w:p>
            <w:r>
              <w:rPr>
                <w:rFonts w:ascii="Calibri" w:cs="Calibri" w:eastAsia="Calibri" w:hAnsi="Calibri"/>
                <w:color w:val="2D2A26"/>
                <w:sz w:val="19"/>
                <w:szCs w:val="19"/>
              </w:rPr>
              <w:t xml:space="preserve">Counsel only</w:t>
            </w:r>
          </w:p>
        </w:tc>
      </w:tr>
      <w:tr>
        <w:tc>
          <w:tcPr>
            <w:tcW w:type="dxa" w:w="2100"/>
            <w:tcBorders>
              <w:top w:val="none" w:color="FFFFFF" w:sz="0"/>
              <w:left w:val="none" w:color="FFFFFF" w:sz="0"/>
              <w:bottom w:val="none" w:color="FFFFFF" w:sz="0"/>
              <w:right w:val="none" w:color="FFFFFF" w:sz="0"/>
            </w:tcBorders>
            <w:tcMar>
              <w:top w:type="dxa" w:w="70"/>
              <w:left w:type="dxa" w:w="0"/>
              <w:bottom w:type="dxa" w:w="70"/>
              <w:right w:type="dxa" w:w="140"/>
            </w:tcMar>
          </w:tcPr>
          <w:p>
            <w:r>
              <w:rPr>
                <w:rFonts w:ascii="Calibri" w:cs="Calibri" w:eastAsia="Calibri" w:hAnsi="Calibri"/>
                <w:b/>
                <w:bCs/>
                <w:color w:val="6B6560"/>
                <w:spacing w:val="20"/>
                <w:sz w:val="16"/>
                <w:szCs w:val="16"/>
              </w:rPr>
              <w:t xml:space="preserve">VERSION</w:t>
            </w:r>
          </w:p>
        </w:tc>
        <w:tc>
          <w:tcPr>
            <w:tcW w:type="dxa" w:w="7260"/>
            <w:tcBorders>
              <w:top w:val="none" w:color="FFFFFF" w:sz="0"/>
              <w:left w:val="none" w:color="FFFFFF" w:sz="0"/>
              <w:bottom w:val="none" w:color="FFFFFF" w:sz="0"/>
              <w:right w:val="none" w:color="FFFFFF" w:sz="0"/>
            </w:tcBorders>
            <w:tcMar>
              <w:top w:type="dxa" w:w="70"/>
              <w:left w:type="dxa" w:w="0"/>
              <w:bottom w:type="dxa" w:w="70"/>
              <w:right w:type="dxa" w:w="0"/>
            </w:tcMar>
          </w:tcPr>
          <w:p>
            <w:r>
              <w:rPr>
                <w:rFonts w:ascii="Calibri" w:cs="Calibri" w:eastAsia="Calibri" w:hAnsi="Calibri"/>
                <w:color w:val="2D2A26"/>
                <w:sz w:val="19"/>
                <w:szCs w:val="19"/>
              </w:rPr>
              <w:t xml:space="preserve">Rev. 2, 25 Aug 2026</w:t>
            </w:r>
          </w:p>
        </w:tc>
      </w:tr>
      <w:tr>
        <w:tc>
          <w:tcPr>
            <w:tcW w:type="dxa" w:w="2100"/>
            <w:tcBorders>
              <w:top w:val="none" w:color="FFFFFF" w:sz="0"/>
              <w:left w:val="none" w:color="FFFFFF" w:sz="0"/>
              <w:bottom w:val="none" w:color="FFFFFF" w:sz="0"/>
              <w:right w:val="none" w:color="FFFFFF" w:sz="0"/>
            </w:tcBorders>
            <w:tcMar>
              <w:top w:type="dxa" w:w="70"/>
              <w:left w:type="dxa" w:w="0"/>
              <w:bottom w:type="dxa" w:w="70"/>
              <w:right w:type="dxa" w:w="140"/>
            </w:tcMar>
          </w:tcPr>
          <w:p>
            <w:r>
              <w:rPr>
                <w:rFonts w:ascii="Calibri" w:cs="Calibri" w:eastAsia="Calibri" w:hAnsi="Calibri"/>
                <w:b/>
                <w:bCs/>
                <w:color w:val="6B6560"/>
                <w:spacing w:val="20"/>
                <w:sz w:val="16"/>
                <w:szCs w:val="16"/>
              </w:rPr>
              <w:t xml:space="preserve">PREPARED</w:t>
            </w:r>
          </w:p>
        </w:tc>
        <w:tc>
          <w:tcPr>
            <w:tcW w:type="dxa" w:w="7260"/>
            <w:tcBorders>
              <w:top w:val="none" w:color="FFFFFF" w:sz="0"/>
              <w:left w:val="none" w:color="FFFFFF" w:sz="0"/>
              <w:bottom w:val="none" w:color="FFFFFF" w:sz="0"/>
              <w:right w:val="none" w:color="FFFFFF" w:sz="0"/>
            </w:tcBorders>
            <w:tcMar>
              <w:top w:type="dxa" w:w="70"/>
              <w:left w:type="dxa" w:w="0"/>
              <w:bottom w:type="dxa" w:w="70"/>
              <w:right w:type="dxa" w:w="0"/>
            </w:tcMar>
          </w:tcPr>
          <w:p>
            <w:r>
              <w:rPr>
                <w:rFonts w:ascii="Calibri" w:cs="Calibri" w:eastAsia="Calibri" w:hAnsi="Calibri"/>
                <w:color w:val="2D2A26"/>
                <w:sz w:val="19"/>
                <w:szCs w:val="19"/>
              </w:rPr>
              <w:t xml:space="preserve">25 August 2026</w:t>
            </w:r>
          </w:p>
        </w:tc>
      </w:tr>
      <w:tr>
        <w:tc>
          <w:tcPr>
            <w:tcW w:type="dxa" w:w="2100"/>
            <w:tcBorders>
              <w:top w:val="none" w:color="FFFFFF" w:sz="0"/>
              <w:left w:val="none" w:color="FFFFFF" w:sz="0"/>
              <w:bottom w:val="none" w:color="FFFFFF" w:sz="0"/>
              <w:right w:val="none" w:color="FFFFFF" w:sz="0"/>
            </w:tcBorders>
            <w:tcMar>
              <w:top w:type="dxa" w:w="70"/>
              <w:left w:type="dxa" w:w="0"/>
              <w:bottom w:type="dxa" w:w="70"/>
              <w:right w:type="dxa" w:w="140"/>
            </w:tcMar>
          </w:tcPr>
          <w:p>
            <w:r>
              <w:rPr>
                <w:rFonts w:ascii="Calibri" w:cs="Calibri" w:eastAsia="Calibri" w:hAnsi="Calibri"/>
                <w:b/>
                <w:bCs/>
                <w:color w:val="6B6560"/>
                <w:spacing w:val="20"/>
                <w:sz w:val="16"/>
                <w:szCs w:val="16"/>
              </w:rPr>
              <w:t xml:space="preserve">ENTITY</w:t>
            </w:r>
          </w:p>
        </w:tc>
        <w:tc>
          <w:tcPr>
            <w:tcW w:type="dxa" w:w="7260"/>
            <w:tcBorders>
              <w:top w:val="none" w:color="FFFFFF" w:sz="0"/>
              <w:left w:val="none" w:color="FFFFFF" w:sz="0"/>
              <w:bottom w:val="none" w:color="FFFFFF" w:sz="0"/>
              <w:right w:val="none" w:color="FFFFFF" w:sz="0"/>
            </w:tcBorders>
            <w:tcMar>
              <w:top w:type="dxa" w:w="70"/>
              <w:left w:type="dxa" w:w="0"/>
              <w:bottom w:type="dxa" w:w="70"/>
              <w:right w:type="dxa" w:w="0"/>
            </w:tcMar>
          </w:tcPr>
          <w:p>
            <w:r>
              <w:rPr>
                <w:rFonts w:ascii="Calibri" w:cs="Calibri" w:eastAsia="Calibri" w:hAnsi="Calibri"/>
                <w:color w:val="2D2A26"/>
                <w:sz w:val="19"/>
                <w:szCs w:val="19"/>
              </w:rPr>
              <w:t xml:space="preserve">Custom Canvas LLC, a Texas limited liability company</w:t>
            </w:r>
          </w:p>
        </w:tc>
      </w:tr>
    </w:tbl>
    <w:p>
      <w:pPr>
        <w:pBdr>
          <w:top w:val="single" w:color="DED7CF" w:sz="6" w:space="8"/>
        </w:pBdr>
        <w:spacing w:after="320" w:before="300"/>
      </w:pPr>
      <w:r>
        <w:rPr>
          <w:rFonts w:ascii="Calibri" w:cs="Calibri" w:eastAsia="Calibri" w:hAnsi="Calibri"/>
          <w:i/>
          <w:iCs/>
          <w:color w:val="6B6560"/>
          <w:sz w:val="17"/>
          <w:szCs w:val="17"/>
        </w:rPr>
        <w:t xml:space="preserve">Prepared for review by counsel. Not legal advice, and not prepared by a lawyer.</w:t>
      </w:r>
    </w:p>
    <w:p>
      <w:pPr>
        <w:spacing w:after="170" w:before="0" w:line="276"/>
      </w:pPr>
      <w:r>
        <w:rPr>
          <w:rFonts w:ascii="Calibri" w:cs="Calibri" w:eastAsia="Calibri" w:hAnsi="Calibri"/>
          <w:b/>
          <w:bCs/>
          <w:color w:val="2D2A26"/>
          <w:sz w:val="21"/>
          <w:szCs w:val="21"/>
        </w:rPr>
        <w:t xml:space="preserve">All documents here are DRAFTS for counsel review. None is in force.</w:t>
      </w:r>
      <w:r>
        <w:rPr>
          <w:rFonts w:ascii="Calibri" w:cs="Calibri" w:eastAsia="Calibri" w:hAnsi="Calibri"/>
          <w:color w:val="2D2A26"/>
          <w:sz w:val="21"/>
          <w:szCs w:val="21"/>
        </w:rPr>
        <w:t xml:space="preserve"> Prepared 2026-08-25 from the production code, database schema and Stripe configuration, and revised after a content review on the same date. </w:t>
      </w:r>
      <w:r>
        <w:rPr>
          <w:rFonts w:ascii="Calibri" w:cs="Calibri" w:eastAsia="Calibri" w:hAnsi="Calibri"/>
          <w:b/>
          <w:bCs/>
          <w:color w:val="2D2A26"/>
          <w:sz w:val="21"/>
          <w:szCs w:val="21"/>
        </w:rPr>
        <w:t xml:space="preserve">This is not legal advice, and it was not prepared by a lawyer.</w:t>
      </w:r>
      <w:r>
        <w:rPr>
          <w:rFonts w:ascii="Calibri" w:cs="Calibri" w:eastAsia="Calibri" w:hAnsi="Calibri"/>
          <w:color w:val="2D2A26"/>
          <w:sz w:val="21"/>
          <w:szCs w:val="21"/>
        </w:rPr>
        <w:t xml:space="preserve"> No document here should be published without counsel's review.</w:t>
      </w:r>
    </w:p>
    <w:p>
      <w:pPr>
        <w:spacing w:after="170" w:before="0" w:line="276"/>
      </w:pPr>
      <w:r>
        <w:rPr>
          <w:rFonts w:ascii="Calibri" w:cs="Calibri" w:eastAsia="Calibri" w:hAnsi="Calibri"/>
          <w:b/>
          <w:bCs/>
          <w:color w:val="2D2A26"/>
          <w:sz w:val="21"/>
          <w:szCs w:val="21"/>
        </w:rPr>
        <w:t xml:space="preserve">Three of the changes in this revision describe behaviour the platform does not have yet</w:t>
      </w:r>
      <w:r>
        <w:rPr>
          <w:rFonts w:ascii="Calibri" w:cs="Calibri" w:eastAsia="Calibri" w:hAnsi="Calibri"/>
          <w:color w:val="2D2A26"/>
          <w:sz w:val="21"/>
          <w:szCs w:val="21"/>
        </w:rPr>
        <w:t xml:space="preserve"> and must not be published until the code matches: the buyer's cancellation right when the shipping window is missed, refunding the service fee on a fault-based refund, and the unilateral refund of an abandoned order. They are marked inline.</w:t>
      </w:r>
    </w:p>
    <w:p>
      <w:pPr>
        <w:pStyle w:val="Heading1"/>
        <w:keepNext/>
        <w:spacing w:after="130" w:before="380"/>
      </w:pPr>
      <w:r>
        <w:rPr>
          <w:rFonts w:ascii="Georgia" w:cs="Georgia" w:eastAsia="Georgia" w:hAnsi="Georgia"/>
          <w:b/>
          <w:bCs/>
          <w:color w:val="2D2A26"/>
          <w:sz w:val="27"/>
          <w:szCs w:val="27"/>
        </w:rPr>
        <w:t xml:space="preserve">Read this first</w:t>
      </w:r>
    </w:p>
    <w:p>
      <w:pPr>
        <w:spacing w:after="170" w:before="0" w:line="276"/>
      </w:pPr>
      <w:r>
        <w:rPr>
          <w:rFonts w:ascii="Calibri" w:cs="Calibri" w:eastAsia="Calibri" w:hAnsi="Calibri"/>
          <w:b/>
          <w:bCs/>
          <w:color w:val="2D2A26"/>
          <w:sz w:val="21"/>
          <w:szCs w:val="21"/>
        </w:rPr>
        <w:t xml:space="preserve">[00-COUNSEL-BRIEF.md](00-COUNSEL-BRIEF.md)</w:t>
      </w:r>
      <w:r>
        <w:rPr>
          <w:rFonts w:ascii="Calibri" w:cs="Calibri" w:eastAsia="Calibri" w:hAnsi="Calibri"/>
          <w:color w:val="2D2A26"/>
          <w:sz w:val="21"/>
          <w:szCs w:val="21"/>
        </w:rPr>
        <w:t xml:space="preserve"> — a factual description of how the platform actually works: the money flow, the fee formula, refunds, seller protection, tax posture, and every processor that touches user data. Counsel's drafting is only as correct as their understanding of the mechanics, and this is the part they cannot get from anywhere else. It ends with eight questions that need a ruling.</w:t>
      </w:r>
    </w:p>
    <w:p>
      <w:pPr>
        <w:pStyle w:val="Heading1"/>
        <w:keepNext/>
        <w:spacing w:after="130" w:before="380"/>
      </w:pPr>
      <w:r>
        <w:rPr>
          <w:rFonts w:ascii="Georgia" w:cs="Georgia" w:eastAsia="Georgia" w:hAnsi="Georgia"/>
          <w:b/>
          <w:bCs/>
          <w:color w:val="2D2A26"/>
          <w:sz w:val="27"/>
          <w:szCs w:val="27"/>
        </w:rPr>
        <w:t xml:space="preserve">The documents</w:t>
      </w:r>
    </w:p>
    <w:tbl>
      <w:tblPr>
        <w:tblW w:type="dxa" w:w="9360"/>
        <w:tblBorders>
          <w:top w:val="single" w:color="DED7CF" w:sz="6"/>
          <w:left w:val="none" w:color="FFFFFF" w:sz="0"/>
          <w:bottom w:val="single" w:color="DED7CF" w:sz="6"/>
          <w:right w:val="none" w:color="FFFFFF" w:sz="0"/>
          <w:insideH w:val="single" w:color="DED7CF" w:sz="4"/>
          <w:insideV w:val="none" w:color="FFFFFF" w:sz="0"/>
        </w:tblBorders>
      </w:tblPr>
      <w:tblGrid>
        <w:gridCol w:w="5697"/>
        <w:gridCol w:w="2849"/>
        <w:gridCol w:w="814"/>
      </w:tblGrid>
      <w:tr>
        <w:trPr>
          <w:tblHeader/>
        </w:trPr>
        <w:tc>
          <w:tcPr>
            <w:tcW w:type="dxa" w:w="5697"/>
            <w:shd w:fill="F6F2ED" w:color="auto" w:val="clear"/>
            <w:tcMar>
              <w:top w:type="dxa" w:w="90"/>
              <w:left w:type="dxa" w:w="130"/>
              <w:bottom w:type="dxa" w:w="90"/>
              <w:right w:type="dxa" w:w="130"/>
            </w:tcMar>
          </w:tcPr>
          <w:p>
            <w:pPr>
              <w:spacing w:after="0" w:before="0" w:line="252"/>
            </w:pPr>
            <w:r>
              <w:rPr>
                <w:rFonts w:ascii="Calibri" w:cs="Calibri" w:eastAsia="Calibri" w:hAnsi="Calibri"/>
                <w:b/>
                <w:bCs/>
                <w:color w:val="2D2A26"/>
                <w:sz w:val="19"/>
                <w:szCs w:val="19"/>
              </w:rPr>
              <w:t xml:space="preserve">Document</w:t>
            </w:r>
          </w:p>
        </w:tc>
        <w:tc>
          <w:tcPr>
            <w:tcW w:type="dxa" w:w="2849"/>
            <w:shd w:fill="F6F2ED" w:color="auto" w:val="clear"/>
            <w:tcMar>
              <w:top w:type="dxa" w:w="90"/>
              <w:left w:type="dxa" w:w="130"/>
              <w:bottom w:type="dxa" w:w="90"/>
              <w:right w:type="dxa" w:w="130"/>
            </w:tcMar>
          </w:tcPr>
          <w:p>
            <w:pPr>
              <w:spacing w:after="0" w:before="0" w:line="252"/>
            </w:pPr>
            <w:r>
              <w:rPr>
                <w:rFonts w:ascii="Calibri" w:cs="Calibri" w:eastAsia="Calibri" w:hAnsi="Calibri"/>
                <w:b/>
                <w:bCs/>
                <w:color w:val="2D2A26"/>
                <w:sz w:val="19"/>
                <w:szCs w:val="19"/>
              </w:rPr>
              <w:t xml:space="preserve">Status</w:t>
            </w:r>
          </w:p>
        </w:tc>
        <w:tc>
          <w:tcPr>
            <w:tcW w:type="dxa" w:w="814"/>
            <w:shd w:fill="F6F2ED" w:color="auto" w:val="clear"/>
            <w:tcMar>
              <w:top w:type="dxa" w:w="90"/>
              <w:left w:type="dxa" w:w="130"/>
              <w:bottom w:type="dxa" w:w="90"/>
              <w:right w:type="dxa" w:w="130"/>
            </w:tcMar>
          </w:tcPr>
          <w:p>
            <w:pPr>
              <w:spacing w:after="0" w:before="0" w:line="252"/>
            </w:pPr>
            <w:r>
              <w:rPr>
                <w:rFonts w:ascii="Calibri" w:cs="Calibri" w:eastAsia="Calibri" w:hAnsi="Calibri"/>
                <w:b/>
                <w:bCs/>
                <w:color w:val="2D2A26"/>
                <w:sz w:val="19"/>
                <w:szCs w:val="19"/>
              </w:rPr>
              <w:t xml:space="preserve">Audience</w:t>
            </w:r>
          </w:p>
        </w:tc>
      </w:tr>
      <w:tr>
        <w:tc>
          <w:tcPr>
            <w:tcW w:type="dxa" w:w="5697"/>
            <w:tcMar>
              <w:top w:type="dxa" w:w="90"/>
              <w:left w:type="dxa" w:w="130"/>
              <w:bottom w:type="dxa" w:w="90"/>
              <w:right w:type="dxa" w:w="130"/>
            </w:tcMar>
          </w:tcPr>
          <w:p>
            <w:pPr>
              <w:spacing w:after="0" w:before="0" w:line="252"/>
            </w:pPr>
            <w:r>
              <w:rPr>
                <w:rFonts w:ascii="Calibri" w:cs="Calibri" w:eastAsia="Calibri" w:hAnsi="Calibri"/>
                <w:color w:val="2D2A26"/>
                <w:sz w:val="19"/>
                <w:szCs w:val="19"/>
              </w:rPr>
              <w:t xml:space="preserve">[artist-agreement.md](artist-agreement.md)</w:t>
            </w:r>
          </w:p>
        </w:tc>
        <w:tc>
          <w:tcPr>
            <w:tcW w:type="dxa" w:w="2849"/>
            <w:tcMar>
              <w:top w:type="dxa" w:w="90"/>
              <w:left w:type="dxa" w:w="130"/>
              <w:bottom w:type="dxa" w:w="90"/>
              <w:right w:type="dxa" w:w="130"/>
            </w:tcMar>
          </w:tcPr>
          <w:p>
            <w:pPr>
              <w:spacing w:after="0" w:before="0" w:line="252"/>
            </w:pPr>
            <w:r>
              <w:rPr>
                <w:rFonts w:ascii="Calibri" w:cs="Calibri" w:eastAsia="Calibri" w:hAnsi="Calibri"/>
                <w:color w:val="2D2A26"/>
                <w:sz w:val="19"/>
                <w:szCs w:val="19"/>
              </w:rPr>
              <w:t xml:space="preserve">Rewrite of live v1.0</w:t>
            </w:r>
          </w:p>
        </w:tc>
        <w:tc>
          <w:tcPr>
            <w:tcW w:type="dxa" w:w="814"/>
            <w:tcMar>
              <w:top w:type="dxa" w:w="90"/>
              <w:left w:type="dxa" w:w="130"/>
              <w:bottom w:type="dxa" w:w="90"/>
              <w:right w:type="dxa" w:w="130"/>
            </w:tcMar>
          </w:tcPr>
          <w:p>
            <w:pPr>
              <w:spacing w:after="0" w:before="0" w:line="252"/>
            </w:pPr>
            <w:r>
              <w:rPr>
                <w:rFonts w:ascii="Calibri" w:cs="Calibri" w:eastAsia="Calibri" w:hAnsi="Calibri"/>
                <w:color w:val="2D2A26"/>
                <w:sz w:val="19"/>
                <w:szCs w:val="19"/>
              </w:rPr>
              <w:t xml:space="preserve">Artists</w:t>
            </w:r>
          </w:p>
        </w:tc>
      </w:tr>
      <w:tr>
        <w:tc>
          <w:tcPr>
            <w:tcW w:type="dxa" w:w="5697"/>
            <w:tcMar>
              <w:top w:type="dxa" w:w="90"/>
              <w:left w:type="dxa" w:w="130"/>
              <w:bottom w:type="dxa" w:w="90"/>
              <w:right w:type="dxa" w:w="130"/>
            </w:tcMar>
          </w:tcPr>
          <w:p>
            <w:pPr>
              <w:spacing w:after="0" w:before="0" w:line="252"/>
            </w:pPr>
            <w:r>
              <w:rPr>
                <w:rFonts w:ascii="Calibri" w:cs="Calibri" w:eastAsia="Calibri" w:hAnsi="Calibri"/>
                <w:color w:val="2D2A26"/>
                <w:sz w:val="19"/>
                <w:szCs w:val="19"/>
              </w:rPr>
              <w:t xml:space="preserve">[terms-of-service.md](terms-of-service.md)</w:t>
            </w:r>
          </w:p>
        </w:tc>
        <w:tc>
          <w:tcPr>
            <w:tcW w:type="dxa" w:w="2849"/>
            <w:tcMar>
              <w:top w:type="dxa" w:w="90"/>
              <w:left w:type="dxa" w:w="130"/>
              <w:bottom w:type="dxa" w:w="90"/>
              <w:right w:type="dxa" w:w="130"/>
            </w:tcMar>
          </w:tcPr>
          <w:p>
            <w:pPr>
              <w:spacing w:after="0" w:before="0" w:line="252"/>
            </w:pPr>
            <w:r>
              <w:rPr>
                <w:rFonts w:ascii="Calibri" w:cs="Calibri" w:eastAsia="Calibri" w:hAnsi="Calibri"/>
                <w:color w:val="2D2A26"/>
                <w:sz w:val="19"/>
                <w:szCs w:val="19"/>
              </w:rPr>
              <w:t xml:space="preserve">Split from existing Terms</w:t>
            </w:r>
          </w:p>
        </w:tc>
        <w:tc>
          <w:tcPr>
            <w:tcW w:type="dxa" w:w="814"/>
            <w:tcMar>
              <w:top w:type="dxa" w:w="90"/>
              <w:left w:type="dxa" w:w="130"/>
              <w:bottom w:type="dxa" w:w="90"/>
              <w:right w:type="dxa" w:w="130"/>
            </w:tcMar>
          </w:tcPr>
          <w:p>
            <w:pPr>
              <w:spacing w:after="0" w:before="0" w:line="252"/>
            </w:pPr>
            <w:r>
              <w:rPr>
                <w:rFonts w:ascii="Calibri" w:cs="Calibri" w:eastAsia="Calibri" w:hAnsi="Calibri"/>
                <w:color w:val="2D2A26"/>
                <w:sz w:val="19"/>
                <w:szCs w:val="19"/>
              </w:rPr>
              <w:t xml:space="preserve">Everyone</w:t>
            </w:r>
          </w:p>
        </w:tc>
      </w:tr>
      <w:tr>
        <w:tc>
          <w:tcPr>
            <w:tcW w:type="dxa" w:w="5697"/>
            <w:tcMar>
              <w:top w:type="dxa" w:w="90"/>
              <w:left w:type="dxa" w:w="130"/>
              <w:bottom w:type="dxa" w:w="90"/>
              <w:right w:type="dxa" w:w="130"/>
            </w:tcMar>
          </w:tcPr>
          <w:p>
            <w:pPr>
              <w:spacing w:after="0" w:before="0" w:line="252"/>
            </w:pPr>
            <w:r>
              <w:rPr>
                <w:rFonts w:ascii="Calibri" w:cs="Calibri" w:eastAsia="Calibri" w:hAnsi="Calibri"/>
                <w:color w:val="2D2A26"/>
                <w:sz w:val="19"/>
                <w:szCs w:val="19"/>
              </w:rPr>
              <w:t xml:space="preserve">[terms-of-sale.md](terms-of-sale.md)</w:t>
            </w:r>
          </w:p>
        </w:tc>
        <w:tc>
          <w:tcPr>
            <w:tcW w:type="dxa" w:w="2849"/>
            <w:tcMar>
              <w:top w:type="dxa" w:w="90"/>
              <w:left w:type="dxa" w:w="130"/>
              <w:bottom w:type="dxa" w:w="90"/>
              <w:right w:type="dxa" w:w="130"/>
            </w:tcMar>
          </w:tcPr>
          <w:p>
            <w:pPr>
              <w:spacing w:after="0" w:before="0" w:line="252"/>
            </w:pPr>
            <w:r>
              <w:rPr>
                <w:rFonts w:ascii="Calibri" w:cs="Calibri" w:eastAsia="Calibri" w:hAnsi="Calibri"/>
                <w:color w:val="2D2A26"/>
                <w:sz w:val="19"/>
                <w:szCs w:val="19"/>
              </w:rPr>
              <w:t xml:space="preserve">Split from existing Terms</w:t>
            </w:r>
          </w:p>
        </w:tc>
        <w:tc>
          <w:tcPr>
            <w:tcW w:type="dxa" w:w="814"/>
            <w:tcMar>
              <w:top w:type="dxa" w:w="90"/>
              <w:left w:type="dxa" w:w="130"/>
              <w:bottom w:type="dxa" w:w="90"/>
              <w:right w:type="dxa" w:w="130"/>
            </w:tcMar>
          </w:tcPr>
          <w:p>
            <w:pPr>
              <w:spacing w:after="0" w:before="0" w:line="252"/>
            </w:pPr>
            <w:r>
              <w:rPr>
                <w:rFonts w:ascii="Calibri" w:cs="Calibri" w:eastAsia="Calibri" w:hAnsi="Calibri"/>
                <w:color w:val="2D2A26"/>
                <w:sz w:val="19"/>
                <w:szCs w:val="19"/>
              </w:rPr>
              <w:t xml:space="preserve">Buyers</w:t>
            </w:r>
          </w:p>
        </w:tc>
      </w:tr>
      <w:tr>
        <w:tc>
          <w:tcPr>
            <w:tcW w:type="dxa" w:w="5697"/>
            <w:tcMar>
              <w:top w:type="dxa" w:w="90"/>
              <w:left w:type="dxa" w:w="130"/>
              <w:bottom w:type="dxa" w:w="90"/>
              <w:right w:type="dxa" w:w="130"/>
            </w:tcMar>
          </w:tcPr>
          <w:p>
            <w:pPr>
              <w:spacing w:after="0" w:before="0" w:line="252"/>
            </w:pPr>
            <w:r>
              <w:rPr>
                <w:rFonts w:ascii="Calibri" w:cs="Calibri" w:eastAsia="Calibri" w:hAnsi="Calibri"/>
                <w:color w:val="2D2A26"/>
                <w:sz w:val="19"/>
                <w:szCs w:val="19"/>
              </w:rPr>
              <w:t xml:space="preserve">[privacy-policy.md](privacy-policy.md)</w:t>
            </w:r>
          </w:p>
        </w:tc>
        <w:tc>
          <w:tcPr>
            <w:tcW w:type="dxa" w:w="2849"/>
            <w:tcMar>
              <w:top w:type="dxa" w:w="90"/>
              <w:left w:type="dxa" w:w="130"/>
              <w:bottom w:type="dxa" w:w="90"/>
              <w:right w:type="dxa" w:w="130"/>
            </w:tcMar>
          </w:tcPr>
          <w:p>
            <w:pPr>
              <w:spacing w:after="0" w:before="0" w:line="252"/>
            </w:pPr>
            <w:r>
              <w:rPr>
                <w:rFonts w:ascii="Calibri" w:cs="Calibri" w:eastAsia="Calibri" w:hAnsi="Calibri"/>
                <w:color w:val="2D2A26"/>
                <w:sz w:val="19"/>
                <w:szCs w:val="19"/>
              </w:rPr>
              <w:t xml:space="preserve">Rewrite of live version</w:t>
            </w:r>
          </w:p>
        </w:tc>
        <w:tc>
          <w:tcPr>
            <w:tcW w:type="dxa" w:w="814"/>
            <w:tcMar>
              <w:top w:type="dxa" w:w="90"/>
              <w:left w:type="dxa" w:w="130"/>
              <w:bottom w:type="dxa" w:w="90"/>
              <w:right w:type="dxa" w:w="130"/>
            </w:tcMar>
          </w:tcPr>
          <w:p>
            <w:pPr>
              <w:spacing w:after="0" w:before="0" w:line="252"/>
            </w:pPr>
            <w:r>
              <w:rPr>
                <w:rFonts w:ascii="Calibri" w:cs="Calibri" w:eastAsia="Calibri" w:hAnsi="Calibri"/>
                <w:color w:val="2D2A26"/>
                <w:sz w:val="19"/>
                <w:szCs w:val="19"/>
              </w:rPr>
              <w:t xml:space="preserve">Everyone</w:t>
            </w:r>
          </w:p>
        </w:tc>
      </w:tr>
      <w:tr>
        <w:tc>
          <w:tcPr>
            <w:tcW w:type="dxa" w:w="5697"/>
            <w:tcMar>
              <w:top w:type="dxa" w:w="90"/>
              <w:left w:type="dxa" w:w="130"/>
              <w:bottom w:type="dxa" w:w="90"/>
              <w:right w:type="dxa" w:w="130"/>
            </w:tcMar>
          </w:tcPr>
          <w:p>
            <w:pPr>
              <w:spacing w:after="0" w:before="0" w:line="252"/>
            </w:pPr>
            <w:r>
              <w:rPr>
                <w:rFonts w:ascii="Calibri" w:cs="Calibri" w:eastAsia="Calibri" w:hAnsi="Calibri"/>
                <w:color w:val="2D2A26"/>
                <w:sz w:val="19"/>
                <w:szCs w:val="19"/>
              </w:rPr>
              <w:t xml:space="preserve">[cookie-policy.md](cookie-policy.md)</w:t>
            </w:r>
          </w:p>
        </w:tc>
        <w:tc>
          <w:tcPr>
            <w:tcW w:type="dxa" w:w="2849"/>
            <w:tcMar>
              <w:top w:type="dxa" w:w="90"/>
              <w:left w:type="dxa" w:w="130"/>
              <w:bottom w:type="dxa" w:w="90"/>
              <w:right w:type="dxa" w:w="130"/>
            </w:tcMar>
          </w:tcPr>
          <w:p>
            <w:pPr>
              <w:spacing w:after="0" w:before="0" w:line="252"/>
            </w:pPr>
            <w:r>
              <w:rPr>
                <w:rFonts w:ascii="Calibri" w:cs="Calibri" w:eastAsia="Calibri" w:hAnsi="Calibri"/>
                <w:color w:val="2D2A26"/>
                <w:sz w:val="19"/>
                <w:szCs w:val="19"/>
              </w:rPr>
              <w:t xml:space="preserve">New</w:t>
            </w:r>
          </w:p>
        </w:tc>
        <w:tc>
          <w:tcPr>
            <w:tcW w:type="dxa" w:w="814"/>
            <w:tcMar>
              <w:top w:type="dxa" w:w="90"/>
              <w:left w:type="dxa" w:w="130"/>
              <w:bottom w:type="dxa" w:w="90"/>
              <w:right w:type="dxa" w:w="130"/>
            </w:tcMar>
          </w:tcPr>
          <w:p>
            <w:pPr>
              <w:spacing w:after="0" w:before="0" w:line="252"/>
            </w:pPr>
            <w:r>
              <w:rPr>
                <w:rFonts w:ascii="Calibri" w:cs="Calibri" w:eastAsia="Calibri" w:hAnsi="Calibri"/>
                <w:color w:val="2D2A26"/>
                <w:sz w:val="19"/>
                <w:szCs w:val="19"/>
              </w:rPr>
              <w:t xml:space="preserve">Everyone</w:t>
            </w:r>
          </w:p>
        </w:tc>
      </w:tr>
      <w:tr>
        <w:tc>
          <w:tcPr>
            <w:tcW w:type="dxa" w:w="5697"/>
            <w:tcMar>
              <w:top w:type="dxa" w:w="90"/>
              <w:left w:type="dxa" w:w="130"/>
              <w:bottom w:type="dxa" w:w="90"/>
              <w:right w:type="dxa" w:w="130"/>
            </w:tcMar>
          </w:tcPr>
          <w:p>
            <w:pPr>
              <w:spacing w:after="0" w:before="0" w:line="252"/>
            </w:pPr>
            <w:r>
              <w:rPr>
                <w:rFonts w:ascii="Calibri" w:cs="Calibri" w:eastAsia="Calibri" w:hAnsi="Calibri"/>
                <w:color w:val="2D2A26"/>
                <w:sz w:val="19"/>
                <w:szCs w:val="19"/>
              </w:rPr>
              <w:t xml:space="preserve">[dmca-policy.md](dmca-policy.md)</w:t>
            </w:r>
          </w:p>
        </w:tc>
        <w:tc>
          <w:tcPr>
            <w:tcW w:type="dxa" w:w="2849"/>
            <w:tcMar>
              <w:top w:type="dxa" w:w="90"/>
              <w:left w:type="dxa" w:w="130"/>
              <w:bottom w:type="dxa" w:w="90"/>
              <w:right w:type="dxa" w:w="130"/>
            </w:tcMar>
          </w:tcPr>
          <w:p>
            <w:pPr>
              <w:spacing w:after="0" w:before="0" w:line="252"/>
            </w:pPr>
            <w:r>
              <w:rPr>
                <w:rFonts w:ascii="Calibri" w:cs="Calibri" w:eastAsia="Calibri" w:hAnsi="Calibri"/>
                <w:b/>
                <w:bCs/>
                <w:color w:val="2D2A26"/>
                <w:sz w:val="19"/>
                <w:szCs w:val="19"/>
              </w:rPr>
              <w:t xml:space="preserve">New — blocks safe harbor</w:t>
            </w:r>
          </w:p>
        </w:tc>
        <w:tc>
          <w:tcPr>
            <w:tcW w:type="dxa" w:w="814"/>
            <w:tcMar>
              <w:top w:type="dxa" w:w="90"/>
              <w:left w:type="dxa" w:w="130"/>
              <w:bottom w:type="dxa" w:w="90"/>
              <w:right w:type="dxa" w:w="130"/>
            </w:tcMar>
          </w:tcPr>
          <w:p>
            <w:pPr>
              <w:spacing w:after="0" w:before="0" w:line="252"/>
            </w:pPr>
            <w:r>
              <w:rPr>
                <w:rFonts w:ascii="Calibri" w:cs="Calibri" w:eastAsia="Calibri" w:hAnsi="Calibri"/>
                <w:color w:val="2D2A26"/>
                <w:sz w:val="19"/>
                <w:szCs w:val="19"/>
              </w:rPr>
              <w:t xml:space="preserve">Everyone</w:t>
            </w:r>
          </w:p>
        </w:tc>
      </w:tr>
      <w:tr>
        <w:tc>
          <w:tcPr>
            <w:tcW w:type="dxa" w:w="5697"/>
            <w:tcMar>
              <w:top w:type="dxa" w:w="90"/>
              <w:left w:type="dxa" w:w="130"/>
              <w:bottom w:type="dxa" w:w="90"/>
              <w:right w:type="dxa" w:w="130"/>
            </w:tcMar>
          </w:tcPr>
          <w:p>
            <w:pPr>
              <w:spacing w:after="0" w:before="0" w:line="252"/>
            </w:pPr>
            <w:r>
              <w:rPr>
                <w:rFonts w:ascii="Calibri" w:cs="Calibri" w:eastAsia="Calibri" w:hAnsi="Calibri"/>
                <w:color w:val="2D2A26"/>
                <w:sz w:val="19"/>
                <w:szCs w:val="19"/>
              </w:rPr>
              <w:t xml:space="preserve">[prohibited-items.md](prohibited-items.md)</w:t>
            </w:r>
          </w:p>
        </w:tc>
        <w:tc>
          <w:tcPr>
            <w:tcW w:type="dxa" w:w="2849"/>
            <w:tcMar>
              <w:top w:type="dxa" w:w="90"/>
              <w:left w:type="dxa" w:w="130"/>
              <w:bottom w:type="dxa" w:w="90"/>
              <w:right w:type="dxa" w:w="130"/>
            </w:tcMar>
          </w:tcPr>
          <w:p>
            <w:pPr>
              <w:spacing w:after="0" w:before="0" w:line="252"/>
            </w:pPr>
            <w:r>
              <w:rPr>
                <w:rFonts w:ascii="Calibri" w:cs="Calibri" w:eastAsia="Calibri" w:hAnsi="Calibri"/>
                <w:color w:val="2D2A26"/>
                <w:sz w:val="19"/>
                <w:szCs w:val="19"/>
              </w:rPr>
              <w:t xml:space="preserve">New</w:t>
            </w:r>
          </w:p>
        </w:tc>
        <w:tc>
          <w:tcPr>
            <w:tcW w:type="dxa" w:w="814"/>
            <w:tcMar>
              <w:top w:type="dxa" w:w="90"/>
              <w:left w:type="dxa" w:w="130"/>
              <w:bottom w:type="dxa" w:w="90"/>
              <w:right w:type="dxa" w:w="130"/>
            </w:tcMar>
          </w:tcPr>
          <w:p>
            <w:pPr>
              <w:spacing w:after="0" w:before="0" w:line="252"/>
            </w:pPr>
            <w:r>
              <w:rPr>
                <w:rFonts w:ascii="Calibri" w:cs="Calibri" w:eastAsia="Calibri" w:hAnsi="Calibri"/>
                <w:color w:val="2D2A26"/>
                <w:sz w:val="19"/>
                <w:szCs w:val="19"/>
              </w:rPr>
              <w:t xml:space="preserve">Artists</w:t>
            </w:r>
          </w:p>
        </w:tc>
      </w:tr>
      <w:tr>
        <w:tc>
          <w:tcPr>
            <w:tcW w:type="dxa" w:w="5697"/>
            <w:tcMar>
              <w:top w:type="dxa" w:w="90"/>
              <w:left w:type="dxa" w:w="130"/>
              <w:bottom w:type="dxa" w:w="90"/>
              <w:right w:type="dxa" w:w="130"/>
            </w:tcMar>
          </w:tcPr>
          <w:p>
            <w:pPr>
              <w:spacing w:after="0" w:before="0" w:line="252"/>
            </w:pPr>
            <w:r>
              <w:rPr>
                <w:rFonts w:ascii="Calibri" w:cs="Calibri" w:eastAsia="Calibri" w:hAnsi="Calibri"/>
                <w:color w:val="2D2A26"/>
                <w:sz w:val="19"/>
                <w:szCs w:val="19"/>
              </w:rPr>
              <w:t xml:space="preserve">[authenticity-provenance.md](authenticity-provenance.md)</w:t>
            </w:r>
          </w:p>
        </w:tc>
        <w:tc>
          <w:tcPr>
            <w:tcW w:type="dxa" w:w="2849"/>
            <w:tcMar>
              <w:top w:type="dxa" w:w="90"/>
              <w:left w:type="dxa" w:w="130"/>
              <w:bottom w:type="dxa" w:w="90"/>
              <w:right w:type="dxa" w:w="130"/>
            </w:tcMar>
          </w:tcPr>
          <w:p>
            <w:pPr>
              <w:spacing w:after="0" w:before="0" w:line="252"/>
            </w:pPr>
            <w:r>
              <w:rPr>
                <w:rFonts w:ascii="Calibri" w:cs="Calibri" w:eastAsia="Calibri" w:hAnsi="Calibri"/>
                <w:color w:val="2D2A26"/>
                <w:sz w:val="19"/>
                <w:szCs w:val="19"/>
              </w:rPr>
              <w:t xml:space="preserve">New</w:t>
            </w:r>
          </w:p>
        </w:tc>
        <w:tc>
          <w:tcPr>
            <w:tcW w:type="dxa" w:w="814"/>
            <w:tcMar>
              <w:top w:type="dxa" w:w="90"/>
              <w:left w:type="dxa" w:w="130"/>
              <w:bottom w:type="dxa" w:w="90"/>
              <w:right w:type="dxa" w:w="130"/>
            </w:tcMar>
          </w:tcPr>
          <w:p>
            <w:pPr>
              <w:spacing w:after="0" w:before="0" w:line="252"/>
            </w:pPr>
            <w:r>
              <w:rPr>
                <w:rFonts w:ascii="Calibri" w:cs="Calibri" w:eastAsia="Calibri" w:hAnsi="Calibri"/>
                <w:color w:val="2D2A26"/>
                <w:sz w:val="19"/>
                <w:szCs w:val="19"/>
              </w:rPr>
              <w:t xml:space="preserve">Both</w:t>
            </w:r>
          </w:p>
        </w:tc>
      </w:tr>
      <w:tr>
        <w:tc>
          <w:tcPr>
            <w:tcW w:type="dxa" w:w="5697"/>
            <w:tcMar>
              <w:top w:type="dxa" w:w="90"/>
              <w:left w:type="dxa" w:w="130"/>
              <w:bottom w:type="dxa" w:w="90"/>
              <w:right w:type="dxa" w:w="130"/>
            </w:tcMar>
          </w:tcPr>
          <w:p>
            <w:pPr>
              <w:spacing w:after="0" w:before="0" w:line="252"/>
            </w:pPr>
            <w:r>
              <w:rPr>
                <w:rFonts w:ascii="Calibri" w:cs="Calibri" w:eastAsia="Calibri" w:hAnsi="Calibri"/>
                <w:color w:val="2D2A26"/>
                <w:sz w:val="19"/>
                <w:szCs w:val="19"/>
              </w:rPr>
              <w:t xml:space="preserve">[seller-protection.md](seller-protection.md)</w:t>
            </w:r>
          </w:p>
        </w:tc>
        <w:tc>
          <w:tcPr>
            <w:tcW w:type="dxa" w:w="2849"/>
            <w:tcMar>
              <w:top w:type="dxa" w:w="90"/>
              <w:left w:type="dxa" w:w="130"/>
              <w:bottom w:type="dxa" w:w="90"/>
              <w:right w:type="dxa" w:w="130"/>
            </w:tcMar>
          </w:tcPr>
          <w:p>
            <w:pPr>
              <w:spacing w:after="0" w:before="0" w:line="252"/>
            </w:pPr>
            <w:r>
              <w:rPr>
                <w:rFonts w:ascii="Calibri" w:cs="Calibri" w:eastAsia="Calibri" w:hAnsi="Calibri"/>
                <w:color w:val="2D2A26"/>
                <w:sz w:val="19"/>
                <w:szCs w:val="19"/>
              </w:rPr>
              <w:t xml:space="preserve">New — system is already live</w:t>
            </w:r>
          </w:p>
        </w:tc>
        <w:tc>
          <w:tcPr>
            <w:tcW w:type="dxa" w:w="814"/>
            <w:tcMar>
              <w:top w:type="dxa" w:w="90"/>
              <w:left w:type="dxa" w:w="130"/>
              <w:bottom w:type="dxa" w:w="90"/>
              <w:right w:type="dxa" w:w="130"/>
            </w:tcMar>
          </w:tcPr>
          <w:p>
            <w:pPr>
              <w:spacing w:after="0" w:before="0" w:line="252"/>
            </w:pPr>
            <w:r>
              <w:rPr>
                <w:rFonts w:ascii="Calibri" w:cs="Calibri" w:eastAsia="Calibri" w:hAnsi="Calibri"/>
                <w:color w:val="2D2A26"/>
                <w:sz w:val="19"/>
                <w:szCs w:val="19"/>
              </w:rPr>
              <w:t xml:space="preserve">Artists</w:t>
            </w:r>
          </w:p>
        </w:tc>
      </w:tr>
      <w:tr>
        <w:tc>
          <w:tcPr>
            <w:tcW w:type="dxa" w:w="5697"/>
            <w:tcMar>
              <w:top w:type="dxa" w:w="90"/>
              <w:left w:type="dxa" w:w="130"/>
              <w:bottom w:type="dxa" w:w="90"/>
              <w:right w:type="dxa" w:w="130"/>
            </w:tcMar>
          </w:tcPr>
          <w:p>
            <w:pPr>
              <w:spacing w:after="0" w:before="0" w:line="252"/>
            </w:pPr>
            <w:r>
              <w:rPr>
                <w:rFonts w:ascii="Calibri" w:cs="Calibri" w:eastAsia="Calibri" w:hAnsi="Calibri"/>
                <w:color w:val="2D2A26"/>
                <w:sz w:val="19"/>
                <w:szCs w:val="19"/>
              </w:rPr>
              <w:t xml:space="preserve">[returns-refunds.md](returns-refunds.md)</w:t>
            </w:r>
          </w:p>
        </w:tc>
        <w:tc>
          <w:tcPr>
            <w:tcW w:type="dxa" w:w="2849"/>
            <w:tcMar>
              <w:top w:type="dxa" w:w="90"/>
              <w:left w:type="dxa" w:w="130"/>
              <w:bottom w:type="dxa" w:w="90"/>
              <w:right w:type="dxa" w:w="130"/>
            </w:tcMar>
          </w:tcPr>
          <w:p>
            <w:pPr>
              <w:spacing w:after="0" w:before="0" w:line="252"/>
            </w:pPr>
            <w:r>
              <w:rPr>
                <w:rFonts w:ascii="Calibri" w:cs="Calibri" w:eastAsia="Calibri" w:hAnsi="Calibri"/>
                <w:color w:val="2D2A26"/>
                <w:sz w:val="19"/>
                <w:szCs w:val="19"/>
              </w:rPr>
              <w:t xml:space="preserve">New — standalone</w:t>
            </w:r>
          </w:p>
        </w:tc>
        <w:tc>
          <w:tcPr>
            <w:tcW w:type="dxa" w:w="814"/>
            <w:tcMar>
              <w:top w:type="dxa" w:w="90"/>
              <w:left w:type="dxa" w:w="130"/>
              <w:bottom w:type="dxa" w:w="90"/>
              <w:right w:type="dxa" w:w="130"/>
            </w:tcMar>
          </w:tcPr>
          <w:p>
            <w:pPr>
              <w:spacing w:after="0" w:before="0" w:line="252"/>
            </w:pPr>
            <w:r>
              <w:rPr>
                <w:rFonts w:ascii="Calibri" w:cs="Calibri" w:eastAsia="Calibri" w:hAnsi="Calibri"/>
                <w:color w:val="2D2A26"/>
                <w:sz w:val="19"/>
                <w:szCs w:val="19"/>
              </w:rPr>
              <w:t xml:space="preserve">Buyers</w:t>
            </w:r>
          </w:p>
        </w:tc>
      </w:tr>
      <w:tr>
        <w:tc>
          <w:tcPr>
            <w:tcW w:type="dxa" w:w="5697"/>
            <w:tcMar>
              <w:top w:type="dxa" w:w="90"/>
              <w:left w:type="dxa" w:w="130"/>
              <w:bottom w:type="dxa" w:w="90"/>
              <w:right w:type="dxa" w:w="130"/>
            </w:tcMar>
          </w:tcPr>
          <w:p>
            <w:pPr>
              <w:spacing w:after="0" w:before="0" w:line="252"/>
            </w:pPr>
            <w:r>
              <w:rPr>
                <w:rFonts w:ascii="Calibri" w:cs="Calibri" w:eastAsia="Calibri" w:hAnsi="Calibri"/>
                <w:color w:val="2D2A26"/>
                <w:sz w:val="19"/>
                <w:szCs w:val="19"/>
              </w:rPr>
              <w:t xml:space="preserve">[shipping-policy.md](shipping-policy.md)</w:t>
            </w:r>
          </w:p>
        </w:tc>
        <w:tc>
          <w:tcPr>
            <w:tcW w:type="dxa" w:w="2849"/>
            <w:tcMar>
              <w:top w:type="dxa" w:w="90"/>
              <w:left w:type="dxa" w:w="130"/>
              <w:bottom w:type="dxa" w:w="90"/>
              <w:right w:type="dxa" w:w="130"/>
            </w:tcMar>
          </w:tcPr>
          <w:p>
            <w:pPr>
              <w:spacing w:after="0" w:before="0" w:line="252"/>
            </w:pPr>
            <w:r>
              <w:rPr>
                <w:rFonts w:ascii="Calibri" w:cs="Calibri" w:eastAsia="Calibri" w:hAnsi="Calibri"/>
                <w:color w:val="2D2A26"/>
                <w:sz w:val="19"/>
                <w:szCs w:val="19"/>
              </w:rPr>
              <w:t xml:space="preserve">New</w:t>
            </w:r>
          </w:p>
        </w:tc>
        <w:tc>
          <w:tcPr>
            <w:tcW w:type="dxa" w:w="814"/>
            <w:tcMar>
              <w:top w:type="dxa" w:w="90"/>
              <w:left w:type="dxa" w:w="130"/>
              <w:bottom w:type="dxa" w:w="90"/>
              <w:right w:type="dxa" w:w="130"/>
            </w:tcMar>
          </w:tcPr>
          <w:p>
            <w:pPr>
              <w:spacing w:after="0" w:before="0" w:line="252"/>
            </w:pPr>
            <w:r>
              <w:rPr>
                <w:rFonts w:ascii="Calibri" w:cs="Calibri" w:eastAsia="Calibri" w:hAnsi="Calibri"/>
                <w:color w:val="2D2A26"/>
                <w:sz w:val="19"/>
                <w:szCs w:val="19"/>
              </w:rPr>
              <w:t xml:space="preserve">Buyers</w:t>
            </w:r>
          </w:p>
        </w:tc>
      </w:tr>
      <w:tr>
        <w:tc>
          <w:tcPr>
            <w:tcW w:type="dxa" w:w="5697"/>
            <w:tcMar>
              <w:top w:type="dxa" w:w="90"/>
              <w:left w:type="dxa" w:w="130"/>
              <w:bottom w:type="dxa" w:w="90"/>
              <w:right w:type="dxa" w:w="130"/>
            </w:tcMar>
          </w:tcPr>
          <w:p>
            <w:pPr>
              <w:spacing w:after="0" w:before="0" w:line="252"/>
            </w:pPr>
            <w:r>
              <w:rPr>
                <w:rFonts w:ascii="Calibri" w:cs="Calibri" w:eastAsia="Calibri" w:hAnsi="Calibri"/>
                <w:color w:val="2D2A26"/>
                <w:sz w:val="19"/>
                <w:szCs w:val="19"/>
              </w:rPr>
              <w:t xml:space="preserve">[community-guidelines.md](community-guidelines.md)</w:t>
            </w:r>
          </w:p>
        </w:tc>
        <w:tc>
          <w:tcPr>
            <w:tcW w:type="dxa" w:w="2849"/>
            <w:tcMar>
              <w:top w:type="dxa" w:w="90"/>
              <w:left w:type="dxa" w:w="130"/>
              <w:bottom w:type="dxa" w:w="90"/>
              <w:right w:type="dxa" w:w="130"/>
            </w:tcMar>
          </w:tcPr>
          <w:p>
            <w:pPr>
              <w:spacing w:after="0" w:before="0" w:line="252"/>
            </w:pPr>
            <w:r>
              <w:rPr>
                <w:rFonts w:ascii="Calibri" w:cs="Calibri" w:eastAsia="Calibri" w:hAnsi="Calibri"/>
                <w:color w:val="2D2A26"/>
                <w:sz w:val="19"/>
                <w:szCs w:val="19"/>
              </w:rPr>
              <w:t xml:space="preserve">New</w:t>
            </w:r>
          </w:p>
        </w:tc>
        <w:tc>
          <w:tcPr>
            <w:tcW w:type="dxa" w:w="814"/>
            <w:tcMar>
              <w:top w:type="dxa" w:w="90"/>
              <w:left w:type="dxa" w:w="130"/>
              <w:bottom w:type="dxa" w:w="90"/>
              <w:right w:type="dxa" w:w="130"/>
            </w:tcMar>
          </w:tcPr>
          <w:p>
            <w:pPr>
              <w:spacing w:after="0" w:before="0" w:line="252"/>
            </w:pPr>
            <w:r>
              <w:rPr>
                <w:rFonts w:ascii="Calibri" w:cs="Calibri" w:eastAsia="Calibri" w:hAnsi="Calibri"/>
                <w:color w:val="2D2A26"/>
                <w:sz w:val="19"/>
                <w:szCs w:val="19"/>
              </w:rPr>
              <w:t xml:space="preserve">Everyone</w:t>
            </w:r>
          </w:p>
        </w:tc>
      </w:tr>
    </w:tbl>
    <w:p>
      <w:pPr>
        <w:spacing w:after="180"/>
      </w:pPr>
      <w:r>
        <w:rPr>
          <w:sz w:val="2"/>
          <w:szCs w:val="2"/>
        </w:rPr>
        <w:t xml:space="preserve"/>
      </w:r>
    </w:p>
    <w:p>
      <w:pPr>
        <w:pStyle w:val="Heading1"/>
        <w:keepNext/>
        <w:spacing w:after="130" w:before="380"/>
      </w:pPr>
      <w:r>
        <w:rPr>
          <w:rFonts w:ascii="Georgia" w:cs="Georgia" w:eastAsia="Georgia" w:hAnsi="Georgia"/>
          <w:b/>
          <w:bCs/>
          <w:color w:val="2D2A26"/>
          <w:sz w:val="27"/>
          <w:szCs w:val="27"/>
        </w:rPr>
        <w:t xml:space="preserve">Decisions taken in these drafts — confirm or overrule</w:t>
      </w:r>
    </w:p>
    <w:p>
      <w:pPr>
        <w:spacing w:after="170" w:before="0" w:line="276"/>
      </w:pPr>
      <w:r>
        <w:rPr>
          <w:rFonts w:ascii="Calibri" w:cs="Calibri" w:eastAsia="Calibri" w:hAnsi="Calibri"/>
          <w:color w:val="2D2A26"/>
          <w:sz w:val="21"/>
          <w:szCs w:val="21"/>
        </w:rPr>
        <w:t xml:space="preserve">Every open question is now answered in the text rather than left blank, so counsel edits rather than originates. Each is flagged inline as </w:t>
      </w:r>
      <w:r>
        <w:rPr>
          <w:rFonts w:ascii="Calibri" w:cs="Calibri" w:eastAsia="Calibri" w:hAnsi="Calibri"/>
          <w:i/>
          <w:iCs/>
          <w:color w:val="2D2A26"/>
          <w:sz w:val="21"/>
          <w:szCs w:val="21"/>
        </w:rPr>
        <w:t xml:space="preserve">[Counsel: …]</w:t>
      </w:r>
      <w:r>
        <w:rPr>
          <w:rFonts w:ascii="Calibri" w:cs="Calibri" w:eastAsia="Calibri" w:hAnsi="Calibri"/>
          <w:color w:val="2D2A26"/>
          <w:sz w:val="21"/>
          <w:szCs w:val="21"/>
        </w:rPr>
        <w:t xml:space="preserve"> with the reasoning. The seven that carry real business consequence:</w:t>
      </w:r>
    </w:p>
    <w:tbl>
      <w:tblPr>
        <w:tblW w:type="dxa" w:w="9360"/>
        <w:tblBorders>
          <w:top w:val="single" w:color="DED7CF" w:sz="6"/>
          <w:left w:val="none" w:color="FFFFFF" w:sz="0"/>
          <w:bottom w:val="single" w:color="DED7CF" w:sz="6"/>
          <w:right w:val="none" w:color="FFFFFF" w:sz="0"/>
          <w:insideH w:val="single" w:color="DED7CF" w:sz="4"/>
          <w:insideV w:val="none" w:color="FFFFFF" w:sz="0"/>
        </w:tblBorders>
      </w:tblPr>
      <w:tblGrid>
        <w:gridCol w:w="1859"/>
        <w:gridCol w:w="3983"/>
        <w:gridCol w:w="3518"/>
      </w:tblGrid>
      <w:tr>
        <w:trPr>
          <w:tblHeader/>
        </w:trPr>
        <w:tc>
          <w:tcPr>
            <w:tcW w:type="dxa" w:w="1859"/>
            <w:shd w:fill="F6F2ED" w:color="auto" w:val="clear"/>
            <w:tcMar>
              <w:top w:type="dxa" w:w="90"/>
              <w:left w:type="dxa" w:w="130"/>
              <w:bottom w:type="dxa" w:w="90"/>
              <w:right w:type="dxa" w:w="130"/>
            </w:tcMar>
          </w:tcPr>
          <w:p>
            <w:pPr>
              <w:spacing w:after="0" w:before="0" w:line="252"/>
            </w:pPr>
            <w:r>
              <w:rPr>
                <w:rFonts w:ascii="Calibri" w:cs="Calibri" w:eastAsia="Calibri" w:hAnsi="Calibri"/>
                <w:b/>
                <w:bCs/>
                <w:color w:val="2D2A26"/>
                <w:sz w:val="19"/>
                <w:szCs w:val="19"/>
              </w:rPr>
              <w:t xml:space="preserve">Decision</w:t>
            </w:r>
          </w:p>
        </w:tc>
        <w:tc>
          <w:tcPr>
            <w:tcW w:type="dxa" w:w="3983"/>
            <w:shd w:fill="F6F2ED" w:color="auto" w:val="clear"/>
            <w:tcMar>
              <w:top w:type="dxa" w:w="90"/>
              <w:left w:type="dxa" w:w="130"/>
              <w:bottom w:type="dxa" w:w="90"/>
              <w:right w:type="dxa" w:w="130"/>
            </w:tcMar>
          </w:tcPr>
          <w:p>
            <w:pPr>
              <w:spacing w:after="0" w:before="0" w:line="252"/>
            </w:pPr>
            <w:r>
              <w:rPr>
                <w:rFonts w:ascii="Calibri" w:cs="Calibri" w:eastAsia="Calibri" w:hAnsi="Calibri"/>
                <w:b/>
                <w:bCs/>
                <w:color w:val="2D2A26"/>
                <w:sz w:val="19"/>
                <w:szCs w:val="19"/>
              </w:rPr>
              <w:t xml:space="preserve">Position taken</w:t>
            </w:r>
          </w:p>
        </w:tc>
        <w:tc>
          <w:tcPr>
            <w:tcW w:type="dxa" w:w="3518"/>
            <w:shd w:fill="F6F2ED" w:color="auto" w:val="clear"/>
            <w:tcMar>
              <w:top w:type="dxa" w:w="90"/>
              <w:left w:type="dxa" w:w="130"/>
              <w:bottom w:type="dxa" w:w="90"/>
              <w:right w:type="dxa" w:w="130"/>
            </w:tcMar>
          </w:tcPr>
          <w:p>
            <w:pPr>
              <w:spacing w:after="0" w:before="0" w:line="252"/>
            </w:pPr>
            <w:r>
              <w:rPr>
                <w:rFonts w:ascii="Calibri" w:cs="Calibri" w:eastAsia="Calibri" w:hAnsi="Calibri"/>
                <w:b/>
                <w:bCs/>
                <w:color w:val="2D2A26"/>
                <w:sz w:val="19"/>
                <w:szCs w:val="19"/>
              </w:rPr>
              <w:t xml:space="preserve">Where</w:t>
            </w:r>
          </w:p>
        </w:tc>
      </w:tr>
      <w:tr>
        <w:tc>
          <w:tcPr>
            <w:tcW w:type="dxa" w:w="1859"/>
            <w:tcMar>
              <w:top w:type="dxa" w:w="90"/>
              <w:left w:type="dxa" w:w="130"/>
              <w:bottom w:type="dxa" w:w="90"/>
              <w:right w:type="dxa" w:w="130"/>
            </w:tcMar>
          </w:tcPr>
          <w:p>
            <w:pPr>
              <w:spacing w:after="0" w:before="0" w:line="252"/>
            </w:pPr>
            <w:r>
              <w:rPr>
                <w:rFonts w:ascii="Calibri" w:cs="Calibri" w:eastAsia="Calibri" w:hAnsi="Calibri"/>
                <w:b/>
                <w:bCs/>
                <w:color w:val="2D2A26"/>
                <w:sz w:val="19"/>
                <w:szCs w:val="19"/>
              </w:rPr>
              <w:t xml:space="preserve">AI work</w:t>
            </w:r>
          </w:p>
        </w:tc>
        <w:tc>
          <w:tcPr>
            <w:tcW w:type="dxa" w:w="3983"/>
            <w:tcMar>
              <w:top w:type="dxa" w:w="90"/>
              <w:left w:type="dxa" w:w="130"/>
              <w:bottom w:type="dxa" w:w="90"/>
              <w:right w:type="dxa" w:w="130"/>
            </w:tcMar>
          </w:tcPr>
          <w:p>
            <w:pPr>
              <w:spacing w:after="0" w:before="0" w:line="252"/>
            </w:pPr>
            <w:r>
              <w:rPr>
                <w:rFonts w:ascii="Calibri" w:cs="Calibri" w:eastAsia="Calibri" w:hAnsi="Calibri"/>
                <w:color w:val="2D2A26"/>
                <w:sz w:val="19"/>
                <w:szCs w:val="19"/>
              </w:rPr>
              <w:t xml:space="preserve">Wholly generated </w:t>
            </w:r>
            <w:r>
              <w:rPr>
                <w:rFonts w:ascii="Calibri" w:cs="Calibri" w:eastAsia="Calibri" w:hAnsi="Calibri"/>
                <w:b/>
                <w:bCs/>
                <w:color w:val="2D2A26"/>
                <w:sz w:val="19"/>
                <w:szCs w:val="19"/>
              </w:rPr>
              <w:t xml:space="preserve">prohibited</w:t>
            </w:r>
            <w:r>
              <w:rPr>
                <w:rFonts w:ascii="Calibri" w:cs="Calibri" w:eastAsia="Calibri" w:hAnsi="Calibri"/>
                <w:color w:val="2D2A26"/>
                <w:sz w:val="19"/>
                <w:szCs w:val="19"/>
              </w:rPr>
              <w:t xml:space="preserve">; assisted permitted </w:t>
            </w:r>
            <w:r>
              <w:rPr>
                <w:rFonts w:ascii="Calibri" w:cs="Calibri" w:eastAsia="Calibri" w:hAnsi="Calibri"/>
                <w:b/>
                <w:bCs/>
                <w:color w:val="2D2A26"/>
                <w:sz w:val="19"/>
                <w:szCs w:val="19"/>
              </w:rPr>
              <w:t xml:space="preserve">with disclosure</w:t>
            </w:r>
          </w:p>
        </w:tc>
        <w:tc>
          <w:tcPr>
            <w:tcW w:type="dxa" w:w="3518"/>
            <w:tcMar>
              <w:top w:type="dxa" w:w="90"/>
              <w:left w:type="dxa" w:w="130"/>
              <w:bottom w:type="dxa" w:w="90"/>
              <w:right w:type="dxa" w:w="130"/>
            </w:tcMar>
          </w:tcPr>
          <w:p>
            <w:pPr>
              <w:spacing w:after="0" w:before="0" w:line="252"/>
            </w:pPr>
            <w:r>
              <w:rPr>
                <w:rFonts w:ascii="Calibri" w:cs="Calibri" w:eastAsia="Calibri" w:hAnsi="Calibri"/>
                <w:color w:val="2D2A26"/>
                <w:sz w:val="19"/>
                <w:szCs w:val="19"/>
              </w:rPr>
              <w:t xml:space="preserve">Agreement §5, Authenticity, Prohibited Items</w:t>
            </w:r>
          </w:p>
        </w:tc>
      </w:tr>
      <w:tr>
        <w:tc>
          <w:tcPr>
            <w:tcW w:type="dxa" w:w="1859"/>
            <w:tcMar>
              <w:top w:type="dxa" w:w="90"/>
              <w:left w:type="dxa" w:w="130"/>
              <w:bottom w:type="dxa" w:w="90"/>
              <w:right w:type="dxa" w:w="130"/>
            </w:tcMar>
          </w:tcPr>
          <w:p>
            <w:pPr>
              <w:spacing w:after="0" w:before="0" w:line="252"/>
            </w:pPr>
            <w:r>
              <w:rPr>
                <w:rFonts w:ascii="Calibri" w:cs="Calibri" w:eastAsia="Calibri" w:hAnsi="Calibri"/>
                <w:b/>
                <w:bCs/>
                <w:color w:val="2D2A26"/>
                <w:sz w:val="19"/>
                <w:szCs w:val="19"/>
              </w:rPr>
              <w:t xml:space="preserve">Risk of loss</w:t>
            </w:r>
          </w:p>
        </w:tc>
        <w:tc>
          <w:tcPr>
            <w:tcW w:type="dxa" w:w="3983"/>
            <w:tcMar>
              <w:top w:type="dxa" w:w="90"/>
              <w:left w:type="dxa" w:w="130"/>
              <w:bottom w:type="dxa" w:w="90"/>
              <w:right w:type="dxa" w:w="130"/>
            </w:tcMar>
          </w:tcPr>
          <w:p>
            <w:pPr>
              <w:spacing w:after="0" w:before="0" w:line="252"/>
            </w:pPr>
            <w:r>
              <w:rPr>
                <w:rFonts w:ascii="Calibri" w:cs="Calibri" w:eastAsia="Calibri" w:hAnsi="Calibri"/>
                <w:b/>
                <w:bCs/>
                <w:color w:val="2D2A26"/>
                <w:sz w:val="19"/>
                <w:szCs w:val="19"/>
              </w:rPr>
              <w:t xml:space="preserve">Artist bears until delivery</w:t>
            </w:r>
            <w:r>
              <w:rPr>
                <w:rFonts w:ascii="Calibri" w:cs="Calibri" w:eastAsia="Calibri" w:hAnsi="Calibri"/>
                <w:color w:val="2D2A26"/>
                <w:sz w:val="19"/>
                <w:szCs w:val="19"/>
              </w:rPr>
              <w:t xml:space="preserve">; artist must insure for the artwork price</w:t>
            </w:r>
          </w:p>
        </w:tc>
        <w:tc>
          <w:tcPr>
            <w:tcW w:type="dxa" w:w="3518"/>
            <w:tcMar>
              <w:top w:type="dxa" w:w="90"/>
              <w:left w:type="dxa" w:w="130"/>
              <w:bottom w:type="dxa" w:w="90"/>
              <w:right w:type="dxa" w:w="130"/>
            </w:tcMar>
          </w:tcPr>
          <w:p>
            <w:pPr>
              <w:spacing w:after="0" w:before="0" w:line="252"/>
            </w:pPr>
            <w:r>
              <w:rPr>
                <w:rFonts w:ascii="Calibri" w:cs="Calibri" w:eastAsia="Calibri" w:hAnsi="Calibri"/>
                <w:color w:val="2D2A26"/>
                <w:sz w:val="19"/>
                <w:szCs w:val="19"/>
              </w:rPr>
              <w:t xml:space="preserve">Agreement §7, Terms of Sale §3, Shipping</w:t>
            </w:r>
          </w:p>
        </w:tc>
      </w:tr>
      <w:tr>
        <w:tc>
          <w:tcPr>
            <w:tcW w:type="dxa" w:w="1859"/>
            <w:tcMar>
              <w:top w:type="dxa" w:w="90"/>
              <w:left w:type="dxa" w:w="130"/>
              <w:bottom w:type="dxa" w:w="90"/>
              <w:right w:type="dxa" w:w="130"/>
            </w:tcMar>
          </w:tcPr>
          <w:p>
            <w:pPr>
              <w:spacing w:after="0" w:before="0" w:line="252"/>
            </w:pPr>
            <w:r>
              <w:rPr>
                <w:rFonts w:ascii="Calibri" w:cs="Calibri" w:eastAsia="Calibri" w:hAnsi="Calibri"/>
                <w:b/>
                <w:bCs/>
                <w:color w:val="2D2A26"/>
                <w:sz w:val="19"/>
                <w:szCs w:val="19"/>
              </w:rPr>
              <w:t xml:space="preserve">Misdescription</w:t>
            </w:r>
          </w:p>
        </w:tc>
        <w:tc>
          <w:tcPr>
            <w:tcW w:type="dxa" w:w="3983"/>
            <w:tcMar>
              <w:top w:type="dxa" w:w="90"/>
              <w:left w:type="dxa" w:w="130"/>
              <w:bottom w:type="dxa" w:w="90"/>
              <w:right w:type="dxa" w:w="130"/>
            </w:tcMar>
          </w:tcPr>
          <w:p>
            <w:pPr>
              <w:spacing w:after="0" w:before="0" w:line="252"/>
            </w:pPr>
            <w:r>
              <w:rPr>
                <w:rFonts w:ascii="Calibri" w:cs="Calibri" w:eastAsia="Calibri" w:hAnsi="Calibri"/>
                <w:b/>
                <w:bCs/>
                <w:color w:val="2D2A26"/>
                <w:sz w:val="19"/>
                <w:szCs w:val="19"/>
              </w:rPr>
              <w:t xml:space="preserve">Overrides</w:t>
            </w:r>
            <w:r>
              <w:rPr>
                <w:rFonts w:ascii="Calibri" w:cs="Calibri" w:eastAsia="Calibri" w:hAnsi="Calibri"/>
                <w:color w:val="2D2A26"/>
                <w:sz w:val="19"/>
                <w:szCs w:val="19"/>
              </w:rPr>
              <w:t xml:space="preserve"> artist refund discretion where substantiated</w:t>
            </w:r>
          </w:p>
        </w:tc>
        <w:tc>
          <w:tcPr>
            <w:tcW w:type="dxa" w:w="3518"/>
            <w:tcMar>
              <w:top w:type="dxa" w:w="90"/>
              <w:left w:type="dxa" w:w="130"/>
              <w:bottom w:type="dxa" w:w="90"/>
              <w:right w:type="dxa" w:w="130"/>
            </w:tcMar>
          </w:tcPr>
          <w:p>
            <w:pPr>
              <w:spacing w:after="0" w:before="0" w:line="252"/>
            </w:pPr>
            <w:r>
              <w:rPr>
                <w:rFonts w:ascii="Calibri" w:cs="Calibri" w:eastAsia="Calibri" w:hAnsi="Calibri"/>
                <w:color w:val="2D2A26"/>
                <w:sz w:val="19"/>
                <w:szCs w:val="19"/>
              </w:rPr>
              <w:t xml:space="preserve">Terms of Sale §5, Returns, Authenticity, Agreement §8</w:t>
            </w:r>
          </w:p>
        </w:tc>
      </w:tr>
      <w:tr>
        <w:tc>
          <w:tcPr>
            <w:tcW w:type="dxa" w:w="1859"/>
            <w:tcMar>
              <w:top w:type="dxa" w:w="90"/>
              <w:left w:type="dxa" w:w="130"/>
              <w:bottom w:type="dxa" w:w="90"/>
              <w:right w:type="dxa" w:w="130"/>
            </w:tcMar>
          </w:tcPr>
          <w:p>
            <w:pPr>
              <w:spacing w:after="0" w:before="0" w:line="252"/>
            </w:pPr>
            <w:r>
              <w:rPr>
                <w:rFonts w:ascii="Calibri" w:cs="Calibri" w:eastAsia="Calibri" w:hAnsi="Calibri"/>
                <w:b/>
                <w:bCs/>
                <w:color w:val="2D2A26"/>
                <w:sz w:val="19"/>
                <w:szCs w:val="19"/>
              </w:rPr>
              <w:t xml:space="preserve">Arbitration</w:t>
            </w:r>
          </w:p>
        </w:tc>
        <w:tc>
          <w:tcPr>
            <w:tcW w:type="dxa" w:w="3983"/>
            <w:tcMar>
              <w:top w:type="dxa" w:w="90"/>
              <w:left w:type="dxa" w:w="130"/>
              <w:bottom w:type="dxa" w:w="90"/>
              <w:right w:type="dxa" w:w="130"/>
            </w:tcMar>
          </w:tcPr>
          <w:p>
            <w:pPr>
              <w:spacing w:after="0" w:before="0" w:line="252"/>
            </w:pPr>
            <w:r>
              <w:rPr>
                <w:rFonts w:ascii="Calibri" w:cs="Calibri" w:eastAsia="Calibri" w:hAnsi="Calibri"/>
                <w:b/>
                <w:bCs/>
                <w:color w:val="2D2A26"/>
                <w:sz w:val="19"/>
                <w:szCs w:val="19"/>
              </w:rPr>
              <w:t xml:space="preserve">Included</w:t>
            </w:r>
            <w:r>
              <w:rPr>
                <w:rFonts w:ascii="Calibri" w:cs="Calibri" w:eastAsia="Calibri" w:hAnsi="Calibri"/>
                <w:color w:val="2D2A26"/>
                <w:sz w:val="19"/>
                <w:szCs w:val="19"/>
              </w:rPr>
              <w:t xml:space="preserve">, individually, with small-claims and injunctive carve-outs, a 30-day opt-out and fee-shifting</w:t>
            </w:r>
          </w:p>
        </w:tc>
        <w:tc>
          <w:tcPr>
            <w:tcW w:type="dxa" w:w="3518"/>
            <w:tcMar>
              <w:top w:type="dxa" w:w="90"/>
              <w:left w:type="dxa" w:w="130"/>
              <w:bottom w:type="dxa" w:w="90"/>
              <w:right w:type="dxa" w:w="130"/>
            </w:tcMar>
          </w:tcPr>
          <w:p>
            <w:pPr>
              <w:spacing w:after="0" w:before="0" w:line="252"/>
            </w:pPr>
            <w:r>
              <w:rPr>
                <w:rFonts w:ascii="Calibri" w:cs="Calibri" w:eastAsia="Calibri" w:hAnsi="Calibri"/>
                <w:color w:val="2D2A26"/>
                <w:sz w:val="19"/>
                <w:szCs w:val="19"/>
              </w:rPr>
              <w:t xml:space="preserve">ToS §15, Agreement §13.6</w:t>
            </w:r>
          </w:p>
        </w:tc>
      </w:tr>
      <w:tr>
        <w:tc>
          <w:tcPr>
            <w:tcW w:type="dxa" w:w="1859"/>
            <w:tcMar>
              <w:top w:type="dxa" w:w="90"/>
              <w:left w:type="dxa" w:w="130"/>
              <w:bottom w:type="dxa" w:w="90"/>
              <w:right w:type="dxa" w:w="130"/>
            </w:tcMar>
          </w:tcPr>
          <w:p>
            <w:pPr>
              <w:spacing w:after="0" w:before="0" w:line="252"/>
            </w:pPr>
            <w:r>
              <w:rPr>
                <w:rFonts w:ascii="Calibri" w:cs="Calibri" w:eastAsia="Calibri" w:hAnsi="Calibri"/>
                <w:b/>
                <w:bCs/>
                <w:color w:val="2D2A26"/>
                <w:sz w:val="19"/>
                <w:szCs w:val="19"/>
              </w:rPr>
              <w:t xml:space="preserve">Liability cap</w:t>
            </w:r>
          </w:p>
        </w:tc>
        <w:tc>
          <w:tcPr>
            <w:tcW w:type="dxa" w:w="3983"/>
            <w:tcMar>
              <w:top w:type="dxa" w:w="90"/>
              <w:left w:type="dxa" w:w="130"/>
              <w:bottom w:type="dxa" w:w="90"/>
              <w:right w:type="dxa" w:w="130"/>
            </w:tcMar>
          </w:tcPr>
          <w:p>
            <w:pPr>
              <w:spacing w:after="0" w:before="0" w:line="252"/>
            </w:pPr>
            <w:r>
              <w:rPr>
                <w:rFonts w:ascii="Calibri" w:cs="Calibri" w:eastAsia="Calibri" w:hAnsi="Calibri"/>
                <w:color w:val="2D2A26"/>
                <w:sz w:val="19"/>
                <w:szCs w:val="19"/>
              </w:rPr>
              <w:t xml:space="preserve">Artists: greater of 12 months' commissions or $500. Everyone: greater of 12 months' transactions or $100</w:t>
            </w:r>
          </w:p>
        </w:tc>
        <w:tc>
          <w:tcPr>
            <w:tcW w:type="dxa" w:w="3518"/>
            <w:tcMar>
              <w:top w:type="dxa" w:w="90"/>
              <w:left w:type="dxa" w:w="130"/>
              <w:bottom w:type="dxa" w:w="90"/>
              <w:right w:type="dxa" w:w="130"/>
            </w:tcMar>
          </w:tcPr>
          <w:p>
            <w:pPr>
              <w:spacing w:after="0" w:before="0" w:line="252"/>
            </w:pPr>
            <w:r>
              <w:rPr>
                <w:rFonts w:ascii="Calibri" w:cs="Calibri" w:eastAsia="Calibri" w:hAnsi="Calibri"/>
                <w:color w:val="2D2A26"/>
                <w:sz w:val="19"/>
                <w:szCs w:val="19"/>
              </w:rPr>
              <w:t xml:space="preserve">Agreement §13.3, ToS §13.4</w:t>
            </w:r>
          </w:p>
        </w:tc>
      </w:tr>
      <w:tr>
        <w:tc>
          <w:tcPr>
            <w:tcW w:type="dxa" w:w="1859"/>
            <w:tcMar>
              <w:top w:type="dxa" w:w="90"/>
              <w:left w:type="dxa" w:w="130"/>
              <w:bottom w:type="dxa" w:w="90"/>
              <w:right w:type="dxa" w:w="130"/>
            </w:tcMar>
          </w:tcPr>
          <w:p>
            <w:pPr>
              <w:spacing w:after="0" w:before="0" w:line="252"/>
            </w:pPr>
            <w:r>
              <w:rPr>
                <w:rFonts w:ascii="Calibri" w:cs="Calibri" w:eastAsia="Calibri" w:hAnsi="Calibri"/>
                <w:b/>
                <w:bCs/>
                <w:color w:val="2D2A26"/>
                <w:sz w:val="19"/>
                <w:szCs w:val="19"/>
              </w:rPr>
              <w:t xml:space="preserve">Retention</w:t>
            </w:r>
          </w:p>
        </w:tc>
        <w:tc>
          <w:tcPr>
            <w:tcW w:type="dxa" w:w="3983"/>
            <w:tcMar>
              <w:top w:type="dxa" w:w="90"/>
              <w:left w:type="dxa" w:w="130"/>
              <w:bottom w:type="dxa" w:w="90"/>
              <w:right w:type="dxa" w:w="130"/>
            </w:tcMar>
          </w:tcPr>
          <w:p>
            <w:pPr>
              <w:spacing w:after="0" w:before="0" w:line="252"/>
            </w:pPr>
            <w:r>
              <w:rPr>
                <w:rFonts w:ascii="Calibri" w:cs="Calibri" w:eastAsia="Calibri" w:hAnsi="Calibri"/>
                <w:color w:val="2D2A26"/>
                <w:sz w:val="19"/>
                <w:szCs w:val="19"/>
              </w:rPr>
              <w:t xml:space="preserve">7 years for order/tax records; 3 years messages; 30 days to delete an account; 90-day backup cycle</w:t>
            </w:r>
          </w:p>
        </w:tc>
        <w:tc>
          <w:tcPr>
            <w:tcW w:type="dxa" w:w="3518"/>
            <w:tcMar>
              <w:top w:type="dxa" w:w="90"/>
              <w:left w:type="dxa" w:w="130"/>
              <w:bottom w:type="dxa" w:w="90"/>
              <w:right w:type="dxa" w:w="130"/>
            </w:tcMar>
          </w:tcPr>
          <w:p>
            <w:pPr>
              <w:spacing w:after="0" w:before="0" w:line="252"/>
            </w:pPr>
            <w:r>
              <w:rPr>
                <w:rFonts w:ascii="Calibri" w:cs="Calibri" w:eastAsia="Calibri" w:hAnsi="Calibri"/>
                <w:color w:val="2D2A26"/>
                <w:sz w:val="19"/>
                <w:szCs w:val="19"/>
              </w:rPr>
              <w:t xml:space="preserve">Privacy §6</w:t>
            </w:r>
          </w:p>
        </w:tc>
      </w:tr>
      <w:tr>
        <w:tc>
          <w:tcPr>
            <w:tcW w:type="dxa" w:w="1859"/>
            <w:tcMar>
              <w:top w:type="dxa" w:w="90"/>
              <w:left w:type="dxa" w:w="130"/>
              <w:bottom w:type="dxa" w:w="90"/>
              <w:right w:type="dxa" w:w="130"/>
            </w:tcMar>
          </w:tcPr>
          <w:p>
            <w:pPr>
              <w:spacing w:after="0" w:before="0" w:line="252"/>
            </w:pPr>
            <w:r>
              <w:rPr>
                <w:rFonts w:ascii="Calibri" w:cs="Calibri" w:eastAsia="Calibri" w:hAnsi="Calibri"/>
                <w:b/>
                <w:bCs/>
                <w:color w:val="2D2A26"/>
                <w:sz w:val="19"/>
                <w:szCs w:val="19"/>
              </w:rPr>
              <w:t xml:space="preserve">Repeat infringers</w:t>
            </w:r>
          </w:p>
        </w:tc>
        <w:tc>
          <w:tcPr>
            <w:tcW w:type="dxa" w:w="3983"/>
            <w:tcMar>
              <w:top w:type="dxa" w:w="90"/>
              <w:left w:type="dxa" w:w="130"/>
              <w:bottom w:type="dxa" w:w="90"/>
              <w:right w:type="dxa" w:w="130"/>
            </w:tcMar>
          </w:tcPr>
          <w:p>
            <w:pPr>
              <w:spacing w:after="0" w:before="0" w:line="252"/>
            </w:pPr>
            <w:r>
              <w:rPr>
                <w:rFonts w:ascii="Calibri" w:cs="Calibri" w:eastAsia="Calibri" w:hAnsi="Calibri"/>
                <w:b/>
                <w:bCs/>
                <w:color w:val="2D2A26"/>
                <w:sz w:val="19"/>
                <w:szCs w:val="19"/>
              </w:rPr>
              <w:t xml:space="preserve">3 substantiated notices in 12 months</w:t>
            </w:r>
            <w:r>
              <w:rPr>
                <w:rFonts w:ascii="Calibri" w:cs="Calibri" w:eastAsia="Calibri" w:hAnsi="Calibri"/>
                <w:color w:val="2D2A26"/>
                <w:sz w:val="19"/>
                <w:szCs w:val="19"/>
              </w:rPr>
              <w:t xml:space="preserve">; immediate for deliberate or large-scale</w:t>
            </w:r>
          </w:p>
        </w:tc>
        <w:tc>
          <w:tcPr>
            <w:tcW w:type="dxa" w:w="3518"/>
            <w:tcMar>
              <w:top w:type="dxa" w:w="90"/>
              <w:left w:type="dxa" w:w="130"/>
              <w:bottom w:type="dxa" w:w="90"/>
              <w:right w:type="dxa" w:w="130"/>
            </w:tcMar>
          </w:tcPr>
          <w:p>
            <w:pPr>
              <w:spacing w:after="0" w:before="0" w:line="252"/>
            </w:pPr>
            <w:r>
              <w:rPr>
                <w:rFonts w:ascii="Calibri" w:cs="Calibri" w:eastAsia="Calibri" w:hAnsi="Calibri"/>
                <w:color w:val="2D2A26"/>
                <w:sz w:val="19"/>
                <w:szCs w:val="19"/>
              </w:rPr>
              <w:t xml:space="preserve">DMCA</w:t>
            </w:r>
          </w:p>
        </w:tc>
      </w:tr>
      <w:tr>
        <w:tc>
          <w:tcPr>
            <w:tcW w:type="dxa" w:w="1859"/>
            <w:tcMar>
              <w:top w:type="dxa" w:w="90"/>
              <w:left w:type="dxa" w:w="130"/>
              <w:bottom w:type="dxa" w:w="90"/>
              <w:right w:type="dxa" w:w="130"/>
            </w:tcMar>
          </w:tcPr>
          <w:p>
            <w:pPr>
              <w:spacing w:after="0" w:before="0" w:line="252"/>
            </w:pPr>
            <w:r>
              <w:rPr>
                <w:rFonts w:ascii="Calibri" w:cs="Calibri" w:eastAsia="Calibri" w:hAnsi="Calibri"/>
                <w:b/>
                <w:bCs/>
                <w:color w:val="2D2A26"/>
                <w:sz w:val="19"/>
                <w:szCs w:val="19"/>
              </w:rPr>
              <w:t xml:space="preserve">Minimum age</w:t>
            </w:r>
          </w:p>
        </w:tc>
        <w:tc>
          <w:tcPr>
            <w:tcW w:type="dxa" w:w="3983"/>
            <w:tcMar>
              <w:top w:type="dxa" w:w="90"/>
              <w:left w:type="dxa" w:w="130"/>
              <w:bottom w:type="dxa" w:w="90"/>
              <w:right w:type="dxa" w:w="130"/>
            </w:tcMar>
          </w:tcPr>
          <w:p>
            <w:pPr>
              <w:spacing w:after="0" w:before="0" w:line="252"/>
            </w:pPr>
            <w:r>
              <w:rPr>
                <w:rFonts w:ascii="Calibri" w:cs="Calibri" w:eastAsia="Calibri" w:hAnsi="Calibri"/>
                <w:b/>
                <w:bCs/>
                <w:color w:val="2D2A26"/>
                <w:sz w:val="19"/>
                <w:szCs w:val="19"/>
              </w:rPr>
              <w:t xml:space="preserve">18 for every account</w:t>
            </w:r>
            <w:r>
              <w:rPr>
                <w:rFonts w:ascii="Calibri" w:cs="Calibri" w:eastAsia="Calibri" w:hAnsi="Calibri"/>
                <w:color w:val="2D2A26"/>
                <w:sz w:val="19"/>
                <w:szCs w:val="19"/>
              </w:rPr>
              <w:t xml:space="preserve">, buyer or seller (was 13)</w:t>
            </w:r>
          </w:p>
        </w:tc>
        <w:tc>
          <w:tcPr>
            <w:tcW w:type="dxa" w:w="3518"/>
            <w:tcMar>
              <w:top w:type="dxa" w:w="90"/>
              <w:left w:type="dxa" w:w="130"/>
              <w:bottom w:type="dxa" w:w="90"/>
              <w:right w:type="dxa" w:w="130"/>
            </w:tcMar>
          </w:tcPr>
          <w:p>
            <w:pPr>
              <w:spacing w:after="0" w:before="0" w:line="252"/>
            </w:pPr>
            <w:r>
              <w:rPr>
                <w:rFonts w:ascii="Calibri" w:cs="Calibri" w:eastAsia="Calibri" w:hAnsi="Calibri"/>
                <w:color w:val="2D2A26"/>
                <w:sz w:val="19"/>
                <w:szCs w:val="19"/>
              </w:rPr>
              <w:t xml:space="preserve">ToS §2, Privacy §9</w:t>
            </w:r>
          </w:p>
        </w:tc>
      </w:tr>
      <w:tr>
        <w:tc>
          <w:tcPr>
            <w:tcW w:type="dxa" w:w="1859"/>
            <w:tcMar>
              <w:top w:type="dxa" w:w="90"/>
              <w:left w:type="dxa" w:w="130"/>
              <w:bottom w:type="dxa" w:w="90"/>
              <w:right w:type="dxa" w:w="130"/>
            </w:tcMar>
          </w:tcPr>
          <w:p>
            <w:pPr>
              <w:spacing w:after="0" w:before="0" w:line="252"/>
            </w:pPr>
            <w:r>
              <w:rPr>
                <w:rFonts w:ascii="Calibri" w:cs="Calibri" w:eastAsia="Calibri" w:hAnsi="Calibri"/>
                <w:b/>
                <w:bCs/>
                <w:color w:val="2D2A26"/>
                <w:sz w:val="19"/>
                <w:szCs w:val="19"/>
              </w:rPr>
              <w:t xml:space="preserve">Late or unshipped orders</w:t>
            </w:r>
          </w:p>
        </w:tc>
        <w:tc>
          <w:tcPr>
            <w:tcW w:type="dxa" w:w="3983"/>
            <w:tcMar>
              <w:top w:type="dxa" w:w="90"/>
              <w:left w:type="dxa" w:w="130"/>
              <w:bottom w:type="dxa" w:w="90"/>
              <w:right w:type="dxa" w:w="130"/>
            </w:tcMar>
          </w:tcPr>
          <w:p>
            <w:pPr>
              <w:spacing w:after="0" w:before="0" w:line="252"/>
            </w:pPr>
            <w:r>
              <w:rPr>
                <w:rFonts w:ascii="Calibri" w:cs="Calibri" w:eastAsia="Calibri" w:hAnsi="Calibri"/>
                <w:color w:val="2D2A26"/>
                <w:sz w:val="19"/>
                <w:szCs w:val="19"/>
              </w:rPr>
              <w:t xml:space="preserve">Buyer may </w:t>
            </w:r>
            <w:r>
              <w:rPr>
                <w:rFonts w:ascii="Calibri" w:cs="Calibri" w:eastAsia="Calibri" w:hAnsi="Calibri"/>
                <w:b/>
                <w:bCs/>
                <w:color w:val="2D2A26"/>
                <w:sz w:val="19"/>
                <w:szCs w:val="19"/>
              </w:rPr>
              <w:t xml:space="preserve">cancel for a full refund</w:t>
            </w:r>
            <w:r>
              <w:rPr>
                <w:rFonts w:ascii="Calibri" w:cs="Calibri" w:eastAsia="Calibri" w:hAnsi="Calibri"/>
                <w:color w:val="2D2A26"/>
                <w:sz w:val="19"/>
                <w:szCs w:val="19"/>
              </w:rPr>
              <w:t xml:space="preserve">; we refund an abandoned order without artist approval</w:t>
            </w:r>
          </w:p>
        </w:tc>
        <w:tc>
          <w:tcPr>
            <w:tcW w:type="dxa" w:w="3518"/>
            <w:tcMar>
              <w:top w:type="dxa" w:w="90"/>
              <w:left w:type="dxa" w:w="130"/>
              <w:bottom w:type="dxa" w:w="90"/>
              <w:right w:type="dxa" w:w="130"/>
            </w:tcMar>
          </w:tcPr>
          <w:p>
            <w:pPr>
              <w:spacing w:after="0" w:before="0" w:line="252"/>
            </w:pPr>
            <w:r>
              <w:rPr>
                <w:rFonts w:ascii="Calibri" w:cs="Calibri" w:eastAsia="Calibri" w:hAnsi="Calibri"/>
                <w:color w:val="2D2A26"/>
                <w:sz w:val="19"/>
                <w:szCs w:val="19"/>
              </w:rPr>
              <w:t xml:space="preserve">ToS of Sale §3, Shipping, Returns, Agreement §7–8</w:t>
            </w:r>
          </w:p>
        </w:tc>
      </w:tr>
      <w:tr>
        <w:tc>
          <w:tcPr>
            <w:tcW w:type="dxa" w:w="1859"/>
            <w:tcMar>
              <w:top w:type="dxa" w:w="90"/>
              <w:left w:type="dxa" w:w="130"/>
              <w:bottom w:type="dxa" w:w="90"/>
              <w:right w:type="dxa" w:w="130"/>
            </w:tcMar>
          </w:tcPr>
          <w:p>
            <w:pPr>
              <w:spacing w:after="0" w:before="0" w:line="252"/>
            </w:pPr>
            <w:r>
              <w:rPr>
                <w:rFonts w:ascii="Calibri" w:cs="Calibri" w:eastAsia="Calibri" w:hAnsi="Calibri"/>
                <w:b/>
                <w:bCs/>
                <w:color w:val="2D2A26"/>
                <w:sz w:val="19"/>
                <w:szCs w:val="19"/>
              </w:rPr>
              <w:t xml:space="preserve">Service fee on refunds</w:t>
            </w:r>
          </w:p>
        </w:tc>
        <w:tc>
          <w:tcPr>
            <w:tcW w:type="dxa" w:w="3983"/>
            <w:tcMar>
              <w:top w:type="dxa" w:w="90"/>
              <w:left w:type="dxa" w:w="130"/>
              <w:bottom w:type="dxa" w:w="90"/>
              <w:right w:type="dxa" w:w="130"/>
            </w:tcMar>
          </w:tcPr>
          <w:p>
            <w:pPr>
              <w:spacing w:after="0" w:before="0" w:line="252"/>
            </w:pPr>
            <w:r>
              <w:rPr>
                <w:rFonts w:ascii="Calibri" w:cs="Calibri" w:eastAsia="Calibri" w:hAnsi="Calibri"/>
                <w:color w:val="2D2A26"/>
                <w:sz w:val="19"/>
                <w:szCs w:val="19"/>
              </w:rPr>
              <w:t xml:space="preserve">Retained on change of mind; </w:t>
            </w:r>
            <w:r>
              <w:rPr>
                <w:rFonts w:ascii="Calibri" w:cs="Calibri" w:eastAsia="Calibri" w:hAnsi="Calibri"/>
                <w:b/>
                <w:bCs/>
                <w:color w:val="2D2A26"/>
                <w:sz w:val="19"/>
                <w:szCs w:val="19"/>
              </w:rPr>
              <w:t xml:space="preserve">refunded</w:t>
            </w:r>
            <w:r>
              <w:rPr>
                <w:rFonts w:ascii="Calibri" w:cs="Calibri" w:eastAsia="Calibri" w:hAnsi="Calibri"/>
                <w:color w:val="2D2A26"/>
                <w:sz w:val="19"/>
                <w:szCs w:val="19"/>
              </w:rPr>
              <w:t xml:space="preserve"> where a piece never arrived, arrived damaged or was misdescribed</w:t>
            </w:r>
          </w:p>
        </w:tc>
        <w:tc>
          <w:tcPr>
            <w:tcW w:type="dxa" w:w="3518"/>
            <w:tcMar>
              <w:top w:type="dxa" w:w="90"/>
              <w:left w:type="dxa" w:w="130"/>
              <w:bottom w:type="dxa" w:w="90"/>
              <w:right w:type="dxa" w:w="130"/>
            </w:tcMar>
          </w:tcPr>
          <w:p>
            <w:pPr>
              <w:spacing w:after="0" w:before="0" w:line="252"/>
            </w:pPr>
            <w:r>
              <w:rPr>
                <w:rFonts w:ascii="Calibri" w:cs="Calibri" w:eastAsia="Calibri" w:hAnsi="Calibri"/>
                <w:color w:val="2D2A26"/>
                <w:sz w:val="19"/>
                <w:szCs w:val="19"/>
              </w:rPr>
              <w:t xml:space="preserve">Terms of Sale §2, Returns</w:t>
            </w:r>
          </w:p>
        </w:tc>
      </w:tr>
      <w:tr>
        <w:tc>
          <w:tcPr>
            <w:tcW w:type="dxa" w:w="1859"/>
            <w:tcMar>
              <w:top w:type="dxa" w:w="90"/>
              <w:left w:type="dxa" w:w="130"/>
              <w:bottom w:type="dxa" w:w="90"/>
              <w:right w:type="dxa" w:w="130"/>
            </w:tcMar>
          </w:tcPr>
          <w:p>
            <w:pPr>
              <w:spacing w:after="0" w:before="0" w:line="252"/>
            </w:pPr>
            <w:r>
              <w:rPr>
                <w:rFonts w:ascii="Calibri" w:cs="Calibri" w:eastAsia="Calibri" w:hAnsi="Calibri"/>
                <w:b/>
                <w:bCs/>
                <w:color w:val="2D2A26"/>
                <w:sz w:val="19"/>
                <w:szCs w:val="19"/>
              </w:rPr>
              <w:t xml:space="preserve">Vintage and estate work</w:t>
            </w:r>
          </w:p>
        </w:tc>
        <w:tc>
          <w:tcPr>
            <w:tcW w:type="dxa" w:w="3983"/>
            <w:tcMar>
              <w:top w:type="dxa" w:w="90"/>
              <w:left w:type="dxa" w:w="130"/>
              <w:bottom w:type="dxa" w:w="90"/>
              <w:right w:type="dxa" w:w="130"/>
            </w:tcMar>
          </w:tcPr>
          <w:p>
            <w:pPr>
              <w:spacing w:after="0" w:before="0" w:line="252"/>
            </w:pPr>
            <w:r>
              <w:rPr>
                <w:rFonts w:ascii="Calibri" w:cs="Calibri" w:eastAsia="Calibri" w:hAnsi="Calibri"/>
                <w:b/>
                <w:bCs/>
                <w:color w:val="2D2A26"/>
                <w:sz w:val="19"/>
                <w:szCs w:val="19"/>
              </w:rPr>
              <w:t xml:space="preserve">Not accepted at launch</w:t>
            </w:r>
            <w:r>
              <w:rPr>
                <w:rFonts w:ascii="Calibri" w:cs="Calibri" w:eastAsia="Calibri" w:hAnsi="Calibri"/>
                <w:color w:val="2D2A26"/>
                <w:sz w:val="19"/>
                <w:szCs w:val="19"/>
              </w:rPr>
              <w:t xml:space="preserve"> (was a restricted category, which contradicted the outright prohibition on reselling)</w:t>
            </w:r>
          </w:p>
        </w:tc>
        <w:tc>
          <w:tcPr>
            <w:tcW w:type="dxa" w:w="3518"/>
            <w:tcMar>
              <w:top w:type="dxa" w:w="90"/>
              <w:left w:type="dxa" w:w="130"/>
              <w:bottom w:type="dxa" w:w="90"/>
              <w:right w:type="dxa" w:w="130"/>
            </w:tcMar>
          </w:tcPr>
          <w:p>
            <w:pPr>
              <w:spacing w:after="0" w:before="0" w:line="252"/>
            </w:pPr>
            <w:r>
              <w:rPr>
                <w:rFonts w:ascii="Calibri" w:cs="Calibri" w:eastAsia="Calibri" w:hAnsi="Calibri"/>
                <w:color w:val="2D2A26"/>
                <w:sz w:val="19"/>
                <w:szCs w:val="19"/>
              </w:rPr>
              <w:t xml:space="preserve">Prohibited Items, Authenticity</w:t>
            </w:r>
          </w:p>
        </w:tc>
      </w:tr>
      <w:tr>
        <w:tc>
          <w:tcPr>
            <w:tcW w:type="dxa" w:w="1859"/>
            <w:tcMar>
              <w:top w:type="dxa" w:w="90"/>
              <w:left w:type="dxa" w:w="130"/>
              <w:bottom w:type="dxa" w:w="90"/>
              <w:right w:type="dxa" w:w="130"/>
            </w:tcMar>
          </w:tcPr>
          <w:p>
            <w:pPr>
              <w:spacing w:after="0" w:before="0" w:line="252"/>
            </w:pPr>
            <w:r>
              <w:rPr>
                <w:rFonts w:ascii="Calibri" w:cs="Calibri" w:eastAsia="Calibri" w:hAnsi="Calibri"/>
                <w:b/>
                <w:bCs/>
                <w:color w:val="2D2A26"/>
                <w:sz w:val="19"/>
                <w:szCs w:val="19"/>
              </w:rPr>
              <w:t xml:space="preserve">Negative balances</w:t>
            </w:r>
          </w:p>
        </w:tc>
        <w:tc>
          <w:tcPr>
            <w:tcW w:type="dxa" w:w="3983"/>
            <w:tcMar>
              <w:top w:type="dxa" w:w="90"/>
              <w:left w:type="dxa" w:w="130"/>
              <w:bottom w:type="dxa" w:w="90"/>
              <w:right w:type="dxa" w:w="130"/>
            </w:tcMar>
          </w:tcPr>
          <w:p>
            <w:pPr>
              <w:spacing w:after="0" w:before="0" w:line="252"/>
            </w:pPr>
            <w:r>
              <w:rPr>
                <w:rFonts w:ascii="Calibri" w:cs="Calibri" w:eastAsia="Calibri" w:hAnsi="Calibri"/>
                <w:color w:val="2D2A26"/>
                <w:sz w:val="19"/>
                <w:szCs w:val="19"/>
              </w:rPr>
              <w:t xml:space="preserve">Set-off against future payouts; reserves permitted pending investigation</w:t>
            </w:r>
          </w:p>
        </w:tc>
        <w:tc>
          <w:tcPr>
            <w:tcW w:type="dxa" w:w="3518"/>
            <w:tcMar>
              <w:top w:type="dxa" w:w="90"/>
              <w:left w:type="dxa" w:w="130"/>
              <w:bottom w:type="dxa" w:w="90"/>
              <w:right w:type="dxa" w:w="130"/>
            </w:tcMar>
          </w:tcPr>
          <w:p>
            <w:pPr>
              <w:spacing w:after="0" w:before="0" w:line="252"/>
            </w:pPr>
            <w:r>
              <w:rPr>
                <w:rFonts w:ascii="Calibri" w:cs="Calibri" w:eastAsia="Calibri" w:hAnsi="Calibri"/>
                <w:color w:val="2D2A26"/>
                <w:sz w:val="19"/>
                <w:szCs w:val="19"/>
              </w:rPr>
              <w:t xml:space="preserve">Agreement §4, Seller Protection</w:t>
            </w:r>
          </w:p>
        </w:tc>
      </w:tr>
      <w:tr>
        <w:tc>
          <w:tcPr>
            <w:tcW w:type="dxa" w:w="1859"/>
            <w:tcMar>
              <w:top w:type="dxa" w:w="90"/>
              <w:left w:type="dxa" w:w="130"/>
              <w:bottom w:type="dxa" w:w="90"/>
              <w:right w:type="dxa" w:w="130"/>
            </w:tcMar>
          </w:tcPr>
          <w:p>
            <w:pPr>
              <w:spacing w:after="0" w:before="0" w:line="252"/>
            </w:pPr>
            <w:r>
              <w:rPr>
                <w:rFonts w:ascii="Calibri" w:cs="Calibri" w:eastAsia="Calibri" w:hAnsi="Calibri"/>
                <w:b/>
                <w:bCs/>
                <w:color w:val="2D2A26"/>
                <w:sz w:val="19"/>
                <w:szCs w:val="19"/>
              </w:rPr>
              <w:t xml:space="preserve">Shipment insurance</w:t>
            </w:r>
          </w:p>
        </w:tc>
        <w:tc>
          <w:tcPr>
            <w:tcW w:type="dxa" w:w="3983"/>
            <w:tcMar>
              <w:top w:type="dxa" w:w="90"/>
              <w:left w:type="dxa" w:w="130"/>
              <w:bottom w:type="dxa" w:w="90"/>
              <w:right w:type="dxa" w:w="130"/>
            </w:tcMar>
          </w:tcPr>
          <w:p>
            <w:pPr>
              <w:spacing w:after="0" w:before="0" w:line="252"/>
            </w:pPr>
            <w:r>
              <w:rPr>
                <w:rFonts w:ascii="Calibri" w:cs="Calibri" w:eastAsia="Calibri" w:hAnsi="Calibri"/>
                <w:color w:val="2D2A26"/>
                <w:sz w:val="19"/>
                <w:szCs w:val="19"/>
              </w:rPr>
              <w:t xml:space="preserve">To the artwork price </w:t>
            </w:r>
            <w:r>
              <w:rPr>
                <w:rFonts w:ascii="Calibri" w:cs="Calibri" w:eastAsia="Calibri" w:hAnsi="Calibri"/>
                <w:b/>
                <w:bCs/>
                <w:color w:val="2D2A26"/>
                <w:sz w:val="19"/>
                <w:szCs w:val="19"/>
              </w:rPr>
              <w:t xml:space="preserve">to the extent cover is available</w:t>
            </w:r>
            <w:r>
              <w:rPr>
                <w:rFonts w:ascii="Calibri" w:cs="Calibri" w:eastAsia="Calibri" w:hAnsi="Calibri"/>
                <w:color w:val="2D2A26"/>
                <w:sz w:val="19"/>
                <w:szCs w:val="19"/>
              </w:rPr>
              <w:t xml:space="preserve">; fine-art shipper for higher values</w:t>
            </w:r>
          </w:p>
        </w:tc>
        <w:tc>
          <w:tcPr>
            <w:tcW w:type="dxa" w:w="3518"/>
            <w:tcMar>
              <w:top w:type="dxa" w:w="90"/>
              <w:left w:type="dxa" w:w="130"/>
              <w:bottom w:type="dxa" w:w="90"/>
              <w:right w:type="dxa" w:w="130"/>
            </w:tcMar>
          </w:tcPr>
          <w:p>
            <w:pPr>
              <w:spacing w:after="0" w:before="0" w:line="252"/>
            </w:pPr>
            <w:r>
              <w:rPr>
                <w:rFonts w:ascii="Calibri" w:cs="Calibri" w:eastAsia="Calibri" w:hAnsi="Calibri"/>
                <w:color w:val="2D2A26"/>
                <w:sz w:val="19"/>
                <w:szCs w:val="19"/>
              </w:rPr>
              <w:t xml:space="preserve">Agreement §7, Shipping</w:t>
            </w:r>
          </w:p>
        </w:tc>
      </w:tr>
    </w:tbl>
    <w:p>
      <w:pPr>
        <w:spacing w:after="180"/>
      </w:pPr>
      <w:r>
        <w:rPr>
          <w:sz w:val="2"/>
          <w:szCs w:val="2"/>
        </w:rPr>
        <w:t xml:space="preserve"/>
      </w:r>
    </w:p>
    <w:p>
      <w:pPr>
        <w:spacing w:after="170" w:before="0" w:line="276"/>
      </w:pPr>
      <w:r>
        <w:rPr>
          <w:rFonts w:ascii="Calibri" w:cs="Calibri" w:eastAsia="Calibri" w:hAnsi="Calibri"/>
          <w:b/>
          <w:bCs/>
          <w:color w:val="2D2A26"/>
          <w:sz w:val="21"/>
          <w:szCs w:val="21"/>
        </w:rPr>
        <w:t xml:space="preserve">Risk of loss is the one I would most want a second opinion on.</w:t>
      </w:r>
      <w:r>
        <w:rPr>
          <w:rFonts w:ascii="Calibri" w:cs="Calibri" w:eastAsia="Calibri" w:hAnsi="Calibri"/>
          <w:color w:val="2D2A26"/>
          <w:sz w:val="21"/>
          <w:szCs w:val="21"/>
        </w:rPr>
        <w:t xml:space="preserve"> The default rule for shipment contracts passes risk on tender to the carrier; these drafts deliberately place it on the artist until delivery. The reasoning is that a buyer whose piece never arrives disputes the charge and wins, so the loss lands on the seller regardless of what the document says — stating it plainly makes artists insure for it rather than discover it. That is a commercial judgement, not a legal necessity, and counsel may prefer the default with an insurance requirement bolted on.</w:t>
      </w:r>
    </w:p>
    <w:p>
      <w:pPr>
        <w:pStyle w:val="Heading1"/>
        <w:keepNext/>
        <w:spacing w:after="130" w:before="380"/>
      </w:pPr>
      <w:r>
        <w:rPr>
          <w:rFonts w:ascii="Georgia" w:cs="Georgia" w:eastAsia="Georgia" w:hAnsi="Georgia"/>
          <w:b/>
          <w:bCs/>
          <w:color w:val="2D2A26"/>
          <w:sz w:val="27"/>
          <w:szCs w:val="27"/>
        </w:rPr>
        <w:t xml:space="preserve">Changes made in the content review, by document</w:t>
      </w:r>
    </w:p>
    <w:tbl>
      <w:tblPr>
        <w:tblW w:type="dxa" w:w="9360"/>
        <w:tblBorders>
          <w:top w:val="single" w:color="DED7CF" w:sz="6"/>
          <w:left w:val="none" w:color="FFFFFF" w:sz="0"/>
          <w:bottom w:val="single" w:color="DED7CF" w:sz="6"/>
          <w:right w:val="none" w:color="FFFFFF" w:sz="0"/>
          <w:insideH w:val="single" w:color="DED7CF" w:sz="4"/>
          <w:insideV w:val="none" w:color="FFFFFF" w:sz="0"/>
        </w:tblBorders>
      </w:tblPr>
      <w:tblGrid>
        <w:gridCol w:w="2340"/>
        <w:gridCol w:w="7020"/>
      </w:tblGrid>
      <w:tr>
        <w:trPr>
          <w:tblHeader/>
        </w:trPr>
        <w:tc>
          <w:tcPr>
            <w:tcW w:type="dxa" w:w="2340"/>
            <w:shd w:fill="F6F2ED" w:color="auto" w:val="clear"/>
            <w:tcMar>
              <w:top w:type="dxa" w:w="90"/>
              <w:left w:type="dxa" w:w="130"/>
              <w:bottom w:type="dxa" w:w="90"/>
              <w:right w:type="dxa" w:w="130"/>
            </w:tcMar>
          </w:tcPr>
          <w:p>
            <w:pPr>
              <w:spacing w:after="0" w:before="0" w:line="252"/>
            </w:pPr>
            <w:r>
              <w:rPr>
                <w:rFonts w:ascii="Calibri" w:cs="Calibri" w:eastAsia="Calibri" w:hAnsi="Calibri"/>
                <w:b/>
                <w:bCs/>
                <w:color w:val="2D2A26"/>
                <w:sz w:val="19"/>
                <w:szCs w:val="19"/>
              </w:rPr>
              <w:t xml:space="preserve">Document</w:t>
            </w:r>
          </w:p>
        </w:tc>
        <w:tc>
          <w:tcPr>
            <w:tcW w:type="dxa" w:w="7020"/>
            <w:shd w:fill="F6F2ED" w:color="auto" w:val="clear"/>
            <w:tcMar>
              <w:top w:type="dxa" w:w="90"/>
              <w:left w:type="dxa" w:w="130"/>
              <w:bottom w:type="dxa" w:w="90"/>
              <w:right w:type="dxa" w:w="130"/>
            </w:tcMar>
          </w:tcPr>
          <w:p>
            <w:pPr>
              <w:spacing w:after="0" w:before="0" w:line="252"/>
            </w:pPr>
            <w:r>
              <w:rPr>
                <w:rFonts w:ascii="Calibri" w:cs="Calibri" w:eastAsia="Calibri" w:hAnsi="Calibri"/>
                <w:b/>
                <w:bCs/>
                <w:color w:val="2D2A26"/>
                <w:sz w:val="19"/>
                <w:szCs w:val="19"/>
              </w:rPr>
              <w:t xml:space="preserve">Change</w:t>
            </w:r>
          </w:p>
        </w:tc>
      </w:tr>
      <w:tr>
        <w:tc>
          <w:tcPr>
            <w:tcW w:type="dxa" w:w="2340"/>
            <w:tcMar>
              <w:top w:type="dxa" w:w="90"/>
              <w:left w:type="dxa" w:w="130"/>
              <w:bottom w:type="dxa" w:w="90"/>
              <w:right w:type="dxa" w:w="130"/>
            </w:tcMar>
          </w:tcPr>
          <w:p>
            <w:pPr>
              <w:spacing w:after="0" w:before="0" w:line="252"/>
            </w:pPr>
            <w:r>
              <w:rPr>
                <w:rFonts w:ascii="Calibri" w:cs="Calibri" w:eastAsia="Calibri" w:hAnsi="Calibri"/>
                <w:color w:val="2D2A26"/>
                <w:sz w:val="19"/>
                <w:szCs w:val="19"/>
              </w:rPr>
              <w:t xml:space="preserve">Artist Agreement</w:t>
            </w:r>
          </w:p>
        </w:tc>
        <w:tc>
          <w:tcPr>
            <w:tcW w:type="dxa" w:w="7020"/>
            <w:tcMar>
              <w:top w:type="dxa" w:w="90"/>
              <w:left w:type="dxa" w:w="130"/>
              <w:bottom w:type="dxa" w:w="90"/>
              <w:right w:type="dxa" w:w="130"/>
            </w:tcMar>
          </w:tcPr>
          <w:p>
            <w:pPr>
              <w:spacing w:after="0" w:before="0" w:line="252"/>
            </w:pPr>
            <w:r>
              <w:rPr>
                <w:rFonts w:ascii="Calibri" w:cs="Calibri" w:eastAsia="Calibri" w:hAnsi="Calibri"/>
                <w:color w:val="2D2A26"/>
                <w:sz w:val="19"/>
                <w:szCs w:val="19"/>
              </w:rPr>
              <w:t xml:space="preserve">Delivery confirmation disclosed as artist-attested; §4.5 typo fixed; message-response requirement bounded in time; </w:t>
            </w:r>
            <w:r>
              <w:rPr>
                <w:rFonts w:ascii="Calibri" w:cs="Calibri" w:eastAsia="Calibri" w:hAnsi="Calibri"/>
                <w:b/>
                <w:bCs/>
                <w:color w:val="2D2A26"/>
                <w:sz w:val="19"/>
                <w:szCs w:val="19"/>
              </w:rPr>
              <w:t xml:space="preserve">local pickup disclosed as not currently protected</w:t>
            </w:r>
            <w:r>
              <w:rPr>
                <w:rFonts w:ascii="Calibri" w:cs="Calibri" w:eastAsia="Calibri" w:hAnsi="Calibri"/>
                <w:color w:val="2D2A26"/>
                <w:sz w:val="19"/>
                <w:szCs w:val="19"/>
              </w:rPr>
              <w:t xml:space="preserve">; set-off and reserve rights added; missed-window cancellation duty added; insurance obligation made performable; fourth refund exception (never shipped) and abandoned-order path added; commissions carved out of the off-platform prohibition; 1099-K responsibility flagged</w:t>
            </w:r>
          </w:p>
        </w:tc>
      </w:tr>
      <w:tr>
        <w:tc>
          <w:tcPr>
            <w:tcW w:type="dxa" w:w="2340"/>
            <w:tcMar>
              <w:top w:type="dxa" w:w="90"/>
              <w:left w:type="dxa" w:w="130"/>
              <w:bottom w:type="dxa" w:w="90"/>
              <w:right w:type="dxa" w:w="130"/>
            </w:tcMar>
          </w:tcPr>
          <w:p>
            <w:pPr>
              <w:spacing w:after="0" w:before="0" w:line="252"/>
            </w:pPr>
            <w:r>
              <w:rPr>
                <w:rFonts w:ascii="Calibri" w:cs="Calibri" w:eastAsia="Calibri" w:hAnsi="Calibri"/>
                <w:color w:val="2D2A26"/>
                <w:sz w:val="19"/>
                <w:szCs w:val="19"/>
              </w:rPr>
              <w:t xml:space="preserve">Terms of Service</w:t>
            </w:r>
          </w:p>
        </w:tc>
        <w:tc>
          <w:tcPr>
            <w:tcW w:type="dxa" w:w="7020"/>
            <w:tcMar>
              <w:top w:type="dxa" w:w="90"/>
              <w:left w:type="dxa" w:w="130"/>
              <w:bottom w:type="dxa" w:w="90"/>
              <w:right w:type="dxa" w:w="130"/>
            </w:tcMar>
          </w:tcPr>
          <w:p>
            <w:pPr>
              <w:spacing w:after="0" w:before="0" w:line="252"/>
            </w:pPr>
            <w:r>
              <w:rPr>
                <w:rFonts w:ascii="Calibri" w:cs="Calibri" w:eastAsia="Calibri" w:hAnsi="Calibri"/>
                <w:color w:val="2D2A26"/>
                <w:sz w:val="19"/>
                <w:szCs w:val="19"/>
              </w:rPr>
              <w:t xml:space="preserve">Account minimum raised to 18; commissions carved out of §6; fee described accurately in §10; merchant-of-record versus warranty-disclaimer tension flagged in §13.2</w:t>
            </w:r>
          </w:p>
        </w:tc>
      </w:tr>
      <w:tr>
        <w:tc>
          <w:tcPr>
            <w:tcW w:type="dxa" w:w="2340"/>
            <w:tcMar>
              <w:top w:type="dxa" w:w="90"/>
              <w:left w:type="dxa" w:w="130"/>
              <w:bottom w:type="dxa" w:w="90"/>
              <w:right w:type="dxa" w:w="130"/>
            </w:tcMar>
          </w:tcPr>
          <w:p>
            <w:pPr>
              <w:spacing w:after="0" w:before="0" w:line="252"/>
            </w:pPr>
            <w:r>
              <w:rPr>
                <w:rFonts w:ascii="Calibri" w:cs="Calibri" w:eastAsia="Calibri" w:hAnsi="Calibri"/>
                <w:color w:val="2D2A26"/>
                <w:sz w:val="19"/>
                <w:szCs w:val="19"/>
              </w:rPr>
              <w:t xml:space="preserve">Terms of Sale</w:t>
            </w:r>
          </w:p>
        </w:tc>
        <w:tc>
          <w:tcPr>
            <w:tcW w:type="dxa" w:w="7020"/>
            <w:tcMar>
              <w:top w:type="dxa" w:w="90"/>
              <w:left w:type="dxa" w:w="130"/>
              <w:bottom w:type="dxa" w:w="90"/>
              <w:right w:type="dxa" w:w="130"/>
            </w:tcMar>
          </w:tcPr>
          <w:p>
            <w:pPr>
              <w:spacing w:after="0" w:before="0" w:line="252"/>
            </w:pPr>
            <w:r>
              <w:rPr>
                <w:rFonts w:ascii="Calibri" w:cs="Calibri" w:eastAsia="Calibri" w:hAnsi="Calibri"/>
                <w:color w:val="2D2A26"/>
                <w:sz w:val="19"/>
                <w:szCs w:val="19"/>
              </w:rPr>
              <w:t xml:space="preserve">Fee described accurately (it is not flatly 3%); non-delivery and late-shipment rights added; fee refunded on fault-based refunds; </w:t>
            </w:r>
            <w:r>
              <w:rPr>
                <w:rFonts w:ascii="Calibri" w:cs="Calibri" w:eastAsia="Calibri" w:hAnsi="Calibri"/>
                <w:b/>
                <w:bCs/>
                <w:color w:val="2D2A26"/>
                <w:sz w:val="19"/>
                <w:szCs w:val="19"/>
              </w:rPr>
              <w:t xml:space="preserve">new §9 incorporating the arbitration clause</w:t>
            </w:r>
            <w:r>
              <w:rPr>
                <w:rFonts w:ascii="Calibri" w:cs="Calibri" w:eastAsia="Calibri" w:hAnsi="Calibri"/>
                <w:color w:val="2D2A26"/>
                <w:sz w:val="19"/>
                <w:szCs w:val="19"/>
              </w:rPr>
              <w:t xml:space="preserve">, which the checkout document previously lacked entirely</w:t>
            </w:r>
          </w:p>
        </w:tc>
      </w:tr>
      <w:tr>
        <w:tc>
          <w:tcPr>
            <w:tcW w:type="dxa" w:w="2340"/>
            <w:tcMar>
              <w:top w:type="dxa" w:w="90"/>
              <w:left w:type="dxa" w:w="130"/>
              <w:bottom w:type="dxa" w:w="90"/>
              <w:right w:type="dxa" w:w="130"/>
            </w:tcMar>
          </w:tcPr>
          <w:p>
            <w:pPr>
              <w:spacing w:after="0" w:before="0" w:line="252"/>
            </w:pPr>
            <w:r>
              <w:rPr>
                <w:rFonts w:ascii="Calibri" w:cs="Calibri" w:eastAsia="Calibri" w:hAnsi="Calibri"/>
                <w:color w:val="2D2A26"/>
                <w:sz w:val="19"/>
                <w:szCs w:val="19"/>
              </w:rPr>
              <w:t xml:space="preserve">Returns &amp; Refunds</w:t>
            </w:r>
          </w:p>
        </w:tc>
        <w:tc>
          <w:tcPr>
            <w:tcW w:type="dxa" w:w="7020"/>
            <w:tcMar>
              <w:top w:type="dxa" w:w="90"/>
              <w:left w:type="dxa" w:w="130"/>
              <w:bottom w:type="dxa" w:w="90"/>
              <w:right w:type="dxa" w:w="130"/>
            </w:tcMar>
          </w:tcPr>
          <w:p>
            <w:pPr>
              <w:spacing w:after="0" w:before="0" w:line="252"/>
            </w:pPr>
            <w:r>
              <w:rPr>
                <w:rFonts w:ascii="Calibri" w:cs="Calibri" w:eastAsia="Calibri" w:hAnsi="Calibri"/>
                <w:color w:val="2D2A26"/>
                <w:sz w:val="19"/>
                <w:szCs w:val="19"/>
              </w:rPr>
              <w:t xml:space="preserve">Four non-discretionary refund grounds stated up front; never-shipped section added; merchant-of-record responsibility restated</w:t>
            </w:r>
          </w:p>
        </w:tc>
      </w:tr>
      <w:tr>
        <w:tc>
          <w:tcPr>
            <w:tcW w:type="dxa" w:w="2340"/>
            <w:tcMar>
              <w:top w:type="dxa" w:w="90"/>
              <w:left w:type="dxa" w:w="130"/>
              <w:bottom w:type="dxa" w:w="90"/>
              <w:right w:type="dxa" w:w="130"/>
            </w:tcMar>
          </w:tcPr>
          <w:p>
            <w:pPr>
              <w:spacing w:after="0" w:before="0" w:line="252"/>
            </w:pPr>
            <w:r>
              <w:rPr>
                <w:rFonts w:ascii="Calibri" w:cs="Calibri" w:eastAsia="Calibri" w:hAnsi="Calibri"/>
                <w:color w:val="2D2A26"/>
                <w:sz w:val="19"/>
                <w:szCs w:val="19"/>
              </w:rPr>
              <w:t xml:space="preserve">Shipping</w:t>
            </w:r>
          </w:p>
        </w:tc>
        <w:tc>
          <w:tcPr>
            <w:tcW w:type="dxa" w:w="7020"/>
            <w:tcMar>
              <w:top w:type="dxa" w:w="90"/>
              <w:left w:type="dxa" w:w="130"/>
              <w:bottom w:type="dxa" w:w="90"/>
              <w:right w:type="dxa" w:w="130"/>
            </w:tcMar>
          </w:tcPr>
          <w:p>
            <w:pPr>
              <w:spacing w:after="0" w:before="0" w:line="252"/>
            </w:pPr>
            <w:r>
              <w:rPr>
                <w:rFonts w:ascii="Calibri" w:cs="Calibri" w:eastAsia="Calibri" w:hAnsi="Calibri"/>
                <w:color w:val="2D2A26"/>
                <w:sz w:val="19"/>
                <w:szCs w:val="19"/>
              </w:rPr>
              <w:t xml:space="preserve">Missed-window cancellation right; signature and insurance obligations phrased as duties on the artist; refund right made independent of whether the artist insured</w:t>
            </w:r>
          </w:p>
        </w:tc>
      </w:tr>
      <w:tr>
        <w:tc>
          <w:tcPr>
            <w:tcW w:type="dxa" w:w="2340"/>
            <w:tcMar>
              <w:top w:type="dxa" w:w="90"/>
              <w:left w:type="dxa" w:w="130"/>
              <w:bottom w:type="dxa" w:w="90"/>
              <w:right w:type="dxa" w:w="130"/>
            </w:tcMar>
          </w:tcPr>
          <w:p>
            <w:pPr>
              <w:spacing w:after="0" w:before="0" w:line="252"/>
            </w:pPr>
            <w:r>
              <w:rPr>
                <w:rFonts w:ascii="Calibri" w:cs="Calibri" w:eastAsia="Calibri" w:hAnsi="Calibri"/>
                <w:color w:val="2D2A26"/>
                <w:sz w:val="19"/>
                <w:szCs w:val="19"/>
              </w:rPr>
              <w:t xml:space="preserve">Seller Protection</w:t>
            </w:r>
          </w:p>
        </w:tc>
        <w:tc>
          <w:tcPr>
            <w:tcW w:type="dxa" w:w="7020"/>
            <w:tcMar>
              <w:top w:type="dxa" w:w="90"/>
              <w:left w:type="dxa" w:w="130"/>
              <w:bottom w:type="dxa" w:w="90"/>
              <w:right w:type="dxa" w:w="130"/>
            </w:tcMar>
          </w:tcPr>
          <w:p>
            <w:pPr>
              <w:spacing w:after="0" w:before="0" w:line="252"/>
            </w:pPr>
            <w:r>
              <w:rPr>
                <w:rFonts w:ascii="Calibri" w:cs="Calibri" w:eastAsia="Calibri" w:hAnsi="Calibri"/>
                <w:color w:val="2D2A26"/>
                <w:sz w:val="19"/>
                <w:szCs w:val="19"/>
              </w:rPr>
              <w:t xml:space="preserve">Pickup ineligibility and attestation limits disclosed; response requirement bounded; negative-balance recovery explained; exclusions widened</w:t>
            </w:r>
          </w:p>
        </w:tc>
      </w:tr>
      <w:tr>
        <w:tc>
          <w:tcPr>
            <w:tcW w:type="dxa" w:w="2340"/>
            <w:tcMar>
              <w:top w:type="dxa" w:w="90"/>
              <w:left w:type="dxa" w:w="130"/>
              <w:bottom w:type="dxa" w:w="90"/>
              <w:right w:type="dxa" w:w="130"/>
            </w:tcMar>
          </w:tcPr>
          <w:p>
            <w:pPr>
              <w:spacing w:after="0" w:before="0" w:line="252"/>
            </w:pPr>
            <w:r>
              <w:rPr>
                <w:rFonts w:ascii="Calibri" w:cs="Calibri" w:eastAsia="Calibri" w:hAnsi="Calibri"/>
                <w:color w:val="2D2A26"/>
                <w:sz w:val="19"/>
                <w:szCs w:val="19"/>
              </w:rPr>
              <w:t xml:space="preserve">Prohibited Items</w:t>
            </w:r>
          </w:p>
        </w:tc>
        <w:tc>
          <w:tcPr>
            <w:tcW w:type="dxa" w:w="7020"/>
            <w:tcMar>
              <w:top w:type="dxa" w:w="90"/>
              <w:left w:type="dxa" w:w="130"/>
              <w:bottom w:type="dxa" w:w="90"/>
              <w:right w:type="dxa" w:w="130"/>
            </w:tcMar>
          </w:tcPr>
          <w:p>
            <w:pPr>
              <w:spacing w:after="0" w:before="0" w:line="252"/>
            </w:pPr>
            <w:r>
              <w:rPr>
                <w:rFonts w:ascii="Calibri" w:cs="Calibri" w:eastAsia="Calibri" w:hAnsi="Calibri"/>
                <w:color w:val="2D2A26"/>
                <w:sz w:val="19"/>
                <w:szCs w:val="19"/>
              </w:rPr>
              <w:t xml:space="preserve">Vintage and estate contradiction resolved against acceptance</w:t>
            </w:r>
          </w:p>
        </w:tc>
      </w:tr>
      <w:tr>
        <w:tc>
          <w:tcPr>
            <w:tcW w:type="dxa" w:w="2340"/>
            <w:tcMar>
              <w:top w:type="dxa" w:w="90"/>
              <w:left w:type="dxa" w:w="130"/>
              <w:bottom w:type="dxa" w:w="90"/>
              <w:right w:type="dxa" w:w="130"/>
            </w:tcMar>
          </w:tcPr>
          <w:p>
            <w:pPr>
              <w:spacing w:after="0" w:before="0" w:line="252"/>
            </w:pPr>
            <w:r>
              <w:rPr>
                <w:rFonts w:ascii="Calibri" w:cs="Calibri" w:eastAsia="Calibri" w:hAnsi="Calibri"/>
                <w:color w:val="2D2A26"/>
                <w:sz w:val="19"/>
                <w:szCs w:val="19"/>
              </w:rPr>
              <w:t xml:space="preserve">Authenticity</w:t>
            </w:r>
          </w:p>
        </w:tc>
        <w:tc>
          <w:tcPr>
            <w:tcW w:type="dxa" w:w="7020"/>
            <w:tcMar>
              <w:top w:type="dxa" w:w="90"/>
              <w:left w:type="dxa" w:w="130"/>
              <w:bottom w:type="dxa" w:w="90"/>
              <w:right w:type="dxa" w:w="130"/>
            </w:tcMar>
          </w:tcPr>
          <w:p>
            <w:pPr>
              <w:spacing w:after="0" w:before="0" w:line="252"/>
            </w:pPr>
            <w:r>
              <w:rPr>
                <w:rFonts w:ascii="Calibri" w:cs="Calibri" w:eastAsia="Calibri" w:hAnsi="Calibri"/>
                <w:color w:val="2D2A26"/>
                <w:sz w:val="19"/>
                <w:szCs w:val="19"/>
              </w:rPr>
              <w:t xml:space="preserve">Aligned with the above; service fee included in a substantiated-misdescription refund</w:t>
            </w:r>
          </w:p>
        </w:tc>
      </w:tr>
      <w:tr>
        <w:tc>
          <w:tcPr>
            <w:tcW w:type="dxa" w:w="2340"/>
            <w:tcMar>
              <w:top w:type="dxa" w:w="90"/>
              <w:left w:type="dxa" w:w="130"/>
              <w:bottom w:type="dxa" w:w="90"/>
              <w:right w:type="dxa" w:w="130"/>
            </w:tcMar>
          </w:tcPr>
          <w:p>
            <w:pPr>
              <w:spacing w:after="0" w:before="0" w:line="252"/>
            </w:pPr>
            <w:r>
              <w:rPr>
                <w:rFonts w:ascii="Calibri" w:cs="Calibri" w:eastAsia="Calibri" w:hAnsi="Calibri"/>
                <w:color w:val="2D2A26"/>
                <w:sz w:val="19"/>
                <w:szCs w:val="19"/>
              </w:rPr>
              <w:t xml:space="preserve">Community Guidelines</w:t>
            </w:r>
          </w:p>
        </w:tc>
        <w:tc>
          <w:tcPr>
            <w:tcW w:type="dxa" w:w="7020"/>
            <w:tcMar>
              <w:top w:type="dxa" w:w="90"/>
              <w:left w:type="dxa" w:w="130"/>
              <w:bottom w:type="dxa" w:w="90"/>
              <w:right w:type="dxa" w:w="130"/>
            </w:tcMar>
          </w:tcPr>
          <w:p>
            <w:pPr>
              <w:spacing w:after="0" w:before="0" w:line="252"/>
            </w:pPr>
            <w:r>
              <w:rPr>
                <w:rFonts w:ascii="Calibri" w:cs="Calibri" w:eastAsia="Calibri" w:hAnsi="Calibri"/>
                <w:color w:val="2D2A26"/>
                <w:sz w:val="19"/>
                <w:szCs w:val="19"/>
              </w:rPr>
              <w:t xml:space="preserve">NCMEC reporting stated; commissions exception noted</w:t>
            </w:r>
          </w:p>
        </w:tc>
      </w:tr>
      <w:tr>
        <w:tc>
          <w:tcPr>
            <w:tcW w:type="dxa" w:w="2340"/>
            <w:tcMar>
              <w:top w:type="dxa" w:w="90"/>
              <w:left w:type="dxa" w:w="130"/>
              <w:bottom w:type="dxa" w:w="90"/>
              <w:right w:type="dxa" w:w="130"/>
            </w:tcMar>
          </w:tcPr>
          <w:p>
            <w:pPr>
              <w:spacing w:after="0" w:before="0" w:line="252"/>
            </w:pPr>
            <w:r>
              <w:rPr>
                <w:rFonts w:ascii="Calibri" w:cs="Calibri" w:eastAsia="Calibri" w:hAnsi="Calibri"/>
                <w:color w:val="2D2A26"/>
                <w:sz w:val="19"/>
                <w:szCs w:val="19"/>
              </w:rPr>
              <w:t xml:space="preserve">Privacy</w:t>
            </w:r>
          </w:p>
        </w:tc>
        <w:tc>
          <w:tcPr>
            <w:tcW w:type="dxa" w:w="7020"/>
            <w:tcMar>
              <w:top w:type="dxa" w:w="90"/>
              <w:left w:type="dxa" w:w="130"/>
              <w:bottom w:type="dxa" w:w="90"/>
              <w:right w:type="dxa" w:w="130"/>
            </w:tcMar>
          </w:tcPr>
          <w:p>
            <w:pPr>
              <w:spacing w:after="0" w:before="0" w:line="252"/>
            </w:pPr>
            <w:r>
              <w:rPr>
                <w:rFonts w:ascii="Calibri" w:cs="Calibri" w:eastAsia="Calibri" w:hAnsi="Calibri"/>
                <w:b/>
                <w:bCs/>
                <w:color w:val="2D2A26"/>
                <w:sz w:val="19"/>
                <w:szCs w:val="19"/>
              </w:rPr>
              <w:t xml:space="preserve">AG breach deadline corrected to 30 days</w:t>
            </w:r>
            <w:r>
              <w:rPr>
                <w:rFonts w:ascii="Calibri" w:cs="Calibri" w:eastAsia="Calibri" w:hAnsi="Calibri"/>
                <w:color w:val="2D2A26"/>
                <w:sz w:val="19"/>
                <w:szCs w:val="19"/>
              </w:rPr>
              <w:t xml:space="preserve"> (individuals stay at 60); rights-appeal process added; Global Privacy Control addressed; children's section replaced with an 18+ section</w:t>
            </w:r>
          </w:p>
        </w:tc>
      </w:tr>
      <w:tr>
        <w:tc>
          <w:tcPr>
            <w:tcW w:type="dxa" w:w="2340"/>
            <w:tcMar>
              <w:top w:type="dxa" w:w="90"/>
              <w:left w:type="dxa" w:w="130"/>
              <w:bottom w:type="dxa" w:w="90"/>
              <w:right w:type="dxa" w:w="130"/>
            </w:tcMar>
          </w:tcPr>
          <w:p>
            <w:pPr>
              <w:spacing w:after="0" w:before="0" w:line="252"/>
            </w:pPr>
            <w:r>
              <w:rPr>
                <w:rFonts w:ascii="Calibri" w:cs="Calibri" w:eastAsia="Calibri" w:hAnsi="Calibri"/>
                <w:color w:val="2D2A26"/>
                <w:sz w:val="19"/>
                <w:szCs w:val="19"/>
              </w:rPr>
              <w:t xml:space="preserve">DMCA</w:t>
            </w:r>
          </w:p>
        </w:tc>
        <w:tc>
          <w:tcPr>
            <w:tcW w:type="dxa" w:w="7020"/>
            <w:tcMar>
              <w:top w:type="dxa" w:w="90"/>
              <w:left w:type="dxa" w:w="130"/>
              <w:bottom w:type="dxa" w:w="90"/>
              <w:right w:type="dxa" w:w="130"/>
            </w:tcMar>
          </w:tcPr>
          <w:p>
            <w:pPr>
              <w:spacing w:after="0" w:before="0" w:line="252"/>
            </w:pPr>
            <w:r>
              <w:rPr>
                <w:rFonts w:ascii="Calibri" w:cs="Calibri" w:eastAsia="Calibri" w:hAnsi="Calibri"/>
                <w:color w:val="2D2A26"/>
                <w:sz w:val="19"/>
                <w:szCs w:val="19"/>
              </w:rPr>
              <w:t xml:space="preserve">Requirement that the published agent details match the Copyright Office record word for word</w:t>
            </w:r>
          </w:p>
        </w:tc>
      </w:tr>
      <w:tr>
        <w:tc>
          <w:tcPr>
            <w:tcW w:type="dxa" w:w="2340"/>
            <w:tcMar>
              <w:top w:type="dxa" w:w="90"/>
              <w:left w:type="dxa" w:w="130"/>
              <w:bottom w:type="dxa" w:w="90"/>
              <w:right w:type="dxa" w:w="130"/>
            </w:tcMar>
          </w:tcPr>
          <w:p>
            <w:pPr>
              <w:spacing w:after="0" w:before="0" w:line="252"/>
            </w:pPr>
            <w:r>
              <w:rPr>
                <w:rFonts w:ascii="Calibri" w:cs="Calibri" w:eastAsia="Calibri" w:hAnsi="Calibri"/>
                <w:color w:val="2D2A26"/>
                <w:sz w:val="19"/>
                <w:szCs w:val="19"/>
              </w:rPr>
              <w:t xml:space="preserve">Counsel Brief</w:t>
            </w:r>
          </w:p>
        </w:tc>
        <w:tc>
          <w:tcPr>
            <w:tcW w:type="dxa" w:w="7020"/>
            <w:tcMar>
              <w:top w:type="dxa" w:w="90"/>
              <w:left w:type="dxa" w:w="130"/>
              <w:bottom w:type="dxa" w:w="90"/>
              <w:right w:type="dxa" w:w="130"/>
            </w:tcMar>
          </w:tcPr>
          <w:p>
            <w:pPr>
              <w:spacing w:after="0" w:before="0" w:line="252"/>
            </w:pPr>
            <w:r>
              <w:rPr>
                <w:rFonts w:ascii="Calibri" w:cs="Calibri" w:eastAsia="Calibri" w:hAnsi="Calibri"/>
                <w:color w:val="2D2A26"/>
                <w:sz w:val="19"/>
                <w:szCs w:val="19"/>
              </w:rPr>
              <w:t xml:space="preserve">Three code-versus-document gaps documented; questions extended from 8 to 16</w:t>
            </w:r>
          </w:p>
        </w:tc>
      </w:tr>
    </w:tbl>
    <w:p>
      <w:pPr>
        <w:spacing w:after="180"/>
      </w:pPr>
      <w:r>
        <w:rPr>
          <w:sz w:val="2"/>
          <w:szCs w:val="2"/>
        </w:rPr>
        <w:t xml:space="preserve"/>
      </w:r>
    </w:p>
    <w:p>
      <w:pPr>
        <w:pStyle w:val="Heading1"/>
        <w:keepNext/>
        <w:spacing w:after="130" w:before="380"/>
      </w:pPr>
      <w:r>
        <w:rPr>
          <w:rFonts w:ascii="Georgia" w:cs="Georgia" w:eastAsia="Georgia" w:hAnsi="Georgia"/>
          <w:b/>
          <w:bCs/>
          <w:color w:val="2D2A26"/>
          <w:sz w:val="27"/>
          <w:szCs w:val="27"/>
        </w:rPr>
        <w:t xml:space="preserve">Non-document actions</w:t>
      </w:r>
    </w:p>
    <w:p>
      <w:pPr>
        <w:pStyle w:val="ListParagraph"/>
        <w:numPr>
          <w:ilvl w:val="0"/>
          <w:numId w:val="1"/>
        </w:numPr>
        <w:spacing w:after="60" w:before="40" w:line="264"/>
      </w:pPr>
      <w:r>
        <w:rPr>
          <w:rFonts w:ascii="Calibri" w:cs="Calibri" w:eastAsia="Calibri" w:hAnsi="Calibri"/>
          <w:color w:val="2D2A26"/>
          <w:sz w:val="21"/>
          <w:szCs w:val="21"/>
        </w:rPr>
        <w:t xml:space="preserve">[ ] </w:t>
      </w:r>
      <w:r>
        <w:rPr>
          <w:rFonts w:ascii="Calibri" w:cs="Calibri" w:eastAsia="Calibri" w:hAnsi="Calibri"/>
          <w:b/>
          <w:bCs/>
          <w:color w:val="2D2A26"/>
          <w:sz w:val="21"/>
          <w:szCs w:val="21"/>
        </w:rPr>
        <w:t xml:space="preserve">Register a DMCA designated agent</w:t>
      </w:r>
      <w:r>
        <w:rPr>
          <w:rFonts w:ascii="Calibri" w:cs="Calibri" w:eastAsia="Calibri" w:hAnsi="Calibri"/>
          <w:color w:val="2D2A26"/>
          <w:sz w:val="21"/>
          <w:szCs w:val="21"/>
        </w:rPr>
        <w:t xml:space="preserve"> with the U.S. Copyright Office — $6, online only, renew every 3 years. Without it there is no §512(c) safe harbor for user-uploaded artwork. Nothing else on this list is as cheap or as load-bearing.</w:t>
      </w:r>
    </w:p>
    <w:p>
      <w:pPr>
        <w:pStyle w:val="ListParagraph"/>
        <w:numPr>
          <w:ilvl w:val="0"/>
          <w:numId w:val="1"/>
        </w:numPr>
        <w:spacing w:after="60" w:before="40" w:line="264"/>
      </w:pPr>
      <w:r>
        <w:rPr>
          <w:rFonts w:ascii="Calibri" w:cs="Calibri" w:eastAsia="Calibri" w:hAnsi="Calibri"/>
          <w:color w:val="2D2A26"/>
          <w:sz w:val="21"/>
          <w:szCs w:val="21"/>
        </w:rPr>
        <w:t xml:space="preserve">[ ] Texas sales tax permit (filed; expected ~1 week from 2026-08-25)</w:t>
      </w:r>
    </w:p>
    <w:p>
      <w:pPr>
        <w:pStyle w:val="ListParagraph"/>
        <w:numPr>
          <w:ilvl w:val="0"/>
          <w:numId w:val="1"/>
        </w:numPr>
        <w:spacing w:after="60" w:before="40" w:line="264"/>
      </w:pPr>
      <w:r>
        <w:rPr>
          <w:rFonts w:ascii="Calibri" w:cs="Calibri" w:eastAsia="Calibri" w:hAnsi="Calibri"/>
          <w:color w:val="2D2A26"/>
          <w:sz w:val="21"/>
          <w:szCs w:val="21"/>
        </w:rPr>
        <w:t xml:space="preserve">[ ] General liability / E&amp;O insurance</w:t>
      </w:r>
    </w:p>
    <w:p>
      <w:pPr>
        <w:pStyle w:val="ListParagraph"/>
        <w:numPr>
          <w:ilvl w:val="0"/>
          <w:numId w:val="1"/>
        </w:numPr>
        <w:spacing w:after="60" w:before="40" w:line="264"/>
      </w:pPr>
      <w:r>
        <w:rPr>
          <w:rFonts w:ascii="Calibri" w:cs="Calibri" w:eastAsia="Calibri" w:hAnsi="Calibri"/>
          <w:color w:val="2D2A26"/>
          <w:sz w:val="21"/>
          <w:szCs w:val="21"/>
        </w:rPr>
        <w:t xml:space="preserve">[ ] LLC operating agreement</w:t>
      </w:r>
    </w:p>
    <w:p>
      <w:pPr>
        <w:pStyle w:val="ListParagraph"/>
        <w:numPr>
          <w:ilvl w:val="0"/>
          <w:numId w:val="1"/>
        </w:numPr>
        <w:spacing w:after="60" w:before="40" w:line="264"/>
      </w:pPr>
      <w:r>
        <w:rPr>
          <w:rFonts w:ascii="Calibri" w:cs="Calibri" w:eastAsia="Calibri" w:hAnsi="Calibri"/>
          <w:color w:val="2D2A26"/>
          <w:sz w:val="21"/>
          <w:szCs w:val="21"/>
        </w:rPr>
        <w:t xml:space="preserve">[ ] Trademark search on "Custom Canvas"</w:t>
      </w:r>
    </w:p>
    <w:p>
      <w:pPr>
        <w:pStyle w:val="ListParagraph"/>
        <w:numPr>
          <w:ilvl w:val="0"/>
          <w:numId w:val="1"/>
        </w:numPr>
        <w:spacing w:after="60" w:before="40" w:line="264"/>
      </w:pPr>
      <w:r>
        <w:rPr>
          <w:rFonts w:ascii="Calibri" w:cs="Calibri" w:eastAsia="Calibri" w:hAnsi="Calibri"/>
          <w:color w:val="2D2A26"/>
          <w:sz w:val="21"/>
          <w:szCs w:val="21"/>
        </w:rPr>
        <w:t xml:space="preserve">[ ] </w:t>
      </w:r>
      <w:r>
        <w:rPr>
          <w:rFonts w:ascii="Calibri" w:cs="Calibri" w:eastAsia="Calibri" w:hAnsi="Calibri"/>
          <w:b/>
          <w:bCs/>
          <w:color w:val="2D2A26"/>
          <w:sz w:val="21"/>
          <w:szCs w:val="21"/>
        </w:rPr>
        <w:t xml:space="preserve">Build the local-pickup handoff confirmation</w:t>
      </w:r>
      <w:r>
        <w:rPr>
          <w:rFonts w:ascii="Calibri" w:cs="Calibri" w:eastAsia="Calibri" w:hAnsi="Calibri"/>
          <w:color w:val="2D2A26"/>
          <w:sz w:val="21"/>
          <w:szCs w:val="21"/>
        </w:rPr>
        <w:t xml:space="preserve"> — until it exists, pickup orders are unprotected and the artist-facing document has to say so</w:t>
      </w:r>
    </w:p>
    <w:p>
      <w:pPr>
        <w:pStyle w:val="ListParagraph"/>
        <w:numPr>
          <w:ilvl w:val="0"/>
          <w:numId w:val="1"/>
        </w:numPr>
        <w:spacing w:after="60" w:before="40" w:line="264"/>
      </w:pPr>
      <w:r>
        <w:rPr>
          <w:rFonts w:ascii="Calibri" w:cs="Calibri" w:eastAsia="Calibri" w:hAnsi="Calibri"/>
          <w:color w:val="2D2A26"/>
          <w:sz w:val="21"/>
          <w:szCs w:val="21"/>
        </w:rPr>
        <w:t xml:space="preserve">[ ] </w:t>
      </w:r>
      <w:r>
        <w:rPr>
          <w:rFonts w:ascii="Calibri" w:cs="Calibri" w:eastAsia="Calibri" w:hAnsi="Calibri"/>
          <w:b/>
          <w:bCs/>
          <w:color w:val="2D2A26"/>
          <w:sz w:val="21"/>
          <w:szCs w:val="21"/>
        </w:rPr>
        <w:t xml:space="preserve">Build the non-delivery path</w:t>
      </w:r>
      <w:r>
        <w:rPr>
          <w:rFonts w:ascii="Calibri" w:cs="Calibri" w:eastAsia="Calibri" w:hAnsi="Calibri"/>
          <w:color w:val="2D2A26"/>
          <w:sz w:val="21"/>
          <w:szCs w:val="21"/>
        </w:rPr>
        <w:t xml:space="preserve"> — cancellation right on a missed window, and unilateral refund of an abandoned order</w:t>
      </w:r>
    </w:p>
    <w:p>
      <w:pPr>
        <w:pStyle w:val="ListParagraph"/>
        <w:numPr>
          <w:ilvl w:val="0"/>
          <w:numId w:val="1"/>
        </w:numPr>
        <w:spacing w:after="60" w:before="40" w:line="264"/>
      </w:pPr>
      <w:r>
        <w:rPr>
          <w:rFonts w:ascii="Calibri" w:cs="Calibri" w:eastAsia="Calibri" w:hAnsi="Calibri"/>
          <w:color w:val="2D2A26"/>
          <w:sz w:val="21"/>
          <w:szCs w:val="21"/>
        </w:rPr>
        <w:t xml:space="preserve">[ ] </w:t>
      </w:r>
      <w:r>
        <w:rPr>
          <w:rFonts w:ascii="Calibri" w:cs="Calibri" w:eastAsia="Calibri" w:hAnsi="Calibri"/>
          <w:b/>
          <w:bCs/>
          <w:color w:val="2D2A26"/>
          <w:sz w:val="21"/>
          <w:szCs w:val="21"/>
        </w:rPr>
        <w:t xml:space="preserve">Change the refund code</w:t>
      </w:r>
      <w:r>
        <w:rPr>
          <w:rFonts w:ascii="Calibri" w:cs="Calibri" w:eastAsia="Calibri" w:hAnsi="Calibri"/>
          <w:color w:val="2D2A26"/>
          <w:sz w:val="21"/>
          <w:szCs w:val="21"/>
        </w:rPr>
        <w:t xml:space="preserve"> so the service fee is returned on fault-based refunds</w:t>
      </w:r>
    </w:p>
    <w:p>
      <w:pPr>
        <w:pStyle w:val="ListParagraph"/>
        <w:numPr>
          <w:ilvl w:val="0"/>
          <w:numId w:val="1"/>
        </w:numPr>
        <w:spacing w:after="60" w:before="40" w:line="264"/>
      </w:pPr>
      <w:r>
        <w:rPr>
          <w:rFonts w:ascii="Calibri" w:cs="Calibri" w:eastAsia="Calibri" w:hAnsi="Calibri"/>
          <w:color w:val="2D2A26"/>
          <w:sz w:val="21"/>
          <w:szCs w:val="21"/>
        </w:rPr>
        <w:t xml:space="preserve">[ ] Carrier tracking integration, to replace artist-attested delivery confirmation</w:t>
      </w:r>
    </w:p>
    <w:p>
      <w:pPr>
        <w:pStyle w:val="ListParagraph"/>
        <w:numPr>
          <w:ilvl w:val="0"/>
          <w:numId w:val="1"/>
        </w:numPr>
        <w:spacing w:after="60" w:before="40" w:line="264"/>
      </w:pPr>
      <w:r>
        <w:rPr>
          <w:rFonts w:ascii="Calibri" w:cs="Calibri" w:eastAsia="Calibri" w:hAnsi="Calibri"/>
          <w:color w:val="2D2A26"/>
          <w:sz w:val="21"/>
          <w:szCs w:val="21"/>
        </w:rPr>
        <w:t xml:space="preserve">[ ] Add the AI-disclosure field to the listing form</w:t>
      </w:r>
    </w:p>
    <w:p>
      <w:pPr>
        <w:spacing w:after="100"/>
      </w:pPr>
      <w:r>
        <w:rPr>
          <w:sz w:val="2"/>
          <w:szCs w:val="2"/>
        </w:rPr>
        <w:t xml:space="preserve"/>
      </w:r>
    </w:p>
    <w:p>
      <w:pPr>
        <w:pStyle w:val="Heading1"/>
        <w:keepNext/>
        <w:spacing w:after="130" w:before="380"/>
      </w:pPr>
      <w:r>
        <w:rPr>
          <w:rFonts w:ascii="Georgia" w:cs="Georgia" w:eastAsia="Georgia" w:hAnsi="Georgia"/>
          <w:b/>
          <w:bCs/>
          <w:color w:val="2D2A26"/>
          <w:sz w:val="27"/>
          <w:szCs w:val="27"/>
        </w:rPr>
        <w:t xml:space="preserve">Implementation note</w:t>
      </w:r>
    </w:p>
    <w:p>
      <w:pPr>
        <w:spacing w:after="170" w:before="0" w:line="276"/>
      </w:pPr>
      <w:r>
        <w:rPr>
          <w:rFonts w:ascii="Calibri" w:cs="Calibri" w:eastAsia="Calibri" w:hAnsi="Calibri"/>
          <w:color w:val="2D2A26"/>
          <w:sz w:val="21"/>
          <w:szCs w:val="21"/>
        </w:rPr>
        <w:t xml:space="preserve">These are markdown drafts, deliberately not yet wired into the site. Once counsel settles the text, each becomes a page under </w:t>
      </w:r>
      <w:r>
        <w:rPr>
          <w:rFonts w:ascii="Consolas" w:cs="Consolas" w:eastAsia="Consolas" w:hAnsi="Consolas"/>
          <w:color w:val="2D2A26"/>
          <w:sz w:val="19"/>
          <w:szCs w:val="19"/>
        </w:rPr>
        <w:t xml:space="preserve">src/app/(public)/</w:t>
      </w:r>
      <w:r>
        <w:rPr>
          <w:rFonts w:ascii="Calibri" w:cs="Calibri" w:eastAsia="Calibri" w:hAnsi="Calibri"/>
          <w:color w:val="2D2A26"/>
          <w:sz w:val="21"/>
          <w:szCs w:val="21"/>
        </w:rPr>
        <w:t xml:space="preserve">. Changing the </w:t>
      </w:r>
      <w:r>
        <w:rPr>
          <w:rFonts w:ascii="Calibri" w:cs="Calibri" w:eastAsia="Calibri" w:hAnsi="Calibri"/>
          <w:b/>
          <w:bCs/>
          <w:color w:val="2D2A26"/>
          <w:sz w:val="21"/>
          <w:szCs w:val="21"/>
        </w:rPr>
        <w:t xml:space="preserve">Artist Agreement</w:t>
      </w:r>
      <w:r>
        <w:rPr>
          <w:rFonts w:ascii="Calibri" w:cs="Calibri" w:eastAsia="Calibri" w:hAnsi="Calibri"/>
          <w:color w:val="2D2A26"/>
          <w:sz w:val="21"/>
          <w:szCs w:val="21"/>
        </w:rPr>
        <w:t xml:space="preserve"> additionally requires bumping </w:t>
      </w:r>
      <w:r>
        <w:rPr>
          <w:rFonts w:ascii="Consolas" w:cs="Consolas" w:eastAsia="Consolas" w:hAnsi="Consolas"/>
          <w:color w:val="2D2A26"/>
          <w:sz w:val="19"/>
          <w:szCs w:val="19"/>
        </w:rPr>
        <w:t xml:space="preserve">ARTIST_AGREEMENT_VERSION</w:t>
      </w:r>
      <w:r>
        <w:rPr>
          <w:rFonts w:ascii="Calibri" w:cs="Calibri" w:eastAsia="Calibri" w:hAnsi="Calibri"/>
          <w:color w:val="2D2A26"/>
          <w:sz w:val="21"/>
          <w:szCs w:val="21"/>
        </w:rPr>
        <w:t xml:space="preserve"> in </w:t>
      </w:r>
      <w:r>
        <w:rPr>
          <w:rFonts w:ascii="Consolas" w:cs="Consolas" w:eastAsia="Consolas" w:hAnsi="Consolas"/>
          <w:color w:val="2D2A26"/>
          <w:sz w:val="19"/>
          <w:szCs w:val="19"/>
        </w:rPr>
        <w:t xml:space="preserve">src/lib/agreement.ts</w:t>
      </w:r>
      <w:r>
        <w:rPr>
          <w:rFonts w:ascii="Calibri" w:cs="Calibri" w:eastAsia="Calibri" w:hAnsi="Calibri"/>
          <w:color w:val="2D2A26"/>
          <w:sz w:val="21"/>
          <w:szCs w:val="21"/>
        </w:rPr>
        <w:t xml:space="preserve">, which forces every existing artist to re-accept — the mechanism already exists and is tested.</w:t>
      </w:r>
    </w:p>
    <w:sectPr>
      <w:headerReference w:type="default" r:id="rId7"/>
      <w:headerReference w:type="first" r:id="rId8"/>
      <w:footerReference w:type="default" r:id="rId9"/>
      <w:footerReference w:type="first" r:id="rId10"/>
      <w:pgSz w:w="12240" w:h="15840" w:orient="portrait"/>
      <w:pgMar w:top="1180" w:right="1440" w:bottom="1180" w:left="1440" w:header="620" w:footer="62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ED7CF" w:sz="4" w:space="6"/>
      </w:pBdr>
      <w:spacing w:before="160"/>
    </w:pPr>
    <w:r>
      <w:rPr>
        <w:rFonts w:ascii="Calibri" w:cs="Calibri" w:eastAsia="Calibri" w:hAnsi="Calibri"/>
        <w:color w:val="6B6560"/>
        <w:sz w:val="15"/>
        <w:szCs w:val="15"/>
      </w:rPr>
      <w:t xml:space="preserve">Custom Canvas LLC  ·  DRAFT for counsel review  ·  not in force</w:t>
    </w:r>
    <w:r>
      <w:ptab w:alignment="right" w:relativeTo="margin" w:leader="none"/>
    </w:r>
    <w:r>
      <w:rPr>
        <w:rFonts w:ascii="Calibri" w:cs="Calibri" w:eastAsia="Calibri" w:hAnsi="Calibri"/>
        <w:color w:val="6B6560"/>
        <w:sz w:val="15"/>
        <w:szCs w:val="15"/>
      </w:rPr>
      <w:t xml:space="preserve">Page </w:t>
    </w:r>
    <w:r>
      <w:rPr>
        <w:rFonts w:ascii="Calibri" w:cs="Calibri" w:eastAsia="Calibri" w:hAnsi="Calibri"/>
        <w:color w:val="6B6560"/>
        <w:sz w:val="15"/>
        <w:szCs w:val="15"/>
      </w:rPr>
      <w:fldChar w:fldCharType="begin"/>
      <w:instrText xml:space="preserve">PAGE</w:instrText>
      <w:fldChar w:fldCharType="separate"/>
      <w:fldChar w:fldCharType="end"/>
    </w:r>
    <w:r>
      <w:rPr>
        <w:rFonts w:ascii="Calibri" w:cs="Calibri" w:eastAsia="Calibri" w:hAnsi="Calibri"/>
        <w:color w:val="6B6560"/>
        <w:sz w:val="15"/>
        <w:szCs w:val="15"/>
      </w:rPr>
      <w:t xml:space="preserve"> of </w:t>
    </w:r>
    <w:r>
      <w:rPr>
        <w:rFonts w:ascii="Calibri" w:cs="Calibri" w:eastAsia="Calibri" w:hAnsi="Calibri"/>
        <w:color w:val="6B6560"/>
        <w:sz w:val="15"/>
        <w:szCs w:val="15"/>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ED7CF" w:sz="4" w:space="6"/>
      </w:pBdr>
      <w:spacing w:before="160"/>
    </w:pPr>
    <w:r>
      <w:rPr>
        <w:rFonts w:ascii="Calibri" w:cs="Calibri" w:eastAsia="Calibri" w:hAnsi="Calibri"/>
        <w:color w:val="6B6560"/>
        <w:sz w:val="15"/>
        <w:szCs w:val="15"/>
      </w:rPr>
      <w:t xml:space="preserve">Custom Canvas LLC  ·  DRAFT for counsel review  ·  not in force</w:t>
    </w:r>
    <w:r>
      <w:ptab w:alignment="right" w:relativeTo="margin" w:leader="none"/>
    </w:r>
    <w:r>
      <w:rPr>
        <w:rFonts w:ascii="Calibri" w:cs="Calibri" w:eastAsia="Calibri" w:hAnsi="Calibri"/>
        <w:color w:val="6B6560"/>
        <w:sz w:val="15"/>
        <w:szCs w:val="15"/>
      </w:rPr>
      <w:t xml:space="preserve">Page </w:t>
    </w:r>
    <w:r>
      <w:rPr>
        <w:rFonts w:ascii="Calibri" w:cs="Calibri" w:eastAsia="Calibri" w:hAnsi="Calibri"/>
        <w:color w:val="6B6560"/>
        <w:sz w:val="15"/>
        <w:szCs w:val="15"/>
      </w:rPr>
      <w:fldChar w:fldCharType="begin"/>
      <w:instrText xml:space="preserve">PAGE</w:instrText>
      <w:fldChar w:fldCharType="separate"/>
      <w:fldChar w:fldCharType="end"/>
    </w:r>
    <w:r>
      <w:rPr>
        <w:rFonts w:ascii="Calibri" w:cs="Calibri" w:eastAsia="Calibri" w:hAnsi="Calibri"/>
        <w:color w:val="6B6560"/>
        <w:sz w:val="15"/>
        <w:szCs w:val="15"/>
      </w:rPr>
      <w:t xml:space="preserve"> of </w:t>
    </w:r>
    <w:r>
      <w:rPr>
        <w:rFonts w:ascii="Calibri" w:cs="Calibri" w:eastAsia="Calibri" w:hAnsi="Calibri"/>
        <w:color w:val="6B6560"/>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ED7CF" w:sz="4" w:space="6"/>
      </w:pBdr>
      <w:spacing w:after="220" w:line="240" w:lineRule="auto"/>
    </w:pPr>
    <w:r>
      <w:drawing>
        <wp:inline distT="0" distB="0" distL="0" distR="0">
          <wp:extent cx="1066800"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066800" cy="190500"/>
                  </a:xfrm>
                  <a:prstGeom prst="rect">
                    <a:avLst/>
                  </a:prstGeom>
                </pic:spPr>
              </pic:pic>
            </a:graphicData>
          </a:graphic>
        </wp:inline>
      </w:drawing>
    </w:r>
    <w:r>
      <w:ptab w:alignment="right" w:relativeTo="margin" w:leader="none"/>
    </w:r>
    <w:r>
      <w:rPr>
        <w:rFonts w:ascii="Calibri" w:cs="Calibri" w:eastAsia="Calibri" w:hAnsi="Calibri"/>
        <w:color w:val="6B6560"/>
        <w:sz w:val="16"/>
        <w:szCs w:val="16"/>
      </w:rPr>
      <w:t xml:space="preserve">Set Overview</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300"/>
      </w:pPr>
      <w:rPr>
        <w:b/>
        <w:bCs/>
        <w:color w:val="2D2A26"/>
      </w:rPr>
    </w:lvl>
    <w:lvl w:ilvl="1" w15:tentative="1">
      <w:start w:val="1"/>
      <w:numFmt w:val="lowerLetter"/>
      <w:lvlText w:val="%2."/>
      <w:lvlJc w:val="start"/>
      <w:pPr>
        <w:ind w:left="90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D2A26"/>
        <w:sz w:val="21"/>
        <w:szCs w:val="21"/>
      </w:rPr>
    </w:rPrDefault>
    <w:pPrDefault>
      <w:pPr>
        <w:spacing w:after="170"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2a3144cd3113bc82c47ae4b8580fe08af0917050.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2a3144cd3113bc82c47ae4b8580fe08af0917050.png"/></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 Canvas Document Set Overview</dc:title>
  <dc:creator>Custom Canvas LLC</dc:creator>
  <dc:description>Draft for counsel review</dc:description>
  <cp:lastModifiedBy>Un-named</cp:lastModifiedBy>
  <cp:revision>1</cp:revision>
  <dcterms:created xsi:type="dcterms:W3CDTF">2026-08-25T21:50:40.422Z</dcterms:created>
  <dcterms:modified xsi:type="dcterms:W3CDTF">2026-08-25T21:50:40.422Z</dcterms:modified>
</cp:coreProperties>
</file>

<file path=docProps/custom.xml><?xml version="1.0" encoding="utf-8"?>
<Properties xmlns="http://schemas.openxmlformats.org/officeDocument/2006/custom-properties" xmlns:vt="http://schemas.openxmlformats.org/officeDocument/2006/docPropsVTypes"/>
</file>