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Listing Standards</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STATUS</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Merges the Authenticity and Prohibited Items policies. Not in force.</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AUDIENCE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Artists</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v1.0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PREPARED</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25 August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bl>
    <w:p>
      <w:pPr>
        <w:pBdr>
          <w:top w:val="single" w:color="DED7CF" w:sz="6" w:space="8"/>
        </w:pBdr>
        <w:spacing w:after="320" w:before="300"/>
      </w:pPr>
      <w:r>
        <w:rPr>
          <w:rFonts w:ascii="Calibri" w:cs="Calibri" w:eastAsia="Calibri" w:hAnsi="Calibri"/>
          <w:i/>
          <w:iCs/>
          <w:color w:val="6B6560"/>
          <w:sz w:val="17"/>
          <w:szCs w:val="17"/>
        </w:rPr>
        <w:t xml:space="preserve">Prepared for review by counsel. Not legal advice, and not prepared by a lawyer.</w:t>
      </w:r>
    </w:p>
    <w:tbl>
      <w:tblPr>
        <w:tblW w:type="dxa" w:w="9360"/>
        <w:tblBorders>
          <w:top w:val="none" w:color="FFFFFF" w:sz="0"/>
          <w:left w:val="single" w:color="E8704A" w:sz="18"/>
          <w:bottom w:val="none" w:color="FFFFFF" w:sz="0"/>
          <w:right w:val="none" w:color="FFFFFF" w:sz="0"/>
          <w:insideH w:val="none" w:color="FFFFFF" w:sz="0"/>
          <w:insideV w:val="none" w:color="FFFFFF" w:sz="0"/>
        </w:tblBorders>
      </w:tblPr>
      <w:tblGrid>
        <w:gridCol w:w="9360"/>
      </w:tblGrid>
      <w:tr>
        <w:tc>
          <w:tcPr>
            <w:tcW w:type="dxa" w:w="9360"/>
            <w:shd w:fill="FBEDE7" w:color="auto" w:val="clear"/>
            <w:tcMar>
              <w:top w:type="dxa" w:w="130"/>
              <w:left w:type="dxa" w:w="200"/>
              <w:bottom w:type="dxa" w:w="130"/>
              <w:right w:type="dxa" w:w="180"/>
            </w:tcMar>
          </w:tcPr>
          <w:p>
            <w:pPr>
              <w:spacing w:line="264"/>
            </w:pPr>
            <w:r>
              <w:rPr>
                <w:rFonts w:ascii="Calibri" w:cs="Calibri" w:eastAsia="Calibri" w:hAnsi="Calibri"/>
                <w:b/>
                <w:bCs/>
                <w:color w:val="2D2A26"/>
                <w:sz w:val="19"/>
                <w:szCs w:val="19"/>
              </w:rPr>
              <w:t xml:space="preserve">DRAFT — complete draft for counsel review.</w:t>
            </w:r>
            <w:r>
              <w:rPr>
                <w:rFonts w:ascii="Calibri" w:cs="Calibri" w:eastAsia="Calibri" w:hAnsi="Calibri"/>
                <w:color w:val="2D2A26"/>
                <w:sz w:val="19"/>
                <w:szCs w:val="19"/>
              </w:rPr>
              <w:t xml:space="preserve"> Merges the Authenticity &amp; Provenance Policy and the Prohibited &amp; Restricted Items Policy, which overlapped on originals, editions, AI and found materials. Neither exists today.</w:t>
            </w:r>
          </w:p>
        </w:tc>
      </w:tr>
    </w:tbl>
    <w:p>
      <w:pPr>
        <w:spacing w:after="160"/>
      </w:pPr>
      <w:r>
        <w:rPr>
          <w:sz w:val="2"/>
          <w:szCs w:val="2"/>
        </w:rPr>
        <w:t xml:space="preserve"/>
      </w:r>
    </w:p>
    <w:p>
      <w:pPr>
        <w:spacing w:after="170" w:before="0" w:line="276"/>
      </w:pPr>
      <w:r>
        <w:rPr>
          <w:rFonts w:ascii="Calibri" w:cs="Calibri" w:eastAsia="Calibri" w:hAnsi="Calibri"/>
          <w:color w:val="2D2A26"/>
          <w:sz w:val="21"/>
          <w:szCs w:val="21"/>
        </w:rPr>
        <w:t xml:space="preserve">Custom Canvas sells </w:t>
      </w:r>
      <w:r>
        <w:rPr>
          <w:rFonts w:ascii="Calibri" w:cs="Calibri" w:eastAsia="Calibri" w:hAnsi="Calibri"/>
          <w:b/>
          <w:bCs/>
          <w:color w:val="2D2A26"/>
          <w:sz w:val="21"/>
          <w:szCs w:val="21"/>
        </w:rPr>
        <w:t xml:space="preserve">original physical artwork by living, local artists</w:t>
      </w:r>
      <w:r>
        <w:rPr>
          <w:rFonts w:ascii="Calibri" w:cs="Calibri" w:eastAsia="Calibri" w:hAnsi="Calibri"/>
          <w:color w:val="2D2A26"/>
          <w:sz w:val="21"/>
          <w:szCs w:val="21"/>
        </w:rPr>
        <w:t xml:space="preserve">, made by the person selling it. This document says what that means, what you must tell buyers, and what is not accepted. It is referenced by the Artist Agreement and binding on every listing.</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Part one — describing your work</w:t>
      </w:r>
    </w:p>
    <w:p>
      <w:pPr>
        <w:pStyle w:val="Heading2"/>
        <w:keepNext/>
        <w:spacing w:after="100" w:before="280"/>
      </w:pPr>
      <w:r>
        <w:rPr>
          <w:rFonts w:ascii="Georgia" w:cs="Georgia" w:eastAsia="Georgia" w:hAnsi="Georgia"/>
          <w:b/>
          <w:bCs/>
          <w:color w:val="4A443E"/>
          <w:sz w:val="22"/>
          <w:szCs w:val="22"/>
        </w:rPr>
        <w:t xml:space="preserve">What every listing must state</w:t>
      </w:r>
    </w:p>
    <w:p>
      <w:pPr>
        <w:pStyle w:val="ListParagraph"/>
        <w:numPr>
          <w:ilvl w:val="0"/>
          <w:numId w:val="1"/>
        </w:numPr>
        <w:spacing w:after="60" w:before="40" w:line="264"/>
      </w:pPr>
      <w:r>
        <w:rPr>
          <w:rFonts w:ascii="Calibri" w:cs="Calibri" w:eastAsia="Calibri" w:hAnsi="Calibri"/>
          <w:b/>
          <w:bCs/>
          <w:color w:val="2D2A26"/>
          <w:sz w:val="21"/>
          <w:szCs w:val="21"/>
        </w:rPr>
        <w:t xml:space="preserve">What it is</w:t>
      </w:r>
      <w:r>
        <w:rPr>
          <w:rFonts w:ascii="Calibri" w:cs="Calibri" w:eastAsia="Calibri" w:hAnsi="Calibri"/>
          <w:color w:val="2D2A26"/>
          <w:sz w:val="21"/>
          <w:szCs w:val="21"/>
        </w:rPr>
        <w:t xml:space="preserve"> — original, numbered edition, open edition, or reproduction/print</w:t>
      </w:r>
    </w:p>
    <w:p>
      <w:pPr>
        <w:pStyle w:val="ListParagraph"/>
        <w:numPr>
          <w:ilvl w:val="0"/>
          <w:numId w:val="1"/>
        </w:numPr>
        <w:spacing w:after="60" w:before="40" w:line="264"/>
      </w:pPr>
      <w:r>
        <w:rPr>
          <w:rFonts w:ascii="Calibri" w:cs="Calibri" w:eastAsia="Calibri" w:hAnsi="Calibri"/>
          <w:b/>
          <w:bCs/>
          <w:color w:val="2D2A26"/>
          <w:sz w:val="21"/>
          <w:szCs w:val="21"/>
        </w:rPr>
        <w:t xml:space="preserve">Medium and support</w:t>
      </w:r>
      <w:r>
        <w:rPr>
          <w:rFonts w:ascii="Calibri" w:cs="Calibri" w:eastAsia="Calibri" w:hAnsi="Calibri"/>
          <w:color w:val="2D2A26"/>
          <w:sz w:val="21"/>
          <w:szCs w:val="21"/>
        </w:rPr>
        <w:t xml:space="preserve"> — e.g. oil on canvas, screenprint on paper</w:t>
      </w:r>
    </w:p>
    <w:p>
      <w:pPr>
        <w:pStyle w:val="ListParagraph"/>
        <w:numPr>
          <w:ilvl w:val="0"/>
          <w:numId w:val="1"/>
        </w:numPr>
        <w:spacing w:after="60" w:before="40" w:line="264"/>
      </w:pPr>
      <w:r>
        <w:rPr>
          <w:rFonts w:ascii="Calibri" w:cs="Calibri" w:eastAsia="Calibri" w:hAnsi="Calibri"/>
          <w:b/>
          <w:bCs/>
          <w:color w:val="2D2A26"/>
          <w:sz w:val="21"/>
          <w:szCs w:val="21"/>
        </w:rPr>
        <w:t xml:space="preserve">Dimensions</w:t>
      </w:r>
      <w:r>
        <w:rPr>
          <w:rFonts w:ascii="Calibri" w:cs="Calibri" w:eastAsia="Calibri" w:hAnsi="Calibri"/>
          <w:color w:val="2D2A26"/>
          <w:sz w:val="21"/>
          <w:szCs w:val="21"/>
        </w:rPr>
        <w:t xml:space="preserve">, and depth where relevant</w:t>
      </w:r>
    </w:p>
    <w:p>
      <w:pPr>
        <w:pStyle w:val="ListParagraph"/>
        <w:numPr>
          <w:ilvl w:val="0"/>
          <w:numId w:val="1"/>
        </w:numPr>
        <w:spacing w:after="60" w:before="40" w:line="264"/>
      </w:pPr>
      <w:r>
        <w:rPr>
          <w:rFonts w:ascii="Calibri" w:cs="Calibri" w:eastAsia="Calibri" w:hAnsi="Calibri"/>
          <w:b/>
          <w:bCs/>
          <w:color w:val="2D2A26"/>
          <w:sz w:val="21"/>
          <w:szCs w:val="21"/>
        </w:rPr>
        <w:t xml:space="preserve">Year</w:t>
      </w:r>
      <w:r>
        <w:rPr>
          <w:rFonts w:ascii="Calibri" w:cs="Calibri" w:eastAsia="Calibri" w:hAnsi="Calibri"/>
          <w:color w:val="2D2A26"/>
          <w:sz w:val="21"/>
          <w:szCs w:val="21"/>
        </w:rPr>
        <w:t xml:space="preserve"> made</w:t>
      </w:r>
    </w:p>
    <w:p>
      <w:pPr>
        <w:pStyle w:val="ListParagraph"/>
        <w:numPr>
          <w:ilvl w:val="0"/>
          <w:numId w:val="1"/>
        </w:numPr>
        <w:spacing w:after="60" w:before="40" w:line="264"/>
      </w:pPr>
      <w:r>
        <w:rPr>
          <w:rFonts w:ascii="Calibri" w:cs="Calibri" w:eastAsia="Calibri" w:hAnsi="Calibri"/>
          <w:b/>
          <w:bCs/>
          <w:color w:val="2D2A26"/>
          <w:sz w:val="21"/>
          <w:szCs w:val="21"/>
        </w:rPr>
        <w:t xml:space="preserve">Condition</w:t>
      </w:r>
      <w:r>
        <w:rPr>
          <w:rFonts w:ascii="Calibri" w:cs="Calibri" w:eastAsia="Calibri" w:hAnsi="Calibri"/>
          <w:color w:val="2D2A26"/>
          <w:sz w:val="21"/>
          <w:szCs w:val="21"/>
        </w:rPr>
        <w:t xml:space="preserve"> — any damage, repair, restoration, or material ageing</w:t>
      </w:r>
    </w:p>
    <w:p>
      <w:pPr>
        <w:pStyle w:val="ListParagraph"/>
        <w:numPr>
          <w:ilvl w:val="0"/>
          <w:numId w:val="1"/>
        </w:numPr>
        <w:spacing w:after="60" w:before="40" w:line="264"/>
      </w:pPr>
      <w:r>
        <w:rPr>
          <w:rFonts w:ascii="Calibri" w:cs="Calibri" w:eastAsia="Calibri" w:hAnsi="Calibri"/>
          <w:b/>
          <w:bCs/>
          <w:color w:val="2D2A26"/>
          <w:sz w:val="21"/>
          <w:szCs w:val="21"/>
        </w:rPr>
        <w:t xml:space="preserve">Edition details</w:t>
      </w:r>
      <w:r>
        <w:rPr>
          <w:rFonts w:ascii="Calibri" w:cs="Calibri" w:eastAsia="Calibri" w:hAnsi="Calibri"/>
          <w:color w:val="2D2A26"/>
          <w:sz w:val="21"/>
          <w:szCs w:val="21"/>
        </w:rPr>
        <w:t xml:space="preserve">, where applicable — edition size, this piece's number, whether signed, whether the plate or file has been destroyed or retired</w:t>
      </w:r>
    </w:p>
    <w:p>
      <w:pPr>
        <w:spacing w:after="100"/>
      </w:pPr>
      <w:r>
        <w:rPr>
          <w:sz w:val="2"/>
          <w:szCs w:val="2"/>
        </w:rPr>
        <w:t xml:space="preserve"/>
      </w:r>
    </w:p>
    <w:p>
      <w:pPr>
        <w:pStyle w:val="Heading2"/>
        <w:keepNext/>
        <w:spacing w:after="100" w:before="280"/>
      </w:pPr>
      <w:r>
        <w:rPr>
          <w:rFonts w:ascii="Georgia" w:cs="Georgia" w:eastAsia="Georgia" w:hAnsi="Georgia"/>
          <w:b/>
          <w:bCs/>
          <w:color w:val="4A443E"/>
          <w:sz w:val="22"/>
          <w:szCs w:val="22"/>
        </w:rPr>
        <w:t xml:space="preserve">The words we hold you to</w:t>
      </w:r>
    </w:p>
    <w:p>
      <w:pPr>
        <w:pStyle w:val="ListParagraph"/>
        <w:numPr>
          <w:ilvl w:val="0"/>
          <w:numId w:val="1"/>
        </w:numPr>
        <w:spacing w:after="60" w:before="40" w:line="264"/>
      </w:pPr>
      <w:r>
        <w:rPr>
          <w:rFonts w:ascii="Calibri" w:cs="Calibri" w:eastAsia="Calibri" w:hAnsi="Calibri"/>
          <w:b/>
          <w:bCs/>
          <w:color w:val="2D2A26"/>
          <w:sz w:val="21"/>
          <w:szCs w:val="21"/>
        </w:rPr>
        <w:t xml:space="preserve">Original</w:t>
      </w:r>
      <w:r>
        <w:rPr>
          <w:rFonts w:ascii="Calibri" w:cs="Calibri" w:eastAsia="Calibri" w:hAnsi="Calibri"/>
          <w:color w:val="2D2A26"/>
          <w:sz w:val="21"/>
          <w:szCs w:val="21"/>
        </w:rPr>
        <w:t xml:space="preserve"> — a unique work made by your hand. There is exactly one.</w:t>
      </w:r>
    </w:p>
    <w:p>
      <w:pPr>
        <w:pStyle w:val="ListParagraph"/>
        <w:numPr>
          <w:ilvl w:val="0"/>
          <w:numId w:val="1"/>
        </w:numPr>
        <w:spacing w:after="60" w:before="40" w:line="264"/>
      </w:pPr>
      <w:r>
        <w:rPr>
          <w:rFonts w:ascii="Calibri" w:cs="Calibri" w:eastAsia="Calibri" w:hAnsi="Calibri"/>
          <w:b/>
          <w:bCs/>
          <w:color w:val="2D2A26"/>
          <w:sz w:val="21"/>
          <w:szCs w:val="21"/>
        </w:rPr>
        <w:t xml:space="preserve">Limited edition</w:t>
      </w:r>
      <w:r>
        <w:rPr>
          <w:rFonts w:ascii="Calibri" w:cs="Calibri" w:eastAsia="Calibri" w:hAnsi="Calibri"/>
          <w:color w:val="2D2A26"/>
          <w:sz w:val="21"/>
          <w:szCs w:val="21"/>
        </w:rPr>
        <w:t xml:space="preserve"> — a stated, closed number of copies, each numbered. The edition size must be stated and must not later grow.</w:t>
      </w:r>
    </w:p>
    <w:p>
      <w:pPr>
        <w:pStyle w:val="ListParagraph"/>
        <w:numPr>
          <w:ilvl w:val="0"/>
          <w:numId w:val="1"/>
        </w:numPr>
        <w:spacing w:after="60" w:before="40" w:line="264"/>
      </w:pPr>
      <w:r>
        <w:rPr>
          <w:rFonts w:ascii="Calibri" w:cs="Calibri" w:eastAsia="Calibri" w:hAnsi="Calibri"/>
          <w:b/>
          <w:bCs/>
          <w:color w:val="2D2A26"/>
          <w:sz w:val="21"/>
          <w:szCs w:val="21"/>
        </w:rPr>
        <w:t xml:space="preserve">Open edition / print / reproduction</w:t>
      </w:r>
      <w:r>
        <w:rPr>
          <w:rFonts w:ascii="Calibri" w:cs="Calibri" w:eastAsia="Calibri" w:hAnsi="Calibri"/>
          <w:color w:val="2D2A26"/>
          <w:sz w:val="21"/>
          <w:szCs w:val="21"/>
        </w:rPr>
        <w:t xml:space="preserve"> — a copy of an existing work, produced without a fixed limit. </w:t>
      </w:r>
      <w:r>
        <w:rPr>
          <w:rFonts w:ascii="Calibri" w:cs="Calibri" w:eastAsia="Calibri" w:hAnsi="Calibri"/>
          <w:b/>
          <w:bCs/>
          <w:color w:val="2D2A26"/>
          <w:sz w:val="21"/>
          <w:szCs w:val="21"/>
        </w:rPr>
        <w:t xml:space="preserve">It must say so in the title or the first line of the description.</w:t>
      </w:r>
    </w:p>
    <w:p>
      <w:pPr>
        <w:pStyle w:val="ListParagraph"/>
        <w:numPr>
          <w:ilvl w:val="0"/>
          <w:numId w:val="1"/>
        </w:numPr>
        <w:spacing w:after="60" w:before="40" w:line="264"/>
      </w:pPr>
      <w:r>
        <w:rPr>
          <w:rFonts w:ascii="Calibri" w:cs="Calibri" w:eastAsia="Calibri" w:hAnsi="Calibri"/>
          <w:b/>
          <w:bCs/>
          <w:color w:val="2D2A26"/>
          <w:sz w:val="21"/>
          <w:szCs w:val="21"/>
        </w:rPr>
        <w:t xml:space="preserve">Studio assistance</w:t>
      </w:r>
      <w:r>
        <w:rPr>
          <w:rFonts w:ascii="Calibri" w:cs="Calibri" w:eastAsia="Calibri" w:hAnsi="Calibri"/>
          <w:color w:val="2D2A26"/>
          <w:sz w:val="21"/>
          <w:szCs w:val="21"/>
        </w:rPr>
        <w:t xml:space="preserve"> — if others worked on the piece under your direction, say so.</w:t>
      </w:r>
    </w:p>
    <w:p>
      <w:pPr>
        <w:pStyle w:val="ListParagraph"/>
        <w:numPr>
          <w:ilvl w:val="0"/>
          <w:numId w:val="1"/>
        </w:numPr>
        <w:spacing w:after="60" w:before="40" w:line="264"/>
      </w:pPr>
      <w:r>
        <w:rPr>
          <w:rFonts w:ascii="Calibri" w:cs="Calibri" w:eastAsia="Calibri" w:hAnsi="Calibri"/>
          <w:b/>
          <w:bCs/>
          <w:color w:val="2D2A26"/>
          <w:sz w:val="21"/>
          <w:szCs w:val="21"/>
        </w:rPr>
        <w:t xml:space="preserve">Found or assembled materials</w:t>
      </w:r>
      <w:r>
        <w:rPr>
          <w:rFonts w:ascii="Calibri" w:cs="Calibri" w:eastAsia="Calibri" w:hAnsi="Calibri"/>
          <w:color w:val="2D2A26"/>
          <w:sz w:val="21"/>
          <w:szCs w:val="21"/>
        </w:rPr>
        <w:t xml:space="preserve"> — if the work incorporates another maker's object or image, say so, and confirm you have the right to use it.</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Describing a reproduction as an original is grounds for immediate removal and account closure.</w:t>
      </w:r>
    </w:p>
    <w:p>
      <w:pPr>
        <w:pStyle w:val="Heading2"/>
        <w:keepNext/>
        <w:spacing w:after="100" w:before="280"/>
      </w:pPr>
      <w:r>
        <w:rPr>
          <w:rFonts w:ascii="Georgia" w:cs="Georgia" w:eastAsia="Georgia" w:hAnsi="Georgia"/>
          <w:b/>
          <w:bCs/>
          <w:color w:val="4A443E"/>
          <w:sz w:val="22"/>
          <w:szCs w:val="22"/>
        </w:rPr>
        <w:t xml:space="preserve">Handmade variation is not misdescription</w:t>
      </w:r>
    </w:p>
    <w:p>
      <w:pPr>
        <w:spacing w:after="170" w:before="0" w:line="276"/>
      </w:pPr>
      <w:r>
        <w:rPr>
          <w:rFonts w:ascii="Calibri" w:cs="Calibri" w:eastAsia="Calibri" w:hAnsi="Calibri"/>
          <w:color w:val="2D2A26"/>
          <w:sz w:val="21"/>
          <w:szCs w:val="21"/>
        </w:rPr>
        <w:t xml:space="preserve">Colour, texture and finish vary from a photograph. That is the nature of the work and is not a defect. A wrong medium, a wrong size, an undisclosed repair or a print sold as an original is a different thing entirely, and is treated as one.</w:t>
      </w:r>
    </w:p>
    <w:p>
      <w:pPr>
        <w:pStyle w:val="Heading1"/>
        <w:keepNext/>
        <w:spacing w:after="130" w:before="380"/>
      </w:pPr>
      <w:r>
        <w:rPr>
          <w:rFonts w:ascii="Georgia" w:cs="Georgia" w:eastAsia="Georgia" w:hAnsi="Georgia"/>
          <w:b/>
          <w:bCs/>
          <w:color w:val="2D2A26"/>
          <w:sz w:val="27"/>
          <w:szCs w:val="27"/>
        </w:rPr>
        <w:t xml:space="preserve">Part two — AI-generated and AI-assisted work</w:t>
      </w:r>
    </w:p>
    <w:p>
      <w:pPr>
        <w:spacing w:after="170" w:before="0" w:line="276"/>
      </w:pPr>
      <w:r>
        <w:rPr>
          <w:rFonts w:ascii="Calibri" w:cs="Calibri" w:eastAsia="Calibri" w:hAnsi="Calibri"/>
          <w:color w:val="2D2A26"/>
          <w:sz w:val="21"/>
          <w:szCs w:val="21"/>
        </w:rPr>
        <w:t xml:space="preserve">Custom Canvas sells work made by people.</w:t>
      </w:r>
    </w:p>
    <w:p>
      <w:pPr>
        <w:pStyle w:val="ListParagraph"/>
        <w:numPr>
          <w:ilvl w:val="0"/>
          <w:numId w:val="1"/>
        </w:numPr>
        <w:spacing w:after="60" w:before="40" w:line="264"/>
      </w:pPr>
      <w:r>
        <w:rPr>
          <w:rFonts w:ascii="Calibri" w:cs="Calibri" w:eastAsia="Calibri" w:hAnsi="Calibri"/>
          <w:b/>
          <w:bCs/>
          <w:color w:val="2D2A26"/>
          <w:sz w:val="21"/>
          <w:szCs w:val="21"/>
        </w:rPr>
        <w:t xml:space="preserve">Wholly AI-generated work is not permitted.</w:t>
      </w:r>
      <w:r>
        <w:rPr>
          <w:rFonts w:ascii="Calibri" w:cs="Calibri" w:eastAsia="Calibri" w:hAnsi="Calibri"/>
          <w:color w:val="2D2A26"/>
          <w:sz w:val="21"/>
          <w:szCs w:val="21"/>
        </w:rPr>
        <w:t xml:space="preserve"> If the piece is essentially the output of a generative system, it does not belong here.</w:t>
      </w:r>
    </w:p>
    <w:p>
      <w:pPr>
        <w:pStyle w:val="ListParagraph"/>
        <w:numPr>
          <w:ilvl w:val="0"/>
          <w:numId w:val="1"/>
        </w:numPr>
        <w:spacing w:after="60" w:before="40" w:line="264"/>
      </w:pPr>
      <w:r>
        <w:rPr>
          <w:rFonts w:ascii="Calibri" w:cs="Calibri" w:eastAsia="Calibri" w:hAnsi="Calibri"/>
          <w:b/>
          <w:bCs/>
          <w:color w:val="2D2A26"/>
          <w:sz w:val="21"/>
          <w:szCs w:val="21"/>
        </w:rPr>
        <w:t xml:space="preserve">AI-assisted work is permitted, with disclosure.</w:t>
      </w:r>
      <w:r>
        <w:rPr>
          <w:rFonts w:ascii="Calibri" w:cs="Calibri" w:eastAsia="Calibri" w:hAnsi="Calibri"/>
          <w:color w:val="2D2A26"/>
          <w:sz w:val="21"/>
          <w:szCs w:val="21"/>
        </w:rPr>
        <w:t xml:space="preserve"> Where a generative tool was one step inside a piece you authored — reference, ideation, or an element you then painted, printed, cut or worked over — the description must say so, and say what you contributed.</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Why this line.</w:t>
      </w:r>
      <w:r>
        <w:rPr>
          <w:rFonts w:ascii="Calibri" w:cs="Calibri" w:eastAsia="Calibri" w:hAnsi="Calibri"/>
          <w:color w:val="2D2A26"/>
          <w:sz w:val="21"/>
          <w:szCs w:val="21"/>
        </w:rPr>
        <w:t xml:space="preserve"> Two separate problems sit behind it. Under U.S. law copyright requires </w:t>
      </w:r>
      <w:r>
        <w:rPr>
          <w:rFonts w:ascii="Calibri" w:cs="Calibri" w:eastAsia="Calibri" w:hAnsi="Calibri"/>
          <w:b/>
          <w:bCs/>
          <w:color w:val="2D2A26"/>
          <w:sz w:val="21"/>
          <w:szCs w:val="21"/>
        </w:rPr>
        <w:t xml:space="preserve">human authorship</w:t>
      </w:r>
      <w:r>
        <w:rPr>
          <w:rFonts w:ascii="Calibri" w:cs="Calibri" w:eastAsia="Calibri" w:hAnsi="Calibri"/>
          <w:color w:val="2D2A26"/>
          <w:sz w:val="21"/>
          <w:szCs w:val="21"/>
        </w:rPr>
        <w:t xml:space="preserve">, so purely generated material carries no copyright and you cannot pass a buyer rights you do not hold. And independently of copyright, </w:t>
      </w:r>
      <w:r>
        <w:rPr>
          <w:rFonts w:ascii="Calibri" w:cs="Calibri" w:eastAsia="Calibri" w:hAnsi="Calibri"/>
          <w:b/>
          <w:bCs/>
          <w:color w:val="2D2A26"/>
          <w:sz w:val="21"/>
          <w:szCs w:val="21"/>
        </w:rPr>
        <w:t xml:space="preserve">not telling a buyer that work is AI-generated may be actionable misrepresentation</w:t>
      </w:r>
      <w:r>
        <w:rPr>
          <w:rFonts w:ascii="Calibri" w:cs="Calibri" w:eastAsia="Calibri" w:hAnsi="Calibri"/>
          <w:color w:val="2D2A26"/>
          <w:sz w:val="21"/>
          <w:szCs w:val="21"/>
        </w:rPr>
        <w:t xml:space="preserve">. Disclosure protects you as much as the buyer.</w:t>
      </w:r>
    </w:p>
    <w:p>
      <w:pPr>
        <w:spacing w:after="170" w:before="0" w:line="276"/>
      </w:pPr>
      <w:r>
        <w:rPr>
          <w:rFonts w:ascii="Calibri" w:cs="Calibri" w:eastAsia="Calibri" w:hAnsi="Calibri"/>
          <w:color w:val="2D2A26"/>
          <w:sz w:val="21"/>
          <w:szCs w:val="21"/>
        </w:rPr>
        <w:t xml:space="preserve">The line is drawn between </w:t>
      </w:r>
      <w:r>
        <w:rPr>
          <w:rFonts w:ascii="Calibri" w:cs="Calibri" w:eastAsia="Calibri" w:hAnsi="Calibri"/>
          <w:i/>
          <w:iCs/>
          <w:color w:val="2D2A26"/>
          <w:sz w:val="21"/>
          <w:szCs w:val="21"/>
        </w:rPr>
        <w:t xml:space="preserve">generated</w:t>
      </w:r>
      <w:r>
        <w:rPr>
          <w:rFonts w:ascii="Calibri" w:cs="Calibri" w:eastAsia="Calibri" w:hAnsi="Calibri"/>
          <w:color w:val="2D2A26"/>
          <w:sz w:val="21"/>
          <w:szCs w:val="21"/>
        </w:rPr>
        <w:t xml:space="preserve"> and </w:t>
      </w:r>
      <w:r>
        <w:rPr>
          <w:rFonts w:ascii="Calibri" w:cs="Calibri" w:eastAsia="Calibri" w:hAnsi="Calibri"/>
          <w:i/>
          <w:iCs/>
          <w:color w:val="2D2A26"/>
          <w:sz w:val="21"/>
          <w:szCs w:val="21"/>
        </w:rPr>
        <w:t xml:space="preserve">assisted</w:t>
      </w:r>
      <w:r>
        <w:rPr>
          <w:rFonts w:ascii="Calibri" w:cs="Calibri" w:eastAsia="Calibri" w:hAnsi="Calibri"/>
          <w:color w:val="2D2A26"/>
          <w:sz w:val="21"/>
          <w:szCs w:val="21"/>
        </w:rPr>
        <w:t xml:space="preserve"> rather than banning AI outright because an outright ban would sweep in ordinary digital tools and be unenforceable in practice, while permitting generated work with disclosure would put Custom Canvas in the business of selling uncopyrightable output as local original art.</w:t>
      </w:r>
    </w:p>
    <w:p>
      <w:pPr>
        <w:spacing w:after="170" w:before="0" w:line="276"/>
      </w:pPr>
      <w:r>
        <w:rPr>
          <w:rFonts w:ascii="Calibri" w:cs="Calibri" w:eastAsia="Calibri" w:hAnsi="Calibri"/>
          <w:b/>
          <w:bCs/>
          <w:color w:val="2D2A26"/>
          <w:sz w:val="21"/>
          <w:szCs w:val="21"/>
        </w:rPr>
        <w:t xml:space="preserve">This must be asked at listing time</w:t>
      </w:r>
      <w:r>
        <w:rPr>
          <w:rFonts w:ascii="Calibri" w:cs="Calibri" w:eastAsia="Calibri" w:hAnsi="Calibri"/>
          <w:color w:val="2D2A26"/>
          <w:sz w:val="21"/>
          <w:szCs w:val="21"/>
        </w:rPr>
        <w:t xml:space="preserve">, not left for artists to volunteer. [Implementation: add a required disclosure field to the listing form. Not yet built.]</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confirm. Mirrored in Artist Agreement §5.]</w:t>
            </w:r>
          </w:p>
        </w:tc>
      </w:tr>
    </w:tbl>
    <w:p>
      <w:pPr>
        <w:spacing w:after="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Part three — what is not accepted</w:t>
      </w:r>
    </w:p>
    <w:p>
      <w:pPr>
        <w:pStyle w:val="Heading2"/>
        <w:keepNext/>
        <w:spacing w:after="100" w:before="280"/>
      </w:pPr>
      <w:r>
        <w:rPr>
          <w:rFonts w:ascii="Georgia" w:cs="Georgia" w:eastAsia="Georgia" w:hAnsi="Georgia"/>
          <w:b/>
          <w:bCs/>
          <w:color w:val="4A443E"/>
          <w:sz w:val="22"/>
          <w:szCs w:val="22"/>
        </w:rPr>
        <w:t xml:space="preserve">Prohibited outright</w:t>
      </w:r>
    </w:p>
    <w:p>
      <w:pPr>
        <w:spacing w:after="170" w:before="0" w:line="276"/>
      </w:pPr>
      <w:r>
        <w:rPr>
          <w:rFonts w:ascii="Calibri" w:cs="Calibri" w:eastAsia="Calibri" w:hAnsi="Calibri"/>
          <w:b/>
          <w:bCs/>
          <w:color w:val="2D2A26"/>
          <w:sz w:val="21"/>
          <w:szCs w:val="21"/>
        </w:rPr>
        <w:t xml:space="preserve">Misrepresented work</w:t>
      </w:r>
    </w:p>
    <w:p>
      <w:pPr>
        <w:pStyle w:val="ListParagraph"/>
        <w:numPr>
          <w:ilvl w:val="0"/>
          <w:numId w:val="1"/>
        </w:numPr>
        <w:spacing w:after="60" w:before="40" w:line="264"/>
      </w:pPr>
      <w:r>
        <w:rPr>
          <w:rFonts w:ascii="Calibri" w:cs="Calibri" w:eastAsia="Calibri" w:hAnsi="Calibri"/>
          <w:color w:val="2D2A26"/>
          <w:sz w:val="21"/>
          <w:szCs w:val="21"/>
        </w:rPr>
        <w:t xml:space="preserve">Forgeries, and work falsely attributed to another artist</w:t>
      </w:r>
    </w:p>
    <w:p>
      <w:pPr>
        <w:pStyle w:val="ListParagraph"/>
        <w:numPr>
          <w:ilvl w:val="0"/>
          <w:numId w:val="1"/>
        </w:numPr>
        <w:spacing w:after="60" w:before="40" w:line="264"/>
      </w:pPr>
      <w:r>
        <w:rPr>
          <w:rFonts w:ascii="Calibri" w:cs="Calibri" w:eastAsia="Calibri" w:hAnsi="Calibri"/>
          <w:color w:val="2D2A26"/>
          <w:sz w:val="21"/>
          <w:szCs w:val="21"/>
        </w:rPr>
        <w:t xml:space="preserve">Reproductions or prints presented as originals</w:t>
      </w:r>
    </w:p>
    <w:p>
      <w:pPr>
        <w:pStyle w:val="ListParagraph"/>
        <w:numPr>
          <w:ilvl w:val="0"/>
          <w:numId w:val="1"/>
        </w:numPr>
        <w:spacing w:after="60" w:before="40" w:line="264"/>
      </w:pPr>
      <w:r>
        <w:rPr>
          <w:rFonts w:ascii="Calibri" w:cs="Calibri" w:eastAsia="Calibri" w:hAnsi="Calibri"/>
          <w:color w:val="2D2A26"/>
          <w:sz w:val="21"/>
          <w:szCs w:val="21"/>
        </w:rPr>
        <w:t xml:space="preserve">Work you did not make and do not have the right to sell</w:t>
      </w:r>
    </w:p>
    <w:p>
      <w:pPr>
        <w:pStyle w:val="ListParagraph"/>
        <w:numPr>
          <w:ilvl w:val="0"/>
          <w:numId w:val="1"/>
        </w:numPr>
        <w:spacing w:after="60" w:before="40" w:line="264"/>
      </w:pPr>
      <w:r>
        <w:rPr>
          <w:rFonts w:ascii="Calibri" w:cs="Calibri" w:eastAsia="Calibri" w:hAnsi="Calibri"/>
          <w:color w:val="2D2A26"/>
          <w:sz w:val="21"/>
          <w:szCs w:val="21"/>
        </w:rPr>
        <w:t xml:space="preserve">Stolen work, or work with an undisclosed lien or competing claim</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Infringing work</w:t>
      </w:r>
    </w:p>
    <w:p>
      <w:pPr>
        <w:pStyle w:val="ListParagraph"/>
        <w:numPr>
          <w:ilvl w:val="0"/>
          <w:numId w:val="1"/>
        </w:numPr>
        <w:spacing w:after="60" w:before="40" w:line="264"/>
      </w:pPr>
      <w:r>
        <w:rPr>
          <w:rFonts w:ascii="Calibri" w:cs="Calibri" w:eastAsia="Calibri" w:hAnsi="Calibri"/>
          <w:color w:val="2D2A26"/>
          <w:sz w:val="21"/>
          <w:szCs w:val="21"/>
        </w:rPr>
        <w:t xml:space="preserve">Work that infringes copyright, trademark, or the right of publicity — including unlicensed use of characters, logos, brands, or a person's likeness</w:t>
      </w:r>
    </w:p>
    <w:p>
      <w:pPr>
        <w:pStyle w:val="ListParagraph"/>
        <w:numPr>
          <w:ilvl w:val="0"/>
          <w:numId w:val="1"/>
        </w:numPr>
        <w:spacing w:after="60" w:before="40" w:line="264"/>
      </w:pPr>
      <w:r>
        <w:rPr>
          <w:rFonts w:ascii="Calibri" w:cs="Calibri" w:eastAsia="Calibri" w:hAnsi="Calibri"/>
          <w:color w:val="2D2A26"/>
          <w:sz w:val="21"/>
          <w:szCs w:val="21"/>
        </w:rPr>
        <w:t xml:space="preserve">Work made from another artist's image without permission</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Illegal or dangerous</w:t>
      </w:r>
    </w:p>
    <w:p>
      <w:pPr>
        <w:pStyle w:val="ListParagraph"/>
        <w:numPr>
          <w:ilvl w:val="0"/>
          <w:numId w:val="1"/>
        </w:numPr>
        <w:spacing w:after="60" w:before="40" w:line="264"/>
      </w:pPr>
      <w:r>
        <w:rPr>
          <w:rFonts w:ascii="Calibri" w:cs="Calibri" w:eastAsia="Calibri" w:hAnsi="Calibri"/>
          <w:color w:val="2D2A26"/>
          <w:sz w:val="21"/>
          <w:szCs w:val="21"/>
        </w:rPr>
        <w:t xml:space="preserve">Anything unlawful to sell or ship</w:t>
      </w:r>
    </w:p>
    <w:p>
      <w:pPr>
        <w:pStyle w:val="ListParagraph"/>
        <w:numPr>
          <w:ilvl w:val="0"/>
          <w:numId w:val="1"/>
        </w:numPr>
        <w:spacing w:after="60" w:before="40" w:line="264"/>
      </w:pPr>
      <w:r>
        <w:rPr>
          <w:rFonts w:ascii="Calibri" w:cs="Calibri" w:eastAsia="Calibri" w:hAnsi="Calibri"/>
          <w:color w:val="2D2A26"/>
          <w:sz w:val="21"/>
          <w:szCs w:val="21"/>
        </w:rPr>
        <w:t xml:space="preserve">Human remains; protected wildlife, ivory, or materials restricted under CITES or the Endangered Species Act — a live risk in mixed-media and assemblage work</w:t>
      </w:r>
    </w:p>
    <w:p>
      <w:pPr>
        <w:pStyle w:val="ListParagraph"/>
        <w:numPr>
          <w:ilvl w:val="0"/>
          <w:numId w:val="1"/>
        </w:numPr>
        <w:spacing w:after="60" w:before="40" w:line="264"/>
      </w:pPr>
      <w:r>
        <w:rPr>
          <w:rFonts w:ascii="Calibri" w:cs="Calibri" w:eastAsia="Calibri" w:hAnsi="Calibri"/>
          <w:color w:val="2D2A26"/>
          <w:sz w:val="21"/>
          <w:szCs w:val="21"/>
        </w:rPr>
        <w:t xml:space="preserve">Hazardous materials that cannot lawfully be shipped</w:t>
      </w:r>
    </w:p>
    <w:p>
      <w:pPr>
        <w:pStyle w:val="ListParagraph"/>
        <w:numPr>
          <w:ilvl w:val="0"/>
          <w:numId w:val="1"/>
        </w:numPr>
        <w:spacing w:after="60" w:before="40" w:line="264"/>
      </w:pPr>
      <w:r>
        <w:rPr>
          <w:rFonts w:ascii="Calibri" w:cs="Calibri" w:eastAsia="Calibri" w:hAnsi="Calibri"/>
          <w:color w:val="2D2A26"/>
          <w:sz w:val="21"/>
          <w:szCs w:val="21"/>
        </w:rPr>
        <w:t xml:space="preserve">Weapons, drugs and paraphernalia, or work incorporating them</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Hateful or exploitative</w:t>
      </w:r>
    </w:p>
    <w:p>
      <w:pPr>
        <w:pStyle w:val="ListParagraph"/>
        <w:numPr>
          <w:ilvl w:val="0"/>
          <w:numId w:val="1"/>
        </w:numPr>
        <w:spacing w:after="60" w:before="40" w:line="264"/>
      </w:pPr>
      <w:r>
        <w:rPr>
          <w:rFonts w:ascii="Calibri" w:cs="Calibri" w:eastAsia="Calibri" w:hAnsi="Calibri"/>
          <w:color w:val="2D2A26"/>
          <w:sz w:val="21"/>
          <w:szCs w:val="21"/>
        </w:rPr>
        <w:t xml:space="preserve">Work promoting hatred or violence against people on the basis of race, ethnicity, religion, disability, sex, gender identity or sexual orientation</w:t>
      </w:r>
    </w:p>
    <w:p>
      <w:pPr>
        <w:pStyle w:val="ListParagraph"/>
        <w:numPr>
          <w:ilvl w:val="0"/>
          <w:numId w:val="1"/>
        </w:numPr>
        <w:spacing w:after="60" w:before="40" w:line="264"/>
      </w:pPr>
      <w:r>
        <w:rPr>
          <w:rFonts w:ascii="Calibri" w:cs="Calibri" w:eastAsia="Calibri" w:hAnsi="Calibri"/>
          <w:color w:val="2D2A26"/>
          <w:sz w:val="21"/>
          <w:szCs w:val="21"/>
        </w:rPr>
        <w:t xml:space="preserve">Any sexual depiction of a minor, or work sexualising a real identifiable person without consent</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Not artwork</w:t>
      </w:r>
    </w:p>
    <w:p>
      <w:pPr>
        <w:pStyle w:val="ListParagraph"/>
        <w:numPr>
          <w:ilvl w:val="0"/>
          <w:numId w:val="1"/>
        </w:numPr>
        <w:spacing w:after="60" w:before="40" w:line="264"/>
      </w:pPr>
      <w:r>
        <w:rPr>
          <w:rFonts w:ascii="Calibri" w:cs="Calibri" w:eastAsia="Calibri" w:hAnsi="Calibri"/>
          <w:color w:val="2D2A26"/>
          <w:sz w:val="21"/>
          <w:szCs w:val="21"/>
        </w:rPr>
        <w:t xml:space="preserve">Mass-produced goods, dropshipped items, or resold merchandise</w:t>
      </w:r>
    </w:p>
    <w:p>
      <w:pPr>
        <w:pStyle w:val="ListParagraph"/>
        <w:numPr>
          <w:ilvl w:val="0"/>
          <w:numId w:val="1"/>
        </w:numPr>
        <w:spacing w:after="60" w:before="40" w:line="264"/>
      </w:pPr>
      <w:r>
        <w:rPr>
          <w:rFonts w:ascii="Calibri" w:cs="Calibri" w:eastAsia="Calibri" w:hAnsi="Calibri"/>
          <w:color w:val="2D2A26"/>
          <w:sz w:val="21"/>
          <w:szCs w:val="21"/>
        </w:rPr>
        <w:t xml:space="preserve">Work by someone other than you, including estate, vintage and secondary-market pieces</w:t>
      </w:r>
    </w:p>
    <w:p>
      <w:pPr>
        <w:pStyle w:val="ListParagraph"/>
        <w:numPr>
          <w:ilvl w:val="0"/>
          <w:numId w:val="1"/>
        </w:numPr>
        <w:spacing w:after="60" w:before="40" w:line="264"/>
      </w:pPr>
      <w:r>
        <w:rPr>
          <w:rFonts w:ascii="Calibri" w:cs="Calibri" w:eastAsia="Calibri" w:hAnsi="Calibri"/>
          <w:color w:val="2D2A26"/>
          <w:sz w:val="21"/>
          <w:szCs w:val="21"/>
        </w:rPr>
        <w:t xml:space="preserve">Purely digital goods, NFTs, or tokenised representations of work</w:t>
      </w:r>
    </w:p>
    <w:p>
      <w:pPr>
        <w:pStyle w:val="ListParagraph"/>
        <w:numPr>
          <w:ilvl w:val="0"/>
          <w:numId w:val="1"/>
        </w:numPr>
        <w:spacing w:after="60" w:before="40" w:line="264"/>
      </w:pPr>
      <w:r>
        <w:rPr>
          <w:rFonts w:ascii="Calibri" w:cs="Calibri" w:eastAsia="Calibri" w:hAnsi="Calibri"/>
          <w:color w:val="2D2A26"/>
          <w:sz w:val="21"/>
          <w:szCs w:val="21"/>
        </w:rPr>
        <w:t xml:space="preserve">Services, gift cards, or anything not a physical object</w:t>
      </w:r>
    </w:p>
    <w:p>
      <w:pPr>
        <w:pStyle w:val="ListParagraph"/>
        <w:numPr>
          <w:ilvl w:val="0"/>
          <w:numId w:val="1"/>
        </w:numPr>
        <w:spacing w:after="60" w:before="40" w:line="264"/>
      </w:pPr>
      <w:r>
        <w:rPr>
          <w:rFonts w:ascii="Calibri" w:cs="Calibri" w:eastAsia="Calibri" w:hAnsi="Calibri"/>
          <w:b/>
          <w:bCs/>
          <w:color w:val="2D2A26"/>
          <w:sz w:val="21"/>
          <w:szCs w:val="21"/>
        </w:rPr>
        <w:t xml:space="preserve">Wholly AI-generated work</w:t>
      </w:r>
      <w:r>
        <w:rPr>
          <w:rFonts w:ascii="Calibri" w:cs="Calibri" w:eastAsia="Calibri" w:hAnsi="Calibri"/>
          <w:color w:val="2D2A26"/>
          <w:sz w:val="21"/>
          <w:szCs w:val="21"/>
        </w:rPr>
        <w:t xml:space="preserve">, as described in part two</w:t>
      </w:r>
    </w:p>
    <w:p>
      <w:pPr>
        <w:spacing w:after="100"/>
      </w:pPr>
      <w:r>
        <w:rPr>
          <w:sz w:val="2"/>
          <w:szCs w:val="2"/>
        </w:rPr>
        <w:t xml:space="preserve"/>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an earlier draft prohibited "work you did not make and do not have the right to sell" outright while separately permitting vintage and estate work as a restricted category, which contradicted itself and contradicted the no-secondary-market position in the operational brief. Resolved here in favour of prohibition at launch. This is a business decision as much as a legal one and is easy to reverse later; it is much harder to reverse after an estate seller has been admitted.]</w:t>
            </w:r>
          </w:p>
        </w:tc>
      </w:tr>
    </w:tbl>
    <w:p>
      <w:pPr>
        <w:spacing w:after="160"/>
      </w:pPr>
      <w:r>
        <w:rPr>
          <w:sz w:val="2"/>
          <w:szCs w:val="2"/>
        </w:rPr>
        <w:t xml:space="preserve"/>
      </w:r>
    </w:p>
    <w:p>
      <w:pPr>
        <w:pStyle w:val="Heading2"/>
        <w:keepNext/>
        <w:spacing w:after="100" w:before="280"/>
      </w:pPr>
      <w:r>
        <w:rPr>
          <w:rFonts w:ascii="Georgia" w:cs="Georgia" w:eastAsia="Georgia" w:hAnsi="Georgia"/>
          <w:b/>
          <w:bCs/>
          <w:color w:val="4A443E"/>
          <w:sz w:val="22"/>
          <w:szCs w:val="22"/>
        </w:rPr>
        <w:t xml:space="preserve">Restricted — allowed with conditions</w:t>
      </w:r>
    </w:p>
    <w:tbl>
      <w:tblPr>
        <w:tblW w:type="dxa" w:w="9360"/>
        <w:tblBorders>
          <w:top w:val="single" w:color="DED7CF" w:sz="6"/>
          <w:left w:val="none" w:color="FFFFFF" w:sz="0"/>
          <w:bottom w:val="single" w:color="DED7CF" w:sz="6"/>
          <w:right w:val="none" w:color="FFFFFF" w:sz="0"/>
          <w:insideH w:val="single" w:color="DED7CF" w:sz="4"/>
          <w:insideV w:val="none" w:color="FFFFFF" w:sz="0"/>
        </w:tblBorders>
      </w:tblPr>
      <w:tblGrid>
        <w:gridCol w:w="3510"/>
        <w:gridCol w:w="5850"/>
      </w:tblGrid>
      <w:tr>
        <w:trPr>
          <w:tblHeader/>
        </w:trPr>
        <w:tc>
          <w:tcPr>
            <w:tcW w:type="dxa" w:w="3510"/>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Item</w:t>
            </w:r>
          </w:p>
        </w:tc>
        <w:tc>
          <w:tcPr>
            <w:tcW w:type="dxa" w:w="5850"/>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Condition</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Prints, open editions, reproductions</w:t>
            </w:r>
          </w:p>
        </w:tc>
        <w:tc>
          <w:tcPr>
            <w:tcW w:type="dxa" w:w="585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Must be clearly labelled as such in the title or first line of the description</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Limited editions</w:t>
            </w:r>
          </w:p>
        </w:tc>
        <w:tc>
          <w:tcPr>
            <w:tcW w:type="dxa" w:w="585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Edition size and this piece's number must be stated</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Work using found imagery or objects</w:t>
            </w:r>
          </w:p>
        </w:tc>
        <w:tc>
          <w:tcPr>
            <w:tcW w:type="dxa" w:w="585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Rights must be held and the use disclosed</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Nudity and mature themes</w:t>
            </w:r>
          </w:p>
        </w:tc>
        <w:tc>
          <w:tcPr>
            <w:tcW w:type="dxa" w:w="585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Permitted as fine art; must be tagged so it can be filtered. No pornography.</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Fragile or oversized work</w:t>
            </w:r>
          </w:p>
        </w:tc>
        <w:tc>
          <w:tcPr>
            <w:tcW w:type="dxa" w:w="585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Must be packed and insured appropriately; shipping cost must be realistic</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Work incorporating organic material</w:t>
            </w:r>
          </w:p>
        </w:tc>
        <w:tc>
          <w:tcPr>
            <w:tcW w:type="dxa" w:w="585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Must comply with agricultural and wildlife shipping rules</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AI-assisted work</w:t>
            </w:r>
          </w:p>
        </w:tc>
        <w:tc>
          <w:tcPr>
            <w:tcW w:type="dxa" w:w="585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Permitted </w:t>
            </w:r>
            <w:r>
              <w:rPr>
                <w:rFonts w:ascii="Calibri" w:cs="Calibri" w:eastAsia="Calibri" w:hAnsi="Calibri"/>
                <w:b/>
                <w:bCs/>
                <w:color w:val="2D2A26"/>
                <w:sz w:val="19"/>
                <w:szCs w:val="19"/>
              </w:rPr>
              <w:t xml:space="preserve">only with disclosure</w:t>
            </w:r>
            <w:r>
              <w:rPr>
                <w:rFonts w:ascii="Calibri" w:cs="Calibri" w:eastAsia="Calibri" w:hAnsi="Calibri"/>
                <w:color w:val="2D2A26"/>
                <w:sz w:val="19"/>
                <w:szCs w:val="19"/>
              </w:rPr>
              <w:t xml:space="preserve"> in the description, stating what you contributed</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Vintage or estate work</w:t>
            </w:r>
          </w:p>
        </w:tc>
        <w:tc>
          <w:tcPr>
            <w:tcW w:type="dxa" w:w="5850"/>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Not accepted at launch.</w:t>
            </w:r>
            <w:r>
              <w:rPr>
                <w:rFonts w:ascii="Calibri" w:cs="Calibri" w:eastAsia="Calibri" w:hAnsi="Calibri"/>
                <w:color w:val="2D2A26"/>
                <w:sz w:val="19"/>
                <w:szCs w:val="19"/>
              </w:rPr>
              <w:t xml:space="preserve"> Ask us before listing anything you did not make</w:t>
            </w:r>
          </w:p>
        </w:tc>
      </w:tr>
    </w:tbl>
    <w:p>
      <w:pPr>
        <w:spacing w:after="18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Part four — what Custom Canvas does and does not do</w:t>
      </w:r>
    </w:p>
    <w:p>
      <w:pPr>
        <w:spacing w:after="170" w:before="0" w:line="276"/>
      </w:pPr>
      <w:r>
        <w:rPr>
          <w:rFonts w:ascii="Calibri" w:cs="Calibri" w:eastAsia="Calibri" w:hAnsi="Calibri"/>
          <w:b/>
          <w:bCs/>
          <w:color w:val="2D2A26"/>
          <w:sz w:val="21"/>
          <w:szCs w:val="21"/>
        </w:rPr>
        <w:t xml:space="preserve">We do:</w:t>
      </w:r>
      <w:r>
        <w:rPr>
          <w:rFonts w:ascii="Calibri" w:cs="Calibri" w:eastAsia="Calibri" w:hAnsi="Calibri"/>
          <w:color w:val="2D2A26"/>
          <w:sz w:val="21"/>
          <w:szCs w:val="21"/>
        </w:rPr>
        <w:t xml:space="preserve"> review each artist before their shop goes live, looking at their profile, story and listings; investigate authenticity reports; and remove work and close accounts where a claim is substantiated.</w:t>
      </w:r>
    </w:p>
    <w:p>
      <w:pPr>
        <w:spacing w:after="170" w:before="0" w:line="276"/>
      </w:pPr>
      <w:r>
        <w:rPr>
          <w:rFonts w:ascii="Calibri" w:cs="Calibri" w:eastAsia="Calibri" w:hAnsi="Calibri"/>
          <w:b/>
          <w:bCs/>
          <w:color w:val="2D2A26"/>
          <w:sz w:val="21"/>
          <w:szCs w:val="21"/>
        </w:rPr>
        <w:t xml:space="preserve">We do not:</w:t>
      </w:r>
      <w:r>
        <w:rPr>
          <w:rFonts w:ascii="Calibri" w:cs="Calibri" w:eastAsia="Calibri" w:hAnsi="Calibri"/>
          <w:color w:val="2D2A26"/>
          <w:sz w:val="21"/>
          <w:szCs w:val="21"/>
        </w:rPr>
        <w:t xml:space="preserve"> appraise, authenticate, or independently verify any work, its attribution, its condition or its provenance. Our review is a check on the seller, not a certification of the art. </w:t>
      </w:r>
      <w:r>
        <w:rPr>
          <w:rFonts w:ascii="Calibri" w:cs="Calibri" w:eastAsia="Calibri" w:hAnsi="Calibri"/>
          <w:b/>
          <w:bCs/>
          <w:color w:val="2D2A26"/>
          <w:sz w:val="21"/>
          <w:szCs w:val="21"/>
        </w:rPr>
        <w:t xml:space="preserve">No listing on Custom Canvas is a guarantee of authenticity.</w:t>
      </w:r>
    </w:p>
    <w:p>
      <w:pPr>
        <w:spacing w:after="170" w:before="0" w:line="276"/>
      </w:pPr>
      <w:r>
        <w:rPr>
          <w:rFonts w:ascii="Calibri" w:cs="Calibri" w:eastAsia="Calibri" w:hAnsi="Calibri"/>
          <w:color w:val="2D2A26"/>
          <w:sz w:val="21"/>
          <w:szCs w:val="21"/>
        </w:rPr>
        <w:t xml:space="preserve">That distinction is deliberate and should be stated plainly to buyers rather than softened — implying authentication we do not perform is precisely the representation that creates liability.</w:t>
      </w:r>
    </w:p>
    <w:p>
      <w:pPr>
        <w:pStyle w:val="Heading1"/>
        <w:keepNext/>
        <w:spacing w:after="130" w:before="380"/>
      </w:pPr>
      <w:r>
        <w:rPr>
          <w:rFonts w:ascii="Georgia" w:cs="Georgia" w:eastAsia="Georgia" w:hAnsi="Georgia"/>
          <w:b/>
          <w:bCs/>
          <w:color w:val="2D2A26"/>
          <w:sz w:val="27"/>
          <w:szCs w:val="27"/>
        </w:rPr>
        <w:t xml:space="preserve">Part five — enforcement</w:t>
      </w:r>
    </w:p>
    <w:p>
      <w:pPr>
        <w:spacing w:after="170" w:before="0" w:line="276"/>
      </w:pPr>
      <w:r>
        <w:rPr>
          <w:rFonts w:ascii="Calibri" w:cs="Calibri" w:eastAsia="Calibri" w:hAnsi="Calibri"/>
          <w:color w:val="2D2A26"/>
          <w:sz w:val="21"/>
          <w:szCs w:val="21"/>
        </w:rPr>
        <w:t xml:space="preserve">Depending on severity we may remove a listing, hold or reverse a payout on an affected sale, suspend a shop, or close an account. Serious cases — forgery, stolen work, illegal material — mean immediate closure and, where appropriate, a report to the authorities.</w:t>
      </w:r>
    </w:p>
    <w:p>
      <w:pPr>
        <w:spacing w:after="170" w:before="0" w:line="276"/>
      </w:pPr>
      <w:r>
        <w:rPr>
          <w:rFonts w:ascii="Calibri" w:cs="Calibri" w:eastAsia="Calibri" w:hAnsi="Calibri"/>
          <w:color w:val="2D2A26"/>
          <w:sz w:val="21"/>
          <w:szCs w:val="21"/>
        </w:rPr>
        <w:t xml:space="preserve">Where practical we explain what was wrong and give you a chance to respond.</w:t>
      </w:r>
    </w:p>
    <w:p>
      <w:pPr>
        <w:spacing w:after="170" w:before="0" w:line="276"/>
      </w:pPr>
      <w:r>
        <w:rPr>
          <w:rFonts w:ascii="Calibri" w:cs="Calibri" w:eastAsia="Calibri" w:hAnsi="Calibri"/>
          <w:color w:val="2D2A26"/>
          <w:sz w:val="21"/>
          <w:szCs w:val="21"/>
        </w:rPr>
        <w:t xml:space="preserve">Where we substantiate a misdescription on a completed sale, </w:t>
      </w:r>
      <w:r>
        <w:rPr>
          <w:rFonts w:ascii="Calibri" w:cs="Calibri" w:eastAsia="Calibri" w:hAnsi="Calibri"/>
          <w:b/>
          <w:bCs/>
          <w:color w:val="2D2A26"/>
          <w:sz w:val="21"/>
          <w:szCs w:val="21"/>
        </w:rPr>
        <w:t xml:space="preserve">we will refund the buyer whether or not the artist agrees</w:t>
      </w:r>
      <w:r>
        <w:rPr>
          <w:rFonts w:ascii="Calibri" w:cs="Calibri" w:eastAsia="Calibri" w:hAnsi="Calibri"/>
          <w:color w:val="2D2A26"/>
          <w:sz w:val="21"/>
          <w:szCs w:val="21"/>
        </w:rPr>
        <w:t xml:space="preserve">, including the buyer's service fee. An artist's discretion covers a buyer who changed their mind; it does not cover a piece that was not what the listing said it was. This is stated the same way in the Terms of Sale, the Shipping, Returns &amp; Refunds Policy and Artist Agreement §8.</w:t>
      </w:r>
    </w:p>
    <w:p>
      <w:pPr>
        <w:pStyle w:val="Heading1"/>
        <w:keepNext/>
        <w:spacing w:after="130" w:before="380"/>
      </w:pPr>
      <w:r>
        <w:rPr>
          <w:rFonts w:ascii="Georgia" w:cs="Georgia" w:eastAsia="Georgia" w:hAnsi="Georgia"/>
          <w:b/>
          <w:bCs/>
          <w:color w:val="2D2A26"/>
          <w:sz w:val="27"/>
          <w:szCs w:val="27"/>
        </w:rPr>
        <w:t xml:space="preserve">Reporting a problem</w:t>
      </w:r>
    </w:p>
    <w:p>
      <w:pPr>
        <w:spacing w:after="170" w:before="0" w:line="276"/>
      </w:pPr>
      <w:r>
        <w:rPr>
          <w:rFonts w:ascii="Calibri" w:cs="Calibri" w:eastAsia="Calibri" w:hAnsi="Calibri"/>
          <w:color w:val="2D2A26"/>
          <w:sz w:val="21"/>
          <w:szCs w:val="21"/>
        </w:rPr>
        <w:t xml:space="preserve">Write to </w:t>
      </w:r>
      <w:r>
        <w:rPr>
          <w:rFonts w:ascii="Calibri" w:cs="Calibri" w:eastAsia="Calibri" w:hAnsi="Calibri"/>
          <w:b/>
          <w:bCs/>
          <w:color w:val="2D2A26"/>
          <w:sz w:val="21"/>
          <w:szCs w:val="21"/>
        </w:rPr>
        <w:t xml:space="preserve">support@customcanvas.shop</w:t>
      </w:r>
      <w:r>
        <w:rPr>
          <w:rFonts w:ascii="Calibri" w:cs="Calibri" w:eastAsia="Calibri" w:hAnsi="Calibri"/>
          <w:color w:val="2D2A26"/>
          <w:sz w:val="21"/>
          <w:szCs w:val="21"/>
        </w:rPr>
        <w:t xml:space="preserve"> with the listing URL and what you believe is wrong. For a </w:t>
      </w:r>
      <w:r>
        <w:rPr>
          <w:rFonts w:ascii="Calibri" w:cs="Calibri" w:eastAsia="Calibri" w:hAnsi="Calibri"/>
          <w:b/>
          <w:bCs/>
          <w:color w:val="2D2A26"/>
          <w:sz w:val="21"/>
          <w:szCs w:val="21"/>
        </w:rPr>
        <w:t xml:space="preserve">copyright</w:t>
      </w:r>
      <w:r>
        <w:rPr>
          <w:rFonts w:ascii="Calibri" w:cs="Calibri" w:eastAsia="Calibri" w:hAnsi="Calibri"/>
          <w:color w:val="2D2A26"/>
          <w:sz w:val="21"/>
          <w:szCs w:val="21"/>
        </w:rPr>
        <w:t xml:space="preserve"> claim, use the DMCA &amp; Copyright Policy instead: a DMCA notice addresses ownership of an image, while this policy addresses whether a piece is what it claims to be. Different problem, different process.</w:t>
      </w:r>
    </w:p>
    <w:p>
      <w:pPr>
        <w:pStyle w:val="Heading1"/>
        <w:keepNext/>
        <w:spacing w:after="130" w:before="380"/>
      </w:pPr>
      <w:r>
        <w:rPr>
          <w:rFonts w:ascii="Georgia" w:cs="Georgia" w:eastAsia="Georgia" w:hAnsi="Georgia"/>
          <w:b/>
          <w:bCs/>
          <w:color w:val="2D2A26"/>
          <w:sz w:val="27"/>
          <w:szCs w:val="27"/>
        </w:rPr>
        <w:t xml:space="preserve">Resale and royalties</w:t>
      </w:r>
    </w:p>
    <w:p>
      <w:pPr>
        <w:spacing w:after="170" w:before="0" w:line="276"/>
      </w:pPr>
      <w:r>
        <w:rPr>
          <w:rFonts w:ascii="Calibri" w:cs="Calibri" w:eastAsia="Calibri" w:hAnsi="Calibri"/>
          <w:color w:val="2D2A26"/>
          <w:sz w:val="21"/>
          <w:szCs w:val="21"/>
        </w:rPr>
        <w:t xml:space="preserve">Custom Canvas is a primary market. We do not operate a resale market and do not administer resale royalties. Buying a piece transfers the object, not its copyright.</w:t>
      </w:r>
    </w:p>
    <w:p>
      <w:pPr>
        <w:spacing w:after="170" w:before="0" w:line="276"/>
      </w:pPr>
      <w:r>
        <w:rPr>
          <w:rFonts w:ascii="Calibri" w:cs="Calibri" w:eastAsia="Calibri" w:hAnsi="Calibri"/>
          <w:i/>
          <w:iCs/>
          <w:color w:val="2D2A26"/>
          <w:sz w:val="21"/>
          <w:szCs w:val="21"/>
        </w:rPr>
        <w:t xml:space="preserve">Questions: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Listing Standards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Listing Standards</dc:title>
  <dc:creator>Custom Canvas LLC</dc:creator>
  <dc:description>Draft for counsel review</dc:description>
  <cp:lastModifiedBy>Un-named</cp:lastModifiedBy>
  <cp:revision>1</cp:revision>
  <dcterms:created xsi:type="dcterms:W3CDTF">2026-08-26T20:07:47.672Z</dcterms:created>
  <dcterms:modified xsi:type="dcterms:W3CDTF">2026-08-26T20:07:47.672Z</dcterms:modified>
</cp:coreProperties>
</file>

<file path=docProps/custom.xml><?xml version="1.0" encoding="utf-8"?>
<Properties xmlns="http://schemas.openxmlformats.org/officeDocument/2006/custom-properties" xmlns:vt="http://schemas.openxmlformats.org/officeDocument/2006/docPropsVTypes"/>
</file>