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AIPCS PATTERN SPECIFICATION</w:t>
      </w:r>
    </w:p>
    <w:p>
      <w:pPr>
        <w:jc w:val="center"/>
      </w:pPr>
      <w:r>
        <w:rPr>
          <w:b/>
          <w:color w:val="2E4A6E"/>
          <w:sz w:val="28"/>
        </w:rPr>
        <w:t>Agent-Instantiated Persistent Context Services</w:t>
      </w:r>
    </w:p>
    <w:p>
      <w:pPr>
        <w:jc w:val="center"/>
      </w:pPr>
      <w:r>
        <w:rPr>
          <w:i/>
          <w:color w:val="555555"/>
          <w:sz w:val="22"/>
        </w:rPr>
        <w:t>Version 0.1 — Working Draft</w:t>
      </w:r>
    </w:p>
    <w:p>
      <w:pPr>
        <w:pBdr>
          <w:bottom w:val="single" w:sz="6" w:space="1" w:color="AAAAAA"/>
        </w:pBdr>
      </w:pPr>
    </w:p>
    <w:tbl>
      <w:tblPr>
        <w:tblStyle w:val="TableGrid"/>
        <w:tblW w:type="auto" w:w="0"/>
        <w:tblLook w:firstColumn="1" w:firstRow="1" w:lastColumn="0" w:lastRow="0" w:noHBand="0" w:noVBand="1" w:val="04A0"/>
      </w:tblPr>
      <w:tblGrid>
        <w:gridCol w:w="4320"/>
        <w:gridCol w:w="4320"/>
      </w:tblGrid>
      <w:tr>
        <w:tc>
          <w:tcPr>
            <w:tcW w:type="dxa" w:w="4320"/>
          </w:tcPr>
          <w:p>
            <w:r>
              <w:rPr>
                <w:b/>
                <w:sz w:val="20"/>
              </w:rPr>
              <w:t>Author</w:t>
            </w:r>
          </w:p>
        </w:tc>
        <w:tc>
          <w:tcPr>
            <w:tcW w:type="dxa" w:w="4320"/>
          </w:tcPr>
          <w:p>
            <w:r>
              <w:rPr>
                <w:sz w:val="20"/>
              </w:rPr>
              <w:t>Randall Mark</w:t>
            </w:r>
          </w:p>
        </w:tc>
      </w:tr>
      <w:tr>
        <w:tc>
          <w:tcPr>
            <w:tcW w:type="dxa" w:w="4320"/>
          </w:tcPr>
          <w:p>
            <w:r>
              <w:rPr>
                <w:b/>
                <w:sz w:val="20"/>
              </w:rPr>
              <w:t>Date</w:t>
            </w:r>
          </w:p>
        </w:tc>
        <w:tc>
          <w:tcPr>
            <w:tcW w:type="dxa" w:w="4320"/>
          </w:tcPr>
          <w:p>
            <w:r>
              <w:rPr>
                <w:sz w:val="20"/>
              </w:rPr>
              <w:t>04 May 2026</w:t>
            </w:r>
          </w:p>
        </w:tc>
      </w:tr>
      <w:tr>
        <w:tc>
          <w:tcPr>
            <w:tcW w:type="dxa" w:w="4320"/>
          </w:tcPr>
          <w:p>
            <w:r>
              <w:rPr>
                <w:b/>
                <w:sz w:val="20"/>
              </w:rPr>
              <w:t>Version</w:t>
            </w:r>
          </w:p>
        </w:tc>
        <w:tc>
          <w:tcPr>
            <w:tcW w:type="dxa" w:w="4320"/>
          </w:tcPr>
          <w:p>
            <w:r>
              <w:rPr>
                <w:sz w:val="20"/>
              </w:rPr>
              <w:t>0.1 — Working Draft</w:t>
            </w:r>
          </w:p>
        </w:tc>
      </w:tr>
      <w:tr>
        <w:tc>
          <w:tcPr>
            <w:tcW w:type="dxa" w:w="4320"/>
          </w:tcPr>
          <w:p>
            <w:r>
              <w:rPr>
                <w:b/>
                <w:sz w:val="20"/>
              </w:rPr>
              <w:t>Status</w:t>
            </w:r>
          </w:p>
        </w:tc>
        <w:tc>
          <w:tcPr>
            <w:tcW w:type="dxa" w:w="4320"/>
          </w:tcPr>
          <w:p>
            <w:r>
              <w:rPr>
                <w:sz w:val="20"/>
              </w:rPr>
              <w:t>Pre-publication. Subject to revision during reference implementation.</w:t>
            </w:r>
          </w:p>
        </w:tc>
      </w:tr>
      <w:tr>
        <w:tc>
          <w:tcPr>
            <w:tcW w:type="dxa" w:w="4320"/>
          </w:tcPr>
          <w:p>
            <w:r>
              <w:rPr>
                <w:b/>
                <w:sz w:val="20"/>
              </w:rPr>
              <w:t>Repository</w:t>
            </w:r>
          </w:p>
        </w:tc>
        <w:tc>
          <w:tcPr>
            <w:tcW w:type="dxa" w:w="4320"/>
          </w:tcPr>
          <w:p>
            <w:r>
              <w:rPr>
                <w:sz w:val="20"/>
              </w:rPr>
              <w:t>https://github.com/randallcmark/application_tracker</w:t>
            </w:r>
          </w:p>
        </w:tc>
      </w:tr>
    </w:tbl>
    <w:p/>
    <w:p>
      <w:r>
        <w:rPr>
          <w:b/>
          <w:color w:val="1A1A2E"/>
          <w:sz w:val="30"/>
        </w:rPr>
        <w:t>1. Purpose of This Document</w:t>
      </w:r>
    </w:p>
    <w:p>
      <w:r>
        <w:rPr>
          <w:sz w:val="22"/>
        </w:rPr>
        <w:t>This document defines the Agent-Instantiated Persistent Context Services (AIPCS) pattern in implementation-agnostic terms. It describes what the pattern is, why it exists, what it requires, and how it should behave — without prescribing specific technologies beyond those implied by the pattern's core requirements.</w:t>
      </w:r>
    </w:p>
    <w:p>
      <w:r>
        <w:rPr>
          <w:sz w:val="22"/>
        </w:rPr>
        <w:t>A reference implementation exists in Application Tracker. This spec is the abstraction above that implementation, intended to be realisable in other languages, frameworks, and deployment environments.</w:t>
      </w:r>
    </w:p>
    <w:p>
      <w:r>
        <w:rPr>
          <w:b/>
          <w:color w:val="1A1A2E"/>
          <w:sz w:val="30"/>
        </w:rPr>
        <w:t>2. Problem Statement</w:t>
      </w:r>
    </w:p>
    <w:p>
      <w:r>
        <w:rPr>
          <w:sz w:val="22"/>
        </w:rPr>
        <w:t>AI agents are stateless. Complex user domains — multi-entity, relational, evolving over time — cannot be adequately managed through context-window injection or pre-designed generic memory stores. The agent has no ability to structure its own memory to match the shape of the domain it is helping with.</w:t>
      </w:r>
    </w:p>
    <w:p>
      <w:r>
        <w:rPr>
          <w:sz w:val="22"/>
        </w:rPr>
        <w:t>Existing memory solutions require developers to pre-define schemas. This is appropriate for product features but inappropriate as a general-purpose agent capability — it requires developer intervention for every new domain.</w:t>
      </w:r>
    </w:p>
    <w:p>
      <w:r>
        <w:rPr>
          <w:b/>
          <w:color w:val="1A1A2E"/>
          <w:sz w:val="30"/>
        </w:rPr>
        <w:t>3. Pattern Definition</w:t>
      </w:r>
    </w:p>
    <w:p>
      <w:r>
        <w:rPr>
          <w:sz w:val="22"/>
        </w:rPr>
        <w:t>AIPCS is the pattern by which an AI agent, upon recognising a complex stateful tracking need, autonomously:</w:t>
      </w:r>
    </w:p>
    <w:p>
      <w:pPr>
        <w:pStyle w:val="ListBullet"/>
      </w:pPr>
      <w:r>
        <w:rPr>
          <w:sz w:val="22"/>
        </w:rPr>
        <w:t>Designs a domain-appropriate relational schema</w:t>
      </w:r>
    </w:p>
    <w:p>
      <w:pPr>
        <w:pStyle w:val="ListBullet"/>
      </w:pPr>
      <w:r>
        <w:rPr>
          <w:sz w:val="22"/>
        </w:rPr>
        <w:t>Scaffolds a persistent queryable service around that schema</w:t>
      </w:r>
    </w:p>
    <w:p>
      <w:pPr>
        <w:pStyle w:val="ListBullet"/>
      </w:pPr>
      <w:r>
        <w:rPr>
          <w:sz w:val="22"/>
        </w:rPr>
        <w:t>Registers that service as an MCP tool</w:t>
      </w:r>
    </w:p>
    <w:p>
      <w:pPr>
        <w:pStyle w:val="ListBullet"/>
      </w:pPr>
      <w:r>
        <w:rPr>
          <w:sz w:val="22"/>
        </w:rPr>
        <w:t>Manages the evolution of that service as the domain understanding deepens</w:t>
      </w:r>
    </w:p>
    <w:p>
      <w:r>
        <w:rPr>
          <w:sz w:val="22"/>
        </w:rPr>
        <w:t>The result is a piece of persistent memory infrastructure that is: structured and queryable (not just semantically searchable), domain-specific (not generic), agent-designed (not developer-designed), session-persistent (survives between conversations), and client-agnostic (accessible by any MCP-compatible AI).</w:t>
      </w:r>
    </w:p>
    <w:p>
      <w:r>
        <w:rPr>
          <w:b/>
          <w:color w:val="1A1A2E"/>
          <w:sz w:val="30"/>
        </w:rPr>
        <w:t>4. Core Principles</w:t>
      </w:r>
    </w:p>
    <w:p>
      <w:pPr>
        <w:pStyle w:val="ListBullet"/>
      </w:pPr>
      <w:r>
        <w:rPr>
          <w:b/>
          <w:sz w:val="22"/>
        </w:rPr>
        <w:t xml:space="preserve">P1 — Agent as architect: </w:t>
      </w:r>
      <w:r>
        <w:rPr>
          <w:sz w:val="22"/>
        </w:rPr>
        <w:t>The agent designs the schema. The developer does not pre-define it. This is the defining characteristic of AIPCS.</w:t>
      </w:r>
    </w:p>
    <w:p>
      <w:pPr>
        <w:pStyle w:val="ListBullet"/>
      </w:pPr>
      <w:r>
        <w:rPr>
          <w:b/>
          <w:sz w:val="22"/>
        </w:rPr>
        <w:t xml:space="preserve">P2 — Structured over semantic: </w:t>
      </w:r>
      <w:r>
        <w:rPr>
          <w:sz w:val="22"/>
        </w:rPr>
        <w:t>AIPCS produces relational schemas suitable for precise structured queries, not just vector similarity recall. Both may coexist; structured is primary.</w:t>
      </w:r>
    </w:p>
    <w:p>
      <w:pPr>
        <w:pStyle w:val="ListBullet"/>
      </w:pPr>
      <w:r>
        <w:rPr>
          <w:b/>
          <w:sz w:val="22"/>
        </w:rPr>
        <w:t xml:space="preserve">P3 — Service over store: </w:t>
      </w:r>
      <w:r>
        <w:rPr>
          <w:sz w:val="22"/>
        </w:rPr>
        <w:t>The memory is wrapped in a service layer (API), not accessed as a raw database. This enables composability and consistent access patterns.</w:t>
      </w:r>
    </w:p>
    <w:p>
      <w:pPr>
        <w:pStyle w:val="ListBullet"/>
      </w:pPr>
      <w:r>
        <w:rPr>
          <w:b/>
          <w:sz w:val="22"/>
        </w:rPr>
        <w:t xml:space="preserve">P4 — MCP as interface: </w:t>
      </w:r>
      <w:r>
        <w:rPr>
          <w:sz w:val="22"/>
        </w:rPr>
        <w:t>Services are exposed as MCP tools. This is the composability and portability layer.</w:t>
      </w:r>
    </w:p>
    <w:p>
      <w:pPr>
        <w:pStyle w:val="ListBullet"/>
      </w:pPr>
      <w:r>
        <w:rPr>
          <w:b/>
          <w:sz w:val="22"/>
        </w:rPr>
        <w:t xml:space="preserve">P5 — Workflow-oriented tools: </w:t>
      </w:r>
      <w:r>
        <w:rPr>
          <w:sz w:val="22"/>
        </w:rPr>
        <w:t>MCP tools generated by AIPCS must be workflow-oriented and domain-language-driven (domain_object_action), not database-oriented (get_record, update_field).</w:t>
      </w:r>
    </w:p>
    <w:p>
      <w:pPr>
        <w:pStyle w:val="ListBullet"/>
      </w:pPr>
      <w:r>
        <w:rPr>
          <w:b/>
          <w:sz w:val="22"/>
        </w:rPr>
        <w:t xml:space="preserve">P6 — Separation of concerns: </w:t>
      </w:r>
      <w:r>
        <w:rPr>
          <w:sz w:val="22"/>
        </w:rPr>
        <w:t>Read and write are separated. Generation and persistence are separated. The agent reasons; the service stores. These must not collapse.</w:t>
      </w:r>
    </w:p>
    <w:p>
      <w:pPr>
        <w:pStyle w:val="ListBullet"/>
      </w:pPr>
      <w:r>
        <w:rPr>
          <w:b/>
          <w:sz w:val="22"/>
        </w:rPr>
        <w:t xml:space="preserve">P7 — Consumer accessibility: </w:t>
      </w:r>
      <w:r>
        <w:rPr>
          <w:sz w:val="22"/>
        </w:rPr>
        <w:t>AIPCS services must be accessible to users via existing consumer AI subscriptions, not requiring separate developer API keys. OAuth 2.0 with DCR is the recommended model.</w:t>
      </w:r>
    </w:p>
    <w:p>
      <w:pPr>
        <w:pStyle w:val="ListBullet"/>
      </w:pPr>
      <w:r>
        <w:rPr>
          <w:b/>
          <w:sz w:val="22"/>
        </w:rPr>
        <w:t xml:space="preserve">P8 — Privacy-first deployment: </w:t>
      </w:r>
      <w:r>
        <w:rPr>
          <w:sz w:val="22"/>
        </w:rPr>
        <w:t>The canonical deployment model is self-hosted and local-first. User data must remain under user control.</w:t>
      </w:r>
    </w:p>
    <w:p>
      <w:pPr>
        <w:pStyle w:val="ListBullet"/>
      </w:pPr>
      <w:r>
        <w:rPr>
          <w:b/>
          <w:sz w:val="22"/>
        </w:rPr>
        <w:t xml:space="preserve">P9 — Provenance and auditability: </w:t>
      </w:r>
      <w:r>
        <w:rPr>
          <w:sz w:val="22"/>
        </w:rPr>
        <w:t>All agent-created outputs must record provenance. The service is the system of record; the agent is a contributor, not an owner.</w:t>
      </w:r>
    </w:p>
    <w:p>
      <w:pPr>
        <w:pStyle w:val="ListBullet"/>
      </w:pPr>
      <w:r>
        <w:rPr>
          <w:b/>
          <w:sz w:val="22"/>
        </w:rPr>
        <w:t xml:space="preserve">P10 — MCP off by default: </w:t>
      </w:r>
      <w:r>
        <w:rPr>
          <w:sz w:val="22"/>
        </w:rPr>
        <w:t>AIPCS services must be disabled unless explicitly configured. No ambient exposure.</w:t>
      </w:r>
    </w:p>
    <w:p>
      <w:r>
        <w:rPr>
          <w:b/>
          <w:color w:val="1A1A2E"/>
          <w:sz w:val="30"/>
        </w:rPr>
        <w:t>5. Lifecycle</w:t>
      </w:r>
    </w:p>
    <w:p>
      <w:r>
        <w:rPr>
          <w:b/>
          <w:color w:val="2E4A6E"/>
          <w:sz w:val="24"/>
        </w:rPr>
        <w:t>5.1 Recognition Phase</w:t>
      </w:r>
    </w:p>
    <w:p>
      <w:r>
        <w:rPr>
          <w:sz w:val="22"/>
        </w:rPr>
        <w:t>The agent identifies that the user's task has one or more of the following properties:</w:t>
      </w:r>
    </w:p>
    <w:p>
      <w:pPr>
        <w:pStyle w:val="ListBullet"/>
      </w:pPr>
      <w:r>
        <w:rPr>
          <w:sz w:val="22"/>
        </w:rPr>
        <w:t>Multiple entities with relationships that must be tracked over time</w:t>
      </w:r>
    </w:p>
    <w:p>
      <w:pPr>
        <w:pStyle w:val="ListBullet"/>
      </w:pPr>
      <w:r>
        <w:rPr>
          <w:sz w:val="22"/>
        </w:rPr>
        <w:t>The need for structured queries (filter by status, sort by date, join entities)</w:t>
      </w:r>
    </w:p>
    <w:p>
      <w:pPr>
        <w:pStyle w:val="ListBullet"/>
      </w:pPr>
      <w:r>
        <w:rPr>
          <w:sz w:val="22"/>
        </w:rPr>
        <w:t>Domain-specific attributes that a generic memory store cannot represent well</w:t>
      </w:r>
    </w:p>
    <w:p>
      <w:pPr>
        <w:pStyle w:val="ListBullet"/>
      </w:pPr>
      <w:r>
        <w:rPr>
          <w:sz w:val="22"/>
        </w:rPr>
        <w:t>Persistence requirement beyond a single session</w:t>
      </w:r>
    </w:p>
    <w:p>
      <w:pPr>
        <w:pStyle w:val="ListBullet"/>
      </w:pPr>
      <w:r>
        <w:rPr>
          <w:sz w:val="22"/>
        </w:rPr>
        <w:t>User explicitly expresses a tracking or management need</w:t>
      </w:r>
    </w:p>
    <w:p>
      <w:r>
        <w:rPr>
          <w:b/>
          <w:color w:val="2E4A6E"/>
          <w:sz w:val="24"/>
        </w:rPr>
        <w:t>5.2 Design Phase</w:t>
      </w:r>
    </w:p>
    <w:p>
      <w:r>
        <w:rPr>
          <w:sz w:val="22"/>
        </w:rPr>
        <w:t>The agent analyses the domain and produces a schema definition. The schema must:</w:t>
      </w:r>
    </w:p>
    <w:p>
      <w:pPr>
        <w:pStyle w:val="ListBullet"/>
      </w:pPr>
      <w:r>
        <w:rPr>
          <w:sz w:val="22"/>
        </w:rPr>
        <w:t>Identify the primary entities in the domain</w:t>
      </w:r>
    </w:p>
    <w:p>
      <w:pPr>
        <w:pStyle w:val="ListBullet"/>
      </w:pPr>
      <w:r>
        <w:rPr>
          <w:sz w:val="22"/>
        </w:rPr>
        <w:t>Define attributes for each entity with appropriate types and constraints</w:t>
      </w:r>
    </w:p>
    <w:p>
      <w:pPr>
        <w:pStyle w:val="ListBullet"/>
      </w:pPr>
      <w:r>
        <w:rPr>
          <w:sz w:val="22"/>
        </w:rPr>
        <w:t>Define relationships between entities (foreign keys, junction tables)</w:t>
      </w:r>
    </w:p>
    <w:p>
      <w:pPr>
        <w:pStyle w:val="ListBullet"/>
      </w:pPr>
      <w:r>
        <w:rPr>
          <w:sz w:val="22"/>
        </w:rPr>
        <w:t>Anticipate common query patterns and include appropriate indices</w:t>
      </w:r>
    </w:p>
    <w:p>
      <w:pPr>
        <w:pStyle w:val="ListBullet"/>
      </w:pPr>
      <w:r>
        <w:rPr>
          <w:sz w:val="22"/>
        </w:rPr>
        <w:t>Include an audit metadata pattern (created_at, updated_at, created_via, source)</w:t>
      </w:r>
    </w:p>
    <w:p>
      <w:r>
        <w:rPr>
          <w:sz w:val="22"/>
        </w:rPr>
        <w:t>The agent should document its schema design rationale in a brief schema manifest that travels with the service — enabling future sessions to understand and extend it.</w:t>
      </w:r>
    </w:p>
    <w:p>
      <w:r>
        <w:rPr>
          <w:b/>
          <w:color w:val="2E4A6E"/>
          <w:sz w:val="24"/>
        </w:rPr>
        <w:t>5.3 Scaffolding Phase</w:t>
      </w:r>
    </w:p>
    <w:p>
      <w:r>
        <w:rPr>
          <w:sz w:val="22"/>
        </w:rPr>
        <w:t>The agent generates and deploys:</w:t>
      </w:r>
    </w:p>
    <w:p>
      <w:pPr>
        <w:pStyle w:val="ListBullet"/>
      </w:pPr>
      <w:r>
        <w:rPr>
          <w:sz w:val="22"/>
        </w:rPr>
        <w:t>A database initialisation script (schema DDL)</w:t>
      </w:r>
    </w:p>
    <w:p>
      <w:pPr>
        <w:pStyle w:val="ListBullet"/>
      </w:pPr>
      <w:r>
        <w:rPr>
          <w:sz w:val="22"/>
        </w:rPr>
        <w:t>An API service layer exposing CRUD and domain-appropriate query operations</w:t>
      </w:r>
    </w:p>
    <w:p>
      <w:pPr>
        <w:pStyle w:val="ListBullet"/>
      </w:pPr>
      <w:r>
        <w:rPr>
          <w:sz w:val="22"/>
        </w:rPr>
        <w:t>A service manifest (name, version, domain, endpoint, tool definitions)</w:t>
      </w:r>
    </w:p>
    <w:p>
      <w:pPr>
        <w:pStyle w:val="ListBullet"/>
      </w:pPr>
      <w:r>
        <w:rPr>
          <w:sz w:val="22"/>
        </w:rPr>
        <w:t>A Docker-compatible run configuration for local deployment</w:t>
      </w:r>
    </w:p>
    <w:p>
      <w:r>
        <w:rPr>
          <w:b/>
          <w:color w:val="2E4A6E"/>
          <w:sz w:val="24"/>
        </w:rPr>
        <w:t>5.4 Registration Phase</w:t>
      </w:r>
    </w:p>
    <w:p>
      <w:r>
        <w:rPr>
          <w:sz w:val="22"/>
        </w:rPr>
        <w:t>The agent registers the service as one or more MCP tools. Each tool definition must:</w:t>
      </w:r>
    </w:p>
    <w:p>
      <w:pPr>
        <w:pStyle w:val="ListBullet"/>
      </w:pPr>
      <w:r>
        <w:rPr>
          <w:sz w:val="22"/>
        </w:rPr>
        <w:t>Follow the domain_object_action naming convention</w:t>
      </w:r>
    </w:p>
    <w:p>
      <w:pPr>
        <w:pStyle w:val="ListBullet"/>
      </w:pPr>
      <w:r>
        <w:rPr>
          <w:sz w:val="22"/>
        </w:rPr>
        <w:t>Include a description of 250 characters or fewer</w:t>
      </w:r>
    </w:p>
    <w:p>
      <w:pPr>
        <w:pStyle w:val="ListBullet"/>
      </w:pPr>
      <w:r>
        <w:rPr>
          <w:sz w:val="22"/>
        </w:rPr>
        <w:t>Define an explicit parameter schema</w:t>
      </w:r>
    </w:p>
    <w:p>
      <w:pPr>
        <w:pStyle w:val="ListBullet"/>
      </w:pPr>
      <w:r>
        <w:rPr>
          <w:sz w:val="22"/>
        </w:rPr>
        <w:t>Declare required OAuth scopes</w:t>
      </w:r>
    </w:p>
    <w:p>
      <w:pPr>
        <w:pStyle w:val="ListBullet"/>
      </w:pPr>
      <w:r>
        <w:rPr>
          <w:sz w:val="22"/>
        </w:rPr>
        <w:t>Indicate whether the tool is read-only or write</w:t>
      </w:r>
    </w:p>
    <w:p>
      <w:r>
        <w:rPr>
          <w:b/>
          <w:color w:val="2E4A6E"/>
          <w:sz w:val="24"/>
        </w:rPr>
        <w:t>5.5 Operation Phase</w:t>
      </w:r>
    </w:p>
    <w:p>
      <w:r>
        <w:rPr>
          <w:sz w:val="22"/>
        </w:rPr>
        <w:t>Once registered, the service operates as a persistent MCP tool. The agent uses it across sessions without re-instantiation. Other MCP-compatible AI clients may also use it, subject to scope and consent.</w:t>
      </w:r>
    </w:p>
    <w:p>
      <w:r>
        <w:rPr>
          <w:b/>
          <w:color w:val="2E4A6E"/>
          <w:sz w:val="24"/>
        </w:rPr>
        <w:t>5.6 Evolution Phase</w:t>
      </w:r>
    </w:p>
    <w:p>
      <w:r>
        <w:rPr>
          <w:sz w:val="22"/>
        </w:rPr>
        <w:t>As the agent's understanding of the domain deepens, it may extend the schema. Evolution must follow migration-safe patterns: additive changes preferred, destructive changes gated behind confirmation, data preserved across migrations. The schema manifest is updated on each evolution.</w:t>
      </w:r>
    </w:p>
    <w:p>
      <w:r>
        <w:rPr>
          <w:b/>
          <w:color w:val="1A1A2E"/>
          <w:sz w:val="30"/>
        </w:rPr>
        <w:t>6. Tool Taxonomy</w:t>
      </w:r>
    </w:p>
    <w:p>
      <w:r>
        <w:rPr>
          <w:sz w:val="22"/>
        </w:rPr>
        <w:t>All MCP tools generated by AIPCS must follow this naming convention:</w:t>
      </w:r>
    </w:p>
    <w:p>
      <w:r>
        <w:rPr>
          <w:rFonts w:ascii="Courier New" w:hAnsi="Courier New"/>
          <w:sz w:val="22"/>
        </w:rPr>
        <w:t xml:space="preserve">    domain_object_action</w:t>
      </w:r>
    </w:p>
    <w:p>
      <w:r>
        <w:rPr>
          <w:sz w:val="22"/>
        </w:rPr>
        <w:t>Rules:</w:t>
      </w:r>
    </w:p>
    <w:p>
      <w:pPr>
        <w:pStyle w:val="ListBullet"/>
      </w:pPr>
      <w:r>
        <w:rPr>
          <w:sz w:val="22"/>
        </w:rPr>
        <w:t>snake_case only</w:t>
      </w:r>
    </w:p>
    <w:p>
      <w:pPr>
        <w:pStyle w:val="ListBullet"/>
      </w:pPr>
      <w:r>
        <w:rPr>
          <w:sz w:val="22"/>
        </w:rPr>
        <w:t>Maximum 60 characters</w:t>
      </w:r>
    </w:p>
    <w:p>
      <w:pPr>
        <w:pStyle w:val="ListBullet"/>
      </w:pPr>
      <w:r>
        <w:rPr>
          <w:sz w:val="22"/>
        </w:rPr>
        <w:t>Descriptions maximum 250 characters</w:t>
      </w:r>
    </w:p>
    <w:p>
      <w:pPr>
        <w:pStyle w:val="ListBullet"/>
      </w:pPr>
      <w:r>
        <w:rPr>
          <w:sz w:val="22"/>
        </w:rPr>
        <w:t>Names use domain/product language, not internal implementation names</w:t>
      </w:r>
    </w:p>
    <w:p>
      <w:pPr>
        <w:pStyle w:val="ListBullet"/>
      </w:pPr>
      <w:r>
        <w:rPr>
          <w:sz w:val="22"/>
        </w:rPr>
        <w:t>State-mutating tools must make mutation clear in the name</w:t>
      </w:r>
    </w:p>
    <w:p>
      <w:pPr>
        <w:pStyle w:val="ListBullet"/>
      </w:pPr>
      <w:r>
        <w:rPr>
          <w:sz w:val="22"/>
        </w:rPr>
        <w:t>Read and write tools must be distinct — no dual-purpose tools</w:t>
      </w:r>
    </w:p>
    <w:p>
      <w:r>
        <w:rPr>
          <w:sz w:val="22"/>
        </w:rPr>
        <w:t>The optional qualifier form:</w:t>
      </w:r>
    </w:p>
    <w:p>
      <w:r>
        <w:rPr>
          <w:rFonts w:ascii="Courier New" w:hAnsi="Courier New"/>
          <w:sz w:val="22"/>
        </w:rPr>
        <w:t xml:space="preserve">    domain_object_qualifier_action</w:t>
      </w:r>
    </w:p>
    <w:p>
      <w:r>
        <w:rPr>
          <w:sz w:val="22"/>
        </w:rPr>
        <w:t>Avoid database-style names such as:</w:t>
      </w:r>
    </w:p>
    <w:p>
      <w:pPr>
        <w:pStyle w:val="ListBullet"/>
      </w:pPr>
      <w:r>
        <w:rPr>
          <w:rFonts w:ascii="Courier New" w:hAnsi="Courier New"/>
          <w:sz w:val="22"/>
        </w:rPr>
        <w:t>get_record</w:t>
      </w:r>
    </w:p>
    <w:p>
      <w:pPr>
        <w:pStyle w:val="ListBullet"/>
      </w:pPr>
      <w:r>
        <w:rPr>
          <w:rFonts w:ascii="Courier New" w:hAnsi="Courier New"/>
          <w:sz w:val="22"/>
        </w:rPr>
        <w:t>update_field</w:t>
      </w:r>
    </w:p>
    <w:p>
      <w:pPr>
        <w:pStyle w:val="ListBullet"/>
      </w:pPr>
      <w:r>
        <w:rPr>
          <w:rFonts w:ascii="Courier New" w:hAnsi="Courier New"/>
          <w:sz w:val="22"/>
        </w:rPr>
        <w:t>query_table</w:t>
      </w:r>
    </w:p>
    <w:p>
      <w:pPr>
        <w:pStyle w:val="ListBullet"/>
      </w:pPr>
      <w:r>
        <w:rPr>
          <w:rFonts w:ascii="Courier New" w:hAnsi="Courier New"/>
          <w:sz w:val="22"/>
        </w:rPr>
        <w:t>insert_row</w:t>
      </w:r>
    </w:p>
    <w:p>
      <w:pPr>
        <w:pStyle w:val="ListBullet"/>
      </w:pPr>
      <w:r>
        <w:rPr>
          <w:rFonts w:ascii="Courier New" w:hAnsi="Courier New"/>
          <w:sz w:val="22"/>
        </w:rPr>
        <w:t>delete_entity</w:t>
      </w:r>
    </w:p>
    <w:p>
      <w:r>
        <w:rPr>
          <w:b/>
          <w:color w:val="1A1A2E"/>
          <w:sz w:val="30"/>
        </w:rPr>
        <w:t>7. Authentication Model</w:t>
      </w:r>
    </w:p>
    <w:p>
      <w:r>
        <w:rPr>
          <w:sz w:val="22"/>
        </w:rPr>
        <w:t>AIPCS services must support OAuth 2.0 with Dynamic Client Registration (DCR) as the production authentication model. This enables consumer AI users to connect their existing AI client without requiring a separate developer API key.</w:t>
      </w:r>
    </w:p>
    <w:p>
      <w:r>
        <w:rPr>
          <w:sz w:val="22"/>
        </w:rPr>
        <w:t>Required components:</w:t>
      </w:r>
    </w:p>
    <w:p>
      <w:pPr>
        <w:pStyle w:val="ListBullet"/>
      </w:pPr>
      <w:r>
        <w:rPr>
          <w:sz w:val="22"/>
        </w:rPr>
        <w:t>Dynamic Client Registration endpoint</w:t>
      </w:r>
    </w:p>
    <w:p>
      <w:pPr>
        <w:pStyle w:val="ListBullet"/>
      </w:pPr>
      <w:r>
        <w:rPr>
          <w:sz w:val="22"/>
        </w:rPr>
        <w:t>Authorization Code with PKCE for user-facing clients</w:t>
      </w:r>
    </w:p>
    <w:p>
      <w:pPr>
        <w:pStyle w:val="ListBullet"/>
      </w:pPr>
      <w:r>
        <w:rPr>
          <w:sz w:val="22"/>
        </w:rPr>
        <w:t>Scoped access tokens</w:t>
      </w:r>
    </w:p>
    <w:p>
      <w:pPr>
        <w:pStyle w:val="ListBullet"/>
      </w:pPr>
      <w:r>
        <w:rPr>
          <w:sz w:val="22"/>
        </w:rPr>
        <w:t>Token expiry and revocation</w:t>
      </w:r>
    </w:p>
    <w:p>
      <w:pPr>
        <w:pStyle w:val="ListBullet"/>
      </w:pPr>
      <w:r>
        <w:rPr>
          <w:sz w:val="22"/>
        </w:rPr>
        <w:t>Consent screen using domain language (not generic 'access your account')</w:t>
      </w:r>
    </w:p>
    <w:p>
      <w:pPr>
        <w:pStyle w:val="ListBullet"/>
      </w:pPr>
      <w:r>
        <w:rPr>
          <w:sz w:val="22"/>
        </w:rPr>
        <w:t>Client management UI for viewing, revoking, and auditing registered clients</w:t>
      </w:r>
    </w:p>
    <w:p>
      <w:pPr>
        <w:pStyle w:val="ListBullet"/>
      </w:pPr>
      <w:r>
        <w:rPr>
          <w:sz w:val="22"/>
        </w:rPr>
        <w:t>Audit log for all write operations</w:t>
      </w:r>
    </w:p>
    <w:p>
      <w:r>
        <w:rPr>
          <w:sz w:val="22"/>
        </w:rPr>
        <w:t>Static tokens may be used for constrained local development only. They must be clearly marked as non-production and must not define the security model.</w:t>
      </w:r>
    </w:p>
    <w:p>
      <w:r>
        <w:rPr>
          <w:b/>
          <w:color w:val="1A1A2E"/>
          <w:sz w:val="30"/>
        </w:rPr>
        <w:t>8. Security Requirements</w:t>
      </w:r>
    </w:p>
    <w:p>
      <w:pPr>
        <w:pStyle w:val="ListBullet"/>
      </w:pPr>
      <w:r>
        <w:rPr>
          <w:sz w:val="22"/>
        </w:rPr>
        <w:t>MCP disabled by default — must be explicitly enabled</w:t>
      </w:r>
    </w:p>
    <w:p>
      <w:pPr>
        <w:pStyle w:val="ListBullet"/>
      </w:pPr>
      <w:r>
        <w:rPr>
          <w:sz w:val="22"/>
        </w:rPr>
        <w:t>Owner scoping mandatory on all tools and resources</w:t>
      </w:r>
    </w:p>
    <w:p>
      <w:pPr>
        <w:pStyle w:val="ListBullet"/>
      </w:pPr>
      <w:r>
        <w:rPr>
          <w:sz w:val="22"/>
        </w:rPr>
        <w:t>No broad data export tools — reads must be scoped and specific</w:t>
      </w:r>
    </w:p>
    <w:p>
      <w:pPr>
        <w:pStyle w:val="ListBullet"/>
      </w:pPr>
      <w:r>
        <w:rPr>
          <w:sz w:val="22"/>
        </w:rPr>
        <w:t>Write and mutation tools strictly separated from read tools</w:t>
      </w:r>
    </w:p>
    <w:p>
      <w:pPr>
        <w:pStyle w:val="ListBullet"/>
      </w:pPr>
      <w:r>
        <w:rPr>
          <w:sz w:val="22"/>
        </w:rPr>
        <w:t>State-changing tools require confirm/propose pattern</w:t>
      </w:r>
    </w:p>
    <w:p>
      <w:pPr>
        <w:pStyle w:val="ListBullet"/>
      </w:pPr>
      <w:r>
        <w:rPr>
          <w:sz w:val="22"/>
        </w:rPr>
        <w:t>Prompt injection mitigation: external content treated as labelled data, not instruction</w:t>
      </w:r>
    </w:p>
    <w:p>
      <w:pPr>
        <w:pStyle w:val="ListBullet"/>
      </w:pPr>
      <w:r>
        <w:rPr>
          <w:sz w:val="22"/>
        </w:rPr>
        <w:t>No raw secrets or credentials returned by any tool</w:t>
      </w:r>
    </w:p>
    <w:p>
      <w:pPr>
        <w:pStyle w:val="ListBullet"/>
      </w:pPr>
      <w:r>
        <w:rPr>
          <w:sz w:val="22"/>
        </w:rPr>
        <w:t>All MCP-created outputs marked created_via=mcp with full provenance record</w:t>
      </w:r>
    </w:p>
    <w:p>
      <w:pPr>
        <w:pStyle w:val="ListBullet"/>
      </w:pPr>
      <w:r>
        <w:rPr>
          <w:sz w:val="22"/>
        </w:rPr>
        <w:t>Network exposure only over private LAN or localhost by default</w:t>
      </w:r>
    </w:p>
    <w:p>
      <w:pPr>
        <w:pStyle w:val="ListBullet"/>
      </w:pPr>
      <w:r>
        <w:rPr>
          <w:sz w:val="22"/>
        </w:rPr>
        <w:t>TLS required for any remote exposure</w:t>
      </w:r>
    </w:p>
    <w:p>
      <w:r>
        <w:rPr>
          <w:b/>
          <w:color w:val="1A1A2E"/>
          <w:sz w:val="30"/>
        </w:rPr>
        <w:t>9. Provenance Record</w:t>
      </w:r>
    </w:p>
    <w:p>
      <w:r>
        <w:rPr>
          <w:sz w:val="22"/>
        </w:rPr>
        <w:t>Every AIPCS-created output must record:</w:t>
      </w:r>
    </w:p>
    <w:p>
      <w:pPr>
        <w:pStyle w:val="ListBullet"/>
      </w:pPr>
      <w:r>
        <w:rPr>
          <w:rFonts w:ascii="Courier New" w:hAnsi="Courier New"/>
          <w:sz w:val="20"/>
        </w:rPr>
        <w:t>created_via = aipcs</w:t>
      </w:r>
    </w:p>
    <w:p>
      <w:pPr>
        <w:pStyle w:val="ListBullet"/>
      </w:pPr>
      <w:r>
        <w:rPr>
          <w:rFonts w:ascii="Courier New" w:hAnsi="Courier New"/>
          <w:sz w:val="20"/>
        </w:rPr>
        <w:t>client_id</w:t>
      </w:r>
    </w:p>
    <w:p>
      <w:pPr>
        <w:pStyle w:val="ListBullet"/>
      </w:pPr>
      <w:r>
        <w:rPr>
          <w:rFonts w:ascii="Courier New" w:hAnsi="Courier New"/>
          <w:sz w:val="20"/>
        </w:rPr>
        <w:t>tool_name</w:t>
      </w:r>
    </w:p>
    <w:p>
      <w:pPr>
        <w:pStyle w:val="ListBullet"/>
      </w:pPr>
      <w:r>
        <w:rPr>
          <w:rFonts w:ascii="Courier New" w:hAnsi="Courier New"/>
          <w:sz w:val="20"/>
        </w:rPr>
        <w:t>tool_version</w:t>
      </w:r>
    </w:p>
    <w:p>
      <w:pPr>
        <w:pStyle w:val="ListBullet"/>
      </w:pPr>
      <w:r>
        <w:rPr>
          <w:rFonts w:ascii="Courier New" w:hAnsi="Courier New"/>
          <w:sz w:val="20"/>
        </w:rPr>
        <w:t>owner_id</w:t>
      </w:r>
    </w:p>
    <w:p>
      <w:pPr>
        <w:pStyle w:val="ListBullet"/>
      </w:pPr>
      <w:r>
        <w:rPr>
          <w:rFonts w:ascii="Courier New" w:hAnsi="Courier New"/>
          <w:sz w:val="20"/>
        </w:rPr>
        <w:t>source_context (summary of what the agent used)</w:t>
      </w:r>
    </w:p>
    <w:p>
      <w:pPr>
        <w:pStyle w:val="ListBullet"/>
      </w:pPr>
      <w:r>
        <w:rPr>
          <w:rFonts w:ascii="Courier New" w:hAnsi="Courier New"/>
          <w:sz w:val="20"/>
        </w:rPr>
        <w:t>created_at</w:t>
      </w:r>
    </w:p>
    <w:p>
      <w:pPr>
        <w:pStyle w:val="ListBullet"/>
      </w:pPr>
      <w:r>
        <w:rPr>
          <w:rFonts w:ascii="Courier New" w:hAnsi="Courier New"/>
          <w:sz w:val="20"/>
        </w:rPr>
        <w:t>schema_version (version of the AIPCS service schema at time of creation)</w:t>
      </w:r>
    </w:p>
    <w:p>
      <w:r>
        <w:rPr>
          <w:b/>
          <w:color w:val="1A1A2E"/>
          <w:sz w:val="30"/>
        </w:rPr>
        <w:t>10. Reference Implementation</w:t>
      </w:r>
    </w:p>
    <w:p>
      <w:r>
        <w:rPr>
          <w:sz w:val="22"/>
        </w:rPr>
        <w:t>The reference implementation is Application Tracker (github.com/randallcmark/application_tracker). It demonstrates AIPCS instantiated for the career management domain, with the following proving-ground characteristics:</w:t>
      </w:r>
    </w:p>
    <w:p>
      <w:pPr>
        <w:pStyle w:val="ListBullet"/>
      </w:pPr>
      <w:r>
        <w:rPr>
          <w:sz w:val="22"/>
        </w:rPr>
        <w:t>Self-hosted Docker Compose deployment</w:t>
      </w:r>
    </w:p>
    <w:p>
      <w:pPr>
        <w:pStyle w:val="ListBullet"/>
      </w:pPr>
      <w:r>
        <w:rPr>
          <w:sz w:val="22"/>
        </w:rPr>
        <w:t>FastAPI service layer</w:t>
      </w:r>
    </w:p>
    <w:p>
      <w:pPr>
        <w:pStyle w:val="ListBullet"/>
      </w:pPr>
      <w:r>
        <w:rPr>
          <w:sz w:val="22"/>
        </w:rPr>
        <w:t>SQLite backend (PostgreSQL optional)</w:t>
      </w:r>
    </w:p>
    <w:p>
      <w:pPr>
        <w:pStyle w:val="ListBullet"/>
      </w:pPr>
      <w:r>
        <w:rPr>
          <w:sz w:val="22"/>
        </w:rPr>
        <w:t>MCP sidecar service</w:t>
      </w:r>
    </w:p>
    <w:p>
      <w:pPr>
        <w:pStyle w:val="ListBullet"/>
      </w:pPr>
      <w:r>
        <w:rPr>
          <w:sz w:val="22"/>
        </w:rPr>
        <w:t>OAuth 2.0 + DCR authentication</w:t>
      </w:r>
    </w:p>
    <w:p>
      <w:pPr>
        <w:pStyle w:val="ListBullet"/>
      </w:pPr>
      <w:r>
        <w:rPr>
          <w:sz w:val="22"/>
        </w:rPr>
        <w:t>Workflow-oriented MCP tool taxonomy</w:t>
      </w:r>
    </w:p>
    <w:p>
      <w:pPr>
        <w:pStyle w:val="ListBullet"/>
      </w:pPr>
      <w:r>
        <w:rPr>
          <w:sz w:val="22"/>
        </w:rPr>
        <w:t>Tiered tool permission model (read-only → visible output → workflow mutation)</w:t>
      </w:r>
    </w:p>
    <w:p>
      <w:r>
        <w:rPr>
          <w:sz w:val="22"/>
        </w:rPr>
        <w:t>The reference implementation is the proving ground, not the pattern. The pattern is this specification. Implementations in other languages, frameworks, or deployment environments that satisfy this specification are valid AIPCS implementations.</w:t>
      </w:r>
    </w:p>
    <w:p>
      <w:r>
        <w:rPr>
          <w:b/>
          <w:color w:val="1A1A2E"/>
          <w:sz w:val="30"/>
        </w:rPr>
        <w:t>11. Open Questions (v0.1)</w:t>
      </w:r>
    </w:p>
    <w:p>
      <w:r>
        <w:rPr>
          <w:sz w:val="22"/>
        </w:rPr>
        <w:t>The following questions are open at the time of this draft:</w:t>
      </w:r>
    </w:p>
    <w:p>
      <w:pPr>
        <w:pStyle w:val="ListBullet"/>
      </w:pPr>
      <w:r>
        <w:rPr>
          <w:sz w:val="22"/>
        </w:rPr>
        <w:t>Schema versioning: What is the canonical format for the schema manifest and how should version history be tracked?</w:t>
      </w:r>
    </w:p>
    <w:p>
      <w:pPr>
        <w:pStyle w:val="ListBullet"/>
      </w:pPr>
      <w:r>
        <w:rPr>
          <w:sz w:val="22"/>
        </w:rPr>
        <w:t>Service registry: Should there be a registry of AIPCS-instantiated services that the agent can query to discover what memory infrastructure already exists?</w:t>
      </w:r>
    </w:p>
    <w:p>
      <w:pPr>
        <w:pStyle w:val="ListBullet"/>
      </w:pPr>
      <w:r>
        <w:rPr>
          <w:sz w:val="22"/>
        </w:rPr>
        <w:t>Multi-agent: How should AIPCS services behave when accessed by multiple different AI clients simultaneously? Is locking required?</w:t>
      </w:r>
    </w:p>
    <w:p>
      <w:pPr>
        <w:pStyle w:val="ListBullet"/>
      </w:pPr>
      <w:r>
        <w:rPr>
          <w:sz w:val="22"/>
        </w:rPr>
        <w:t>Schema conflict resolution: If the agent generates a schema that conflicts with an existing one, what is the resolution protocol?</w:t>
      </w:r>
    </w:p>
    <w:p>
      <w:pPr>
        <w:pStyle w:val="ListBullet"/>
      </w:pPr>
      <w:r>
        <w:rPr>
          <w:sz w:val="22"/>
        </w:rPr>
        <w:t>Portability: Should AIPCS services support export/import of both schema and data for migration between deployments?</w:t>
      </w:r>
    </w:p>
    <w:p>
      <w:pPr>
        <w:pBdr>
          <w:bottom w:val="single" w:sz="6" w:space="1" w:color="AAAAAA"/>
        </w:pBdr>
      </w:pPr>
    </w:p>
    <w:p>
      <w:r>
        <w:rPr>
          <w:sz w:val="22"/>
        </w:rPr>
        <w:t>Document version: 0.1 — 04 May 2026 — Randall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