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46"/>
      </w:tblGrid>
      <w:tr>
        <w:tc>
          <w:tcPr>
            <w:tcW w:type="dxa" w:w="9746"/>
            <w:tcBorders>
              <w:top w:val="none" w:color="FFFFFF" w:sz="0"/>
              <w:left w:val="none" w:color="FFFFFF" w:sz="0"/>
              <w:bottom w:val="none" w:color="FFFFFF" w:sz="0"/>
              <w:right w:val="none" w:color="FFFFFF" w:sz="0"/>
            </w:tcBorders>
            <w:shd w:fill="15233F" w:color="auto" w:val="clear"/>
            <w:tcMar>
              <w:top w:type="dxa" w:w="500"/>
              <w:left w:type="dxa" w:w="500"/>
              <w:bottom w:type="dxa" w:w="500"/>
              <w:right w:type="dxa" w:w="500"/>
            </w:tcMar>
          </w:tcPr>
          <w:p>
            <w:pPr>
              <w:spacing w:after="200" w:before="0" w:line="276" w:lineRule="auto"/>
            </w:pPr>
            <w:r>
              <w:rPr>
                <w:rFonts w:ascii="Arial" w:cs="Arial" w:eastAsia="Yu Gothic" w:hAnsi="Arial"/>
                <w:b/>
                <w:bCs/>
                <w:color w:val="8FB4F0"/>
                <w:sz w:val="18"/>
                <w:szCs w:val="18"/>
              </w:rPr>
              <w:t xml:space="preserve">EQUITY RESEARCH  |  INSTITUTIONAL DEEP DIVE  |  JAPAN REAL ESTATE</w:t>
            </w:r>
          </w:p>
          <w:p>
            <w:pPr>
              <w:spacing w:after="80" w:before="0" w:line="240" w:lineRule="auto"/>
            </w:pPr>
            <w:r>
              <w:rPr>
                <w:rFonts w:ascii="Arial" w:cs="Arial" w:eastAsia="Yu Gothic" w:hAnsi="Arial"/>
                <w:b/>
                <w:bCs/>
                <w:color w:val="FFFFFF"/>
                <w:sz w:val="52"/>
                <w:szCs w:val="52"/>
              </w:rPr>
              <w:t xml:space="preserve">Tokyo Tatemono Co., Ltd.</w:t>
            </w:r>
          </w:p>
          <w:p>
            <w:pPr>
              <w:spacing w:after="260" w:before="0" w:line="276" w:lineRule="auto"/>
            </w:pPr>
            <w:r>
              <w:rPr>
                <w:rFonts w:ascii="Arial" w:cs="Arial" w:eastAsia="Yu Gothic" w:hAnsi="Arial"/>
                <w:color w:val="C9D3E6"/>
                <w:sz w:val="26"/>
                <w:szCs w:val="26"/>
              </w:rPr>
              <w:t xml:space="preserve">TSE Prime: 8804  |  Bloomberg: 8804 JP  |  Real estate development &amp; leasing</w:t>
            </w:r>
          </w:p>
          <w:p>
            <w:pPr>
              <w:spacing w:after="0" w:before="0" w:line="276" w:lineRule="auto"/>
            </w:pPr>
            <w:r>
              <w:rPr>
                <w:rFonts w:ascii="Arial" w:cs="Arial" w:eastAsia="Yu Gothic" w:hAnsi="Arial"/>
                <w:i/>
                <w:iCs/>
                <w:color w:val="FFFFFF"/>
                <w:sz w:val="22"/>
                <w:szCs w:val="22"/>
              </w:rPr>
              <w:t xml:space="preserve">Leverage, not value, explains the discount</w:t>
            </w:r>
          </w:p>
        </w:tc>
      </w:tr>
    </w:tbl>
    <w:p>
      <w:pPr>
        <w:spacing w:after="200" w:before="0" w:line="276" w:lineRule="auto"/>
      </w:pP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49"/>
        <w:gridCol w:w="3249"/>
        <w:gridCol w:w="3248"/>
      </w:tblGrid>
      <w:tr>
        <w:tc>
          <w:tcPr>
            <w:tcW w:type="dxa" w:w="3249"/>
            <w:tcBorders>
              <w:top w:val="single" w:color="FFFFFF" w:sz="12"/>
              <w:left w:val="single" w:color="FFFFFF" w:sz="12"/>
              <w:bottom w:val="single" w:color="FFFFFF" w:sz="12"/>
              <w:right w:val="single" w:color="FFFFFF" w:sz="12"/>
            </w:tcBorders>
            <w:shd w:fill="2F6FD0" w:color="auto" w:val="clear"/>
            <w:tcMar>
              <w:top w:type="dxa" w:w="160"/>
              <w:left w:type="dxa" w:w="200"/>
              <w:bottom w:type="dxa" w:w="160"/>
              <w:right w:type="dxa" w:w="200"/>
            </w:tcMar>
          </w:tcPr>
          <w:p>
            <w:pPr>
              <w:spacing w:after="40" w:before="0" w:line="276" w:lineRule="auto"/>
            </w:pPr>
            <w:r>
              <w:rPr>
                <w:rFonts w:ascii="Arial" w:cs="Arial" w:eastAsia="Yu Gothic" w:hAnsi="Arial"/>
                <w:b/>
                <w:bCs/>
                <w:color w:val="C9D3E6"/>
                <w:sz w:val="15"/>
                <w:szCs w:val="15"/>
              </w:rPr>
              <w:t xml:space="preserve">RECOMMENDATION</w:t>
            </w:r>
          </w:p>
          <w:p>
            <w:pPr>
              <w:spacing w:after="0" w:before="0" w:line="276" w:lineRule="auto"/>
            </w:pPr>
            <w:r>
              <w:rPr>
                <w:rFonts w:ascii="Arial" w:cs="Arial" w:eastAsia="Yu Gothic" w:hAnsi="Arial"/>
                <w:b/>
                <w:bCs/>
                <w:color w:val="FFFFFF"/>
                <w:sz w:val="28"/>
                <w:szCs w:val="28"/>
              </w:rPr>
              <w:t xml:space="preserve">HOLD</w:t>
            </w:r>
          </w:p>
        </w:tc>
        <w:tc>
          <w:tcPr>
            <w:tcW w:type="dxa" w:w="3249"/>
            <w:tcBorders>
              <w:top w:val="single" w:color="FFFFFF" w:sz="12"/>
              <w:left w:val="single" w:color="FFFFFF" w:sz="12"/>
              <w:bottom w:val="single" w:color="FFFFFF" w:sz="12"/>
              <w:right w:val="single" w:color="FFFFFF" w:sz="12"/>
            </w:tcBorders>
            <w:shd w:fill="15233F" w:color="auto" w:val="clear"/>
            <w:tcMar>
              <w:top w:type="dxa" w:w="160"/>
              <w:left w:type="dxa" w:w="200"/>
              <w:bottom w:type="dxa" w:w="160"/>
              <w:right w:type="dxa" w:w="200"/>
            </w:tcMar>
          </w:tcPr>
          <w:p>
            <w:pPr>
              <w:spacing w:after="40" w:before="0" w:line="276" w:lineRule="auto"/>
            </w:pPr>
            <w:r>
              <w:rPr>
                <w:rFonts w:ascii="Arial" w:cs="Arial" w:eastAsia="Yu Gothic" w:hAnsi="Arial"/>
                <w:b/>
                <w:bCs/>
                <w:color w:val="C9D3E6"/>
                <w:sz w:val="15"/>
                <w:szCs w:val="15"/>
              </w:rPr>
              <w:t xml:space="preserve">12-MONTH TARGET</w:t>
            </w:r>
          </w:p>
          <w:p>
            <w:pPr>
              <w:spacing w:after="0" w:before="0" w:line="276" w:lineRule="auto"/>
            </w:pPr>
            <w:r>
              <w:rPr>
                <w:rFonts w:ascii="Arial" w:cs="Arial" w:eastAsia="Yu Gothic" w:hAnsi="Arial"/>
                <w:b/>
                <w:bCs/>
                <w:color w:val="FFFFFF"/>
                <w:sz w:val="28"/>
                <w:szCs w:val="28"/>
              </w:rPr>
              <w:t xml:space="preserve">¥3,400 (+5.9%)</w:t>
            </w:r>
          </w:p>
        </w:tc>
        <w:tc>
          <w:tcPr>
            <w:tcW w:type="dxa" w:w="3248"/>
            <w:tcBorders>
              <w:top w:val="single" w:color="FFFFFF" w:sz="12"/>
              <w:left w:val="single" w:color="FFFFFF" w:sz="12"/>
              <w:bottom w:val="single" w:color="FFFFFF" w:sz="12"/>
              <w:right w:val="single" w:color="FFFFFF" w:sz="12"/>
            </w:tcBorders>
            <w:shd w:fill="15233F" w:color="auto" w:val="clear"/>
            <w:tcMar>
              <w:top w:type="dxa" w:w="160"/>
              <w:left w:type="dxa" w:w="200"/>
              <w:bottom w:type="dxa" w:w="160"/>
              <w:right w:type="dxa" w:w="200"/>
            </w:tcMar>
          </w:tcPr>
          <w:p>
            <w:pPr>
              <w:spacing w:after="40" w:before="0" w:line="276" w:lineRule="auto"/>
            </w:pPr>
            <w:r>
              <w:rPr>
                <w:rFonts w:ascii="Arial" w:cs="Arial" w:eastAsia="Yu Gothic" w:hAnsi="Arial"/>
                <w:b/>
                <w:bCs/>
                <w:color w:val="C9D3E6"/>
                <w:sz w:val="15"/>
                <w:szCs w:val="15"/>
              </w:rPr>
              <w:t xml:space="preserve">REFERENCE PRICE</w:t>
            </w:r>
          </w:p>
          <w:p>
            <w:pPr>
              <w:spacing w:after="0" w:before="0" w:line="276" w:lineRule="auto"/>
            </w:pPr>
            <w:r>
              <w:rPr>
                <w:rFonts w:ascii="Arial" w:cs="Arial" w:eastAsia="Yu Gothic" w:hAnsi="Arial"/>
                <w:b/>
                <w:bCs/>
                <w:color w:val="FFFFFF"/>
                <w:sz w:val="28"/>
                <w:szCs w:val="28"/>
              </w:rPr>
              <w:t xml:space="preserve">¥3,211 (2 Oct 2026)</w:t>
            </w:r>
          </w:p>
        </w:tc>
      </w:tr>
    </w:tbl>
    <w:p>
      <w:pPr>
        <w:spacing w:after="200" w:before="0" w:line="276" w:lineRule="auto"/>
      </w:pPr>
    </w:p>
    <w:p>
      <w:pPr>
        <w:spacing w:after="60" w:before="0" w:line="276" w:lineRule="auto"/>
      </w:pPr>
      <w:r>
        <w:rPr>
          <w:rFonts w:ascii="Arial" w:cs="Arial" w:eastAsia="Yu Gothic" w:hAnsi="Arial"/>
          <w:b/>
          <w:bCs/>
          <w:color w:val="2F6FD0"/>
          <w:sz w:val="17"/>
          <w:szCs w:val="17"/>
        </w:rPr>
        <w:t xml:space="preserve">KEY DATA</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44"/>
        <w:gridCol w:w="2729"/>
        <w:gridCol w:w="2144"/>
        <w:gridCol w:w="2729"/>
      </w:tblGrid>
      <w:tr>
        <w:tc>
          <w:tcPr>
            <w:tcW w:type="dxa" w:w="2144"/>
            <w:tcBorders>
              <w:top w:val="none" w:color="FFFFFF" w:sz="0"/>
              <w:left w:val="none" w:color="FFFFFF" w:sz="0"/>
              <w:bottom w:val="single" w:color="D0D5DD" w:sz="4"/>
              <w:right w:val="none" w:color="FFFFFF" w:sz="0"/>
            </w:tcBorders>
            <w:tcMar>
              <w:top w:type="dxa" w:w="60"/>
              <w:left w:type="dxa" w:w="60"/>
              <w:bottom w:type="dxa" w:w="60"/>
              <w:right w:type="dxa" w:w="60"/>
            </w:tcMar>
          </w:tcPr>
          <w:p>
            <w:pPr>
              <w:spacing w:after="0" w:before="0" w:line="276" w:lineRule="auto"/>
              <w:jc w:val="left"/>
            </w:pPr>
            <w:r>
              <w:rPr>
                <w:rFonts w:ascii="Arial" w:cs="Arial" w:eastAsia="Yu Gothic" w:hAnsi="Arial"/>
                <w:b w:val="false"/>
                <w:bCs w:val="false"/>
                <w:color w:val="5B6577"/>
                <w:sz w:val="17"/>
                <w:szCs w:val="17"/>
              </w:rPr>
              <w:t xml:space="preserve">Market cap / EV</w:t>
            </w:r>
          </w:p>
        </w:tc>
        <w:tc>
          <w:tcPr>
            <w:tcW w:type="dxa" w:w="2729"/>
            <w:tcBorders>
              <w:top w:val="none" w:color="FFFFFF" w:sz="0"/>
              <w:left w:val="none" w:color="FFFFFF" w:sz="0"/>
              <w:bottom w:val="single" w:color="D0D5DD" w:sz="4"/>
              <w:right w:val="none" w:color="FFFFFF" w:sz="0"/>
            </w:tcBorders>
            <w:tcMar>
              <w:top w:type="dxa" w:w="60"/>
              <w:left w:type="dxa" w:w="60"/>
              <w:bottom w:type="dxa" w:w="60"/>
              <w:right w:type="dxa" w:w="60"/>
            </w:tcMar>
          </w:tcPr>
          <w:p>
            <w:pPr>
              <w:spacing w:after="0" w:before="0" w:line="276" w:lineRule="auto"/>
              <w:jc w:val="right"/>
            </w:pPr>
            <w:r>
              <w:rPr>
                <w:rFonts w:ascii="Arial" w:cs="Arial" w:eastAsia="Yu Gothic" w:hAnsi="Arial"/>
                <w:b/>
                <w:bCs/>
                <w:color w:val="15233F"/>
                <w:sz w:val="17"/>
                <w:szCs w:val="17"/>
              </w:rPr>
              <w:t xml:space="preserve">¥668bn / ¥2,123bn</w:t>
            </w:r>
          </w:p>
        </w:tc>
        <w:tc>
          <w:tcPr>
            <w:tcW w:type="dxa" w:w="2144"/>
            <w:tcBorders>
              <w:top w:val="none" w:color="FFFFFF" w:sz="0"/>
              <w:left w:val="none" w:color="FFFFFF" w:sz="0"/>
              <w:bottom w:val="single" w:color="D0D5DD" w:sz="4"/>
              <w:right w:val="none" w:color="FFFFFF" w:sz="0"/>
            </w:tcBorders>
            <w:tcMar>
              <w:top w:type="dxa" w:w="60"/>
              <w:left w:type="dxa" w:w="60"/>
              <w:bottom w:type="dxa" w:w="60"/>
              <w:right w:type="dxa" w:w="60"/>
            </w:tcMar>
          </w:tcPr>
          <w:p>
            <w:pPr>
              <w:spacing w:after="0" w:before="0" w:line="276" w:lineRule="auto"/>
              <w:jc w:val="left"/>
            </w:pPr>
            <w:r>
              <w:rPr>
                <w:rFonts w:ascii="Arial" w:cs="Arial" w:eastAsia="Yu Gothic" w:hAnsi="Arial"/>
                <w:b w:val="false"/>
                <w:bCs w:val="false"/>
                <w:color w:val="5B6577"/>
                <w:sz w:val="17"/>
                <w:szCs w:val="17"/>
              </w:rPr>
              <w:t xml:space="preserve">EPS FY26E / 27E / 28E</w:t>
            </w:r>
          </w:p>
        </w:tc>
        <w:tc>
          <w:tcPr>
            <w:tcW w:type="dxa" w:w="2729"/>
            <w:tcBorders>
              <w:top w:val="none" w:color="FFFFFF" w:sz="0"/>
              <w:left w:val="none" w:color="FFFFFF" w:sz="0"/>
              <w:bottom w:val="single" w:color="D0D5DD" w:sz="4"/>
              <w:right w:val="none" w:color="FFFFFF" w:sz="0"/>
            </w:tcBorders>
            <w:tcMar>
              <w:top w:type="dxa" w:w="60"/>
              <w:left w:type="dxa" w:w="60"/>
              <w:bottom w:type="dxa" w:w="60"/>
              <w:right w:type="dxa" w:w="60"/>
            </w:tcMar>
          </w:tcPr>
          <w:p>
            <w:pPr>
              <w:spacing w:after="0" w:before="0" w:line="276" w:lineRule="auto"/>
              <w:jc w:val="right"/>
            </w:pPr>
            <w:r>
              <w:rPr>
                <w:rFonts w:ascii="Arial" w:cs="Arial" w:eastAsia="Yu Gothic" w:hAnsi="Arial"/>
                <w:b/>
                <w:bCs/>
                <w:color w:val="15233F"/>
                <w:sz w:val="17"/>
                <w:szCs w:val="17"/>
              </w:rPr>
              <w:t xml:space="preserve">¥315 / ¥323 / ¥330</w:t>
            </w:r>
          </w:p>
        </w:tc>
      </w:tr>
      <w:tr>
        <w:tc>
          <w:tcPr>
            <w:tcW w:type="dxa" w:w="2144"/>
            <w:tcBorders>
              <w:top w:val="none" w:color="FFFFFF" w:sz="0"/>
              <w:left w:val="none" w:color="FFFFFF" w:sz="0"/>
              <w:bottom w:val="single" w:color="D0D5DD" w:sz="4"/>
              <w:right w:val="none" w:color="FFFFFF" w:sz="0"/>
            </w:tcBorders>
            <w:tcMar>
              <w:top w:type="dxa" w:w="60"/>
              <w:left w:type="dxa" w:w="60"/>
              <w:bottom w:type="dxa" w:w="60"/>
              <w:right w:type="dxa" w:w="60"/>
            </w:tcMar>
          </w:tcPr>
          <w:p>
            <w:pPr>
              <w:spacing w:after="0" w:before="0" w:line="276" w:lineRule="auto"/>
              <w:jc w:val="left"/>
            </w:pPr>
            <w:r>
              <w:rPr>
                <w:rFonts w:ascii="Arial" w:cs="Arial" w:eastAsia="Yu Gothic" w:hAnsi="Arial"/>
                <w:b w:val="false"/>
                <w:bCs w:val="false"/>
                <w:color w:val="5B6577"/>
                <w:sz w:val="17"/>
                <w:szCs w:val="17"/>
              </w:rPr>
              <w:t xml:space="preserve">Net debt (30 Jun 2026)</w:t>
            </w:r>
          </w:p>
        </w:tc>
        <w:tc>
          <w:tcPr>
            <w:tcW w:type="dxa" w:w="2729"/>
            <w:tcBorders>
              <w:top w:val="none" w:color="FFFFFF" w:sz="0"/>
              <w:left w:val="none" w:color="FFFFFF" w:sz="0"/>
              <w:bottom w:val="single" w:color="D0D5DD" w:sz="4"/>
              <w:right w:val="none" w:color="FFFFFF" w:sz="0"/>
            </w:tcBorders>
            <w:tcMar>
              <w:top w:type="dxa" w:w="60"/>
              <w:left w:type="dxa" w:w="60"/>
              <w:bottom w:type="dxa" w:w="60"/>
              <w:right w:type="dxa" w:w="60"/>
            </w:tcMar>
          </w:tcPr>
          <w:p>
            <w:pPr>
              <w:spacing w:after="0" w:before="0" w:line="276" w:lineRule="auto"/>
              <w:jc w:val="right"/>
            </w:pPr>
            <w:r>
              <w:rPr>
                <w:rFonts w:ascii="Arial" w:cs="Arial" w:eastAsia="Yu Gothic" w:hAnsi="Arial"/>
                <w:b/>
                <w:bCs/>
                <w:color w:val="15233F"/>
                <w:sz w:val="17"/>
                <w:szCs w:val="17"/>
              </w:rPr>
              <w:t xml:space="preserve">¥1,442bn (12.0x EBITDA)</w:t>
            </w:r>
          </w:p>
        </w:tc>
        <w:tc>
          <w:tcPr>
            <w:tcW w:type="dxa" w:w="2144"/>
            <w:tcBorders>
              <w:top w:val="none" w:color="FFFFFF" w:sz="0"/>
              <w:left w:val="none" w:color="FFFFFF" w:sz="0"/>
              <w:bottom w:val="single" w:color="D0D5DD" w:sz="4"/>
              <w:right w:val="none" w:color="FFFFFF" w:sz="0"/>
            </w:tcBorders>
            <w:tcMar>
              <w:top w:type="dxa" w:w="60"/>
              <w:left w:type="dxa" w:w="60"/>
              <w:bottom w:type="dxa" w:w="60"/>
              <w:right w:type="dxa" w:w="60"/>
            </w:tcMar>
          </w:tcPr>
          <w:p>
            <w:pPr>
              <w:spacing w:after="0" w:before="0" w:line="276" w:lineRule="auto"/>
              <w:jc w:val="left"/>
            </w:pPr>
            <w:r>
              <w:rPr>
                <w:rFonts w:ascii="Arial" w:cs="Arial" w:eastAsia="Yu Gothic" w:hAnsi="Arial"/>
                <w:b w:val="false"/>
                <w:bCs w:val="false"/>
                <w:color w:val="5B6577"/>
                <w:sz w:val="17"/>
                <w:szCs w:val="17"/>
              </w:rPr>
              <w:t xml:space="preserve">52-week range</w:t>
            </w:r>
          </w:p>
        </w:tc>
        <w:tc>
          <w:tcPr>
            <w:tcW w:type="dxa" w:w="2729"/>
            <w:tcBorders>
              <w:top w:val="none" w:color="FFFFFF" w:sz="0"/>
              <w:left w:val="none" w:color="FFFFFF" w:sz="0"/>
              <w:bottom w:val="single" w:color="D0D5DD" w:sz="4"/>
              <w:right w:val="none" w:color="FFFFFF" w:sz="0"/>
            </w:tcBorders>
            <w:tcMar>
              <w:top w:type="dxa" w:w="60"/>
              <w:left w:type="dxa" w:w="60"/>
              <w:bottom w:type="dxa" w:w="60"/>
              <w:right w:type="dxa" w:w="60"/>
            </w:tcMar>
          </w:tcPr>
          <w:p>
            <w:pPr>
              <w:spacing w:after="0" w:before="0" w:line="276" w:lineRule="auto"/>
              <w:jc w:val="right"/>
            </w:pPr>
            <w:r>
              <w:rPr>
                <w:rFonts w:ascii="Arial" w:cs="Arial" w:eastAsia="Yu Gothic" w:hAnsi="Arial"/>
                <w:b/>
                <w:bCs/>
                <w:color w:val="15233F"/>
                <w:sz w:val="17"/>
                <w:szCs w:val="17"/>
              </w:rPr>
              <w:t xml:space="preserve">≈¥2,994 – ¥4,374</w:t>
            </w:r>
          </w:p>
        </w:tc>
      </w:tr>
      <w:tr>
        <w:tc>
          <w:tcPr>
            <w:tcW w:type="dxa" w:w="2144"/>
            <w:tcBorders>
              <w:top w:val="none" w:color="FFFFFF" w:sz="0"/>
              <w:left w:val="none" w:color="FFFFFF" w:sz="0"/>
              <w:bottom w:val="single" w:color="D0D5DD" w:sz="4"/>
              <w:right w:val="none" w:color="FFFFFF" w:sz="0"/>
            </w:tcBorders>
            <w:tcMar>
              <w:top w:type="dxa" w:w="60"/>
              <w:left w:type="dxa" w:w="60"/>
              <w:bottom w:type="dxa" w:w="60"/>
              <w:right w:type="dxa" w:w="60"/>
            </w:tcMar>
          </w:tcPr>
          <w:p>
            <w:pPr>
              <w:spacing w:after="0" w:before="0" w:line="276" w:lineRule="auto"/>
              <w:jc w:val="left"/>
            </w:pPr>
            <w:r>
              <w:rPr>
                <w:rFonts w:ascii="Arial" w:cs="Arial" w:eastAsia="Yu Gothic" w:hAnsi="Arial"/>
                <w:b w:val="false"/>
                <w:bCs w:val="false"/>
                <w:color w:val="5B6577"/>
                <w:sz w:val="17"/>
                <w:szCs w:val="17"/>
              </w:rPr>
              <w:t xml:space="preserve">P/E FY2026E</w:t>
            </w:r>
          </w:p>
        </w:tc>
        <w:tc>
          <w:tcPr>
            <w:tcW w:type="dxa" w:w="2729"/>
            <w:tcBorders>
              <w:top w:val="none" w:color="FFFFFF" w:sz="0"/>
              <w:left w:val="none" w:color="FFFFFF" w:sz="0"/>
              <w:bottom w:val="single" w:color="D0D5DD" w:sz="4"/>
              <w:right w:val="none" w:color="FFFFFF" w:sz="0"/>
            </w:tcBorders>
            <w:tcMar>
              <w:top w:type="dxa" w:w="60"/>
              <w:left w:type="dxa" w:w="60"/>
              <w:bottom w:type="dxa" w:w="60"/>
              <w:right w:type="dxa" w:w="60"/>
            </w:tcMar>
          </w:tcPr>
          <w:p>
            <w:pPr>
              <w:spacing w:after="0" w:before="0" w:line="276" w:lineRule="auto"/>
              <w:jc w:val="right"/>
            </w:pPr>
            <w:r>
              <w:rPr>
                <w:rFonts w:ascii="Arial" w:cs="Arial" w:eastAsia="Yu Gothic" w:hAnsi="Arial"/>
                <w:b/>
                <w:bCs/>
                <w:color w:val="15233F"/>
                <w:sz w:val="17"/>
                <w:szCs w:val="17"/>
              </w:rPr>
              <w:t xml:space="preserve">10.3x (guidance EPS)</w:t>
            </w:r>
          </w:p>
        </w:tc>
        <w:tc>
          <w:tcPr>
            <w:tcW w:type="dxa" w:w="2144"/>
            <w:tcBorders>
              <w:top w:val="none" w:color="FFFFFF" w:sz="0"/>
              <w:left w:val="none" w:color="FFFFFF" w:sz="0"/>
              <w:bottom w:val="single" w:color="D0D5DD" w:sz="4"/>
              <w:right w:val="none" w:color="FFFFFF" w:sz="0"/>
            </w:tcBorders>
            <w:tcMar>
              <w:top w:type="dxa" w:w="60"/>
              <w:left w:type="dxa" w:w="60"/>
              <w:bottom w:type="dxa" w:w="60"/>
              <w:right w:type="dxa" w:w="60"/>
            </w:tcMar>
          </w:tcPr>
          <w:p>
            <w:pPr>
              <w:spacing w:after="0" w:before="0" w:line="276" w:lineRule="auto"/>
              <w:jc w:val="left"/>
            </w:pPr>
            <w:r>
              <w:rPr>
                <w:rFonts w:ascii="Arial" w:cs="Arial" w:eastAsia="Yu Gothic" w:hAnsi="Arial"/>
                <w:b w:val="false"/>
                <w:bCs w:val="false"/>
                <w:color w:val="5B6577"/>
                <w:sz w:val="17"/>
                <w:szCs w:val="17"/>
              </w:rPr>
              <w:t xml:space="preserve">Consensus target</w:t>
            </w:r>
          </w:p>
        </w:tc>
        <w:tc>
          <w:tcPr>
            <w:tcW w:type="dxa" w:w="2729"/>
            <w:tcBorders>
              <w:top w:val="none" w:color="FFFFFF" w:sz="0"/>
              <w:left w:val="none" w:color="FFFFFF" w:sz="0"/>
              <w:bottom w:val="single" w:color="D0D5DD" w:sz="4"/>
              <w:right w:val="none" w:color="FFFFFF" w:sz="0"/>
            </w:tcBorders>
            <w:tcMar>
              <w:top w:type="dxa" w:w="60"/>
              <w:left w:type="dxa" w:w="60"/>
              <w:bottom w:type="dxa" w:w="60"/>
              <w:right w:type="dxa" w:w="60"/>
            </w:tcMar>
          </w:tcPr>
          <w:p>
            <w:pPr>
              <w:spacing w:after="0" w:before="0" w:line="276" w:lineRule="auto"/>
              <w:jc w:val="right"/>
            </w:pPr>
            <w:r>
              <w:rPr>
                <w:rFonts w:ascii="Arial" w:cs="Arial" w:eastAsia="Yu Gothic" w:hAnsi="Arial"/>
                <w:b/>
                <w:bCs/>
                <w:color w:val="15233F"/>
                <w:sz w:val="17"/>
                <w:szCs w:val="17"/>
              </w:rPr>
              <w:t xml:space="preserve">¥3,985 (3 SB / 1 B / 6 N)</w:t>
            </w:r>
          </w:p>
        </w:tc>
      </w:tr>
      <w:tr>
        <w:tc>
          <w:tcPr>
            <w:tcW w:type="dxa" w:w="2144"/>
            <w:tcBorders>
              <w:top w:val="none" w:color="FFFFFF" w:sz="0"/>
              <w:left w:val="none" w:color="FFFFFF" w:sz="0"/>
              <w:bottom w:val="single" w:color="D0D5DD" w:sz="4"/>
              <w:right w:val="none" w:color="FFFFFF" w:sz="0"/>
            </w:tcBorders>
            <w:tcMar>
              <w:top w:type="dxa" w:w="60"/>
              <w:left w:type="dxa" w:w="60"/>
              <w:bottom w:type="dxa" w:w="60"/>
              <w:right w:type="dxa" w:w="60"/>
            </w:tcMar>
          </w:tcPr>
          <w:p>
            <w:pPr>
              <w:spacing w:after="0" w:before="0" w:line="276" w:lineRule="auto"/>
              <w:jc w:val="left"/>
            </w:pPr>
            <w:r>
              <w:rPr>
                <w:rFonts w:ascii="Arial" w:cs="Arial" w:eastAsia="Yu Gothic" w:hAnsi="Arial"/>
                <w:b w:val="false"/>
                <w:bCs w:val="false"/>
                <w:color w:val="5B6577"/>
                <w:sz w:val="17"/>
                <w:szCs w:val="17"/>
              </w:rPr>
              <w:t xml:space="preserve">P/B  |  P/NAV</w:t>
            </w:r>
          </w:p>
        </w:tc>
        <w:tc>
          <w:tcPr>
            <w:tcW w:type="dxa" w:w="2729"/>
            <w:tcBorders>
              <w:top w:val="none" w:color="FFFFFF" w:sz="0"/>
              <w:left w:val="none" w:color="FFFFFF" w:sz="0"/>
              <w:bottom w:val="single" w:color="D0D5DD" w:sz="4"/>
              <w:right w:val="none" w:color="FFFFFF" w:sz="0"/>
            </w:tcBorders>
            <w:tcMar>
              <w:top w:type="dxa" w:w="60"/>
              <w:left w:type="dxa" w:w="60"/>
              <w:bottom w:type="dxa" w:w="60"/>
              <w:right w:type="dxa" w:w="60"/>
            </w:tcMar>
          </w:tcPr>
          <w:p>
            <w:pPr>
              <w:spacing w:after="0" w:before="0" w:line="276" w:lineRule="auto"/>
              <w:jc w:val="right"/>
            </w:pPr>
            <w:r>
              <w:rPr>
                <w:rFonts w:ascii="Arial" w:cs="Arial" w:eastAsia="Yu Gothic" w:hAnsi="Arial"/>
                <w:b/>
                <w:bCs/>
                <w:color w:val="15233F"/>
                <w:sz w:val="17"/>
                <w:szCs w:val="17"/>
              </w:rPr>
              <w:t xml:space="preserve">1.10x  |  0.65x (NAV ¥4,937)</w:t>
            </w:r>
          </w:p>
        </w:tc>
        <w:tc>
          <w:tcPr>
            <w:tcW w:type="dxa" w:w="2144"/>
            <w:tcBorders>
              <w:top w:val="none" w:color="FFFFFF" w:sz="0"/>
              <w:left w:val="none" w:color="FFFFFF" w:sz="0"/>
              <w:bottom w:val="single" w:color="D0D5DD" w:sz="4"/>
              <w:right w:val="none" w:color="FFFFFF" w:sz="0"/>
            </w:tcBorders>
            <w:tcMar>
              <w:top w:type="dxa" w:w="60"/>
              <w:left w:type="dxa" w:w="60"/>
              <w:bottom w:type="dxa" w:w="60"/>
              <w:right w:type="dxa" w:w="60"/>
            </w:tcMar>
          </w:tcPr>
          <w:p>
            <w:pPr>
              <w:spacing w:after="0" w:before="0" w:line="276" w:lineRule="auto"/>
              <w:jc w:val="left"/>
            </w:pPr>
            <w:r>
              <w:rPr>
                <w:rFonts w:ascii="Arial" w:cs="Arial" w:eastAsia="Yu Gothic" w:hAnsi="Arial"/>
                <w:b w:val="false"/>
                <w:bCs w:val="false"/>
                <w:color w:val="5B6577"/>
                <w:sz w:val="17"/>
                <w:szCs w:val="17"/>
              </w:rPr>
              <w:t xml:space="preserve">Scenario value (PW)</w:t>
            </w:r>
          </w:p>
        </w:tc>
        <w:tc>
          <w:tcPr>
            <w:tcW w:type="dxa" w:w="2729"/>
            <w:tcBorders>
              <w:top w:val="none" w:color="FFFFFF" w:sz="0"/>
              <w:left w:val="none" w:color="FFFFFF" w:sz="0"/>
              <w:bottom w:val="single" w:color="D0D5DD" w:sz="4"/>
              <w:right w:val="none" w:color="FFFFFF" w:sz="0"/>
            </w:tcBorders>
            <w:tcMar>
              <w:top w:type="dxa" w:w="60"/>
              <w:left w:type="dxa" w:w="60"/>
              <w:bottom w:type="dxa" w:w="60"/>
              <w:right w:type="dxa" w:w="60"/>
            </w:tcMar>
          </w:tcPr>
          <w:p>
            <w:pPr>
              <w:spacing w:after="0" w:before="0" w:line="276" w:lineRule="auto"/>
              <w:jc w:val="right"/>
            </w:pPr>
            <w:r>
              <w:rPr>
                <w:rFonts w:ascii="Arial" w:cs="Arial" w:eastAsia="Yu Gothic" w:hAnsi="Arial"/>
                <w:b/>
                <w:bCs/>
                <w:color w:val="15233F"/>
                <w:sz w:val="17"/>
                <w:szCs w:val="17"/>
              </w:rPr>
              <w:t xml:space="preserve">¥3,400 (¥2,300 – ¥4,400)</w:t>
            </w:r>
          </w:p>
        </w:tc>
      </w:tr>
      <w:tr>
        <w:tc>
          <w:tcPr>
            <w:tcW w:type="dxa" w:w="2144"/>
            <w:tcBorders>
              <w:top w:val="none" w:color="FFFFFF" w:sz="0"/>
              <w:left w:val="none" w:color="FFFFFF" w:sz="0"/>
              <w:bottom w:val="single" w:color="D0D5DD" w:sz="4"/>
              <w:right w:val="none" w:color="FFFFFF" w:sz="0"/>
            </w:tcBorders>
            <w:tcMar>
              <w:top w:type="dxa" w:w="60"/>
              <w:left w:type="dxa" w:w="60"/>
              <w:bottom w:type="dxa" w:w="60"/>
              <w:right w:type="dxa" w:w="60"/>
            </w:tcMar>
          </w:tcPr>
          <w:p>
            <w:pPr>
              <w:spacing w:after="0" w:before="0" w:line="276" w:lineRule="auto"/>
              <w:jc w:val="left"/>
            </w:pPr>
            <w:r>
              <w:rPr>
                <w:rFonts w:ascii="Arial" w:cs="Arial" w:eastAsia="Yu Gothic" w:hAnsi="Arial"/>
                <w:b w:val="false"/>
                <w:bCs w:val="false"/>
                <w:color w:val="5B6577"/>
                <w:sz w:val="17"/>
                <w:szCs w:val="17"/>
              </w:rPr>
              <w:t xml:space="preserve">Dividend yield</w:t>
            </w:r>
          </w:p>
        </w:tc>
        <w:tc>
          <w:tcPr>
            <w:tcW w:type="dxa" w:w="2729"/>
            <w:tcBorders>
              <w:top w:val="none" w:color="FFFFFF" w:sz="0"/>
              <w:left w:val="none" w:color="FFFFFF" w:sz="0"/>
              <w:bottom w:val="single" w:color="D0D5DD" w:sz="4"/>
              <w:right w:val="none" w:color="FFFFFF" w:sz="0"/>
            </w:tcBorders>
            <w:tcMar>
              <w:top w:type="dxa" w:w="60"/>
              <w:left w:type="dxa" w:w="60"/>
              <w:bottom w:type="dxa" w:w="60"/>
              <w:right w:type="dxa" w:w="60"/>
            </w:tcMar>
          </w:tcPr>
          <w:p>
            <w:pPr>
              <w:spacing w:after="0" w:before="0" w:line="276" w:lineRule="auto"/>
              <w:jc w:val="right"/>
            </w:pPr>
            <w:r>
              <w:rPr>
                <w:rFonts w:ascii="Arial" w:cs="Arial" w:eastAsia="Yu Gothic" w:hAnsi="Arial"/>
                <w:b/>
                <w:bCs/>
                <w:color w:val="15233F"/>
                <w:sz w:val="17"/>
                <w:szCs w:val="17"/>
              </w:rPr>
              <w:t xml:space="preserve">3.9% (DPS ¥126E)</w:t>
            </w:r>
          </w:p>
        </w:tc>
        <w:tc>
          <w:tcPr>
            <w:tcW w:type="dxa" w:w="2144"/>
            <w:tcBorders>
              <w:top w:val="none" w:color="FFFFFF" w:sz="0"/>
              <w:left w:val="none" w:color="FFFFFF" w:sz="0"/>
              <w:bottom w:val="single" w:color="D0D5DD" w:sz="4"/>
              <w:right w:val="none" w:color="FFFFFF" w:sz="0"/>
            </w:tcBorders>
            <w:tcMar>
              <w:top w:type="dxa" w:w="60"/>
              <w:left w:type="dxa" w:w="60"/>
              <w:bottom w:type="dxa" w:w="60"/>
              <w:right w:type="dxa" w:w="60"/>
            </w:tcMar>
          </w:tcPr>
          <w:p>
            <w:pPr>
              <w:spacing w:after="0" w:before="0" w:line="276" w:lineRule="auto"/>
              <w:jc w:val="left"/>
            </w:pPr>
            <w:r>
              <w:rPr>
                <w:rFonts w:ascii="Arial" w:cs="Arial" w:eastAsia="Yu Gothic" w:hAnsi="Arial"/>
                <w:b w:val="false"/>
                <w:bCs w:val="false"/>
                <w:color w:val="5B6577"/>
                <w:sz w:val="17"/>
                <w:szCs w:val="17"/>
              </w:rPr>
              <w:t xml:space="preserve">Regression value</w:t>
            </w:r>
          </w:p>
        </w:tc>
        <w:tc>
          <w:tcPr>
            <w:tcW w:type="dxa" w:w="2729"/>
            <w:tcBorders>
              <w:top w:val="none" w:color="FFFFFF" w:sz="0"/>
              <w:left w:val="none" w:color="FFFFFF" w:sz="0"/>
              <w:bottom w:val="single" w:color="D0D5DD" w:sz="4"/>
              <w:right w:val="none" w:color="FFFFFF" w:sz="0"/>
            </w:tcBorders>
            <w:tcMar>
              <w:top w:type="dxa" w:w="60"/>
              <w:left w:type="dxa" w:w="60"/>
              <w:bottom w:type="dxa" w:w="60"/>
              <w:right w:type="dxa" w:w="60"/>
            </w:tcMar>
          </w:tcPr>
          <w:p>
            <w:pPr>
              <w:spacing w:after="0" w:before="0" w:line="276" w:lineRule="auto"/>
              <w:jc w:val="right"/>
            </w:pPr>
            <w:r>
              <w:rPr>
                <w:rFonts w:ascii="Arial" w:cs="Arial" w:eastAsia="Yu Gothic" w:hAnsi="Arial"/>
                <w:b/>
                <w:bCs/>
                <w:color w:val="15233F"/>
                <w:sz w:val="17"/>
                <w:szCs w:val="17"/>
              </w:rPr>
              <w:t xml:space="preserve">¥3,271 (R² 0.86, n = 8)</w:t>
            </w:r>
          </w:p>
        </w:tc>
      </w:tr>
    </w:tbl>
    <w:p>
      <w:pPr>
        <w:spacing w:after="200" w:before="0" w:line="276" w:lineRule="auto"/>
      </w:pPr>
    </w:p>
    <w:p>
      <w:pPr>
        <w:spacing w:after="60" w:before="0" w:line="276" w:lineRule="auto"/>
      </w:pPr>
      <w:r>
        <w:rPr>
          <w:rFonts w:ascii="Arial" w:cs="Arial" w:eastAsia="Yu Gothic" w:hAnsi="Arial"/>
          <w:b/>
          <w:bCs/>
          <w:color w:val="2F6FD0"/>
          <w:sz w:val="17"/>
          <w:szCs w:val="17"/>
        </w:rPr>
        <w:t xml:space="preserve">INVESTMENT THESIS IN BRIEF</w:t>
      </w:r>
    </w:p>
    <w:p>
      <w:pPr>
        <w:pStyle w:val="ListParagraph"/>
        <w:numPr>
          <w:ilvl w:val="0"/>
          <w:numId w:val="2"/>
        </w:numPr>
        <w:spacing w:after="60" w:line="260" w:lineRule="auto"/>
      </w:pPr>
      <w:r>
        <w:rPr>
          <w:rFonts w:ascii="Arial" w:cs="Arial" w:eastAsia="Yu Gothic" w:hAnsi="Arial"/>
          <w:b/>
          <w:bCs/>
          <w:color w:val="15233F"/>
          <w:sz w:val="18"/>
          <w:szCs w:val="18"/>
        </w:rPr>
        <w:t xml:space="preserve">Cheap only on equity multiples. </w:t>
      </w:r>
      <w:r>
        <w:rPr>
          <w:rFonts w:ascii="Arial" w:cs="Arial" w:eastAsia="Yu Gothic" w:hAnsi="Arial"/>
          <w:color w:val="1F2533"/>
          <w:sz w:val="18"/>
          <w:szCs w:val="18"/>
        </w:rPr>
        <w:t xml:space="preserve">10.3x P/E, 1.10x P/B and 0.65x NAV, but EV/Sales sits exactly on the peer regression line and EV/EBITDA (17.7x) is above its own five-year range.</w:t>
      </w:r>
    </w:p>
    <w:p>
      <w:pPr>
        <w:pStyle w:val="ListParagraph"/>
        <w:numPr>
          <w:ilvl w:val="0"/>
          <w:numId w:val="2"/>
        </w:numPr>
        <w:spacing w:after="60" w:line="260" w:lineRule="auto"/>
      </w:pPr>
      <w:r>
        <w:rPr>
          <w:rFonts w:ascii="Arial" w:cs="Arial" w:eastAsia="Yu Gothic" w:hAnsi="Arial"/>
          <w:b/>
          <w:bCs/>
          <w:color w:val="15233F"/>
          <w:sz w:val="18"/>
          <w:szCs w:val="18"/>
        </w:rPr>
        <w:t xml:space="preserve">Execution is strong. </w:t>
      </w:r>
      <w:r>
        <w:rPr>
          <w:rFonts w:ascii="Arial" w:cs="Arial" w:eastAsia="Yu Gothic" w:hAnsi="Arial"/>
          <w:color w:val="1F2533"/>
          <w:sz w:val="18"/>
          <w:szCs w:val="18"/>
        </w:rPr>
        <w:t xml:space="preserve">Record FY2025 operating profit (¥95.8bn); FY2026 guidance raised to OP ¥105.5bn / NI ¥65.0bn; 2025–27 plan targets reached a year early.</w:t>
      </w:r>
    </w:p>
    <w:p>
      <w:pPr>
        <w:pStyle w:val="ListParagraph"/>
        <w:numPr>
          <w:ilvl w:val="0"/>
          <w:numId w:val="2"/>
        </w:numPr>
        <w:spacing w:after="60" w:line="260" w:lineRule="auto"/>
      </w:pPr>
      <w:r>
        <w:rPr>
          <w:rFonts w:ascii="Arial" w:cs="Arial" w:eastAsia="Yu Gothic" w:hAnsi="Arial"/>
          <w:b/>
          <w:bCs/>
          <w:color w:val="15233F"/>
          <w:sz w:val="18"/>
          <w:szCs w:val="18"/>
        </w:rPr>
        <w:t xml:space="preserve">Debt is the swing factor. </w:t>
      </w:r>
      <w:r>
        <w:rPr>
          <w:rFonts w:ascii="Arial" w:cs="Arial" w:eastAsia="Yu Gothic" w:hAnsi="Arial"/>
          <w:color w:val="1F2533"/>
          <w:sz w:val="18"/>
          <w:szCs w:val="18"/>
        </w:rPr>
        <w:t xml:space="preserve">Net debt ¥1.44tn after a ¥191bn 1H build; BOJ at 1.25%; ~54% of FY2024–26E operating-profit growth is absorbed below the operating line.</w:t>
      </w:r>
    </w:p>
    <w:p>
      <w:pPr>
        <w:pStyle w:val="ListParagraph"/>
        <w:numPr>
          <w:ilvl w:val="0"/>
          <w:numId w:val="2"/>
        </w:numPr>
        <w:spacing w:after="60" w:line="260" w:lineRule="auto"/>
      </w:pPr>
      <w:r>
        <w:rPr>
          <w:rFonts w:ascii="Arial" w:cs="Arial" w:eastAsia="Yu Gothic" w:hAnsi="Arial"/>
          <w:b/>
          <w:bCs/>
          <w:color w:val="15233F"/>
          <w:sz w:val="18"/>
          <w:szCs w:val="18"/>
        </w:rPr>
        <w:t xml:space="preserve">Event angle. </w:t>
      </w:r>
      <w:r>
        <w:rPr>
          <w:rFonts w:ascii="Arial" w:cs="Arial" w:eastAsia="Yu Gothic" w:hAnsi="Arial"/>
          <w:color w:val="1F2533"/>
          <w:sz w:val="18"/>
          <w:szCs w:val="18"/>
        </w:rPr>
        <w:t xml:space="preserve">No activist yet, but a passive register (≈44% custodians), thin Fuyo support and 0.65x NAV fit the activist template; takeout zone ¥4,170–4,820.</w:t>
      </w:r>
    </w:p>
    <w:p>
      <w:pPr>
        <w:pStyle w:val="ListParagraph"/>
        <w:numPr>
          <w:ilvl w:val="0"/>
          <w:numId w:val="2"/>
        </w:numPr>
        <w:spacing w:after="60" w:line="260" w:lineRule="auto"/>
      </w:pPr>
      <w:r>
        <w:rPr>
          <w:rFonts w:ascii="Arial" w:cs="Arial" w:eastAsia="Yu Gothic" w:hAnsi="Arial"/>
          <w:b/>
          <w:bCs/>
          <w:color w:val="15233F"/>
          <w:sz w:val="18"/>
          <w:szCs w:val="18"/>
        </w:rPr>
        <w:t xml:space="preserve">Triggers. </w:t>
      </w:r>
      <w:r>
        <w:rPr>
          <w:rFonts w:ascii="Arial" w:cs="Arial" w:eastAsia="Yu Gothic" w:hAnsi="Arial"/>
          <w:color w:val="1F2533"/>
          <w:sz w:val="18"/>
          <w:szCs w:val="18"/>
        </w:rPr>
        <w:t xml:space="preserve">Buy below ~¥3,000 or on proof of 2H sales and year-end debt back near ¥1.40tn; Sell if 10-yr JGB &gt; 3.25% or D/E &gt; 2.6x.</w:t>
      </w:r>
    </w:p>
    <w:p>
      <w:pPr>
        <w:spacing w:after="0" w:before="200" w:line="276" w:lineRule="auto"/>
      </w:pPr>
      <w:r>
        <w:rPr>
          <w:rFonts w:ascii="Arial" w:cs="Arial" w:eastAsia="Yu Gothic" w:hAnsi="Arial"/>
          <w:i/>
          <w:iCs/>
          <w:color w:val="5B6577"/>
          <w:sz w:val="15"/>
          <w:szCs w:val="15"/>
        </w:rPr>
        <w:t xml:space="preserve">Report date: 4 October 2026. Prices: TSE close 2 October 2026 unless stated. J-GAAP; fiscal year = calendar year. Most company figures were obtained from search-engine extracts of primary filings because the research environment blocked direct access to IR/EDINET/TDnet; see the Methodology and data-quality note.</w:t>
      </w:r>
    </w:p>
    <w:p>
      <w:r>
        <w:br w:type="page"/>
      </w:r>
    </w:p>
    <w:p>
      <w:pPr>
        <w:pBdr>
          <w:bottom w:val="single" w:color="2F6FD0" w:sz="12" w:space="6"/>
        </w:pBdr>
        <w:spacing w:after="160" w:before="0" w:line="276" w:lineRule="auto"/>
      </w:pPr>
      <w:r>
        <w:rPr>
          <w:rFonts w:ascii="Arial" w:cs="Arial" w:eastAsia="Yu Gothic" w:hAnsi="Arial"/>
          <w:b/>
          <w:bCs/>
          <w:color w:val="15233F"/>
          <w:sz w:val="32"/>
          <w:szCs w:val="32"/>
        </w:rPr>
        <w:t xml:space="preserve">Contents</w:t>
      </w:r>
    </w:p>
    <w:p>
      <w:pPr>
        <w:tabs>
          <w:tab w:val="right" w:pos="9746" w:leader="dot"/>
        </w:tabs>
        <w:spacing w:after="50" w:before="70" w:line="252" w:lineRule="auto"/>
        <w:ind w:left="0"/>
      </w:pPr>
      <w:r>
        <w:rPr>
          <w:rFonts w:ascii="Arial" w:cs="Arial" w:eastAsia="Yu Gothic" w:hAnsi="Arial"/>
          <w:b/>
          <w:bCs/>
          <w:color w:val="15233F"/>
          <w:sz w:val="19"/>
          <w:szCs w:val="19"/>
        </w:rPr>
        <w:t xml:space="preserve">Executive summary</w:t>
      </w:r>
      <w:r>
        <w:rPr>
          <w:rFonts w:ascii="Arial" w:cs="Arial" w:eastAsia="Yu Gothic" w:hAnsi="Arial"/>
          <w:sz w:val="17"/>
          <w:szCs w:val="17"/>
        </w:rPr>
        <w:tab/>
      </w:r>
      <w:r>
        <w:rPr>
          <w:rFonts w:ascii="Arial" w:cs="Arial" w:eastAsia="Yu Gothic" w:hAnsi="Arial"/>
          <w:b/>
          <w:bCs/>
          <w:color w:val="15233F"/>
          <w:sz w:val="19"/>
          <w:szCs w:val="19"/>
        </w:rPr>
        <w:t xml:space="preserve">3</w:t>
      </w:r>
    </w:p>
    <w:p>
      <w:pPr>
        <w:tabs>
          <w:tab w:val="right" w:pos="9746" w:leader="dot"/>
        </w:tabs>
        <w:spacing w:after="50" w:before="70" w:line="252" w:lineRule="auto"/>
        <w:ind w:left="0"/>
      </w:pPr>
      <w:r>
        <w:rPr>
          <w:rFonts w:ascii="Arial" w:cs="Arial" w:eastAsia="Yu Gothic" w:hAnsi="Arial"/>
          <w:b/>
          <w:bCs/>
          <w:color w:val="15233F"/>
          <w:sz w:val="19"/>
          <w:szCs w:val="19"/>
        </w:rPr>
        <w:t xml:space="preserve">Methodology and data-quality note</w:t>
      </w:r>
      <w:r>
        <w:rPr>
          <w:rFonts w:ascii="Arial" w:cs="Arial" w:eastAsia="Yu Gothic" w:hAnsi="Arial"/>
          <w:sz w:val="17"/>
          <w:szCs w:val="17"/>
        </w:rPr>
        <w:tab/>
      </w:r>
      <w:r>
        <w:rPr>
          <w:rFonts w:ascii="Arial" w:cs="Arial" w:eastAsia="Yu Gothic" w:hAnsi="Arial"/>
          <w:b/>
          <w:bCs/>
          <w:color w:val="15233F"/>
          <w:sz w:val="19"/>
          <w:szCs w:val="19"/>
        </w:rPr>
        <w:t xml:space="preserve">6</w:t>
      </w:r>
    </w:p>
    <w:p>
      <w:pPr>
        <w:tabs>
          <w:tab w:val="right" w:pos="9746" w:leader="dot"/>
        </w:tabs>
        <w:spacing w:after="50" w:before="70" w:line="252" w:lineRule="auto"/>
        <w:ind w:left="0"/>
      </w:pPr>
      <w:r>
        <w:rPr>
          <w:rFonts w:ascii="Arial" w:cs="Arial" w:eastAsia="Yu Gothic" w:hAnsi="Arial"/>
          <w:b/>
          <w:bCs/>
          <w:color w:val="15233F"/>
          <w:sz w:val="19"/>
          <w:szCs w:val="19"/>
        </w:rPr>
        <w:t xml:space="preserve">Layman's guide: what Tokyo Tatemono does and how it makes money</w:t>
      </w:r>
      <w:r>
        <w:rPr>
          <w:rFonts w:ascii="Arial" w:cs="Arial" w:eastAsia="Yu Gothic" w:hAnsi="Arial"/>
          <w:sz w:val="17"/>
          <w:szCs w:val="17"/>
        </w:rPr>
        <w:tab/>
      </w:r>
      <w:r>
        <w:rPr>
          <w:rFonts w:ascii="Arial" w:cs="Arial" w:eastAsia="Yu Gothic" w:hAnsi="Arial"/>
          <w:b/>
          <w:bCs/>
          <w:color w:val="15233F"/>
          <w:sz w:val="19"/>
          <w:szCs w:val="19"/>
        </w:rPr>
        <w:t xml:space="preserve">8</w:t>
      </w:r>
    </w:p>
    <w:p>
      <w:pPr>
        <w:tabs>
          <w:tab w:val="right" w:pos="9746" w:leader="dot"/>
        </w:tabs>
        <w:spacing w:after="50" w:before="70" w:line="252" w:lineRule="auto"/>
        <w:ind w:left="0"/>
      </w:pPr>
      <w:r>
        <w:rPr>
          <w:rFonts w:ascii="Arial" w:cs="Arial" w:eastAsia="Yu Gothic" w:hAnsi="Arial"/>
          <w:b/>
          <w:bCs/>
          <w:color w:val="15233F"/>
          <w:sz w:val="19"/>
          <w:szCs w:val="19"/>
        </w:rPr>
        <w:t xml:space="preserve">1. Share-price catalysts: guidance beats drove the rallies, rates drove the sell-offs</w:t>
      </w:r>
      <w:r>
        <w:rPr>
          <w:rFonts w:ascii="Arial" w:cs="Arial" w:eastAsia="Yu Gothic" w:hAnsi="Arial"/>
          <w:sz w:val="17"/>
          <w:szCs w:val="17"/>
        </w:rPr>
        <w:tab/>
      </w:r>
      <w:r>
        <w:rPr>
          <w:rFonts w:ascii="Arial" w:cs="Arial" w:eastAsia="Yu Gothic" w:hAnsi="Arial"/>
          <w:b/>
          <w:bCs/>
          <w:color w:val="15233F"/>
          <w:sz w:val="19"/>
          <w:szCs w:val="19"/>
        </w:rPr>
        <w:t xml:space="preserve">9</w:t>
      </w:r>
    </w:p>
    <w:p>
      <w:pPr>
        <w:tabs>
          <w:tab w:val="right" w:pos="9746" w:leader="dot"/>
        </w:tabs>
        <w:spacing w:after="50" w:before="70" w:line="252" w:lineRule="auto"/>
        <w:ind w:left="0"/>
      </w:pPr>
      <w:r>
        <w:rPr>
          <w:rFonts w:ascii="Arial" w:cs="Arial" w:eastAsia="Yu Gothic" w:hAnsi="Arial"/>
          <w:b/>
          <w:bCs/>
          <w:color w:val="15233F"/>
          <w:sz w:val="19"/>
          <w:szCs w:val="19"/>
        </w:rPr>
        <w:t xml:space="preserve">2. Business model and key drivers: a develop-lease-sell-recycle machine concentrated on Tokyo Station</w:t>
      </w:r>
      <w:r>
        <w:rPr>
          <w:rFonts w:ascii="Arial" w:cs="Arial" w:eastAsia="Yu Gothic" w:hAnsi="Arial"/>
          <w:sz w:val="17"/>
          <w:szCs w:val="17"/>
        </w:rPr>
        <w:tab/>
      </w:r>
      <w:r>
        <w:rPr>
          <w:rFonts w:ascii="Arial" w:cs="Arial" w:eastAsia="Yu Gothic" w:hAnsi="Arial"/>
          <w:b/>
          <w:bCs/>
          <w:color w:val="15233F"/>
          <w:sz w:val="19"/>
          <w:szCs w:val="19"/>
        </w:rPr>
        <w:t xml:space="preserve">12</w:t>
      </w:r>
    </w:p>
    <w:p>
      <w:pPr>
        <w:tabs>
          <w:tab w:val="right" w:pos="9746" w:leader="dot"/>
        </w:tabs>
        <w:spacing w:after="50" w:before="70" w:line="252" w:lineRule="auto"/>
        <w:ind w:left="0"/>
      </w:pPr>
      <w:r>
        <w:rPr>
          <w:rFonts w:ascii="Arial" w:cs="Arial" w:eastAsia="Yu Gothic" w:hAnsi="Arial"/>
          <w:b/>
          <w:bCs/>
          <w:color w:val="15233F"/>
          <w:sz w:val="19"/>
          <w:szCs w:val="19"/>
        </w:rPr>
        <w:t xml:space="preserve">3. Macro and micro factors: a record-tight office market meets the highest BOJ policy rate since 1995</w:t>
      </w:r>
      <w:r>
        <w:rPr>
          <w:rFonts w:ascii="Arial" w:cs="Arial" w:eastAsia="Yu Gothic" w:hAnsi="Arial"/>
          <w:sz w:val="17"/>
          <w:szCs w:val="17"/>
        </w:rPr>
        <w:tab/>
      </w:r>
      <w:r>
        <w:rPr>
          <w:rFonts w:ascii="Arial" w:cs="Arial" w:eastAsia="Yu Gothic" w:hAnsi="Arial"/>
          <w:b/>
          <w:bCs/>
          <w:color w:val="15233F"/>
          <w:sz w:val="19"/>
          <w:szCs w:val="19"/>
        </w:rPr>
        <w:t xml:space="preserve">16</w:t>
      </w:r>
    </w:p>
    <w:p>
      <w:pPr>
        <w:tabs>
          <w:tab w:val="right" w:pos="9746" w:leader="dot"/>
        </w:tabs>
        <w:spacing w:after="50" w:before="70" w:line="252" w:lineRule="auto"/>
        <w:ind w:left="0"/>
      </w:pPr>
      <w:r>
        <w:rPr>
          <w:rFonts w:ascii="Arial" w:cs="Arial" w:eastAsia="Yu Gothic" w:hAnsi="Arial"/>
          <w:b/>
          <w:bCs/>
          <w:color w:val="15233F"/>
          <w:sz w:val="19"/>
          <w:szCs w:val="19"/>
        </w:rPr>
        <w:t xml:space="preserve">4. Competitive position and moats: a narrow, location-specific moat around Tokyo Station</w:t>
      </w:r>
      <w:r>
        <w:rPr>
          <w:rFonts w:ascii="Arial" w:cs="Arial" w:eastAsia="Yu Gothic" w:hAnsi="Arial"/>
          <w:sz w:val="17"/>
          <w:szCs w:val="17"/>
        </w:rPr>
        <w:tab/>
      </w:r>
      <w:r>
        <w:rPr>
          <w:rFonts w:ascii="Arial" w:cs="Arial" w:eastAsia="Yu Gothic" w:hAnsi="Arial"/>
          <w:b/>
          <w:bCs/>
          <w:color w:val="15233F"/>
          <w:sz w:val="19"/>
          <w:szCs w:val="19"/>
        </w:rPr>
        <w:t xml:space="preserve">18</w:t>
      </w:r>
    </w:p>
    <w:p>
      <w:pPr>
        <w:tabs>
          <w:tab w:val="right" w:pos="9746" w:leader="dot"/>
        </w:tabs>
        <w:spacing w:after="50" w:before="70" w:line="252" w:lineRule="auto"/>
        <w:ind w:left="0"/>
      </w:pPr>
      <w:r>
        <w:rPr>
          <w:rFonts w:ascii="Arial" w:cs="Arial" w:eastAsia="Yu Gothic" w:hAnsi="Arial"/>
          <w:b/>
          <w:bCs/>
          <w:color w:val="15233F"/>
          <w:sz w:val="19"/>
          <w:szCs w:val="19"/>
        </w:rPr>
        <w:t xml:space="preserve">5. Supply chain: from landowners to J-REIT unitholders, with Tokyo Tatemono as orchestrator</w:t>
      </w:r>
      <w:r>
        <w:rPr>
          <w:rFonts w:ascii="Arial" w:cs="Arial" w:eastAsia="Yu Gothic" w:hAnsi="Arial"/>
          <w:sz w:val="17"/>
          <w:szCs w:val="17"/>
        </w:rPr>
        <w:tab/>
      </w:r>
      <w:r>
        <w:rPr>
          <w:rFonts w:ascii="Arial" w:cs="Arial" w:eastAsia="Yu Gothic" w:hAnsi="Arial"/>
          <w:b/>
          <w:bCs/>
          <w:color w:val="15233F"/>
          <w:sz w:val="19"/>
          <w:szCs w:val="19"/>
        </w:rPr>
        <w:t xml:space="preserve">20</w:t>
      </w:r>
    </w:p>
    <w:p>
      <w:pPr>
        <w:tabs>
          <w:tab w:val="right" w:pos="9746" w:leader="dot"/>
        </w:tabs>
        <w:spacing w:after="50" w:before="70" w:line="252" w:lineRule="auto"/>
        <w:ind w:left="0"/>
      </w:pPr>
      <w:r>
        <w:rPr>
          <w:rFonts w:ascii="Arial" w:cs="Arial" w:eastAsia="Yu Gothic" w:hAnsi="Arial"/>
          <w:b/>
          <w:bCs/>
          <w:color w:val="15233F"/>
          <w:sz w:val="19"/>
          <w:szCs w:val="19"/>
        </w:rPr>
        <w:t xml:space="preserve">6. Five-year financials: operating profit compounded 13% a year as the profit mix swung between condos and sales</w:t>
      </w:r>
      <w:r>
        <w:rPr>
          <w:rFonts w:ascii="Arial" w:cs="Arial" w:eastAsia="Yu Gothic" w:hAnsi="Arial"/>
          <w:sz w:val="17"/>
          <w:szCs w:val="17"/>
        </w:rPr>
        <w:tab/>
      </w:r>
      <w:r>
        <w:rPr>
          <w:rFonts w:ascii="Arial" w:cs="Arial" w:eastAsia="Yu Gothic" w:hAnsi="Arial"/>
          <w:b/>
          <w:bCs/>
          <w:color w:val="15233F"/>
          <w:sz w:val="19"/>
          <w:szCs w:val="19"/>
        </w:rPr>
        <w:t xml:space="preserve">23</w:t>
      </w:r>
    </w:p>
    <w:p>
      <w:pPr>
        <w:tabs>
          <w:tab w:val="right" w:pos="9746" w:leader="dot"/>
        </w:tabs>
        <w:spacing w:after="50" w:before="70" w:line="252" w:lineRule="auto"/>
        <w:ind w:left="0"/>
      </w:pPr>
      <w:r>
        <w:rPr>
          <w:rFonts w:ascii="Arial" w:cs="Arial" w:eastAsia="Yu Gothic" w:hAnsi="Arial"/>
          <w:b/>
          <w:bCs/>
          <w:color w:val="15233F"/>
          <w:sz w:val="19"/>
          <w:szCs w:val="19"/>
        </w:rPr>
        <w:t xml:space="preserve">7. Earnings calls and the latest result: tone has improved, but the quality of the upgrades has declined</w:t>
      </w:r>
      <w:r>
        <w:rPr>
          <w:rFonts w:ascii="Arial" w:cs="Arial" w:eastAsia="Yu Gothic" w:hAnsi="Arial"/>
          <w:sz w:val="17"/>
          <w:szCs w:val="17"/>
        </w:rPr>
        <w:tab/>
      </w:r>
      <w:r>
        <w:rPr>
          <w:rFonts w:ascii="Arial" w:cs="Arial" w:eastAsia="Yu Gothic" w:hAnsi="Arial"/>
          <w:b/>
          <w:bCs/>
          <w:color w:val="15233F"/>
          <w:sz w:val="19"/>
          <w:szCs w:val="19"/>
        </w:rPr>
        <w:t xml:space="preserve">29</w:t>
      </w:r>
    </w:p>
    <w:p>
      <w:pPr>
        <w:tabs>
          <w:tab w:val="right" w:pos="9746" w:leader="dot"/>
        </w:tabs>
        <w:spacing w:after="50" w:before="70" w:line="252" w:lineRule="auto"/>
        <w:ind w:left="0"/>
      </w:pPr>
      <w:r>
        <w:rPr>
          <w:rFonts w:ascii="Arial" w:cs="Arial" w:eastAsia="Yu Gothic" w:hAnsi="Arial"/>
          <w:b/>
          <w:bCs/>
          <w:color w:val="15233F"/>
          <w:sz w:val="19"/>
          <w:szCs w:val="19"/>
        </w:rPr>
        <w:t xml:space="preserve">8. EPS estimates FY2026E–FY2028E: ¥315, ¥323 and ¥330, with financing costs absorbing most of the operating growth</w:t>
      </w:r>
      <w:r>
        <w:rPr>
          <w:rFonts w:ascii="Arial" w:cs="Arial" w:eastAsia="Yu Gothic" w:hAnsi="Arial"/>
          <w:sz w:val="17"/>
          <w:szCs w:val="17"/>
        </w:rPr>
        <w:tab/>
      </w:r>
      <w:r>
        <w:rPr>
          <w:rFonts w:ascii="Arial" w:cs="Arial" w:eastAsia="Yu Gothic" w:hAnsi="Arial"/>
          <w:b/>
          <w:bCs/>
          <w:color w:val="15233F"/>
          <w:sz w:val="19"/>
          <w:szCs w:val="19"/>
        </w:rPr>
        <w:t xml:space="preserve">32</w:t>
      </w:r>
    </w:p>
    <w:p>
      <w:pPr>
        <w:tabs>
          <w:tab w:val="right" w:pos="9746" w:leader="dot"/>
        </w:tabs>
        <w:spacing w:after="50" w:before="70" w:line="252" w:lineRule="auto"/>
        <w:ind w:left="0"/>
      </w:pPr>
      <w:r>
        <w:rPr>
          <w:rFonts w:ascii="Arial" w:cs="Arial" w:eastAsia="Yu Gothic" w:hAnsi="Arial"/>
          <w:b/>
          <w:bCs/>
          <w:color w:val="15233F"/>
          <w:sz w:val="19"/>
          <w:szCs w:val="19"/>
        </w:rPr>
        <w:t xml:space="preserve">9. Capital structure: ¥1.54tn of mostly fixed-rate debt, leverage back at the guide ceiling</w:t>
      </w:r>
      <w:r>
        <w:rPr>
          <w:rFonts w:ascii="Arial" w:cs="Arial" w:eastAsia="Yu Gothic" w:hAnsi="Arial"/>
          <w:sz w:val="17"/>
          <w:szCs w:val="17"/>
        </w:rPr>
        <w:tab/>
      </w:r>
      <w:r>
        <w:rPr>
          <w:rFonts w:ascii="Arial" w:cs="Arial" w:eastAsia="Yu Gothic" w:hAnsi="Arial"/>
          <w:b/>
          <w:bCs/>
          <w:color w:val="15233F"/>
          <w:sz w:val="19"/>
          <w:szCs w:val="19"/>
        </w:rPr>
        <w:t xml:space="preserve">35</w:t>
      </w:r>
    </w:p>
    <w:p>
      <w:pPr>
        <w:tabs>
          <w:tab w:val="right" w:pos="9746" w:leader="dot"/>
        </w:tabs>
        <w:spacing w:after="50" w:before="70" w:line="252" w:lineRule="auto"/>
        <w:ind w:left="0"/>
      </w:pPr>
      <w:r>
        <w:rPr>
          <w:rFonts w:ascii="Arial" w:cs="Arial" w:eastAsia="Yu Gothic" w:hAnsi="Arial"/>
          <w:b/>
          <w:bCs/>
          <w:color w:val="15233F"/>
          <w:sz w:val="19"/>
          <w:szCs w:val="19"/>
        </w:rPr>
        <w:t xml:space="preserve">10. Valuation: cheap on equity multiples, fair on enterprise value, full against its own history</w:t>
      </w:r>
      <w:r>
        <w:rPr>
          <w:rFonts w:ascii="Arial" w:cs="Arial" w:eastAsia="Yu Gothic" w:hAnsi="Arial"/>
          <w:sz w:val="17"/>
          <w:szCs w:val="17"/>
        </w:rPr>
        <w:tab/>
      </w:r>
      <w:r>
        <w:rPr>
          <w:rFonts w:ascii="Arial" w:cs="Arial" w:eastAsia="Yu Gothic" w:hAnsi="Arial"/>
          <w:b/>
          <w:bCs/>
          <w:color w:val="15233F"/>
          <w:sz w:val="19"/>
          <w:szCs w:val="19"/>
        </w:rPr>
        <w:t xml:space="preserve">37</w:t>
      </w:r>
    </w:p>
    <w:p>
      <w:pPr>
        <w:tabs>
          <w:tab w:val="right" w:pos="9746" w:leader="dot"/>
        </w:tabs>
        <w:spacing w:after="50" w:before="70" w:line="252" w:lineRule="auto"/>
        <w:ind w:left="0"/>
      </w:pPr>
      <w:r>
        <w:rPr>
          <w:rFonts w:ascii="Arial" w:cs="Arial" w:eastAsia="Yu Gothic" w:hAnsi="Arial"/>
          <w:b/>
          <w:bCs/>
          <w:color w:val="15233F"/>
          <w:sz w:val="19"/>
          <w:szCs w:val="19"/>
        </w:rPr>
        <w:t xml:space="preserve">11. M&amp;A: a credible but unlikely target, with a takeout zone of ¥4,170–4,820</w:t>
      </w:r>
      <w:r>
        <w:rPr>
          <w:rFonts w:ascii="Arial" w:cs="Arial" w:eastAsia="Yu Gothic" w:hAnsi="Arial"/>
          <w:sz w:val="17"/>
          <w:szCs w:val="17"/>
        </w:rPr>
        <w:tab/>
      </w:r>
      <w:r>
        <w:rPr>
          <w:rFonts w:ascii="Arial" w:cs="Arial" w:eastAsia="Yu Gothic" w:hAnsi="Arial"/>
          <w:b/>
          <w:bCs/>
          <w:color w:val="15233F"/>
          <w:sz w:val="19"/>
          <w:szCs w:val="19"/>
        </w:rPr>
        <w:t xml:space="preserve">44</w:t>
      </w:r>
    </w:p>
    <w:p>
      <w:pPr>
        <w:tabs>
          <w:tab w:val="right" w:pos="9746" w:leader="dot"/>
        </w:tabs>
        <w:spacing w:after="50" w:before="70" w:line="252" w:lineRule="auto"/>
        <w:ind w:left="0"/>
      </w:pPr>
      <w:r>
        <w:rPr>
          <w:rFonts w:ascii="Arial" w:cs="Arial" w:eastAsia="Yu Gothic" w:hAnsi="Arial"/>
          <w:b/>
          <w:bCs/>
          <w:color w:val="15233F"/>
          <w:sz w:val="19"/>
          <w:szCs w:val="19"/>
        </w:rPr>
        <w:t xml:space="preserve">12. Management: competent career insiders who delivered on plan, with little personal capital at stake</w:t>
      </w:r>
      <w:r>
        <w:rPr>
          <w:rFonts w:ascii="Arial" w:cs="Arial" w:eastAsia="Yu Gothic" w:hAnsi="Arial"/>
          <w:sz w:val="17"/>
          <w:szCs w:val="17"/>
        </w:rPr>
        <w:tab/>
      </w:r>
      <w:r>
        <w:rPr>
          <w:rFonts w:ascii="Arial" w:cs="Arial" w:eastAsia="Yu Gothic" w:hAnsi="Arial"/>
          <w:b/>
          <w:bCs/>
          <w:color w:val="15233F"/>
          <w:sz w:val="19"/>
          <w:szCs w:val="19"/>
        </w:rPr>
        <w:t xml:space="preserve">48</w:t>
      </w:r>
    </w:p>
    <w:p>
      <w:pPr>
        <w:tabs>
          <w:tab w:val="right" w:pos="9746" w:leader="dot"/>
        </w:tabs>
        <w:spacing w:after="50" w:before="70" w:line="252" w:lineRule="auto"/>
        <w:ind w:left="0"/>
      </w:pPr>
      <w:r>
        <w:rPr>
          <w:rFonts w:ascii="Arial" w:cs="Arial" w:eastAsia="Yu Gothic" w:hAnsi="Arial"/>
          <w:b/>
          <w:bCs/>
          <w:color w:val="15233F"/>
          <w:sz w:val="19"/>
          <w:szCs w:val="19"/>
        </w:rPr>
        <w:t xml:space="preserve">13. Board of Directors: 12 members, 5 independent, chaired by a former banker</w:t>
      </w:r>
      <w:r>
        <w:rPr>
          <w:rFonts w:ascii="Arial" w:cs="Arial" w:eastAsia="Yu Gothic" w:hAnsi="Arial"/>
          <w:sz w:val="17"/>
          <w:szCs w:val="17"/>
        </w:rPr>
        <w:tab/>
      </w:r>
      <w:r>
        <w:rPr>
          <w:rFonts w:ascii="Arial" w:cs="Arial" w:eastAsia="Yu Gothic" w:hAnsi="Arial"/>
          <w:b/>
          <w:bCs/>
          <w:color w:val="15233F"/>
          <w:sz w:val="19"/>
          <w:szCs w:val="19"/>
        </w:rPr>
        <w:t xml:space="preserve">51</w:t>
      </w:r>
    </w:p>
    <w:p>
      <w:pPr>
        <w:tabs>
          <w:tab w:val="right" w:pos="9746" w:leader="dot"/>
        </w:tabs>
        <w:spacing w:after="50" w:before="70" w:line="252" w:lineRule="auto"/>
        <w:ind w:left="0"/>
      </w:pPr>
      <w:r>
        <w:rPr>
          <w:rFonts w:ascii="Arial" w:cs="Arial" w:eastAsia="Yu Gothic" w:hAnsi="Arial"/>
          <w:b/>
          <w:bCs/>
          <w:color w:val="15233F"/>
          <w:sz w:val="19"/>
          <w:szCs w:val="19"/>
        </w:rPr>
        <w:t xml:space="preserve">14. Shareholders, activism and short interest: a passive register with no blocking holder</w:t>
      </w:r>
      <w:r>
        <w:rPr>
          <w:rFonts w:ascii="Arial" w:cs="Arial" w:eastAsia="Yu Gothic" w:hAnsi="Arial"/>
          <w:sz w:val="17"/>
          <w:szCs w:val="17"/>
        </w:rPr>
        <w:tab/>
      </w:r>
      <w:r>
        <w:rPr>
          <w:rFonts w:ascii="Arial" w:cs="Arial" w:eastAsia="Yu Gothic" w:hAnsi="Arial"/>
          <w:b/>
          <w:bCs/>
          <w:color w:val="15233F"/>
          <w:sz w:val="19"/>
          <w:szCs w:val="19"/>
        </w:rPr>
        <w:t xml:space="preserve">53</w:t>
      </w:r>
    </w:p>
    <w:p>
      <w:pPr>
        <w:tabs>
          <w:tab w:val="right" w:pos="9746" w:leader="dot"/>
        </w:tabs>
        <w:spacing w:after="50" w:before="70" w:line="252" w:lineRule="auto"/>
        <w:ind w:left="0"/>
      </w:pPr>
      <w:r>
        <w:rPr>
          <w:rFonts w:ascii="Arial" w:cs="Arial" w:eastAsia="Yu Gothic" w:hAnsi="Arial"/>
          <w:b/>
          <w:bCs/>
          <w:color w:val="15233F"/>
          <w:sz w:val="19"/>
          <w:szCs w:val="19"/>
        </w:rPr>
        <w:t xml:space="preserve">15. Strategic initiatives 2016–2026: plans delivered, the overseas business the weak link</w:t>
      </w:r>
      <w:r>
        <w:rPr>
          <w:rFonts w:ascii="Arial" w:cs="Arial" w:eastAsia="Yu Gothic" w:hAnsi="Arial"/>
          <w:sz w:val="17"/>
          <w:szCs w:val="17"/>
        </w:rPr>
        <w:tab/>
      </w:r>
      <w:r>
        <w:rPr>
          <w:rFonts w:ascii="Arial" w:cs="Arial" w:eastAsia="Yu Gothic" w:hAnsi="Arial"/>
          <w:b/>
          <w:bCs/>
          <w:color w:val="15233F"/>
          <w:sz w:val="19"/>
          <w:szCs w:val="19"/>
        </w:rPr>
        <w:t xml:space="preserve">55</w:t>
      </w:r>
    </w:p>
    <w:p>
      <w:pPr>
        <w:tabs>
          <w:tab w:val="right" w:pos="9746" w:leader="dot"/>
        </w:tabs>
        <w:spacing w:after="50" w:before="70" w:line="252" w:lineRule="auto"/>
        <w:ind w:left="0"/>
      </w:pPr>
      <w:r>
        <w:rPr>
          <w:rFonts w:ascii="Arial" w:cs="Arial" w:eastAsia="Yu Gothic" w:hAnsi="Arial"/>
          <w:b/>
          <w:bCs/>
          <w:color w:val="15233F"/>
          <w:sz w:val="19"/>
          <w:szCs w:val="19"/>
        </w:rPr>
        <w:t xml:space="preserve">16. Stakes in other companies: a ≈¥56–61bn listed portfolio, mostly relationship holdings</w:t>
      </w:r>
      <w:r>
        <w:rPr>
          <w:rFonts w:ascii="Arial" w:cs="Arial" w:eastAsia="Yu Gothic" w:hAnsi="Arial"/>
          <w:sz w:val="17"/>
          <w:szCs w:val="17"/>
        </w:rPr>
        <w:tab/>
      </w:r>
      <w:r>
        <w:rPr>
          <w:rFonts w:ascii="Arial" w:cs="Arial" w:eastAsia="Yu Gothic" w:hAnsi="Arial"/>
          <w:b/>
          <w:bCs/>
          <w:color w:val="15233F"/>
          <w:sz w:val="19"/>
          <w:szCs w:val="19"/>
        </w:rPr>
        <w:t xml:space="preserve">56</w:t>
      </w:r>
    </w:p>
    <w:p>
      <w:pPr>
        <w:tabs>
          <w:tab w:val="right" w:pos="9746" w:leader="dot"/>
        </w:tabs>
        <w:spacing w:after="50" w:before="70" w:line="252" w:lineRule="auto"/>
        <w:ind w:left="0"/>
      </w:pPr>
      <w:r>
        <w:rPr>
          <w:rFonts w:ascii="Arial" w:cs="Arial" w:eastAsia="Yu Gothic" w:hAnsi="Arial"/>
          <w:b/>
          <w:bCs/>
          <w:color w:val="15233F"/>
          <w:sz w:val="19"/>
          <w:szCs w:val="19"/>
        </w:rPr>
        <w:t xml:space="preserve">17. Dividends, buybacks and treasury shares, FY2021–FY2026E</w:t>
      </w:r>
      <w:r>
        <w:rPr>
          <w:rFonts w:ascii="Arial" w:cs="Arial" w:eastAsia="Yu Gothic" w:hAnsi="Arial"/>
          <w:sz w:val="17"/>
          <w:szCs w:val="17"/>
        </w:rPr>
        <w:tab/>
      </w:r>
      <w:r>
        <w:rPr>
          <w:rFonts w:ascii="Arial" w:cs="Arial" w:eastAsia="Yu Gothic" w:hAnsi="Arial"/>
          <w:b/>
          <w:bCs/>
          <w:color w:val="15233F"/>
          <w:sz w:val="19"/>
          <w:szCs w:val="19"/>
        </w:rPr>
        <w:t xml:space="preserve">57</w:t>
      </w:r>
    </w:p>
    <w:p>
      <w:pPr>
        <w:tabs>
          <w:tab w:val="right" w:pos="9746" w:leader="dot"/>
        </w:tabs>
        <w:spacing w:after="50" w:before="70" w:line="252" w:lineRule="auto"/>
        <w:ind w:left="0"/>
      </w:pPr>
      <w:r>
        <w:rPr>
          <w:rFonts w:ascii="Arial" w:cs="Arial" w:eastAsia="Yu Gothic" w:hAnsi="Arial"/>
          <w:b/>
          <w:bCs/>
          <w:color w:val="15233F"/>
          <w:sz w:val="19"/>
          <w:szCs w:val="19"/>
        </w:rPr>
        <w:t xml:space="preserve">18. Adversarial deep-dive: rent growth against the cost of money</w:t>
      </w:r>
      <w:r>
        <w:rPr>
          <w:rFonts w:ascii="Arial" w:cs="Arial" w:eastAsia="Yu Gothic" w:hAnsi="Arial"/>
          <w:sz w:val="17"/>
          <w:szCs w:val="17"/>
        </w:rPr>
        <w:tab/>
      </w:r>
      <w:r>
        <w:rPr>
          <w:rFonts w:ascii="Arial" w:cs="Arial" w:eastAsia="Yu Gothic" w:hAnsi="Arial"/>
          <w:b/>
          <w:bCs/>
          <w:color w:val="15233F"/>
          <w:sz w:val="19"/>
          <w:szCs w:val="19"/>
        </w:rPr>
        <w:t xml:space="preserve">58</w:t>
      </w:r>
    </w:p>
    <w:p>
      <w:pPr>
        <w:tabs>
          <w:tab w:val="right" w:pos="9746" w:leader="dot"/>
        </w:tabs>
        <w:spacing w:after="50" w:before="70" w:line="252" w:lineRule="auto"/>
        <w:ind w:left="0"/>
      </w:pPr>
      <w:r>
        <w:rPr>
          <w:rFonts w:ascii="Arial" w:cs="Arial" w:eastAsia="Yu Gothic" w:hAnsi="Arial"/>
          <w:b/>
          <w:bCs/>
          <w:color w:val="15233F"/>
          <w:sz w:val="19"/>
          <w:szCs w:val="19"/>
        </w:rPr>
        <w:t xml:space="preserve">19. Scenario analysis: ¥2,300 to ¥4,400, probability-weighted at ¥3,400</w:t>
      </w:r>
      <w:r>
        <w:rPr>
          <w:rFonts w:ascii="Arial" w:cs="Arial" w:eastAsia="Yu Gothic" w:hAnsi="Arial"/>
          <w:sz w:val="17"/>
          <w:szCs w:val="17"/>
        </w:rPr>
        <w:tab/>
      </w:r>
      <w:r>
        <w:rPr>
          <w:rFonts w:ascii="Arial" w:cs="Arial" w:eastAsia="Yu Gothic" w:hAnsi="Arial"/>
          <w:b/>
          <w:bCs/>
          <w:color w:val="15233F"/>
          <w:sz w:val="19"/>
          <w:szCs w:val="19"/>
        </w:rPr>
        <w:t xml:space="preserve">61</w:t>
      </w:r>
    </w:p>
    <w:p>
      <w:pPr>
        <w:tabs>
          <w:tab w:val="right" w:pos="9746" w:leader="dot"/>
        </w:tabs>
        <w:spacing w:after="50" w:before="70" w:line="252" w:lineRule="auto"/>
        <w:ind w:left="0"/>
      </w:pPr>
      <w:r>
        <w:rPr>
          <w:rFonts w:ascii="Arial" w:cs="Arial" w:eastAsia="Yu Gothic" w:hAnsi="Arial"/>
          <w:b/>
          <w:bCs/>
          <w:color w:val="15233F"/>
          <w:sz w:val="19"/>
          <w:szCs w:val="19"/>
        </w:rPr>
        <w:t xml:space="preserve">20. Fifteen questions for the CEO and Chairman, ranked by information value</w:t>
      </w:r>
      <w:r>
        <w:rPr>
          <w:rFonts w:ascii="Arial" w:cs="Arial" w:eastAsia="Yu Gothic" w:hAnsi="Arial"/>
          <w:sz w:val="17"/>
          <w:szCs w:val="17"/>
        </w:rPr>
        <w:tab/>
      </w:r>
      <w:r>
        <w:rPr>
          <w:rFonts w:ascii="Arial" w:cs="Arial" w:eastAsia="Yu Gothic" w:hAnsi="Arial"/>
          <w:b/>
          <w:bCs/>
          <w:color w:val="15233F"/>
          <w:sz w:val="19"/>
          <w:szCs w:val="19"/>
        </w:rPr>
        <w:t xml:space="preserve">63</w:t>
      </w:r>
    </w:p>
    <w:p>
      <w:pPr>
        <w:tabs>
          <w:tab w:val="right" w:pos="9746" w:leader="dot"/>
        </w:tabs>
        <w:spacing w:after="50" w:before="70" w:line="252" w:lineRule="auto"/>
        <w:ind w:left="0"/>
      </w:pPr>
      <w:r>
        <w:rPr>
          <w:rFonts w:ascii="Arial" w:cs="Arial" w:eastAsia="Yu Gothic" w:hAnsi="Arial"/>
          <w:b/>
          <w:bCs/>
          <w:color w:val="15233F"/>
          <w:sz w:val="19"/>
          <w:szCs w:val="19"/>
        </w:rPr>
        <w:t xml:space="preserve">21. Short-seller's case: what the bulls are missing</w:t>
      </w:r>
      <w:r>
        <w:rPr>
          <w:rFonts w:ascii="Arial" w:cs="Arial" w:eastAsia="Yu Gothic" w:hAnsi="Arial"/>
          <w:sz w:val="17"/>
          <w:szCs w:val="17"/>
        </w:rPr>
        <w:tab/>
      </w:r>
      <w:r>
        <w:rPr>
          <w:rFonts w:ascii="Arial" w:cs="Arial" w:eastAsia="Yu Gothic" w:hAnsi="Arial"/>
          <w:b/>
          <w:bCs/>
          <w:color w:val="15233F"/>
          <w:sz w:val="19"/>
          <w:szCs w:val="19"/>
        </w:rPr>
        <w:t xml:space="preserve">64</w:t>
      </w:r>
    </w:p>
    <w:p>
      <w:pPr>
        <w:tabs>
          <w:tab w:val="right" w:pos="9746" w:leader="dot"/>
        </w:tabs>
        <w:spacing w:after="50" w:before="70" w:line="252" w:lineRule="auto"/>
        <w:ind w:left="0"/>
      </w:pPr>
      <w:r>
        <w:rPr>
          <w:rFonts w:ascii="Arial" w:cs="Arial" w:eastAsia="Yu Gothic" w:hAnsi="Arial"/>
          <w:b/>
          <w:bCs/>
          <w:color w:val="15233F"/>
          <w:sz w:val="19"/>
          <w:szCs w:val="19"/>
        </w:rPr>
        <w:t xml:space="preserve">22. Timeline and catalyst calendar</w:t>
      </w:r>
      <w:r>
        <w:rPr>
          <w:rFonts w:ascii="Arial" w:cs="Arial" w:eastAsia="Yu Gothic" w:hAnsi="Arial"/>
          <w:sz w:val="17"/>
          <w:szCs w:val="17"/>
        </w:rPr>
        <w:tab/>
      </w:r>
      <w:r>
        <w:rPr>
          <w:rFonts w:ascii="Arial" w:cs="Arial" w:eastAsia="Yu Gothic" w:hAnsi="Arial"/>
          <w:b/>
          <w:bCs/>
          <w:color w:val="15233F"/>
          <w:sz w:val="19"/>
          <w:szCs w:val="19"/>
        </w:rPr>
        <w:t xml:space="preserve">68</w:t>
      </w:r>
    </w:p>
    <w:p>
      <w:pPr>
        <w:tabs>
          <w:tab w:val="right" w:pos="9746" w:leader="dot"/>
        </w:tabs>
        <w:spacing w:after="50" w:before="70" w:line="252" w:lineRule="auto"/>
        <w:ind w:left="0"/>
      </w:pPr>
      <w:r>
        <w:rPr>
          <w:rFonts w:ascii="Arial" w:cs="Arial" w:eastAsia="Yu Gothic" w:hAnsi="Arial"/>
          <w:b/>
          <w:bCs/>
          <w:color w:val="15233F"/>
          <w:sz w:val="19"/>
          <w:szCs w:val="19"/>
        </w:rPr>
        <w:t xml:space="preserve">IC decision and conclusion</w:t>
      </w:r>
      <w:r>
        <w:rPr>
          <w:rFonts w:ascii="Arial" w:cs="Arial" w:eastAsia="Yu Gothic" w:hAnsi="Arial"/>
          <w:sz w:val="17"/>
          <w:szCs w:val="17"/>
        </w:rPr>
        <w:tab/>
      </w:r>
      <w:r>
        <w:rPr>
          <w:rFonts w:ascii="Arial" w:cs="Arial" w:eastAsia="Yu Gothic" w:hAnsi="Arial"/>
          <w:b/>
          <w:bCs/>
          <w:color w:val="15233F"/>
          <w:sz w:val="19"/>
          <w:szCs w:val="19"/>
        </w:rPr>
        <w:t xml:space="preserve">70</w:t>
      </w:r>
    </w:p>
    <w:p>
      <w:r>
        <w:br w:type="page"/>
      </w:r>
    </w:p>
    <w:p>
      <w:pPr>
        <w:pStyle w:val="Heading1"/>
        <w:keepNext/>
        <w:keepLines/>
        <w:pBdr>
          <w:bottom w:val="single" w:color="2F6FD0" w:sz="12" w:space="6"/>
        </w:pBdr>
        <w:spacing w:after="160" w:before="0" w:line="252" w:lineRule="auto"/>
      </w:pPr>
      <w:r>
        <w:rPr>
          <w:rFonts w:ascii="Arial" w:cs="Arial" w:eastAsia="Yu Gothic" w:hAnsi="Arial"/>
          <w:b/>
          <w:bCs/>
          <w:color w:val="15233F"/>
          <w:sz w:val="32"/>
          <w:szCs w:val="32"/>
        </w:rPr>
        <w:t xml:space="preserve">Executive summary</w:t>
      </w:r>
    </w:p>
    <w:p>
      <w:pPr>
        <w:spacing w:after="110" w:before="0" w:line="276" w:lineRule="auto"/>
      </w:pPr>
      <w:r>
        <w:rPr>
          <w:rFonts w:ascii="Arial" w:cs="Arial" w:eastAsia="Yu Gothic" w:hAnsi="Arial"/>
          <w:color w:val="1F2533"/>
          <w:sz w:val="19"/>
          <w:szCs w:val="19"/>
        </w:rPr>
        <w:t xml:space="preserve">We rate Tokyo Tatemono </w:t>
      </w:r>
      <w:r>
        <w:rPr>
          <w:rFonts w:ascii="Arial" w:cs="Arial" w:eastAsia="Yu Gothic" w:hAnsi="Arial"/>
          <w:b/>
          <w:bCs/>
          <w:color w:val="1F2533"/>
          <w:sz w:val="19"/>
          <w:szCs w:val="19"/>
        </w:rPr>
        <w:t xml:space="preserve">HOLD</w:t>
      </w:r>
      <w:r>
        <w:rPr>
          <w:rFonts w:ascii="Arial" w:cs="Arial" w:eastAsia="Yu Gothic" w:hAnsi="Arial"/>
          <w:color w:val="1F2533"/>
          <w:sz w:val="19"/>
          <w:szCs w:val="19"/>
        </w:rPr>
        <w:t xml:space="preserve"> with a </w:t>
      </w:r>
      <w:r>
        <w:rPr>
          <w:rFonts w:ascii="Arial" w:cs="Arial" w:eastAsia="Yu Gothic" w:hAnsi="Arial"/>
          <w:b/>
          <w:bCs/>
          <w:color w:val="1F2533"/>
          <w:sz w:val="19"/>
          <w:szCs w:val="19"/>
        </w:rPr>
        <w:t xml:space="preserve">12-month target price of ¥3,400</w:t>
      </w:r>
      <w:r>
        <w:rPr>
          <w:rFonts w:ascii="Arial" w:cs="Arial" w:eastAsia="Yu Gothic" w:hAnsi="Arial"/>
          <w:color w:val="1F2533"/>
          <w:sz w:val="19"/>
          <w:szCs w:val="19"/>
        </w:rPr>
        <w:t xml:space="preserve">, equal to our </w:t>
      </w:r>
      <w:r>
        <w:rPr>
          <w:rFonts w:ascii="Arial" w:cs="Arial" w:eastAsia="Yu Gothic" w:hAnsi="Arial"/>
          <w:b/>
          <w:bCs/>
          <w:color w:val="1F2533"/>
          <w:sz w:val="19"/>
          <w:szCs w:val="19"/>
        </w:rPr>
        <w:t xml:space="preserve">probability-weighted scenario value of ¥3,400</w:t>
      </w:r>
      <w:r>
        <w:rPr>
          <w:rFonts w:ascii="Arial" w:cs="Arial" w:eastAsia="Yu Gothic" w:hAnsi="Arial"/>
          <w:color w:val="1F2533"/>
          <w:sz w:val="19"/>
          <w:szCs w:val="19"/>
        </w:rPr>
        <w:t xml:space="preserve"> (bear ¥2,300 at 25%, base ¥3,450 at 50%, bull ¥4,400 at 25%). Our </w:t>
      </w:r>
      <w:r>
        <w:rPr>
          <w:rFonts w:ascii="Arial" w:cs="Arial" w:eastAsia="Yu Gothic" w:hAnsi="Arial"/>
          <w:b/>
          <w:bCs/>
          <w:color w:val="1F2533"/>
          <w:sz w:val="19"/>
          <w:szCs w:val="19"/>
        </w:rPr>
        <w:t xml:space="preserve">reference price is ¥3,211, the TSE close on 2 October 2026</w:t>
      </w:r>
      <w:r>
        <w:rPr>
          <w:rFonts w:ascii="Arial" w:cs="Arial" w:eastAsia="Yu Gothic" w:hAnsi="Arial"/>
          <w:color w:val="1F2533"/>
          <w:sz w:val="19"/>
          <w:szCs w:val="19"/>
        </w:rPr>
        <w:t xml:space="preserve"> (report date 4 October 2026), so the target implies +5.9% price upside and roughly +10% total return once about ¥130 of dividends over the next twelve months is included. The equity looks cheap: </w:t>
      </w:r>
      <w:r>
        <w:rPr>
          <w:rFonts w:ascii="Arial" w:cs="Arial" w:eastAsia="Yu Gothic" w:hAnsi="Arial"/>
          <w:b/>
          <w:bCs/>
          <w:color w:val="1F2533"/>
          <w:sz w:val="19"/>
          <w:szCs w:val="19"/>
        </w:rPr>
        <w:t xml:space="preserve">10.3x FY2026 guided EPS, 1.10x book, 0.65x NAV and a 3.9% yield</w:t>
      </w:r>
      <w:r>
        <w:rPr>
          <w:rFonts w:ascii="Arial" w:cs="Arial" w:eastAsia="Yu Gothic" w:hAnsi="Arial"/>
          <w:color w:val="1F2533"/>
          <w:sz w:val="19"/>
          <w:szCs w:val="19"/>
        </w:rPr>
        <w:t xml:space="preserve">, against a listed-developer median of 13.35x forward P/E. On enterprise value, though, the stock is fairly priced. It sits almost exactly on the peer EV/Sales–EBIT-margin regression line (actual 4.47x vs fitted 4.50x), and its EV/EBITDA of about 17.7x on the June balance sheet is above its own five-year range (15.1–16.2x at year-ends; 15.6x on the December 2025 balance sheet). The reason is debt: net debt reached </w:t>
      </w:r>
      <w:r>
        <w:rPr>
          <w:rFonts w:ascii="Arial" w:cs="Arial" w:eastAsia="Yu Gothic" w:hAnsi="Arial"/>
          <w:b/>
          <w:bCs/>
          <w:color w:val="1F2533"/>
          <w:sz w:val="19"/>
          <w:szCs w:val="19"/>
        </w:rPr>
        <w:t xml:space="preserve">¥1.44tn (12.0x EBITDA) after a ¥191bn debt build in 1H FY2026</w:t>
      </w:r>
      <w:r>
        <w:rPr>
          <w:rFonts w:ascii="Arial" w:cs="Arial" w:eastAsia="Yu Gothic" w:hAnsi="Arial"/>
          <w:color w:val="1F2533"/>
          <w:sz w:val="19"/>
          <w:szCs w:val="19"/>
        </w:rPr>
        <w:t xml:space="preserve"> (</w:t>
      </w:r>
      <w:hyperlink w:history="1" r:id="rIdvydbauioqetu22fpazh_t">
        <w:r>
          <w:rPr>
            <w:rFonts w:ascii="Arial" w:cs="Arial" w:eastAsia="Yu Gothic" w:hAnsi="Arial"/>
            <w:color w:val="2F6FD0"/>
            <w:sz w:val="19"/>
            <w:szCs w:val="19"/>
            <w:u w:val="single"/>
          </w:rPr>
          <w:t xml:space="preserve">1H FY2026 results via logmi</w:t>
        </w:r>
      </w:hyperlink>
      <w:r>
        <w:rPr>
          <w:rFonts w:ascii="Arial" w:cs="Arial" w:eastAsia="Yu Gothic" w:hAnsi="Arial"/>
          <w:color w:val="1F2533"/>
          <w:sz w:val="19"/>
          <w:szCs w:val="19"/>
        </w:rPr>
        <w:t xml:space="preserve">). Execution is strong. FY2025 operating profit was a record ¥95.8bn (</w:t>
      </w:r>
      <w:hyperlink w:history="1" r:id="rIdne0km7ohtrpp5mhgvxfun">
        <w:r>
          <w:rPr>
            <w:rFonts w:ascii="Arial" w:cs="Arial" w:eastAsia="Yu Gothic" w:hAnsi="Arial"/>
            <w:color w:val="2F6FD0"/>
            <w:sz w:val="19"/>
            <w:szCs w:val="19"/>
            <w:u w:val="single"/>
          </w:rPr>
          <w:t xml:space="preserve">FY2025 tanshin</w:t>
        </w:r>
      </w:hyperlink>
      <w:r>
        <w:rPr>
          <w:rFonts w:ascii="Arial" w:cs="Arial" w:eastAsia="Yu Gothic" w:hAnsi="Arial"/>
          <w:color w:val="1F2533"/>
          <w:sz w:val="19"/>
          <w:szCs w:val="19"/>
        </w:rPr>
        <w:t xml:space="preserve">), guidance has been raised for two years running (FY2025 in November 2025, FY2026 in August 2026, now OP ¥105.5bn, NI ¥65.0bn, DPS ¥126) and the 2025–27 plan's targets are expected a year early (</w:t>
      </w:r>
      <w:hyperlink w:history="1" r:id="rIdtb-eq4_tx83hjglyfvxq6">
        <w:r>
          <w:rPr>
            <w:rFonts w:ascii="Arial" w:cs="Arial" w:eastAsia="Yu Gothic" w:hAnsi="Arial"/>
            <w:color w:val="2F6FD0"/>
            <w:sz w:val="19"/>
            <w:szCs w:val="19"/>
            <w:u w:val="single"/>
          </w:rPr>
          <w:t xml:space="preserve">Nikkei, Aug 2026</w:t>
        </w:r>
      </w:hyperlink>
      <w:r>
        <w:rPr>
          <w:rFonts w:ascii="Arial" w:cs="Arial" w:eastAsia="Yu Gothic" w:hAnsi="Arial"/>
          <w:color w:val="1F2533"/>
          <w:sz w:val="19"/>
          <w:szCs w:val="19"/>
        </w:rPr>
        <w:t xml:space="preserve">). But growth is now driven by property-sale gains and borrowed money. Meanwhile the Bank of Japan has raised its policy rate to 1.25% (</w:t>
      </w:r>
      <w:hyperlink w:history="1" r:id="rIdsej3u1ud9e7pscfwxxg1s">
        <w:r>
          <w:rPr>
            <w:rFonts w:ascii="Arial" w:cs="Arial" w:eastAsia="Yu Gothic" w:hAnsi="Arial"/>
            <w:color w:val="2F6FD0"/>
            <w:sz w:val="19"/>
            <w:szCs w:val="19"/>
            <w:u w:val="single"/>
          </w:rPr>
          <w:t xml:space="preserve">NHK</w:t>
        </w:r>
      </w:hyperlink>
      <w:r>
        <w:rPr>
          <w:rFonts w:ascii="Arial" w:cs="Arial" w:eastAsia="Yu Gothic" w:hAnsi="Arial"/>
          <w:color w:val="1F2533"/>
          <w:sz w:val="19"/>
          <w:szCs w:val="19"/>
        </w:rPr>
        <w:t xml:space="preserve">) and the 10-year JGB is near 3%. About 54% of the operating-profit increase between FY2024 and FY2026E is absorbed by rising non-operating costs below the operating line. We therefore model EPS of </w:t>
      </w:r>
      <w:r>
        <w:rPr>
          <w:rFonts w:ascii="Arial" w:cs="Arial" w:eastAsia="Yu Gothic" w:hAnsi="Arial"/>
          <w:b/>
          <w:bCs/>
          <w:color w:val="1F2533"/>
          <w:sz w:val="19"/>
          <w:szCs w:val="19"/>
        </w:rPr>
        <w:t xml:space="preserve">¥315 / ¥323 / ¥330 for FY2026E–FY2028E</w:t>
      </w:r>
      <w:r>
        <w:rPr>
          <w:rFonts w:ascii="Arial" w:cs="Arial" w:eastAsia="Yu Gothic" w:hAnsi="Arial"/>
          <w:color w:val="1F2533"/>
          <w:sz w:val="19"/>
          <w:szCs w:val="19"/>
        </w:rPr>
        <w:t xml:space="preserve">, which means growth slows to 2–3% a year after FY2026. We would become buyers below about ¥3,000, or on evidence that second-half sales close and year-end debt falls back.</w:t>
      </w:r>
    </w:p>
    <w:p>
      <w:pPr>
        <w:pStyle w:val="Heading2"/>
        <w:keepNext/>
        <w:keepLines/>
        <w:spacing w:after="90" w:before="260" w:line="252" w:lineRule="auto"/>
      </w:pPr>
      <w:r>
        <w:rPr>
          <w:rFonts w:ascii="Arial" w:cs="Arial" w:eastAsia="Yu Gothic" w:hAnsi="Arial"/>
          <w:b/>
          <w:bCs/>
          <w:color w:val="15233F"/>
          <w:sz w:val="25"/>
          <w:szCs w:val="25"/>
        </w:rPr>
        <w:t xml:space="preserve">Recommendation and key valuation statistics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14"/>
        <w:gridCol w:w="6132"/>
      </w:tblGrid>
      <w:tr>
        <w:trPr>
          <w:cantSplit/>
          <w:tblHeader/>
        </w:trPr>
        <w:tc>
          <w:tcPr>
            <w:tcW w:type="dxa" w:w="3614"/>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bCs/>
                <w:color w:val="FFFFFF"/>
                <w:sz w:val="16"/>
                <w:szCs w:val="16"/>
              </w:rPr>
              <w:t xml:space="preserve">Item</w:t>
            </w:r>
          </w:p>
        </w:tc>
        <w:tc>
          <w:tcPr>
            <w:tcW w:type="dxa" w:w="6132"/>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6"/>
                <w:szCs w:val="16"/>
              </w:rPr>
              <w:t xml:space="preserve">Value</w:t>
            </w:r>
          </w:p>
        </w:tc>
      </w:tr>
      <w:tr>
        <w:trPr>
          <w:cantSplit/>
        </w:trPr>
        <w:tc>
          <w:tcPr>
            <w:tcW w:type="dxa" w:w="3614"/>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Rating</w:t>
            </w:r>
          </w:p>
        </w:tc>
        <w:tc>
          <w:tcPr>
            <w:tcW w:type="dxa" w:w="6132"/>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bCs/>
                <w:color w:val="1F2533"/>
                <w:sz w:val="16"/>
                <w:szCs w:val="16"/>
              </w:rPr>
              <w:t xml:space="preserve">HOLD</w:t>
            </w:r>
          </w:p>
        </w:tc>
      </w:tr>
      <w:tr>
        <w:trPr>
          <w:cantSplit/>
        </w:trPr>
        <w:tc>
          <w:tcPr>
            <w:tcW w:type="dxa" w:w="3614"/>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12-month target price</w:t>
            </w:r>
          </w:p>
        </w:tc>
        <w:tc>
          <w:tcPr>
            <w:tcW w:type="dxa" w:w="6132"/>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bCs/>
                <w:color w:val="1F2533"/>
                <w:sz w:val="16"/>
                <w:szCs w:val="16"/>
              </w:rPr>
              <w:t xml:space="preserve">¥3,400</w:t>
            </w:r>
            <w:r>
              <w:rPr>
                <w:rFonts w:ascii="Arial" w:cs="Arial" w:eastAsia="Yu Gothic" w:hAnsi="Arial"/>
                <w:color w:val="1F2533"/>
                <w:sz w:val="16"/>
                <w:szCs w:val="16"/>
              </w:rPr>
              <w:t xml:space="preserve"> (+5.9% vs reference price)</w:t>
            </w:r>
          </w:p>
        </w:tc>
      </w:tr>
      <w:tr>
        <w:trPr>
          <w:cantSplit/>
        </w:trPr>
        <w:tc>
          <w:tcPr>
            <w:tcW w:type="dxa" w:w="3614"/>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Probability-weighted value</w:t>
            </w:r>
          </w:p>
        </w:tc>
        <w:tc>
          <w:tcPr>
            <w:tcW w:type="dxa" w:w="6132"/>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bCs/>
                <w:color w:val="1F2533"/>
                <w:sz w:val="16"/>
                <w:szCs w:val="16"/>
              </w:rPr>
              <w:t xml:space="preserve">¥3,400</w:t>
            </w:r>
            <w:r>
              <w:rPr>
                <w:rFonts w:ascii="Arial" w:cs="Arial" w:eastAsia="Yu Gothic" w:hAnsi="Arial"/>
                <w:color w:val="1F2533"/>
                <w:sz w:val="16"/>
                <w:szCs w:val="16"/>
              </w:rPr>
              <w:t xml:space="preserve">: bear ¥2,300 (25%), base ¥3,450 (50%), bull ¥4,400 (25%)</w:t>
            </w:r>
          </w:p>
        </w:tc>
      </w:tr>
      <w:tr>
        <w:trPr>
          <w:cantSplit/>
        </w:trPr>
        <w:tc>
          <w:tcPr>
            <w:tcW w:type="dxa" w:w="3614"/>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Reference share price and date</w:t>
            </w:r>
          </w:p>
        </w:tc>
        <w:tc>
          <w:tcPr>
            <w:tcW w:type="dxa" w:w="6132"/>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bCs/>
                <w:color w:val="1F2533"/>
                <w:sz w:val="16"/>
                <w:szCs w:val="16"/>
              </w:rPr>
              <w:t xml:space="preserve">¥3,211, TSE close on Friday 2 Oct 2026</w:t>
            </w:r>
          </w:p>
        </w:tc>
      </w:tr>
      <w:tr>
        <w:trPr>
          <w:cantSplit/>
        </w:trPr>
        <w:tc>
          <w:tcPr>
            <w:tcW w:type="dxa" w:w="3614"/>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Expected 12-month total return</w:t>
            </w:r>
          </w:p>
        </w:tc>
        <w:tc>
          <w:tcPr>
            <w:tcW w:type="dxa" w:w="6132"/>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 +10%: +5.9% price, plus ≈4.0% dividends (FY2026 year-end ¥65 and FY2027 interim ≈¥64)</w:t>
            </w:r>
          </w:p>
        </w:tc>
      </w:tr>
      <w:tr>
        <w:trPr>
          <w:cantSplit/>
        </w:trPr>
        <w:tc>
          <w:tcPr>
            <w:tcW w:type="dxa" w:w="3614"/>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Market capitalisation / enterprise value</w:t>
            </w:r>
          </w:p>
        </w:tc>
        <w:tc>
          <w:tcPr>
            <w:tcW w:type="dxa" w:w="6132"/>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¥668bn / ¥2,123bn. Net debt ¥1,442bn at 30 Jun 2026; non-controlling interests ≈¥12bn</w:t>
            </w:r>
          </w:p>
        </w:tc>
      </w:tr>
      <w:tr>
        <w:trPr>
          <w:cantSplit/>
        </w:trPr>
        <w:tc>
          <w:tcPr>
            <w:tcW w:type="dxa" w:w="3614"/>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Shares</w:t>
            </w:r>
          </w:p>
        </w:tc>
        <w:tc>
          <w:tcPr>
            <w:tcW w:type="dxa" w:w="6132"/>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207,978,574 issued; 839,526 in treasury (31 Dec 2025)</w:t>
            </w:r>
          </w:p>
        </w:tc>
      </w:tr>
      <w:tr>
        <w:trPr>
          <w:cantSplit/>
        </w:trPr>
        <w:tc>
          <w:tcPr>
            <w:tcW w:type="dxa" w:w="3614"/>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NAV per share</w:t>
            </w:r>
          </w:p>
        </w:tc>
        <w:tc>
          <w:tcPr>
            <w:tcW w:type="dxa" w:w="6132"/>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≈¥4,937: BPS ¥2,930 (30 Jun 2026) + after-tax unrealised gain on rental property of ¥2,007; P/NAV 0.65x</w:t>
            </w:r>
          </w:p>
        </w:tc>
      </w:tr>
      <w:tr>
        <w:trPr>
          <w:cantSplit/>
        </w:trPr>
        <w:tc>
          <w:tcPr>
            <w:tcW w:type="dxa" w:w="3614"/>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Trading range</w:t>
            </w:r>
          </w:p>
        </w:tc>
        <w:tc>
          <w:tcPr>
            <w:tcW w:type="dxa" w:w="6132"/>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All-time high ¥4,374 (27 Feb 2026); 2026 low ¥3,083 (28 May 2026)</w:t>
            </w:r>
          </w:p>
        </w:tc>
      </w:tr>
      <w:tr>
        <w:trPr>
          <w:cantSplit/>
        </w:trPr>
        <w:tc>
          <w:tcPr>
            <w:tcW w:type="dxa" w:w="3614"/>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Sell-side consensus</w:t>
            </w:r>
          </w:p>
        </w:tc>
        <w:tc>
          <w:tcPr>
            <w:tcW w:type="dxa" w:w="6132"/>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Average target ¥3,985. Ratings: 3 Strong Buy, 1 Buy, 6 Neutral, 0 Sell (</w:t>
            </w:r>
            <w:hyperlink w:history="1" r:id="rIdblisqvdegzjxykn6ytwze">
              <w:r>
                <w:rPr>
                  <w:rFonts w:ascii="Arial" w:cs="Arial" w:eastAsia="Yu Gothic" w:hAnsi="Arial"/>
                  <w:color w:val="2F6FD0"/>
                  <w:sz w:val="16"/>
                  <w:szCs w:val="16"/>
                  <w:u w:val="single"/>
                </w:rPr>
                <w:t xml:space="preserve">Minkabu</w:t>
              </w:r>
            </w:hyperlink>
            <w:r>
              <w:rPr>
                <w:rFonts w:ascii="Arial" w:cs="Arial" w:eastAsia="Yu Gothic" w:hAnsi="Arial"/>
                <w:color w:val="1F2533"/>
                <w:sz w:val="16"/>
                <w:szCs w:val="16"/>
              </w:rPr>
              <w:t xml:space="preserve">)</w:t>
            </w:r>
          </w:p>
        </w:tc>
      </w:tr>
    </w:tbl>
    <w:p>
      <w:pPr>
        <w:spacing w:after="120" w:before="0" w:line="276" w:lineRule="auto"/>
      </w:pP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2"/>
        <w:gridCol w:w="1450"/>
        <w:gridCol w:w="1638"/>
        <w:gridCol w:w="3656"/>
      </w:tblGrid>
      <w:tr>
        <w:trPr>
          <w:cantSplit/>
          <w:tblHeader/>
        </w:trPr>
        <w:tc>
          <w:tcPr>
            <w:tcW w:type="dxa" w:w="3002"/>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bCs/>
                <w:color w:val="FFFFFF"/>
                <w:sz w:val="16"/>
                <w:szCs w:val="16"/>
              </w:rPr>
              <w:t xml:space="preserve">Metric</w:t>
            </w:r>
          </w:p>
        </w:tc>
        <w:tc>
          <w:tcPr>
            <w:tcW w:type="dxa" w:w="1450"/>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6"/>
                <w:szCs w:val="16"/>
              </w:rPr>
              <w:t xml:space="preserve">Tokyo Tatemono at ¥3,211</w:t>
            </w:r>
          </w:p>
        </w:tc>
        <w:tc>
          <w:tcPr>
            <w:tcW w:type="dxa" w:w="1638"/>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6"/>
                <w:szCs w:val="16"/>
              </w:rPr>
              <w:t xml:space="preserve">Peer median (8 listed developers)</w:t>
            </w:r>
          </w:p>
        </w:tc>
        <w:tc>
          <w:tcPr>
            <w:tcW w:type="dxa" w:w="3656"/>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6"/>
                <w:szCs w:val="16"/>
              </w:rPr>
              <w:t xml:space="preserve">Own range at FY2021–FY2025 year-ends</w:t>
            </w:r>
          </w:p>
        </w:tc>
      </w:tr>
      <w:tr>
        <w:trPr>
          <w:cantSplit/>
        </w:trPr>
        <w:tc>
          <w:tcPr>
            <w:tcW w:type="dxa" w:w="3002"/>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Forward P/E (FY2026 guidance)</w:t>
            </w:r>
          </w:p>
        </w:tc>
        <w:tc>
          <w:tcPr>
            <w:tcW w:type="dxa" w:w="1450"/>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6"/>
                <w:szCs w:val="16"/>
              </w:rPr>
              <w:t xml:space="preserve">10.3x</w:t>
            </w:r>
          </w:p>
        </w:tc>
        <w:tc>
          <w:tcPr>
            <w:tcW w:type="dxa" w:w="1638"/>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6"/>
                <w:szCs w:val="16"/>
              </w:rPr>
              <w:t xml:space="preserve">13.35x</w:t>
            </w:r>
          </w:p>
        </w:tc>
        <w:tc>
          <w:tcPr>
            <w:tcW w:type="dxa" w:w="365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7.8–12.5x (trailing)</w:t>
            </w:r>
          </w:p>
        </w:tc>
      </w:tr>
      <w:tr>
        <w:trPr>
          <w:cantSplit/>
        </w:trPr>
        <w:tc>
          <w:tcPr>
            <w:tcW w:type="dxa" w:w="3002"/>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P/B</w:t>
            </w:r>
          </w:p>
        </w:tc>
        <w:tc>
          <w:tcPr>
            <w:tcW w:type="dxa" w:w="1450"/>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6"/>
                <w:szCs w:val="16"/>
              </w:rPr>
              <w:t xml:space="preserve">1.10x</w:t>
            </w:r>
          </w:p>
        </w:tc>
        <w:tc>
          <w:tcPr>
            <w:tcW w:type="dxa" w:w="1638"/>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6"/>
                <w:szCs w:val="16"/>
              </w:rPr>
              <w:t xml:space="preserve">1.25x</w:t>
            </w:r>
          </w:p>
        </w:tc>
        <w:tc>
          <w:tcPr>
            <w:tcW w:type="dxa" w:w="3656"/>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0.75–1.25x</w:t>
            </w:r>
          </w:p>
        </w:tc>
      </w:tr>
      <w:tr>
        <w:trPr>
          <w:cantSplit/>
        </w:trPr>
        <w:tc>
          <w:tcPr>
            <w:tcW w:type="dxa" w:w="3002"/>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P/NAV (after-tax)</w:t>
            </w:r>
          </w:p>
        </w:tc>
        <w:tc>
          <w:tcPr>
            <w:tcW w:type="dxa" w:w="1450"/>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6"/>
                <w:szCs w:val="16"/>
              </w:rPr>
              <w:t xml:space="preserve">0.65x</w:t>
            </w:r>
          </w:p>
        </w:tc>
        <w:tc>
          <w:tcPr>
            <w:tcW w:type="dxa" w:w="1638"/>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6"/>
                <w:szCs w:val="16"/>
              </w:rPr>
              <w:t xml:space="preserve">≈0.47–0.64x (big three)</w:t>
            </w:r>
          </w:p>
        </w:tc>
        <w:tc>
          <w:tcPr>
            <w:tcW w:type="dxa" w:w="365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0.41–0.73x</w:t>
            </w:r>
          </w:p>
        </w:tc>
      </w:tr>
      <w:tr>
        <w:trPr>
          <w:cantSplit/>
        </w:trPr>
        <w:tc>
          <w:tcPr>
            <w:tcW w:type="dxa" w:w="3002"/>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EV/Sales (FY2025)</w:t>
            </w:r>
          </w:p>
        </w:tc>
        <w:tc>
          <w:tcPr>
            <w:tcW w:type="dxa" w:w="1450"/>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6"/>
                <w:szCs w:val="16"/>
              </w:rPr>
              <w:t xml:space="preserve">4.47x</w:t>
            </w:r>
          </w:p>
        </w:tc>
        <w:tc>
          <w:tcPr>
            <w:tcW w:type="dxa" w:w="1638"/>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6"/>
                <w:szCs w:val="16"/>
              </w:rPr>
              <w:t xml:space="preserve">4.52x</w:t>
            </w:r>
          </w:p>
        </w:tc>
        <w:tc>
          <w:tcPr>
            <w:tcW w:type="dxa" w:w="3656"/>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3.53–4.09x</w:t>
            </w:r>
          </w:p>
        </w:tc>
      </w:tr>
      <w:tr>
        <w:trPr>
          <w:cantSplit/>
        </w:trPr>
        <w:tc>
          <w:tcPr>
            <w:tcW w:type="dxa" w:w="3002"/>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EV/EBITDA (FY2025)</w:t>
            </w:r>
          </w:p>
        </w:tc>
        <w:tc>
          <w:tcPr>
            <w:tcW w:type="dxa" w:w="1450"/>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6"/>
                <w:szCs w:val="16"/>
              </w:rPr>
              <w:t xml:space="preserve">17.7x</w:t>
            </w:r>
          </w:p>
        </w:tc>
        <w:tc>
          <w:tcPr>
            <w:tcW w:type="dxa" w:w="1638"/>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6"/>
                <w:szCs w:val="16"/>
              </w:rPr>
              <w:t xml:space="preserve">17.0x</w:t>
            </w:r>
          </w:p>
        </w:tc>
        <w:tc>
          <w:tcPr>
            <w:tcW w:type="dxa" w:w="365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15.1–16.2x</w:t>
            </w:r>
          </w:p>
        </w:tc>
      </w:tr>
      <w:tr>
        <w:trPr>
          <w:cantSplit/>
        </w:trPr>
        <w:tc>
          <w:tcPr>
            <w:tcW w:type="dxa" w:w="3002"/>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EV/EBIT (FY2025)</w:t>
            </w:r>
          </w:p>
        </w:tc>
        <w:tc>
          <w:tcPr>
            <w:tcW w:type="dxa" w:w="1450"/>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6"/>
                <w:szCs w:val="16"/>
              </w:rPr>
              <w:t xml:space="preserve">22.2x</w:t>
            </w:r>
          </w:p>
        </w:tc>
        <w:tc>
          <w:tcPr>
            <w:tcW w:type="dxa" w:w="1638"/>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6"/>
                <w:szCs w:val="16"/>
              </w:rPr>
              <w:t xml:space="preserve">22.0x</w:t>
            </w:r>
          </w:p>
        </w:tc>
        <w:tc>
          <w:tcPr>
            <w:tcW w:type="dxa" w:w="3656"/>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19.4–21.3x</w:t>
            </w:r>
          </w:p>
        </w:tc>
      </w:tr>
      <w:tr>
        <w:trPr>
          <w:cantSplit/>
        </w:trPr>
        <w:tc>
          <w:tcPr>
            <w:tcW w:type="dxa" w:w="3002"/>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Net debt / EBITDA</w:t>
            </w:r>
          </w:p>
        </w:tc>
        <w:tc>
          <w:tcPr>
            <w:tcW w:type="dxa" w:w="1450"/>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6"/>
                <w:szCs w:val="16"/>
              </w:rPr>
              <w:t xml:space="preserve">12.0x</w:t>
            </w:r>
          </w:p>
        </w:tc>
        <w:tc>
          <w:tcPr>
            <w:tcW w:type="dxa" w:w="1638"/>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6"/>
                <w:szCs w:val="16"/>
              </w:rPr>
              <w:t xml:space="preserve">9.2x</w:t>
            </w:r>
          </w:p>
        </w:tc>
        <w:tc>
          <w:tcPr>
            <w:tcW w:type="dxa" w:w="365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9.9–11.5x</w:t>
            </w:r>
          </w:p>
        </w:tc>
      </w:tr>
      <w:tr>
        <w:trPr>
          <w:cantSplit/>
        </w:trPr>
        <w:tc>
          <w:tcPr>
            <w:tcW w:type="dxa" w:w="3002"/>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Dividend yield</w:t>
            </w:r>
          </w:p>
        </w:tc>
        <w:tc>
          <w:tcPr>
            <w:tcW w:type="dxa" w:w="1450"/>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6"/>
                <w:szCs w:val="16"/>
              </w:rPr>
              <w:t xml:space="preserve">3.9%</w:t>
            </w:r>
          </w:p>
        </w:tc>
        <w:tc>
          <w:tcPr>
            <w:tcW w:type="dxa" w:w="1638"/>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6"/>
                <w:szCs w:val="16"/>
              </w:rPr>
              <w:t xml:space="preserve">3.25%</w:t>
            </w:r>
          </w:p>
        </w:tc>
        <w:tc>
          <w:tcPr>
            <w:tcW w:type="dxa" w:w="3656"/>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2.96–4.07%</w:t>
            </w:r>
          </w:p>
        </w:tc>
      </w:tr>
      <w:tr>
        <w:trPr>
          <w:cantSplit/>
        </w:trPr>
        <w:tc>
          <w:tcPr>
            <w:tcW w:type="dxa" w:w="3002"/>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ROE</w:t>
            </w:r>
          </w:p>
        </w:tc>
        <w:tc>
          <w:tcPr>
            <w:tcW w:type="dxa" w:w="1450"/>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6"/>
                <w:szCs w:val="16"/>
              </w:rPr>
              <w:t xml:space="preserve">10.5% (FY2025)</w:t>
            </w:r>
          </w:p>
        </w:tc>
        <w:tc>
          <w:tcPr>
            <w:tcW w:type="dxa" w:w="1638"/>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6"/>
                <w:szCs w:val="16"/>
              </w:rPr>
              <w:t xml:space="preserve">9.1%</w:t>
            </w:r>
          </w:p>
        </w:tc>
        <w:tc>
          <w:tcPr>
            <w:tcW w:type="dxa" w:w="365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8.4–12.8%</w:t>
            </w:r>
          </w:p>
        </w:tc>
      </w:tr>
    </w:tbl>
    <w:p>
      <w:pPr>
        <w:spacing w:after="120" w:before="0" w:line="276" w:lineRule="auto"/>
      </w:pPr>
    </w:p>
    <w:p>
      <w:pPr>
        <w:spacing w:after="110" w:before="0" w:line="276" w:lineRule="auto"/>
      </w:pPr>
      <w:r>
        <w:rPr>
          <w:rFonts w:ascii="Arial" w:cs="Arial" w:eastAsia="Yu Gothic" w:hAnsi="Arial"/>
          <w:color w:val="1F2533"/>
          <w:sz w:val="19"/>
          <w:szCs w:val="19"/>
        </w:rPr>
        <w:t xml:space="preserve">How the tables were built:</w:t>
      </w:r>
    </w:p>
    <w:p>
      <w:pPr>
        <w:pStyle w:val="ListParagraph"/>
        <w:numPr>
          <w:ilvl w:val="0"/>
          <w:numId w:val="2"/>
        </w:numPr>
        <w:spacing w:after="60" w:line="264" w:lineRule="auto"/>
      </w:pPr>
      <w:r>
        <w:rPr>
          <w:rFonts w:ascii="Arial" w:cs="Arial" w:eastAsia="Yu Gothic" w:hAnsi="Arial"/>
          <w:color w:val="1F2533"/>
          <w:sz w:val="19"/>
          <w:szCs w:val="19"/>
        </w:rPr>
        <w:t xml:space="preserve">Peer medians are from our listed-peer dataset (Section 10).</w:t>
      </w:r>
    </w:p>
    <w:p>
      <w:pPr>
        <w:pStyle w:val="ListParagraph"/>
        <w:numPr>
          <w:ilvl w:val="0"/>
          <w:numId w:val="2"/>
        </w:numPr>
        <w:spacing w:after="60" w:line="264" w:lineRule="auto"/>
      </w:pPr>
      <w:r>
        <w:rPr>
          <w:rFonts w:ascii="Arial" w:cs="Arial" w:eastAsia="Yu Gothic" w:hAnsi="Arial"/>
          <w:color w:val="1F2533"/>
          <w:sz w:val="19"/>
          <w:szCs w:val="19"/>
        </w:rPr>
        <w:t xml:space="preserve">Own-history figures are derived from year-end prices, coordinator balance-sheet data and reported earnings.</w:t>
      </w:r>
    </w:p>
    <w:p>
      <w:pPr>
        <w:pStyle w:val="ListParagraph"/>
        <w:numPr>
          <w:ilvl w:val="0"/>
          <w:numId w:val="2"/>
        </w:numPr>
        <w:spacing w:after="60" w:line="264" w:lineRule="auto"/>
      </w:pPr>
      <w:r>
        <w:rPr>
          <w:rFonts w:ascii="Arial" w:cs="Arial" w:eastAsia="Yu Gothic" w:hAnsi="Arial"/>
          <w:color w:val="1F2533"/>
          <w:sz w:val="19"/>
          <w:szCs w:val="19"/>
        </w:rPr>
        <w:t xml:space="preserve">Tokyo Tatemono's EV uses the 30 Jun 2026 balance sheet, its seasonal debt peak. On the 31 Dec 2025 balance sheet, EV/EBITDA would be 15.6x.</w:t>
      </w:r>
    </w:p>
    <w:p>
      <w:pPr>
        <w:spacing w:after="40" w:before="0" w:line="276" w:lineRule="auto"/>
      </w:pPr>
    </w:p>
    <w:p>
      <w:pPr>
        <w:pStyle w:val="Heading2"/>
        <w:keepNext/>
        <w:keepLines/>
        <w:spacing w:after="90" w:before="260" w:line="252" w:lineRule="auto"/>
      </w:pPr>
      <w:r>
        <w:rPr>
          <w:rFonts w:ascii="Arial" w:cs="Arial" w:eastAsia="Yu Gothic" w:hAnsi="Arial"/>
          <w:b/>
          <w:bCs/>
          <w:color w:val="15233F"/>
          <w:sz w:val="25"/>
          <w:szCs w:val="25"/>
        </w:rPr>
        <w:t xml:space="preserve">Why now</w:t>
      </w:r>
    </w:p>
    <w:p>
      <w:pPr>
        <w:spacing w:after="110" w:before="0" w:line="276" w:lineRule="auto"/>
      </w:pPr>
      <w:r>
        <w:rPr>
          <w:rFonts w:ascii="Arial" w:cs="Arial" w:eastAsia="Yu Gothic" w:hAnsi="Arial"/>
          <w:color w:val="1F2533"/>
          <w:sz w:val="19"/>
          <w:szCs w:val="19"/>
        </w:rPr>
        <w:t xml:space="preserve">The stock is at a decision point rather than an entry point.</w:t>
      </w:r>
    </w:p>
    <w:p>
      <w:pPr>
        <w:spacing w:after="110" w:before="0" w:line="276" w:lineRule="auto"/>
      </w:pPr>
      <w:r>
        <w:rPr>
          <w:rFonts w:ascii="Arial" w:cs="Arial" w:eastAsia="Yu Gothic" w:hAnsi="Arial"/>
          <w:b/>
          <w:bCs/>
          <w:color w:val="1F2533"/>
          <w:sz w:val="19"/>
          <w:szCs w:val="19"/>
        </w:rPr>
        <w:t xml:space="preserve">The de-rating.</w:t>
      </w:r>
      <w:r>
        <w:rPr>
          <w:rFonts w:ascii="Arial" w:cs="Arial" w:eastAsia="Yu Gothic" w:hAnsi="Arial"/>
          <w:color w:val="1F2533"/>
          <w:sz w:val="19"/>
          <w:szCs w:val="19"/>
        </w:rPr>
        <w:t xml:space="preserve"> The shares have fallen 26.6% from the February 2026 all-time high, while earnings guidance went up. The fall was a sector de-rating driven by interest rates, not a company-specific problem: Mitsubishi Estate, Mitsui Fudosan and Sumitomo Realty fell 34–42% from their peaks (</w:t>
      </w:r>
      <w:hyperlink w:history="1" r:id="rIdycotgrfojymx06bb_mp_e">
        <w:r>
          <w:rPr>
            <w:rFonts w:ascii="Arial" w:cs="Arial" w:eastAsia="Yu Gothic" w:hAnsi="Arial"/>
            <w:color w:val="2F6FD0"/>
            <w:sz w:val="19"/>
            <w:szCs w:val="19"/>
            <w:u w:val="single"/>
          </w:rPr>
          <w:t xml:space="preserve">kabu.tagu-blog</w:t>
        </w:r>
      </w:hyperlink>
      <w:r>
        <w:rPr>
          <w:rFonts w:ascii="Arial" w:cs="Arial" w:eastAsia="Yu Gothic" w:hAnsi="Arial"/>
          <w:color w:val="1F2533"/>
          <w:sz w:val="19"/>
          <w:szCs w:val="19"/>
        </w:rPr>
        <w:t xml:space="preserve">).</w:t>
      </w:r>
    </w:p>
    <w:p>
      <w:pPr>
        <w:spacing w:after="110" w:before="0" w:line="276" w:lineRule="auto"/>
      </w:pPr>
      <w:r>
        <w:rPr>
          <w:rFonts w:ascii="Arial" w:cs="Arial" w:eastAsia="Yu Gothic" w:hAnsi="Arial"/>
          <w:b/>
          <w:bCs/>
          <w:color w:val="1F2533"/>
          <w:sz w:val="19"/>
          <w:szCs w:val="19"/>
        </w:rPr>
        <w:t xml:space="preserve">Three near-term tests.</w:t>
      </w:r>
    </w:p>
    <w:p>
      <w:pPr>
        <w:pStyle w:val="ListParagraph"/>
        <w:numPr>
          <w:ilvl w:val="0"/>
          <w:numId w:val="3"/>
        </w:numPr>
        <w:spacing w:after="60" w:line="264" w:lineRule="auto"/>
      </w:pPr>
      <w:r>
        <w:rPr>
          <w:rFonts w:ascii="Arial" w:cs="Arial" w:eastAsia="Yu Gothic" w:hAnsi="Arial"/>
          <w:b/>
          <w:bCs/>
          <w:color w:val="1F2533"/>
          <w:sz w:val="19"/>
          <w:szCs w:val="19"/>
        </w:rPr>
        <w:t xml:space="preserve">Second-half delivery.</w:t>
      </w:r>
      <w:r>
        <w:rPr>
          <w:rFonts w:ascii="Arial" w:cs="Arial" w:eastAsia="Yu Gothic" w:hAnsi="Arial"/>
          <w:color w:val="1F2533"/>
          <w:sz w:val="19"/>
          <w:szCs w:val="19"/>
        </w:rPr>
        <w:t xml:space="preserve"> 62% of FY2026 operating-profit guidance falls in the second half. It depends on what management calls property sales "among the largest seen in Tokyo Tatemono's history", focused on hotels (</w:t>
      </w:r>
      <w:hyperlink w:history="1" r:id="rIdqnfcbr7p4mqgy76rlgyrt">
        <w:r>
          <w:rPr>
            <w:rFonts w:ascii="Arial" w:cs="Arial" w:eastAsia="Yu Gothic" w:hAnsi="Arial"/>
            <w:color w:val="2F6FD0"/>
            <w:sz w:val="19"/>
            <w:szCs w:val="19"/>
            <w:u w:val="single"/>
          </w:rPr>
          <w:t xml:space="preserve">FY2025 presentation</w:t>
        </w:r>
      </w:hyperlink>
      <w:r>
        <w:rPr>
          <w:rFonts w:ascii="Arial" w:cs="Arial" w:eastAsia="Yu Gothic" w:hAnsi="Arial"/>
          <w:color w:val="1F2533"/>
          <w:sz w:val="19"/>
          <w:szCs w:val="19"/>
        </w:rPr>
        <w:t xml:space="preserve">). The Q3 release (expected mid-November 2026) and the FY2026 results (expected mid-February 2027) will show whether those sales closed.</w:t>
      </w:r>
    </w:p>
    <w:p>
      <w:pPr>
        <w:pStyle w:val="ListParagraph"/>
        <w:numPr>
          <w:ilvl w:val="0"/>
          <w:numId w:val="3"/>
        </w:numPr>
        <w:spacing w:after="60" w:line="264" w:lineRule="auto"/>
      </w:pPr>
      <w:r>
        <w:rPr>
          <w:rFonts w:ascii="Arial" w:cs="Arial" w:eastAsia="Yu Gothic" w:hAnsi="Arial"/>
          <w:b/>
          <w:bCs/>
          <w:color w:val="1F2533"/>
          <w:sz w:val="19"/>
          <w:szCs w:val="19"/>
        </w:rPr>
        <w:t xml:space="preserve">Rates.</w:t>
      </w:r>
      <w:r>
        <w:rPr>
          <w:rFonts w:ascii="Arial" w:cs="Arial" w:eastAsia="Yu Gothic" w:hAnsi="Arial"/>
          <w:color w:val="1F2533"/>
          <w:sz w:val="19"/>
          <w:szCs w:val="19"/>
        </w:rPr>
        <w:t xml:space="preserve"> The BOJ raised rates to 1.25% on 18 September. The shares then broke the rising-low pattern they had held since May.</w:t>
      </w:r>
    </w:p>
    <w:p>
      <w:pPr>
        <w:pStyle w:val="ListParagraph"/>
        <w:numPr>
          <w:ilvl w:val="0"/>
          <w:numId w:val="3"/>
        </w:numPr>
        <w:spacing w:after="60" w:line="264" w:lineRule="auto"/>
      </w:pPr>
      <w:r>
        <w:rPr>
          <w:rFonts w:ascii="Arial" w:cs="Arial" w:eastAsia="Yu Gothic" w:hAnsi="Arial"/>
          <w:b/>
          <w:bCs/>
          <w:color w:val="1F2533"/>
          <w:sz w:val="19"/>
          <w:szCs w:val="19"/>
        </w:rPr>
        <w:t xml:space="preserve">Capital policy.</w:t>
      </w:r>
      <w:r>
        <w:rPr>
          <w:rFonts w:ascii="Arial" w:cs="Arial" w:eastAsia="Yu Gothic" w:hAnsi="Arial"/>
          <w:color w:val="1F2533"/>
          <w:sz w:val="19"/>
          <w:szCs w:val="19"/>
        </w:rPr>
        <w:t xml:space="preserve"> The FY2025–27 plan's targets have already been met. The February 2027 results are therefore the natural moment for a new capital policy, which could include buybacks and an ROE target above 10%.</w:t>
      </w:r>
    </w:p>
    <w:p>
      <w:pPr>
        <w:spacing w:after="40" w:before="0" w:line="276" w:lineRule="auto"/>
      </w:pPr>
    </w:p>
    <w:p>
      <w:pPr>
        <w:spacing w:after="110" w:before="0" w:line="276" w:lineRule="auto"/>
      </w:pPr>
      <w:r>
        <w:rPr>
          <w:rFonts w:ascii="Arial" w:cs="Arial" w:eastAsia="Yu Gothic" w:hAnsi="Arial"/>
          <w:color w:val="1F2533"/>
          <w:sz w:val="19"/>
          <w:szCs w:val="19"/>
        </w:rPr>
        <w:t xml:space="preserve">That is a catalyst worth owning only at a lower price or with better visibility. Hence </w:t>
      </w:r>
      <w:r>
        <w:rPr>
          <w:rFonts w:ascii="Arial" w:cs="Arial" w:eastAsia="Yu Gothic" w:hAnsi="Arial"/>
          <w:b/>
          <w:bCs/>
          <w:color w:val="1F2533"/>
          <w:sz w:val="19"/>
          <w:szCs w:val="19"/>
        </w:rPr>
        <w:t xml:space="preserve">Hold</w:t>
      </w:r>
      <w:r>
        <w:rPr>
          <w:rFonts w:ascii="Arial" w:cs="Arial" w:eastAsia="Yu Gothic" w:hAnsi="Arial"/>
          <w:color w:val="1F2533"/>
          <w:sz w:val="19"/>
          <w:szCs w:val="19"/>
        </w:rPr>
        <w:t xml:space="preserve">, with explicit upgrade triggers.</w:t>
      </w:r>
    </w:p>
    <w:p>
      <w:pPr>
        <w:pStyle w:val="Heading2"/>
        <w:keepNext/>
        <w:keepLines/>
        <w:spacing w:after="90" w:before="260" w:line="252" w:lineRule="auto"/>
      </w:pPr>
      <w:r>
        <w:rPr>
          <w:rFonts w:ascii="Arial" w:cs="Arial" w:eastAsia="Yu Gothic" w:hAnsi="Arial"/>
          <w:b/>
          <w:bCs/>
          <w:color w:val="15233F"/>
          <w:sz w:val="25"/>
          <w:szCs w:val="25"/>
        </w:rPr>
        <w:t xml:space="preserve">What has to go right</w:t>
      </w:r>
    </w:p>
    <w:p>
      <w:pPr>
        <w:pStyle w:val="ListParagraph"/>
        <w:numPr>
          <w:ilvl w:val="0"/>
          <w:numId w:val="2"/>
        </w:numPr>
        <w:spacing w:after="60" w:line="264" w:lineRule="auto"/>
      </w:pPr>
      <w:r>
        <w:rPr>
          <w:rFonts w:ascii="Arial" w:cs="Arial" w:eastAsia="Yu Gothic" w:hAnsi="Arial"/>
          <w:b/>
          <w:bCs/>
          <w:color w:val="1F2533"/>
          <w:sz w:val="19"/>
          <w:szCs w:val="19"/>
        </w:rPr>
        <w:t xml:space="preserve">Second-half FY2026 operating profit of about ¥65.7bn</w:t>
      </w:r>
      <w:r>
        <w:rPr>
          <w:rFonts w:ascii="Arial" w:cs="Arial" w:eastAsia="Yu Gothic" w:hAnsi="Arial"/>
          <w:color w:val="1F2533"/>
          <w:sz w:val="19"/>
          <w:szCs w:val="19"/>
        </w:rPr>
        <w:t xml:space="preserve">, which revised guidance implies. That is +6.4% on 2H FY2025 and requires the record hotel-led sale programme to close at margin.</w:t>
      </w:r>
    </w:p>
    <w:p>
      <w:pPr>
        <w:pStyle w:val="ListParagraph"/>
        <w:numPr>
          <w:ilvl w:val="0"/>
          <w:numId w:val="2"/>
        </w:numPr>
        <w:spacing w:after="60" w:line="264" w:lineRule="auto"/>
      </w:pPr>
      <w:r>
        <w:rPr>
          <w:rFonts w:ascii="Arial" w:cs="Arial" w:eastAsia="Yu Gothic" w:hAnsi="Arial"/>
          <w:b/>
          <w:bCs/>
          <w:color w:val="1F2533"/>
          <w:sz w:val="19"/>
          <w:szCs w:val="19"/>
        </w:rPr>
        <w:t xml:space="preserve">A stable bid for property.</w:t>
      </w:r>
      <w:r>
        <w:rPr>
          <w:rFonts w:ascii="Arial" w:cs="Arial" w:eastAsia="Yu Gothic" w:hAnsi="Arial"/>
          <w:color w:val="1F2533"/>
          <w:sz w:val="19"/>
          <w:szCs w:val="19"/>
        </w:rPr>
        <w:t xml:space="preserve"> The 10-year JGB needs to stay below roughly 3% and prime cap rates near 3.2%, so that J-REIT and private-capital buyers keep bidding. The current spread over government bonds is the thinnest in decades.</w:t>
      </w:r>
    </w:p>
    <w:p>
      <w:pPr>
        <w:pStyle w:val="ListParagraph"/>
        <w:numPr>
          <w:ilvl w:val="0"/>
          <w:numId w:val="2"/>
        </w:numPr>
        <w:spacing w:after="60" w:line="264" w:lineRule="auto"/>
      </w:pPr>
      <w:r>
        <w:rPr>
          <w:rFonts w:ascii="Arial" w:cs="Arial" w:eastAsia="Yu Gothic" w:hAnsi="Arial"/>
          <w:b/>
          <w:bCs/>
          <w:color w:val="1F2533"/>
          <w:sz w:val="19"/>
          <w:szCs w:val="19"/>
        </w:rPr>
        <w:t xml:space="preserve">Continued office rent growth.</w:t>
      </w:r>
      <w:r>
        <w:rPr>
          <w:rFonts w:ascii="Arial" w:cs="Arial" w:eastAsia="Yu Gothic" w:hAnsi="Arial"/>
          <w:color w:val="1F2533"/>
          <w:sz w:val="19"/>
          <w:szCs w:val="19"/>
        </w:rPr>
        <w:t xml:space="preserve"> Central-5-ward vacancy is 1.87% and rents are up 12.5% year on year (</w:t>
      </w:r>
      <w:hyperlink w:history="1" r:id="rIdjptncqgetbonqouubde2r">
        <w:r>
          <w:rPr>
            <w:rFonts w:ascii="Arial" w:cs="Arial" w:eastAsia="Yu Gothic" w:hAnsi="Arial"/>
            <w:color w:val="2F6FD0"/>
            <w:sz w:val="19"/>
            <w:szCs w:val="19"/>
            <w:u w:val="single"/>
          </w:rPr>
          <w:t xml:space="preserve">Miki Shoji</w:t>
        </w:r>
      </w:hyperlink>
      <w:r>
        <w:rPr>
          <w:rFonts w:ascii="Arial" w:cs="Arial" w:eastAsia="Yu Gothic" w:hAnsi="Arial"/>
          <w:color w:val="1F2533"/>
          <w:sz w:val="19"/>
          <w:szCs w:val="19"/>
        </w:rPr>
        <w:t xml:space="preserve">). Tokyo Tatemono needs rent reversion to keep outrunning refinancing costs.</w:t>
      </w:r>
    </w:p>
    <w:p>
      <w:pPr>
        <w:pStyle w:val="ListParagraph"/>
        <w:numPr>
          <w:ilvl w:val="0"/>
          <w:numId w:val="2"/>
        </w:numPr>
        <w:spacing w:after="60" w:line="264" w:lineRule="auto"/>
      </w:pPr>
      <w:r>
        <w:rPr>
          <w:rFonts w:ascii="Arial" w:cs="Arial" w:eastAsia="Yu Gothic" w:hAnsi="Arial"/>
          <w:b/>
          <w:bCs/>
          <w:color w:val="1F2533"/>
          <w:sz w:val="19"/>
          <w:szCs w:val="19"/>
        </w:rPr>
        <w:t xml:space="preserve">A condo recovery in 2H FY2026.</w:t>
      </w:r>
      <w:r>
        <w:rPr>
          <w:rFonts w:ascii="Arial" w:cs="Arial" w:eastAsia="Yu Gothic" w:hAnsi="Arial"/>
          <w:color w:val="1F2533"/>
          <w:sz w:val="19"/>
          <w:szCs w:val="19"/>
        </w:rPr>
        <w:t xml:space="preserve"> Only 270 units were handed over in 1H, against 969 a year earlier.</w:t>
      </w:r>
    </w:p>
    <w:p>
      <w:pPr>
        <w:pStyle w:val="ListParagraph"/>
        <w:numPr>
          <w:ilvl w:val="0"/>
          <w:numId w:val="2"/>
        </w:numPr>
        <w:spacing w:after="60" w:line="264" w:lineRule="auto"/>
      </w:pPr>
      <w:r>
        <w:rPr>
          <w:rFonts w:ascii="Arial" w:cs="Arial" w:eastAsia="Yu Gothic" w:hAnsi="Arial"/>
          <w:b/>
          <w:bCs/>
          <w:color w:val="1F2533"/>
          <w:sz w:val="19"/>
          <w:szCs w:val="19"/>
        </w:rPr>
        <w:t xml:space="preserve">Debt back towards the guide.</w:t>
      </w:r>
      <w:r>
        <w:rPr>
          <w:rFonts w:ascii="Arial" w:cs="Arial" w:eastAsia="Yu Gothic" w:hAnsi="Arial"/>
          <w:color w:val="1F2533"/>
          <w:sz w:val="19"/>
          <w:szCs w:val="19"/>
        </w:rPr>
        <w:t xml:space="preserve"> Interest-bearing debt/equity was about 2.53x at June. It needs to return towards the ≈2.4x guide by December as sale proceeds arrive.</w:t>
      </w:r>
    </w:p>
    <w:p>
      <w:pPr>
        <w:spacing w:after="40" w:before="0" w:line="276" w:lineRule="auto"/>
      </w:pPr>
    </w:p>
    <w:p>
      <w:pPr>
        <w:pStyle w:val="Heading2"/>
        <w:keepNext/>
        <w:keepLines/>
        <w:spacing w:after="90" w:before="260" w:line="252" w:lineRule="auto"/>
      </w:pPr>
      <w:r>
        <w:rPr>
          <w:rFonts w:ascii="Arial" w:cs="Arial" w:eastAsia="Yu Gothic" w:hAnsi="Arial"/>
          <w:b/>
          <w:bCs/>
          <w:color w:val="15233F"/>
          <w:sz w:val="25"/>
          <w:szCs w:val="25"/>
        </w:rPr>
        <w:t xml:space="preserve">Scenario summary</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14"/>
        <w:gridCol w:w="1197"/>
        <w:gridCol w:w="841"/>
        <w:gridCol w:w="2653"/>
        <w:gridCol w:w="687"/>
        <w:gridCol w:w="754"/>
      </w:tblGrid>
      <w:tr>
        <w:trPr>
          <w:cantSplit/>
          <w:tblHeader/>
        </w:trPr>
        <w:tc>
          <w:tcPr>
            <w:tcW w:type="dxa" w:w="3614"/>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bCs/>
                <w:color w:val="FFFFFF"/>
                <w:sz w:val="15"/>
                <w:szCs w:val="15"/>
              </w:rPr>
              <w:t xml:space="preserve">Scenario</w:t>
            </w:r>
          </w:p>
        </w:tc>
        <w:tc>
          <w:tcPr>
            <w:tcW w:type="dxa" w:w="1197"/>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5"/>
                <w:szCs w:val="15"/>
              </w:rPr>
              <w:t xml:space="preserve">Probability</w:t>
            </w:r>
          </w:p>
        </w:tc>
        <w:tc>
          <w:tcPr>
            <w:tcW w:type="dxa" w:w="841"/>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5"/>
                <w:szCs w:val="15"/>
              </w:rPr>
              <w:t xml:space="preserve">FY2027E EPS</w:t>
            </w:r>
          </w:p>
        </w:tc>
        <w:tc>
          <w:tcPr>
            <w:tcW w:type="dxa" w:w="2653"/>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5"/>
                <w:szCs w:val="15"/>
              </w:rPr>
              <w:t xml:space="preserve">Valuation basis</w:t>
            </w:r>
          </w:p>
        </w:tc>
        <w:tc>
          <w:tcPr>
            <w:tcW w:type="dxa" w:w="687"/>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5"/>
                <w:szCs w:val="15"/>
              </w:rPr>
              <w:t xml:space="preserve">Value</w:t>
            </w:r>
          </w:p>
        </w:tc>
        <w:tc>
          <w:tcPr>
            <w:tcW w:type="dxa" w:w="754"/>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5"/>
                <w:szCs w:val="15"/>
              </w:rPr>
              <w:t xml:space="preserve">vs ¥3,211</w:t>
            </w:r>
          </w:p>
        </w:tc>
      </w:tr>
      <w:tr>
        <w:trPr>
          <w:cantSplit/>
        </w:trPr>
        <w:tc>
          <w:tcPr>
            <w:tcW w:type="dxa" w:w="3614"/>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5"/>
                <w:szCs w:val="15"/>
              </w:rPr>
              <w:t xml:space="preserve">Bear: exit channel stalls, cap rates +50bp</w:t>
            </w:r>
          </w:p>
        </w:tc>
        <w:tc>
          <w:tcPr>
            <w:tcW w:type="dxa" w:w="1197"/>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5"/>
                <w:szCs w:val="15"/>
              </w:rPr>
              <w:t xml:space="preserve">25%</w:t>
            </w:r>
          </w:p>
        </w:tc>
        <w:tc>
          <w:tcPr>
            <w:tcW w:type="dxa" w:w="841"/>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5"/>
                <w:szCs w:val="15"/>
              </w:rPr>
              <w:t xml:space="preserve">¥280</w:t>
            </w:r>
          </w:p>
        </w:tc>
        <w:tc>
          <w:tcPr>
            <w:tcW w:type="dxa" w:w="2653"/>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8.0x EPS; 0.5x stressed NAV</w:t>
            </w:r>
          </w:p>
        </w:tc>
        <w:tc>
          <w:tcPr>
            <w:tcW w:type="dxa" w:w="687"/>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5"/>
                <w:szCs w:val="15"/>
              </w:rPr>
              <w:t xml:space="preserve">¥2,300</w:t>
            </w:r>
          </w:p>
        </w:tc>
        <w:tc>
          <w:tcPr>
            <w:tcW w:type="dxa" w:w="754"/>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5"/>
                <w:szCs w:val="15"/>
              </w:rPr>
              <w:t xml:space="preserve">−28%</w:t>
            </w:r>
          </w:p>
        </w:tc>
      </w:tr>
      <w:tr>
        <w:trPr>
          <w:cantSplit/>
        </w:trPr>
        <w:tc>
          <w:tcPr>
            <w:tcW w:type="dxa" w:w="3614"/>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5"/>
                <w:szCs w:val="15"/>
              </w:rPr>
              <w:t xml:space="preserve">Base: guidance met, sale gains normalise, financing costs rise</w:t>
            </w:r>
          </w:p>
        </w:tc>
        <w:tc>
          <w:tcPr>
            <w:tcW w:type="dxa" w:w="1197"/>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5"/>
                <w:szCs w:val="15"/>
              </w:rPr>
              <w:t xml:space="preserve">50%</w:t>
            </w:r>
          </w:p>
        </w:tc>
        <w:tc>
          <w:tcPr>
            <w:tcW w:type="dxa" w:w="841"/>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5"/>
                <w:szCs w:val="15"/>
              </w:rPr>
              <w:t xml:space="preserve">¥323</w:t>
            </w:r>
          </w:p>
        </w:tc>
        <w:tc>
          <w:tcPr>
            <w:tcW w:type="dxa" w:w="2653"/>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10.5x EPS; 0.65x roll-forward NAV; 1.10x roll-forward book</w:t>
            </w:r>
          </w:p>
        </w:tc>
        <w:tc>
          <w:tcPr>
            <w:tcW w:type="dxa" w:w="687"/>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5"/>
                <w:szCs w:val="15"/>
              </w:rPr>
              <w:t xml:space="preserve">¥3,450</w:t>
            </w:r>
          </w:p>
        </w:tc>
        <w:tc>
          <w:tcPr>
            <w:tcW w:type="dxa" w:w="754"/>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5"/>
                <w:szCs w:val="15"/>
              </w:rPr>
              <w:t xml:space="preserve">+7%</w:t>
            </w:r>
          </w:p>
        </w:tc>
      </w:tr>
      <w:tr>
        <w:trPr>
          <w:cantSplit/>
        </w:trPr>
        <w:tc>
          <w:tcPr>
            <w:tcW w:type="dxa" w:w="3614"/>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5"/>
                <w:szCs w:val="15"/>
              </w:rPr>
              <w:t xml:space="preserve">Bull: rent reversion plus sustained sale gains, discount narrows</w:t>
            </w:r>
          </w:p>
        </w:tc>
        <w:tc>
          <w:tcPr>
            <w:tcW w:type="dxa" w:w="1197"/>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5"/>
                <w:szCs w:val="15"/>
              </w:rPr>
              <w:t xml:space="preserve">25%</w:t>
            </w:r>
          </w:p>
        </w:tc>
        <w:tc>
          <w:tcPr>
            <w:tcW w:type="dxa" w:w="841"/>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5"/>
                <w:szCs w:val="15"/>
              </w:rPr>
              <w:t xml:space="preserve">¥347</w:t>
            </w:r>
          </w:p>
        </w:tc>
        <w:tc>
          <w:tcPr>
            <w:tcW w:type="dxa" w:w="2653"/>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12.5x EPS; 0.85x NAV</w:t>
            </w:r>
          </w:p>
        </w:tc>
        <w:tc>
          <w:tcPr>
            <w:tcW w:type="dxa" w:w="687"/>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5"/>
                <w:szCs w:val="15"/>
              </w:rPr>
              <w:t xml:space="preserve">¥4,400</w:t>
            </w:r>
          </w:p>
        </w:tc>
        <w:tc>
          <w:tcPr>
            <w:tcW w:type="dxa" w:w="754"/>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5"/>
                <w:szCs w:val="15"/>
              </w:rPr>
              <w:t xml:space="preserve">+37%</w:t>
            </w:r>
          </w:p>
        </w:tc>
      </w:tr>
      <w:tr>
        <w:trPr>
          <w:cantSplit/>
        </w:trPr>
        <w:tc>
          <w:tcPr>
            <w:tcW w:type="dxa" w:w="3614"/>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bCs/>
                <w:color w:val="1F2533"/>
                <w:sz w:val="15"/>
                <w:szCs w:val="15"/>
              </w:rPr>
              <w:t xml:space="preserve">Probability-weighted</w:t>
            </w:r>
          </w:p>
        </w:tc>
        <w:tc>
          <w:tcPr>
            <w:tcW w:type="dxa" w:w="1197"/>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5"/>
                <w:szCs w:val="15"/>
              </w:rPr>
              <w:t xml:space="preserve"/>
            </w:r>
          </w:p>
        </w:tc>
        <w:tc>
          <w:tcPr>
            <w:tcW w:type="dxa" w:w="841"/>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5"/>
                <w:szCs w:val="15"/>
              </w:rPr>
              <w:t xml:space="preserve"/>
            </w:r>
          </w:p>
        </w:tc>
        <w:tc>
          <w:tcPr>
            <w:tcW w:type="dxa" w:w="2653"/>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
            </w:r>
          </w:p>
        </w:tc>
        <w:tc>
          <w:tcPr>
            <w:tcW w:type="dxa" w:w="687"/>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b/>
                <w:bCs/>
                <w:color w:val="1F2533"/>
                <w:sz w:val="15"/>
                <w:szCs w:val="15"/>
              </w:rPr>
              <w:t xml:space="preserve">¥3,400</w:t>
            </w:r>
          </w:p>
        </w:tc>
        <w:tc>
          <w:tcPr>
            <w:tcW w:type="dxa" w:w="754"/>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b/>
                <w:bCs/>
                <w:color w:val="1F2533"/>
                <w:sz w:val="15"/>
                <w:szCs w:val="15"/>
              </w:rPr>
              <w:t xml:space="preserve">+5.9%</w:t>
            </w:r>
          </w:p>
        </w:tc>
      </w:tr>
    </w:tbl>
    <w:p>
      <w:pPr>
        <w:spacing w:after="120" w:before="0" w:line="276" w:lineRule="auto"/>
      </w:pPr>
    </w:p>
    <w:p>
      <w:pPr>
        <w:pStyle w:val="Heading2"/>
        <w:keepNext/>
        <w:keepLines/>
        <w:spacing w:after="90" w:before="260" w:line="252" w:lineRule="auto"/>
      </w:pPr>
      <w:r>
        <w:rPr>
          <w:rFonts w:ascii="Arial" w:cs="Arial" w:eastAsia="Yu Gothic" w:hAnsi="Arial"/>
          <w:b/>
          <w:bCs/>
          <w:color w:val="15233F"/>
          <w:sz w:val="25"/>
          <w:szCs w:val="25"/>
        </w:rPr>
        <w:t xml:space="preserve">Investment-committee checklist</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62"/>
        <w:gridCol w:w="3355"/>
        <w:gridCol w:w="4429"/>
      </w:tblGrid>
      <w:tr>
        <w:trPr>
          <w:cantSplit/>
          <w:tblHeader/>
        </w:trPr>
        <w:tc>
          <w:tcPr>
            <w:tcW w:type="dxa" w:w="1962"/>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bCs/>
                <w:color w:val="FFFFFF"/>
                <w:sz w:val="16"/>
                <w:szCs w:val="16"/>
              </w:rPr>
              <w:t xml:space="preserve">Topic</w:t>
            </w:r>
          </w:p>
        </w:tc>
        <w:tc>
          <w:tcPr>
            <w:tcW w:type="dxa" w:w="3355"/>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6"/>
                <w:szCs w:val="16"/>
              </w:rPr>
              <w:t xml:space="preserve">Verdict</w:t>
            </w:r>
          </w:p>
        </w:tc>
        <w:tc>
          <w:tcPr>
            <w:tcW w:type="dxa" w:w="4429"/>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6"/>
                <w:szCs w:val="16"/>
              </w:rPr>
              <w:t xml:space="preserve">Key evidence</w:t>
            </w:r>
          </w:p>
        </w:tc>
      </w:tr>
      <w:tr>
        <w:trPr>
          <w:cantSplit/>
        </w:trPr>
        <w:tc>
          <w:tcPr>
            <w:tcW w:type="dxa" w:w="1962"/>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Value-trap test</w:t>
            </w:r>
          </w:p>
        </w:tc>
        <w:tc>
          <w:tcPr>
            <w:tcW w:type="dxa" w:w="3355"/>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Not a classic trap; the discount is structural</w:t>
            </w:r>
          </w:p>
        </w:tc>
        <w:tc>
          <w:tcPr>
            <w:tcW w:type="dxa" w:w="4429"/>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EPS compounded 14% a year (FY2021–25) and book value per share about 9% a year, but the NAV discount is a sector-wide, leverage-linked discount</w:t>
            </w:r>
          </w:p>
        </w:tc>
      </w:tr>
      <w:tr>
        <w:trPr>
          <w:cantSplit/>
        </w:trPr>
        <w:tc>
          <w:tcPr>
            <w:tcW w:type="dxa" w:w="1962"/>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DuPont/ROE</w:t>
            </w:r>
          </w:p>
        </w:tc>
        <w:tc>
          <w:tcPr>
            <w:tcW w:type="dxa" w:w="3355"/>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ROE of about 10.5% depends on leverage</w:t>
            </w:r>
          </w:p>
        </w:tc>
        <w:tc>
          <w:tcPr>
            <w:tcW w:type="dxa" w:w="4429"/>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Net margin 12.4% × asset turnover 0.22x × leverage 3.9x; ROIC on book capital only 3.7%</w:t>
            </w:r>
          </w:p>
        </w:tc>
      </w:tr>
      <w:tr>
        <w:trPr>
          <w:cantSplit/>
        </w:trPr>
        <w:tc>
          <w:tcPr>
            <w:tcW w:type="dxa" w:w="1962"/>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Activism / take-private</w:t>
            </w:r>
          </w:p>
        </w:tc>
        <w:tc>
          <w:tcPr>
            <w:tcW w:type="dxa" w:w="3355"/>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Activism: moderate risk. Whole-company bid: low probability</w:t>
            </w:r>
          </w:p>
        </w:tc>
        <w:tc>
          <w:tcPr>
            <w:tcW w:type="dxa" w:w="4429"/>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No blocking holder (Fuyo-group insurers hold about 4.3%). But equity of ¥0.9–1.0tn at a premium would be 3–5x the largest recent Japanese real-estate take-private (Leopalace21)</w:t>
            </w:r>
          </w:p>
        </w:tc>
      </w:tr>
      <w:tr>
        <w:trPr>
          <w:cantSplit/>
        </w:trPr>
        <w:tc>
          <w:tcPr>
            <w:tcW w:type="dxa" w:w="1962"/>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Takeout / LBO framework</w:t>
            </w:r>
          </w:p>
        </w:tc>
        <w:tc>
          <w:tcPr>
            <w:tcW w:type="dxa" w:w="3355"/>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Takeout ¥4,170–4,820 (30–50% premium)</w:t>
            </w:r>
          </w:p>
        </w:tc>
        <w:tc>
          <w:tcPr>
            <w:tcW w:type="dxa" w:w="4429"/>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1.42–1.64x P/B; 0.85–0.98x P/NAV; 17.7–18.7x FY2026E EBITDA. LBO returns of 7–11% sit below private-equity hurdles</w:t>
            </w:r>
          </w:p>
        </w:tc>
      </w:tr>
      <w:tr>
        <w:trPr>
          <w:cantSplit/>
        </w:trPr>
        <w:tc>
          <w:tcPr>
            <w:tcW w:type="dxa" w:w="1962"/>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Macro risk</w:t>
            </w:r>
          </w:p>
        </w:tc>
        <w:tc>
          <w:tcPr>
            <w:tcW w:type="dxa" w:w="3355"/>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High sensitivity</w:t>
            </w:r>
          </w:p>
        </w:tc>
        <w:tc>
          <w:tcPr>
            <w:tcW w:type="dxa" w:w="4429"/>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BOJ 1.25%; JGB about 2.9–3.0%; construction costs +5.1%; condo initial contract rate 64.8%</w:t>
            </w:r>
          </w:p>
        </w:tc>
      </w:tr>
      <w:tr>
        <w:trPr>
          <w:cantSplit/>
        </w:trPr>
        <w:tc>
          <w:tcPr>
            <w:tcW w:type="dxa" w:w="1962"/>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Technicals</w:t>
            </w:r>
          </w:p>
        </w:tc>
        <w:tc>
          <w:tcPr>
            <w:tcW w:type="dxa" w:w="3355"/>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Negative</w:t>
            </w:r>
          </w:p>
        </w:tc>
        <w:tc>
          <w:tcPr>
            <w:tcW w:type="dxa" w:w="4429"/>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Price below the 50/100/200-day proxies; rising-low support broken; support at ¥3,135 / ¥3,083</w:t>
            </w:r>
          </w:p>
        </w:tc>
      </w:tr>
      <w:tr>
        <w:trPr>
          <w:cantSplit/>
        </w:trPr>
        <w:tc>
          <w:tcPr>
            <w:tcW w:type="dxa" w:w="1962"/>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Balance sheet and capital allocation</w:t>
            </w:r>
          </w:p>
        </w:tc>
        <w:tc>
          <w:tcPr>
            <w:tcW w:type="dxa" w:w="3355"/>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Stretched, but rated A (JCR)</w:t>
            </w:r>
          </w:p>
        </w:tc>
        <w:tc>
          <w:tcPr>
            <w:tcW w:type="dxa" w:w="4429"/>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Debt/equity ≈2.5x; payout raised to 40%; buybacks small (¥3bn in 2025)</w:t>
            </w:r>
          </w:p>
        </w:tc>
      </w:tr>
      <w:tr>
        <w:trPr>
          <w:cantSplit/>
        </w:trPr>
        <w:tc>
          <w:tcPr>
            <w:tcW w:type="dxa" w:w="1962"/>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Catalysts</w:t>
            </w:r>
          </w:p>
        </w:tc>
        <w:tc>
          <w:tcPr>
            <w:tcW w:type="dxa" w:w="3355"/>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Q3 (mid-Nov 2026); FY2026 results and new capital policy (mid-Feb 2027); AGM (late Mar 2027)</w:t>
            </w:r>
          </w:p>
        </w:tc>
        <w:tc>
          <w:tcPr>
            <w:tcW w:type="dxa" w:w="4429"/>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Second-half sales, year-end debt, next medium-term plan</w:t>
            </w:r>
          </w:p>
        </w:tc>
      </w:tr>
      <w:tr>
        <w:trPr>
          <w:cantSplit/>
        </w:trPr>
        <w:tc>
          <w:tcPr>
            <w:tcW w:type="dxa" w:w="1962"/>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Key risks</w:t>
            </w:r>
          </w:p>
        </w:tc>
        <w:tc>
          <w:tcPr>
            <w:tcW w:type="dxa" w:w="3355"/>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Rates/cap rates, exit-channel closure, condo affordability, overseas losses</w:t>
            </w:r>
          </w:p>
        </w:tc>
        <w:tc>
          <w:tcPr>
            <w:tcW w:type="dxa" w:w="4429"/>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Detailed in Sections 18 and 21</w:t>
            </w:r>
          </w:p>
        </w:tc>
      </w:tr>
    </w:tbl>
    <w:p>
      <w:pPr>
        <w:spacing w:after="120" w:before="0" w:line="276" w:lineRule="auto"/>
      </w:pPr>
    </w:p>
    <w:p>
      <w:pPr>
        <w:pBdr>
          <w:left w:val="single" w:color="2F6FD0" w:sz="24" w:space="8"/>
        </w:pBdr>
        <w:shd w:fill="EEF3FA" w:color="auto" w:val="clear"/>
        <w:spacing w:after="160" w:before="60" w:line="264" w:lineRule="auto"/>
        <w:ind w:left="200" w:right="200"/>
      </w:pPr>
      <w:r>
        <w:rPr>
          <w:rFonts w:ascii="Arial" w:cs="Arial" w:eastAsia="Yu Gothic" w:hAnsi="Arial"/>
          <w:b/>
          <w:bCs/>
          <w:color w:val="15233F"/>
          <w:sz w:val="18"/>
          <w:szCs w:val="18"/>
        </w:rPr>
        <w:t xml:space="preserve">Key takeaway:</w:t>
      </w:r>
      <w:r>
        <w:rPr>
          <w:rFonts w:ascii="Arial" w:cs="Arial" w:eastAsia="Yu Gothic" w:hAnsi="Arial"/>
          <w:color w:val="15233F"/>
          <w:sz w:val="18"/>
          <w:szCs w:val="18"/>
        </w:rPr>
        <w:t xml:space="preserve"> Tokyo Tatemono is a well-run, inflation-exposed Tokyo landlord-developer that is executing ahead of plan. But its equity discount reflects the most levered balance sheet in its peer group, and its earnings growth increasingly depends on selling assets into a market where rates are rising. At ¥3,211 the risk/reward is balanced. We would buy around ¥3,000, or on proof of second-half execution.</w:t>
      </w:r>
    </w:p>
    <w:p>
      <w:pPr>
        <w:pStyle w:val="Heading1"/>
        <w:keepNext/>
        <w:keepLines/>
        <w:pageBreakBefore/>
        <w:pBdr>
          <w:bottom w:val="single" w:color="2F6FD0" w:sz="12" w:space="6"/>
        </w:pBdr>
        <w:spacing w:after="160" w:before="0" w:line="252" w:lineRule="auto"/>
      </w:pPr>
      <w:r>
        <w:rPr>
          <w:rFonts w:ascii="Arial" w:cs="Arial" w:eastAsia="Yu Gothic" w:hAnsi="Arial"/>
          <w:b/>
          <w:bCs/>
          <w:color w:val="15233F"/>
          <w:sz w:val="32"/>
          <w:szCs w:val="32"/>
        </w:rPr>
        <w:t xml:space="preserve">Methodology and data-quality note</w:t>
      </w:r>
    </w:p>
    <w:p>
      <w:pPr>
        <w:spacing w:after="110" w:before="0" w:line="276" w:lineRule="auto"/>
      </w:pPr>
      <w:r>
        <w:rPr>
          <w:rFonts w:ascii="Arial" w:cs="Arial" w:eastAsia="Yu Gothic" w:hAnsi="Arial"/>
          <w:b/>
          <w:bCs/>
          <w:color w:val="1F2533"/>
          <w:sz w:val="19"/>
          <w:szCs w:val="19"/>
        </w:rPr>
        <w:t xml:space="preserve">How the figures were obtained.</w:t>
      </w:r>
      <w:r>
        <w:rPr>
          <w:rFonts w:ascii="Arial" w:cs="Arial" w:eastAsia="Yu Gothic" w:hAnsi="Arial"/>
          <w:color w:val="1F2533"/>
          <w:sz w:val="19"/>
          <w:szCs w:val="19"/>
        </w:rPr>
        <w:t xml:space="preserve"> The research environment blocked direct downloads of almost every primary source. Blocked hosts included tatemono.com, the company's IR PDF host, TDnet, EDINET, the JCR/R&amp;I rating agencies and the main Japanese quote sites. As a result, most company figures in this report come from search-engine extracts of the named primary documents (決算短信, the Yuho annual securities report, results presentations and integrated reports), not from reading the PDFs directly. Other inputs:</w:t>
      </w:r>
    </w:p>
    <w:p>
      <w:pPr>
        <w:pStyle w:val="ListParagraph"/>
        <w:numPr>
          <w:ilvl w:val="0"/>
          <w:numId w:val="2"/>
        </w:numPr>
        <w:spacing w:after="60" w:line="264" w:lineRule="auto"/>
      </w:pPr>
      <w:r>
        <w:rPr>
          <w:rFonts w:ascii="Arial" w:cs="Arial" w:eastAsia="Yu Gothic" w:hAnsi="Arial"/>
          <w:color w:val="1F2533"/>
          <w:sz w:val="19"/>
          <w:szCs w:val="19"/>
        </w:rPr>
        <w:t xml:space="preserve">a GitHub mirror of Toyo Keizai's 会社四季報 (Shikiho) pages, captured in March 2026;</w:t>
      </w:r>
    </w:p>
    <w:p>
      <w:pPr>
        <w:pStyle w:val="ListParagraph"/>
        <w:numPr>
          <w:ilvl w:val="0"/>
          <w:numId w:val="2"/>
        </w:numPr>
        <w:spacing w:after="60" w:line="264" w:lineRule="auto"/>
      </w:pPr>
      <w:r>
        <w:rPr>
          <w:rFonts w:ascii="Arial" w:cs="Arial" w:eastAsia="Yu Gothic" w:hAnsi="Arial"/>
          <w:color w:val="1F2533"/>
          <w:sz w:val="19"/>
          <w:szCs w:val="19"/>
        </w:rPr>
        <w:t xml:space="preserve">verbatim FY2020–FY2022 Yuho text mirrored on GitHub;</w:t>
      </w:r>
    </w:p>
    <w:p>
      <w:pPr>
        <w:pStyle w:val="ListParagraph"/>
        <w:numPr>
          <w:ilvl w:val="0"/>
          <w:numId w:val="2"/>
        </w:numPr>
        <w:spacing w:after="60" w:line="264" w:lineRule="auto"/>
      </w:pPr>
      <w:r>
        <w:rPr>
          <w:rFonts w:ascii="Arial" w:cs="Arial" w:eastAsia="Yu Gothic" w:hAnsi="Arial"/>
          <w:color w:val="1F2533"/>
          <w:sz w:val="19"/>
          <w:szCs w:val="19"/>
        </w:rPr>
        <w:t xml:space="preserve">EDINET filing indices for November 2022 to October 2026.</w:t>
      </w:r>
    </w:p>
    <w:p>
      <w:pPr>
        <w:spacing w:after="40" w:before="0" w:line="276" w:lineRule="auto"/>
      </w:pPr>
    </w:p>
    <w:p>
      <w:pPr>
        <w:spacing w:after="110" w:before="0" w:line="276" w:lineRule="auto"/>
      </w:pPr>
      <w:r>
        <w:rPr>
          <w:rFonts w:ascii="Arial" w:cs="Arial" w:eastAsia="Yu Gothic" w:hAnsi="Arial"/>
          <w:b/>
          <w:bCs/>
          <w:color w:val="1F2533"/>
          <w:sz w:val="19"/>
          <w:szCs w:val="19"/>
        </w:rPr>
        <w:t xml:space="preserve">How the figures were checked.</w:t>
      </w:r>
      <w:r>
        <w:rPr>
          <w:rFonts w:ascii="Arial" w:cs="Arial" w:eastAsia="Yu Gothic" w:hAnsi="Arial"/>
          <w:color w:val="1F2533"/>
          <w:sz w:val="19"/>
          <w:szCs w:val="19"/>
        </w:rPr>
        <w:t xml:space="preserve"> Headline P&amp;L lines were cross-checked by matching each reported YoY percentage to the prior-year figure, and most reconcile exactly. The reference price of ¥3,211 comes from a secondary source but ties arithmetically to the reported −26.6% fall from the ¥4,374 high. The last close confirmed by two independent sources is ¥3,236 on 18 September 2026.</w:t>
      </w:r>
    </w:p>
    <w:p>
      <w:pPr>
        <w:spacing w:after="110" w:before="0" w:line="276" w:lineRule="auto"/>
      </w:pPr>
      <w:r>
        <w:rPr>
          <w:rFonts w:ascii="Arial" w:cs="Arial" w:eastAsia="Yu Gothic" w:hAnsi="Arial"/>
          <w:b/>
          <w:bCs/>
          <w:color w:val="1F2533"/>
          <w:sz w:val="19"/>
          <w:szCs w:val="19"/>
        </w:rPr>
        <w:t xml:space="preserve">Conventions.</w:t>
      </w:r>
    </w:p>
    <w:p>
      <w:pPr>
        <w:pStyle w:val="ListParagraph"/>
        <w:numPr>
          <w:ilvl w:val="0"/>
          <w:numId w:val="2"/>
        </w:numPr>
        <w:spacing w:after="60" w:line="264" w:lineRule="auto"/>
      </w:pPr>
      <w:r>
        <w:rPr>
          <w:rFonts w:ascii="Arial" w:cs="Arial" w:eastAsia="Yu Gothic" w:hAnsi="Arial"/>
          <w:color w:val="1F2533"/>
          <w:sz w:val="19"/>
          <w:szCs w:val="19"/>
        </w:rPr>
        <w:t xml:space="preserve">All money is in JPY. "bn" is ¥ billion and "tn" is ¥ trillion.</w:t>
      </w:r>
    </w:p>
    <w:p>
      <w:pPr>
        <w:pStyle w:val="ListParagraph"/>
        <w:numPr>
          <w:ilvl w:val="0"/>
          <w:numId w:val="2"/>
        </w:numPr>
        <w:spacing w:after="60" w:line="264" w:lineRule="auto"/>
      </w:pPr>
      <w:r>
        <w:rPr>
          <w:rFonts w:ascii="Arial" w:cs="Arial" w:eastAsia="Yu Gothic" w:hAnsi="Arial"/>
          <w:color w:val="1F2533"/>
          <w:sz w:val="19"/>
          <w:szCs w:val="19"/>
        </w:rPr>
        <w:t xml:space="preserve">Figures are J-GAAP consolidated.</w:t>
      </w:r>
    </w:p>
    <w:p>
      <w:pPr>
        <w:pStyle w:val="ListParagraph"/>
        <w:numPr>
          <w:ilvl w:val="0"/>
          <w:numId w:val="2"/>
        </w:numPr>
        <w:spacing w:after="60" w:line="264" w:lineRule="auto"/>
      </w:pPr>
      <w:r>
        <w:rPr>
          <w:rFonts w:ascii="Arial" w:cs="Arial" w:eastAsia="Yu Gothic" w:hAnsi="Arial"/>
          <w:color w:val="1F2533"/>
          <w:sz w:val="19"/>
          <w:szCs w:val="19"/>
        </w:rPr>
        <w:t xml:space="preserve">Abbreviations: OP = operating profit (operating income, used as EBIT); NI = net income attributable to owners of the parent; DPS = dividend per share; business profit (事業利益) = the company's headline KPI (operating profit + equity-method income, plus fixed-asset sale gains from FY2025); NAV = book equity plus after-tax unrealised gains on rental property (30.6% tax).</w:t>
      </w:r>
    </w:p>
    <w:p>
      <w:pPr>
        <w:pStyle w:val="ListParagraph"/>
        <w:numPr>
          <w:ilvl w:val="0"/>
          <w:numId w:val="2"/>
        </w:numPr>
        <w:spacing w:after="60" w:line="264" w:lineRule="auto"/>
      </w:pPr>
      <w:r>
        <w:rPr>
          <w:rFonts w:ascii="Arial" w:cs="Arial" w:eastAsia="Yu Gothic" w:hAnsi="Arial"/>
          <w:color w:val="1F2533"/>
          <w:sz w:val="19"/>
          <w:szCs w:val="19"/>
        </w:rPr>
        <w:t xml:space="preserve">Tokyo Tatemono's fiscal year is the calendar year (FY2025 = January–December 2025). Most peers report to March, so peer "last fiscal year" figures are FY3/2026.</w:t>
      </w:r>
    </w:p>
    <w:p>
      <w:pPr>
        <w:spacing w:after="40" w:before="0" w:line="276" w:lineRule="auto"/>
      </w:pPr>
    </w:p>
    <w:p>
      <w:pPr>
        <w:spacing w:after="110" w:before="0" w:line="276" w:lineRule="auto"/>
      </w:pPr>
      <w:r>
        <w:rPr>
          <w:rFonts w:ascii="Arial" w:cs="Arial" w:eastAsia="Yu Gothic" w:hAnsi="Arial"/>
          <w:b/>
          <w:bCs/>
          <w:color w:val="1F2533"/>
          <w:sz w:val="19"/>
          <w:szCs w:val="19"/>
        </w:rPr>
        <w:t xml:space="preserve">What was not obtainable.</w:t>
      </w:r>
      <w:r>
        <w:rPr>
          <w:rFonts w:ascii="Arial" w:cs="Arial" w:eastAsia="Yu Gothic" w:hAnsi="Arial"/>
          <w:color w:val="1F2533"/>
          <w:sz w:val="19"/>
          <w:szCs w:val="19"/>
        </w:rPr>
        <w:t xml:space="preserve"> Items that could not be retrieved are flagged where they matter. They include:</w:t>
      </w:r>
    </w:p>
    <w:p>
      <w:pPr>
        <w:pStyle w:val="ListParagraph"/>
        <w:numPr>
          <w:ilvl w:val="0"/>
          <w:numId w:val="2"/>
        </w:numPr>
        <w:spacing w:after="60" w:line="264" w:lineRule="auto"/>
      </w:pPr>
      <w:r>
        <w:rPr>
          <w:rFonts w:ascii="Arial" w:cs="Arial" w:eastAsia="Yu Gothic" w:hAnsi="Arial"/>
          <w:color w:val="1F2533"/>
          <w:sz w:val="19"/>
          <w:szCs w:val="19"/>
        </w:rPr>
        <w:t xml:space="preserve">the debt maturity ladder and covenants;</w:t>
      </w:r>
    </w:p>
    <w:p>
      <w:pPr>
        <w:pStyle w:val="ListParagraph"/>
        <w:numPr>
          <w:ilvl w:val="0"/>
          <w:numId w:val="2"/>
        </w:numPr>
        <w:spacing w:after="60" w:line="264" w:lineRule="auto"/>
      </w:pPr>
      <w:r>
        <w:rPr>
          <w:rFonts w:ascii="Arial" w:cs="Arial" w:eastAsia="Yu Gothic" w:hAnsi="Arial"/>
          <w:color w:val="1F2533"/>
          <w:sz w:val="19"/>
          <w:szCs w:val="19"/>
        </w:rPr>
        <w:t xml:space="preserve">segment EBITDA and segment net income, which are not disclosed under J-GAAP;</w:t>
      </w:r>
    </w:p>
    <w:p>
      <w:pPr>
        <w:pStyle w:val="ListParagraph"/>
        <w:numPr>
          <w:ilvl w:val="0"/>
          <w:numId w:val="2"/>
        </w:numPr>
        <w:spacing w:after="60" w:line="264" w:lineRule="auto"/>
      </w:pPr>
      <w:r>
        <w:rPr>
          <w:rFonts w:ascii="Arial" w:cs="Arial" w:eastAsia="Yu Gothic" w:hAnsi="Arial"/>
          <w:color w:val="1F2533"/>
          <w:sz w:val="19"/>
          <w:szCs w:val="19"/>
        </w:rPr>
        <w:t xml:space="preserve">the company's own office vacancy;</w:t>
      </w:r>
    </w:p>
    <w:p>
      <w:pPr>
        <w:pStyle w:val="ListParagraph"/>
        <w:numPr>
          <w:ilvl w:val="0"/>
          <w:numId w:val="2"/>
        </w:numPr>
        <w:spacing w:after="60" w:line="264" w:lineRule="auto"/>
      </w:pPr>
      <w:r>
        <w:rPr>
          <w:rFonts w:ascii="Arial" w:cs="Arial" w:eastAsia="Yu Gothic" w:hAnsi="Arial"/>
          <w:color w:val="1F2533"/>
          <w:sz w:val="19"/>
          <w:szCs w:val="19"/>
        </w:rPr>
        <w:t xml:space="preserve">FY2027–FY2028 consensus;</w:t>
      </w:r>
    </w:p>
    <w:p>
      <w:pPr>
        <w:pStyle w:val="ListParagraph"/>
        <w:numPr>
          <w:ilvl w:val="0"/>
          <w:numId w:val="2"/>
        </w:numPr>
        <w:spacing w:after="60" w:line="264" w:lineRule="auto"/>
      </w:pPr>
      <w:r>
        <w:rPr>
          <w:rFonts w:ascii="Arial" w:cs="Arial" w:eastAsia="Yu Gothic" w:hAnsi="Arial"/>
          <w:color w:val="1F2533"/>
          <w:sz w:val="19"/>
          <w:szCs w:val="19"/>
        </w:rPr>
        <w:t xml:space="preserve">Q&amp;A transcripts.</w:t>
      </w:r>
    </w:p>
    <w:p>
      <w:pPr>
        <w:spacing w:after="40" w:before="0" w:line="276" w:lineRule="auto"/>
      </w:pPr>
    </w:p>
    <w:p>
      <w:pPr>
        <w:spacing w:after="110" w:before="0" w:line="276" w:lineRule="auto"/>
      </w:pPr>
      <w:r>
        <w:rPr>
          <w:rFonts w:ascii="Arial" w:cs="Arial" w:eastAsia="Yu Gothic" w:hAnsi="Arial"/>
          <w:b/>
          <w:bCs/>
          <w:color w:val="1F2533"/>
          <w:sz w:val="19"/>
          <w:szCs w:val="19"/>
        </w:rPr>
        <w:t xml:space="preserve">Conflicting figures and how we resolved them:</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13"/>
        <w:gridCol w:w="5833"/>
      </w:tblGrid>
      <w:tr>
        <w:trPr>
          <w:cantSplit/>
          <w:tblHeader/>
        </w:trPr>
        <w:tc>
          <w:tcPr>
            <w:tcW w:type="dxa" w:w="3913"/>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bCs/>
                <w:color w:val="FFFFFF"/>
                <w:sz w:val="16"/>
                <w:szCs w:val="16"/>
              </w:rPr>
              <w:t xml:space="preserve">Conflict across notes</w:t>
            </w:r>
          </w:p>
        </w:tc>
        <w:tc>
          <w:tcPr>
            <w:tcW w:type="dxa" w:w="5833"/>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6"/>
                <w:szCs w:val="16"/>
              </w:rPr>
              <w:t xml:space="preserve">Resolution used in this report</w:t>
            </w:r>
          </w:p>
        </w:tc>
      </w:tr>
      <w:tr>
        <w:trPr>
          <w:cantSplit/>
        </w:trPr>
        <w:tc>
          <w:tcPr>
            <w:tcW w:type="dxa" w:w="3913"/>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FY2025 business profit: ¥89.4bn vs a "record ¥102bn" headline</w:t>
            </w:r>
          </w:p>
        </w:tc>
        <w:tc>
          <w:tcPr>
            <w:tcW w:type="dxa" w:w="5833"/>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bCs/>
                <w:color w:val="1F2533"/>
                <w:sz w:val="16"/>
                <w:szCs w:val="16"/>
              </w:rPr>
              <w:t xml:space="preserve">¥89.4bn</w:t>
            </w:r>
            <w:r>
              <w:rPr>
                <w:rFonts w:ascii="Arial" w:cs="Arial" w:eastAsia="Yu Gothic" w:hAnsi="Arial"/>
                <w:color w:val="1F2533"/>
                <w:sz w:val="16"/>
                <w:szCs w:val="16"/>
              </w:rPr>
              <w:t xml:space="preserve"> is the FY2025 actual (two extracts agree; +12.7% on a restated ¥79.3bn). ¥102.0bn was the original FY2026 guidance, reportedly raised to ¥105.0bn in August (single source). One note's inference that FY2025 business profit exceeded operating profit by ¥6.2bn is therefore wrong. Business profit was </w:t>
            </w:r>
            <w:r>
              <w:rPr>
                <w:rFonts w:ascii="Arial" w:cs="Arial" w:eastAsia="Yu Gothic" w:hAnsi="Arial"/>
                <w:i/>
                <w:iCs/>
                <w:color w:val="1F2533"/>
                <w:sz w:val="16"/>
                <w:szCs w:val="16"/>
              </w:rPr>
              <w:t xml:space="preserve">below</w:t>
            </w:r>
            <w:r>
              <w:rPr>
                <w:rFonts w:ascii="Arial" w:cs="Arial" w:eastAsia="Yu Gothic" w:hAnsi="Arial"/>
                <w:color w:val="1F2533"/>
                <w:sz w:val="16"/>
                <w:szCs w:val="16"/>
              </w:rPr>
              <w:t xml:space="preserve"> operating profit because of the −¥6.9bn equity-method loss</w:t>
            </w:r>
          </w:p>
        </w:tc>
      </w:tr>
      <w:tr>
        <w:trPr>
          <w:cantSplit/>
        </w:trPr>
        <w:tc>
          <w:tcPr>
            <w:tcW w:type="dxa" w:w="3913"/>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FY2024 Asset Service profit: ¥12.9bn vs ¥11.5bn</w:t>
            </w:r>
          </w:p>
        </w:tc>
        <w:tc>
          <w:tcPr>
            <w:tcW w:type="dxa" w:w="5833"/>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bCs/>
                <w:color w:val="1F2533"/>
                <w:sz w:val="16"/>
                <w:szCs w:val="16"/>
              </w:rPr>
              <w:t xml:space="preserve">¥11.5bn.</w:t>
            </w:r>
            <w:r>
              <w:rPr>
                <w:rFonts w:ascii="Arial" w:cs="Arial" w:eastAsia="Yu Gothic" w:hAnsi="Arial"/>
                <w:color w:val="1F2533"/>
                <w:sz w:val="16"/>
                <w:szCs w:val="16"/>
              </w:rPr>
              <w:t xml:space="preserve"> The FY2024 deck and the FY2025 YoY (−0.5%) agree; ¥12.9bn is the FY2023 figure</w:t>
            </w:r>
          </w:p>
        </w:tc>
      </w:tr>
      <w:tr>
        <w:trPr>
          <w:cantSplit/>
        </w:trPr>
        <w:tc>
          <w:tcPr>
            <w:tcW w:type="dxa" w:w="3913"/>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FY2025 "Other" segment: profit +¥4.2bn vs loss −¥2.5bn</w:t>
            </w:r>
          </w:p>
        </w:tc>
        <w:tc>
          <w:tcPr>
            <w:tcW w:type="dxa" w:w="5833"/>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Both are correct on different bases. Operating profit was +¥4.2bn. Business profit was −¥2.5bn after the overseas equity-method loss</w:t>
            </w:r>
          </w:p>
        </w:tc>
      </w:tr>
      <w:tr>
        <w:trPr>
          <w:cantSplit/>
        </w:trPr>
        <w:tc>
          <w:tcPr>
            <w:tcW w:type="dxa" w:w="3913"/>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Condo landbank: ≈7,300 vs ≈7,600 units</w:t>
            </w:r>
          </w:p>
        </w:tc>
        <w:tc>
          <w:tcPr>
            <w:tcW w:type="dxa" w:w="5833"/>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Different dates: ≈7,300 at the FY2025 results (Feb 2026), ≈7,600 at the 1H FY2026 briefing (Aug 2026)</w:t>
            </w:r>
          </w:p>
        </w:tc>
      </w:tr>
      <w:tr>
        <w:trPr>
          <w:cantSplit/>
        </w:trPr>
        <w:tc>
          <w:tcPr>
            <w:tcW w:type="dxa" w:w="3913"/>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TOFROM YAESU completion: 31 Jul 2025 vs Feb 2026</w:t>
            </w:r>
          </w:p>
        </w:tc>
        <w:tc>
          <w:tcPr>
            <w:tcW w:type="dxa" w:w="5833"/>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31 Jul 2025 was the earlier schedule. The tower was actually completed on 28 Feb 2026, and "THE FRONT" on 15 Jul 2026</w:t>
            </w:r>
          </w:p>
        </w:tc>
      </w:tr>
      <w:tr>
        <w:trPr>
          <w:cantSplit/>
        </w:trPr>
        <w:tc>
          <w:tcPr>
            <w:tcW w:type="dxa" w:w="3913"/>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Market cap on 18 Sep 2026: ¥684.9bn (IFIS, at ¥3,236) vs ≈¥673bn</w:t>
            </w:r>
          </w:p>
        </w:tc>
        <w:tc>
          <w:tcPr>
            <w:tcW w:type="dxa" w:w="5833"/>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Market cap = price × 207.98m issued shares. This reproduces Kabutan's ¥683.4bn at ¥3,286 and Matsui's ¥712.7bn at ¥3,427. IFIS's figure implies about 211.7m shares and is treated as an outlier</w:t>
            </w:r>
          </w:p>
        </w:tc>
      </w:tr>
      <w:tr>
        <w:trPr>
          <w:cantSplit/>
        </w:trPr>
        <w:tc>
          <w:tcPr>
            <w:tcW w:type="dxa" w:w="3913"/>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FY2025 D&amp;A: ¥23.0bn (Shikiho forecast) vs ¥24.3bn</w:t>
            </w:r>
          </w:p>
        </w:tc>
        <w:tc>
          <w:tcPr>
            <w:tcW w:type="dxa" w:w="5833"/>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bCs/>
                <w:color w:val="1F2533"/>
                <w:sz w:val="16"/>
                <w:szCs w:val="16"/>
              </w:rPr>
              <w:t xml:space="preserve">¥24.3bn</w:t>
            </w:r>
            <w:r>
              <w:rPr>
                <w:rFonts w:ascii="Arial" w:cs="Arial" w:eastAsia="Yu Gothic" w:hAnsi="Arial"/>
                <w:color w:val="1F2533"/>
                <w:sz w:val="16"/>
                <w:szCs w:val="16"/>
              </w:rPr>
              <w:t xml:space="preserve"> (later data), giving FY2025 EBITDA of </w:t>
            </w:r>
            <w:r>
              <w:rPr>
                <w:rFonts w:ascii="Arial" w:cs="Arial" w:eastAsia="Yu Gothic" w:hAnsi="Arial"/>
                <w:b/>
                <w:bCs/>
                <w:color w:val="1F2533"/>
                <w:sz w:val="16"/>
                <w:szCs w:val="16"/>
              </w:rPr>
              <w:t xml:space="preserve">¥120.1bn</w:t>
            </w:r>
            <w:r>
              <w:rPr>
                <w:rFonts w:ascii="Arial" w:cs="Arial" w:eastAsia="Yu Gothic" w:hAnsi="Arial"/>
                <w:color w:val="1F2533"/>
                <w:sz w:val="16"/>
                <w:szCs w:val="16"/>
              </w:rPr>
              <w:t xml:space="preserve">. Peer-table multiples built on ¥118.8bn differ by about 0.2x</w:t>
            </w:r>
          </w:p>
        </w:tc>
      </w:tr>
      <w:tr>
        <w:trPr>
          <w:cantSplit/>
        </w:trPr>
        <w:tc>
          <w:tcPr>
            <w:tcW w:type="dxa" w:w="3913"/>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FY2021–FY2023 DPS: estimated vs reported</w:t>
            </w:r>
          </w:p>
        </w:tc>
        <w:tc>
          <w:tcPr>
            <w:tcW w:type="dxa" w:w="5833"/>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Reported </w:t>
            </w:r>
            <w:r>
              <w:rPr>
                <w:rFonts w:ascii="Arial" w:cs="Arial" w:eastAsia="Yu Gothic" w:hAnsi="Arial"/>
                <w:b/>
                <w:bCs/>
                <w:color w:val="1F2533"/>
                <w:sz w:val="16"/>
                <w:szCs w:val="16"/>
              </w:rPr>
              <w:t xml:space="preserve">¥51 / ¥65 / ¥73</w:t>
            </w:r>
            <w:r>
              <w:rPr>
                <w:rFonts w:ascii="Arial" w:cs="Arial" w:eastAsia="Yu Gothic" w:hAnsi="Arial"/>
                <w:color w:val="1F2533"/>
                <w:sz w:val="16"/>
                <w:szCs w:val="16"/>
              </w:rPr>
              <w:t xml:space="preserve"> are used. Five-year total shareholder return was recomputed accordingly</w:t>
            </w:r>
          </w:p>
        </w:tc>
      </w:tr>
      <w:tr>
        <w:trPr>
          <w:cantSplit/>
        </w:trPr>
        <w:tc>
          <w:tcPr>
            <w:tcW w:type="dxa" w:w="3913"/>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NTT Urban Development take-private: "2020, ¥1,400" vs "2018–19, ¥1,680"</w:t>
            </w:r>
          </w:p>
        </w:tc>
        <w:tc>
          <w:tcPr>
            <w:tcW w:type="dxa" w:w="5833"/>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bCs/>
                <w:color w:val="1F2533"/>
                <w:sz w:val="16"/>
                <w:szCs w:val="16"/>
              </w:rPr>
              <w:t xml:space="preserve">Tender offer announced Oct 2018 at ¥1,680 (+29.8%); delisted Jan 2019</w:t>
            </w:r>
            <w:r>
              <w:rPr>
                <w:rFonts w:ascii="Arial" w:cs="Arial" w:eastAsia="Yu Gothic" w:hAnsi="Arial"/>
                <w:color w:val="1F2533"/>
                <w:sz w:val="16"/>
                <w:szCs w:val="16"/>
              </w:rPr>
              <w:t xml:space="preserve"> (sourced). The 2020 date was a recollection error</w:t>
            </w:r>
          </w:p>
        </w:tc>
      </w:tr>
      <w:tr>
        <w:trPr>
          <w:cantSplit/>
        </w:trPr>
        <w:tc>
          <w:tcPr>
            <w:tcW w:type="dxa" w:w="3913"/>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Daibiru price: "≈¥1,700" vs ¥2,200</w:t>
            </w:r>
          </w:p>
        </w:tc>
        <w:tc>
          <w:tcPr>
            <w:tcW w:type="dxa" w:w="5833"/>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bCs/>
                <w:color w:val="1F2533"/>
                <w:sz w:val="16"/>
                <w:szCs w:val="16"/>
              </w:rPr>
              <w:t xml:space="preserve">¥2,200</w:t>
            </w:r>
            <w:r>
              <w:rPr>
                <w:rFonts w:ascii="Arial" w:cs="Arial" w:eastAsia="Yu Gothic" w:hAnsi="Arial"/>
                <w:color w:val="1F2533"/>
                <w:sz w:val="16"/>
                <w:szCs w:val="16"/>
              </w:rPr>
              <w:t xml:space="preserve"> (sourced)</w:t>
            </w:r>
          </w:p>
        </w:tc>
      </w:tr>
      <w:tr>
        <w:trPr>
          <w:cantSplit/>
        </w:trPr>
        <w:tc>
          <w:tcPr>
            <w:tcW w:type="dxa" w:w="3913"/>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KKR / Mitsubishi Corp.-UBS Realty: "2024–25" vs 2022</w:t>
            </w:r>
          </w:p>
        </w:tc>
        <w:tc>
          <w:tcPr>
            <w:tcW w:type="dxa" w:w="5833"/>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bCs/>
                <w:color w:val="1F2533"/>
                <w:sz w:val="16"/>
                <w:szCs w:val="16"/>
              </w:rPr>
              <w:t xml:space="preserve">Announced 17 Mar 2022</w:t>
            </w:r>
            <w:r>
              <w:rPr>
                <w:rFonts w:ascii="Arial" w:cs="Arial" w:eastAsia="Yu Gothic" w:hAnsi="Arial"/>
                <w:color w:val="1F2533"/>
                <w:sz w:val="16"/>
                <w:szCs w:val="16"/>
              </w:rPr>
              <w:t xml:space="preserve">, ≈¥230bn (company release)</w:t>
            </w:r>
          </w:p>
        </w:tc>
      </w:tr>
      <w:tr>
        <w:trPr>
          <w:cantSplit/>
        </w:trPr>
        <w:tc>
          <w:tcPr>
            <w:tcW w:type="dxa" w:w="3913"/>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Leverage guide (debt/equity ≈2.4x; debt/EBITDA ≈12x)</w:t>
            </w:r>
          </w:p>
        </w:tc>
        <w:tc>
          <w:tcPr>
            <w:tcW w:type="dxa" w:w="5833"/>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Verbatim in the FY2020–24 plan. A search extract indicates the same guideposts were kept in the FY2025–27 plan</w:t>
            </w:r>
          </w:p>
        </w:tc>
      </w:tr>
      <w:tr>
        <w:trPr>
          <w:cantSplit/>
        </w:trPr>
        <w:tc>
          <w:tcPr>
            <w:tcW w:type="dxa" w:w="3913"/>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Interest-bearing debt: ¥1,360.5bn vs ¥1,343.9bn</w:t>
            </w:r>
          </w:p>
        </w:tc>
        <w:tc>
          <w:tcPr>
            <w:tcW w:type="dxa" w:w="5833"/>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Different dates: 30 Sep 2025 vs 31 Dec 2025. The figure at 30 Jun 2026 is ¥1,536.6bn</w:t>
            </w:r>
          </w:p>
        </w:tc>
      </w:tr>
    </w:tbl>
    <w:p>
      <w:pPr>
        <w:spacing w:after="120" w:before="0" w:line="276" w:lineRule="auto"/>
      </w:pPr>
    </w:p>
    <w:p>
      <w:pPr>
        <w:pStyle w:val="Heading1"/>
        <w:keepNext/>
        <w:keepLines/>
        <w:pageBreakBefore/>
        <w:pBdr>
          <w:bottom w:val="single" w:color="2F6FD0" w:sz="12" w:space="6"/>
        </w:pBdr>
        <w:spacing w:after="160" w:before="0" w:line="252" w:lineRule="auto"/>
      </w:pPr>
      <w:r>
        <w:rPr>
          <w:rFonts w:ascii="Arial" w:cs="Arial" w:eastAsia="Yu Gothic" w:hAnsi="Arial"/>
          <w:b/>
          <w:bCs/>
          <w:color w:val="15233F"/>
          <w:sz w:val="32"/>
          <w:szCs w:val="32"/>
        </w:rPr>
        <w:t xml:space="preserve">Layman's guide: what Tokyo Tatemono does and how it makes money</w:t>
      </w:r>
    </w:p>
    <w:p>
      <w:pPr>
        <w:spacing w:after="110" w:before="0" w:line="276" w:lineRule="auto"/>
      </w:pPr>
      <w:r>
        <w:rPr>
          <w:rFonts w:ascii="Arial" w:cs="Arial" w:eastAsia="Yu Gothic" w:hAnsi="Arial"/>
          <w:color w:val="1F2533"/>
          <w:sz w:val="19"/>
          <w:szCs w:val="19"/>
        </w:rPr>
        <w:t xml:space="preserve">Tokyo Tatemono is Japan's oldest listed property developer. It was founded on 1 October 1896 (</w:t>
      </w:r>
      <w:hyperlink w:history="1" r:id="rIdly-k2_sesbj7ejc8xecly">
        <w:r>
          <w:rPr>
            <w:rFonts w:ascii="Arial" w:cs="Arial" w:eastAsia="Yu Gothic" w:hAnsi="Arial"/>
            <w:color w:val="2F6FD0"/>
            <w:sz w:val="19"/>
            <w:szCs w:val="19"/>
            <w:u w:val="single"/>
          </w:rPr>
          <w:t xml:space="preserve">company overview</w:t>
        </w:r>
      </w:hyperlink>
      <w:r>
        <w:rPr>
          <w:rFonts w:ascii="Arial" w:cs="Arial" w:eastAsia="Yu Gothic" w:hAnsi="Arial"/>
          <w:color w:val="1F2533"/>
          <w:sz w:val="19"/>
          <w:szCs w:val="19"/>
        </w:rPr>
        <w:t xml:space="preserve">), listed in 1949, and grew out of the Yasuda (later Fuyo) business group. Think of it as a mid-sized Tokyo landlord that also builds and sells flats and buildings. Its heart is a cluster of large office towers around Tokyo Station's Yaesu and Otemachi side. These include Otemachi Tower, Tokyo Square Garden and the new 250-metre TOFROM YAESU TOWER, completed in February 2026 (</w:t>
      </w:r>
      <w:hyperlink w:history="1" r:id="rIdtox_y3kq-7p8o613bwcrf">
        <w:r>
          <w:rPr>
            <w:rFonts w:ascii="Arial" w:cs="Arial" w:eastAsia="Yu Gothic" w:hAnsi="Arial"/>
            <w:color w:val="2F6FD0"/>
            <w:sz w:val="19"/>
            <w:szCs w:val="19"/>
            <w:u w:val="single"/>
          </w:rPr>
          <w:t xml:space="preserve">company news</w:t>
        </w:r>
      </w:hyperlink>
      <w:r>
        <w:rPr>
          <w:rFonts w:ascii="Arial" w:cs="Arial" w:eastAsia="Yu Gothic" w:hAnsi="Arial"/>
          <w:color w:val="1F2533"/>
          <w:sz w:val="19"/>
          <w:szCs w:val="19"/>
        </w:rPr>
        <w:t xml:space="preserve">).</w:t>
      </w:r>
    </w:p>
    <w:p>
      <w:pPr>
        <w:spacing w:after="110" w:before="0" w:line="276" w:lineRule="auto"/>
      </w:pPr>
      <w:r>
        <w:rPr>
          <w:rFonts w:ascii="Arial" w:cs="Arial" w:eastAsia="Yu Gothic" w:hAnsi="Arial"/>
          <w:color w:val="1F2533"/>
          <w:sz w:val="19"/>
          <w:szCs w:val="19"/>
        </w:rPr>
        <w:t xml:space="preserve">The company makes money in four ways:</w:t>
      </w:r>
    </w:p>
    <w:p>
      <w:pPr>
        <w:pStyle w:val="ListParagraph"/>
        <w:numPr>
          <w:ilvl w:val="0"/>
          <w:numId w:val="4"/>
        </w:numPr>
        <w:spacing w:after="60" w:line="264" w:lineRule="auto"/>
      </w:pPr>
      <w:r>
        <w:rPr>
          <w:rFonts w:ascii="Arial" w:cs="Arial" w:eastAsia="Yu Gothic" w:hAnsi="Arial"/>
          <w:b/>
          <w:bCs/>
          <w:color w:val="1F2533"/>
          <w:sz w:val="19"/>
          <w:szCs w:val="19"/>
        </w:rPr>
        <w:t xml:space="preserve">It collects rent.</w:t>
      </w:r>
      <w:r>
        <w:rPr>
          <w:rFonts w:ascii="Arial" w:cs="Arial" w:eastAsia="Yu Gothic" w:hAnsi="Arial"/>
          <w:color w:val="1F2533"/>
          <w:sz w:val="19"/>
          <w:szCs w:val="19"/>
        </w:rPr>
        <w:t xml:space="preserve"> Rent comes from offices, shops, warehouses and a growing data-centre business. This income is steady.</w:t>
      </w:r>
    </w:p>
    <w:p>
      <w:pPr>
        <w:pStyle w:val="ListParagraph"/>
        <w:numPr>
          <w:ilvl w:val="0"/>
          <w:numId w:val="4"/>
        </w:numPr>
        <w:spacing w:after="60" w:line="264" w:lineRule="auto"/>
      </w:pPr>
      <w:r>
        <w:rPr>
          <w:rFonts w:ascii="Arial" w:cs="Arial" w:eastAsia="Yu Gothic" w:hAnsi="Arial"/>
          <w:b/>
          <w:bCs/>
          <w:color w:val="1F2533"/>
          <w:sz w:val="19"/>
          <w:szCs w:val="19"/>
        </w:rPr>
        <w:t xml:space="preserve">It sells buildings to investors.</w:t>
      </w:r>
      <w:r>
        <w:rPr>
          <w:rFonts w:ascii="Arial" w:cs="Arial" w:eastAsia="Yu Gothic" w:hAnsi="Arial"/>
          <w:color w:val="1F2533"/>
          <w:sz w:val="19"/>
          <w:szCs w:val="19"/>
        </w:rPr>
        <w:t xml:space="preserve"> Once a building is finished and filled with tenants, it sells it to investors such as the listed REIT it sponsors, Japan Prime Realty, or to private funds. It books the profit and recycles the cash into new projects. This is now the fastest-growing and most volatile profit source.</w:t>
      </w:r>
    </w:p>
    <w:p>
      <w:pPr>
        <w:pStyle w:val="ListParagraph"/>
        <w:numPr>
          <w:ilvl w:val="0"/>
          <w:numId w:val="4"/>
        </w:numPr>
        <w:spacing w:after="60" w:line="264" w:lineRule="auto"/>
      </w:pPr>
      <w:r>
        <w:rPr>
          <w:rFonts w:ascii="Arial" w:cs="Arial" w:eastAsia="Yu Gothic" w:hAnsi="Arial"/>
          <w:b/>
          <w:bCs/>
          <w:color w:val="1F2533"/>
          <w:sz w:val="19"/>
          <w:szCs w:val="19"/>
        </w:rPr>
        <w:t xml:space="preserve">It builds and sells condominiums</w:t>
      </w:r>
      <w:r>
        <w:rPr>
          <w:rFonts w:ascii="Arial" w:cs="Arial" w:eastAsia="Yu Gothic" w:hAnsi="Arial"/>
          <w:color w:val="1F2533"/>
          <w:sz w:val="19"/>
          <w:szCs w:val="19"/>
        </w:rPr>
        <w:t xml:space="preserve"> under the </w:t>
      </w:r>
      <w:r>
        <w:rPr>
          <w:rFonts w:ascii="Arial" w:cs="Arial" w:eastAsia="Yu Gothic" w:hAnsi="Arial"/>
          <w:b/>
          <w:bCs/>
          <w:color w:val="1F2533"/>
          <w:sz w:val="19"/>
          <w:szCs w:val="19"/>
        </w:rPr>
        <w:t xml:space="preserve">Brillia</w:t>
      </w:r>
      <w:r>
        <w:rPr>
          <w:rFonts w:ascii="Arial" w:cs="Arial" w:eastAsia="Yu Gothic" w:hAnsi="Arial"/>
          <w:color w:val="1F2533"/>
          <w:sz w:val="19"/>
          <w:szCs w:val="19"/>
        </w:rPr>
        <w:t xml:space="preserve"> brand. Profit is booked when buyers receive their keys, so it swings from quarter to quarter.</w:t>
      </w:r>
    </w:p>
    <w:p>
      <w:pPr>
        <w:pStyle w:val="ListParagraph"/>
        <w:numPr>
          <w:ilvl w:val="0"/>
          <w:numId w:val="4"/>
        </w:numPr>
        <w:spacing w:after="60" w:line="264" w:lineRule="auto"/>
      </w:pPr>
      <w:r>
        <w:rPr>
          <w:rFonts w:ascii="Arial" w:cs="Arial" w:eastAsia="Yu Gothic" w:hAnsi="Arial"/>
          <w:b/>
          <w:bCs/>
          <w:color w:val="1F2533"/>
          <w:sz w:val="19"/>
          <w:szCs w:val="19"/>
        </w:rPr>
        <w:t xml:space="preserve">It earns fees.</w:t>
      </w:r>
      <w:r>
        <w:rPr>
          <w:rFonts w:ascii="Arial" w:cs="Arial" w:eastAsia="Yu Gothic" w:hAnsi="Arial"/>
          <w:color w:val="1F2533"/>
          <w:sz w:val="19"/>
          <w:szCs w:val="19"/>
        </w:rPr>
        <w:t xml:space="preserve"> Fees come from property brokerage, about 90,000 car-park spaces, golf courses and hot-spring baths, and from managing investors' money.</w:t>
      </w:r>
    </w:p>
    <w:p>
      <w:pPr>
        <w:spacing w:after="40" w:before="0" w:line="276" w:lineRule="auto"/>
      </w:pP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0"/>
        <w:gridCol w:w="3306"/>
        <w:gridCol w:w="811"/>
        <w:gridCol w:w="799"/>
        <w:gridCol w:w="1441"/>
        <w:gridCol w:w="803"/>
        <w:gridCol w:w="716"/>
      </w:tblGrid>
      <w:tr>
        <w:trPr>
          <w:cantSplit/>
          <w:tblHeader/>
        </w:trPr>
        <w:tc>
          <w:tcPr>
            <w:tcW w:type="dxa" w:w="1870"/>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bCs/>
                <w:color w:val="FFFFFF"/>
                <w:sz w:val="14"/>
                <w:szCs w:val="14"/>
              </w:rPr>
              <w:t xml:space="preserve">Division (FY2025)</w:t>
            </w:r>
          </w:p>
        </w:tc>
        <w:tc>
          <w:tcPr>
            <w:tcW w:type="dxa" w:w="3306"/>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4"/>
                <w:szCs w:val="14"/>
              </w:rPr>
              <w:t xml:space="preserve">What it does</w:t>
            </w:r>
          </w:p>
        </w:tc>
        <w:tc>
          <w:tcPr>
            <w:tcW w:type="dxa" w:w="811"/>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4"/>
                <w:szCs w:val="14"/>
              </w:rPr>
              <w:t xml:space="preserve">Revenue</w:t>
            </w:r>
          </w:p>
        </w:tc>
        <w:tc>
          <w:tcPr>
            <w:tcW w:type="dxa" w:w="799"/>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4"/>
                <w:szCs w:val="14"/>
              </w:rPr>
              <w:t xml:space="preserve">Share of revenue</w:t>
            </w:r>
          </w:p>
        </w:tc>
        <w:tc>
          <w:tcPr>
            <w:tcW w:type="dxa" w:w="1441"/>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4"/>
                <w:szCs w:val="14"/>
              </w:rPr>
              <w:t xml:space="preserve">Segment operating profit</w:t>
            </w:r>
          </w:p>
        </w:tc>
        <w:tc>
          <w:tcPr>
            <w:tcW w:type="dxa" w:w="803"/>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4"/>
                <w:szCs w:val="14"/>
              </w:rPr>
              <w:t xml:space="preserve">Share of segment profit</w:t>
            </w:r>
          </w:p>
        </w:tc>
        <w:tc>
          <w:tcPr>
            <w:tcW w:type="dxa" w:w="716"/>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4"/>
                <w:szCs w:val="14"/>
              </w:rPr>
              <w:t xml:space="preserve">Margin</w:t>
            </w:r>
          </w:p>
        </w:tc>
      </w:tr>
      <w:tr>
        <w:trPr>
          <w:cantSplit/>
        </w:trPr>
        <w:tc>
          <w:tcPr>
            <w:tcW w:type="dxa" w:w="1870"/>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4"/>
                <w:szCs w:val="14"/>
              </w:rPr>
              <w:t xml:space="preserve">Building ("Commercial Properties")</w:t>
            </w:r>
          </w:p>
        </w:tc>
        <w:tc>
          <w:tcPr>
            <w:tcW w:type="dxa" w:w="330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4"/>
                <w:szCs w:val="14"/>
              </w:rPr>
              <w:t xml:space="preserve">Offices, retail, logistics and data centres: rent plus sales of buildings to investors</w:t>
            </w:r>
          </w:p>
        </w:tc>
        <w:tc>
          <w:tcPr>
            <w:tcW w:type="dxa" w:w="811"/>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¥220.2bn</w:t>
            </w:r>
          </w:p>
        </w:tc>
        <w:tc>
          <w:tcPr>
            <w:tcW w:type="dxa" w:w="799"/>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46%</w:t>
            </w:r>
          </w:p>
        </w:tc>
        <w:tc>
          <w:tcPr>
            <w:tcW w:type="dxa" w:w="1441"/>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¥67.1bn</w:t>
            </w:r>
          </w:p>
        </w:tc>
        <w:tc>
          <w:tcPr>
            <w:tcW w:type="dxa" w:w="803"/>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62%</w:t>
            </w:r>
          </w:p>
        </w:tc>
        <w:tc>
          <w:tcPr>
            <w:tcW w:type="dxa" w:w="71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30.5%</w:t>
            </w:r>
          </w:p>
        </w:tc>
      </w:tr>
      <w:tr>
        <w:trPr>
          <w:cantSplit/>
        </w:trPr>
        <w:tc>
          <w:tcPr>
            <w:tcW w:type="dxa" w:w="1870"/>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4"/>
                <w:szCs w:val="14"/>
              </w:rPr>
              <w:t xml:space="preserve">Residential</w:t>
            </w:r>
          </w:p>
        </w:tc>
        <w:tc>
          <w:tcPr>
            <w:tcW w:type="dxa" w:w="3306"/>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4"/>
                <w:szCs w:val="14"/>
              </w:rPr>
              <w:t xml:space="preserve">Brillia condos, rental flats, condo management</w:t>
            </w:r>
          </w:p>
        </w:tc>
        <w:tc>
          <w:tcPr>
            <w:tcW w:type="dxa" w:w="811"/>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¥165.1bn</w:t>
            </w:r>
          </w:p>
        </w:tc>
        <w:tc>
          <w:tcPr>
            <w:tcW w:type="dxa" w:w="799"/>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35%</w:t>
            </w:r>
          </w:p>
        </w:tc>
        <w:tc>
          <w:tcPr>
            <w:tcW w:type="dxa" w:w="1441"/>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¥25.6bn</w:t>
            </w:r>
          </w:p>
        </w:tc>
        <w:tc>
          <w:tcPr>
            <w:tcW w:type="dxa" w:w="803"/>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24%</w:t>
            </w:r>
          </w:p>
        </w:tc>
        <w:tc>
          <w:tcPr>
            <w:tcW w:type="dxa" w:w="716"/>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15.5%</w:t>
            </w:r>
          </w:p>
        </w:tc>
      </w:tr>
      <w:tr>
        <w:trPr>
          <w:cantSplit/>
        </w:trPr>
        <w:tc>
          <w:tcPr>
            <w:tcW w:type="dxa" w:w="1870"/>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4"/>
                <w:szCs w:val="14"/>
              </w:rPr>
              <w:t xml:space="preserve">Asset Service</w:t>
            </w:r>
          </w:p>
        </w:tc>
        <w:tc>
          <w:tcPr>
            <w:tcW w:type="dxa" w:w="330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4"/>
                <w:szCs w:val="14"/>
              </w:rPr>
              <w:t xml:space="preserve">Brokerage, appraisal and consulting, property resales, Nippon Parking (NPC24H)</w:t>
            </w:r>
          </w:p>
        </w:tc>
        <w:tc>
          <w:tcPr>
            <w:tcW w:type="dxa" w:w="811"/>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¥63.5bn</w:t>
            </w:r>
          </w:p>
        </w:tc>
        <w:tc>
          <w:tcPr>
            <w:tcW w:type="dxa" w:w="799"/>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13%</w:t>
            </w:r>
          </w:p>
        </w:tc>
        <w:tc>
          <w:tcPr>
            <w:tcW w:type="dxa" w:w="1441"/>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¥11.5bn</w:t>
            </w:r>
          </w:p>
        </w:tc>
        <w:tc>
          <w:tcPr>
            <w:tcW w:type="dxa" w:w="803"/>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11%</w:t>
            </w:r>
          </w:p>
        </w:tc>
        <w:tc>
          <w:tcPr>
            <w:tcW w:type="dxa" w:w="71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18.1%</w:t>
            </w:r>
          </w:p>
        </w:tc>
      </w:tr>
      <w:tr>
        <w:trPr>
          <w:cantSplit/>
        </w:trPr>
        <w:tc>
          <w:tcPr>
            <w:tcW w:type="dxa" w:w="1870"/>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4"/>
                <w:szCs w:val="14"/>
              </w:rPr>
              <w:t xml:space="preserve">Other</w:t>
            </w:r>
          </w:p>
        </w:tc>
        <w:tc>
          <w:tcPr>
            <w:tcW w:type="dxa" w:w="3306"/>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4"/>
                <w:szCs w:val="14"/>
              </w:rPr>
              <w:t xml:space="preserve">Resorts and golf, asset management (JPR's manager), overseas, staffing and childcare</w:t>
            </w:r>
          </w:p>
        </w:tc>
        <w:tc>
          <w:tcPr>
            <w:tcW w:type="dxa" w:w="811"/>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≈¥25.8bn</w:t>
            </w:r>
          </w:p>
        </w:tc>
        <w:tc>
          <w:tcPr>
            <w:tcW w:type="dxa" w:w="799"/>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5%</w:t>
            </w:r>
          </w:p>
        </w:tc>
        <w:tc>
          <w:tcPr>
            <w:tcW w:type="dxa" w:w="1441"/>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¥4.2bn (business-profit basis −¥2.5bn after overseas losses)</w:t>
            </w:r>
          </w:p>
        </w:tc>
        <w:tc>
          <w:tcPr>
            <w:tcW w:type="dxa" w:w="803"/>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4%</w:t>
            </w:r>
          </w:p>
        </w:tc>
        <w:tc>
          <w:tcPr>
            <w:tcW w:type="dxa" w:w="716"/>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16.2%</w:t>
            </w:r>
          </w:p>
        </w:tc>
      </w:tr>
      <w:tr>
        <w:trPr>
          <w:cantSplit/>
        </w:trPr>
        <w:tc>
          <w:tcPr>
            <w:tcW w:type="dxa" w:w="1870"/>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4"/>
                <w:szCs w:val="14"/>
              </w:rPr>
              <w:t xml:space="preserve">Group</w:t>
            </w:r>
          </w:p>
        </w:tc>
        <w:tc>
          <w:tcPr>
            <w:tcW w:type="dxa" w:w="330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4"/>
                <w:szCs w:val="14"/>
              </w:rPr>
              <w:t xml:space="preserve">After ≈−¥12.5bn of unallocated corporate costs</w:t>
            </w:r>
          </w:p>
        </w:tc>
        <w:tc>
          <w:tcPr>
            <w:tcW w:type="dxa" w:w="811"/>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¥474.6bn</w:t>
            </w:r>
          </w:p>
        </w:tc>
        <w:tc>
          <w:tcPr>
            <w:tcW w:type="dxa" w:w="799"/>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100%</w:t>
            </w:r>
          </w:p>
        </w:tc>
        <w:tc>
          <w:tcPr>
            <w:tcW w:type="dxa" w:w="1441"/>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¥95.8bn</w:t>
            </w:r>
          </w:p>
        </w:tc>
        <w:tc>
          <w:tcPr>
            <w:tcW w:type="dxa" w:w="803"/>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w:t>
            </w:r>
          </w:p>
        </w:tc>
        <w:tc>
          <w:tcPr>
            <w:tcW w:type="dxa" w:w="71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20.2%</w:t>
            </w:r>
          </w:p>
        </w:tc>
      </w:tr>
    </w:tbl>
    <w:p>
      <w:pPr>
        <w:spacing w:after="120" w:before="0" w:line="276" w:lineRule="auto"/>
      </w:pPr>
    </w:p>
    <w:p>
      <w:pPr>
        <w:spacing w:after="110" w:before="0" w:line="276" w:lineRule="auto"/>
      </w:pPr>
      <w:r>
        <w:rPr>
          <w:rFonts w:ascii="Arial" w:cs="Arial" w:eastAsia="Yu Gothic" w:hAnsi="Arial"/>
          <w:color w:val="1F2533"/>
          <w:sz w:val="19"/>
          <w:szCs w:val="19"/>
        </w:rPr>
        <w:t xml:space="preserve">Sources: </w:t>
      </w:r>
      <w:hyperlink w:history="1" r:id="rId5jjulwiclza3ra9fvpgvk">
        <w:r>
          <w:rPr>
            <w:rFonts w:ascii="Arial" w:cs="Arial" w:eastAsia="Yu Gothic" w:hAnsi="Arial"/>
            <w:color w:val="2F6FD0"/>
            <w:sz w:val="19"/>
            <w:szCs w:val="19"/>
            <w:u w:val="single"/>
          </w:rPr>
          <w:t xml:space="preserve">FY2025 tanshin</w:t>
        </w:r>
      </w:hyperlink>
      <w:r>
        <w:rPr>
          <w:rFonts w:ascii="Arial" w:cs="Arial" w:eastAsia="Yu Gothic" w:hAnsi="Arial"/>
          <w:color w:val="1F2533"/>
          <w:sz w:val="19"/>
          <w:szCs w:val="19"/>
        </w:rPr>
        <w:t xml:space="preserve">; </w:t>
      </w:r>
      <w:hyperlink w:history="1" r:id="rId9bsfumfnhdqk2khdyplkz">
        <w:r>
          <w:rPr>
            <w:rFonts w:ascii="Arial" w:cs="Arial" w:eastAsia="Yu Gothic" w:hAnsi="Arial"/>
            <w:color w:val="2F6FD0"/>
            <w:sz w:val="19"/>
            <w:szCs w:val="19"/>
            <w:u w:val="single"/>
          </w:rPr>
          <w:t xml:space="preserve">japanir summary</w:t>
        </w:r>
      </w:hyperlink>
      <w:r>
        <w:rPr>
          <w:rFonts w:ascii="Arial" w:cs="Arial" w:eastAsia="Yu Gothic" w:hAnsi="Arial"/>
          <w:color w:val="1F2533"/>
          <w:sz w:val="19"/>
          <w:szCs w:val="19"/>
        </w:rPr>
        <w:t xml:space="preserve">; </w:t>
      </w:r>
      <w:hyperlink w:history="1" r:id="rIdghff5ioqq_fjiy6gz8fux">
        <w:r>
          <w:rPr>
            <w:rFonts w:ascii="Arial" w:cs="Arial" w:eastAsia="Yu Gothic" w:hAnsi="Arial"/>
            <w:color w:val="2F6FD0"/>
            <w:sz w:val="19"/>
            <w:szCs w:val="19"/>
            <w:u w:val="single"/>
          </w:rPr>
          <w:t xml:space="preserve">Gyokai Digest</w:t>
        </w:r>
      </w:hyperlink>
      <w:r>
        <w:rPr>
          <w:rFonts w:ascii="Arial" w:cs="Arial" w:eastAsia="Yu Gothic" w:hAnsi="Arial"/>
          <w:color w:val="1F2533"/>
          <w:sz w:val="19"/>
          <w:szCs w:val="19"/>
        </w:rPr>
        <w:t xml:space="preserve">. "Other" revenue is derived as the residual.</w:t>
      </w:r>
    </w:p>
    <w:p>
      <w:pPr>
        <w:spacing w:after="110" w:before="0" w:line="276" w:lineRule="auto"/>
      </w:pPr>
      <w:r>
        <w:rPr>
          <w:rFonts w:ascii="Arial" w:cs="Arial" w:eastAsia="Yu Gothic" w:hAnsi="Arial"/>
          <w:color w:val="1F2533"/>
          <w:sz w:val="19"/>
          <w:szCs w:val="19"/>
        </w:rPr>
        <w:t xml:space="preserve">In plain terms:</w:t>
      </w:r>
    </w:p>
    <w:p>
      <w:pPr>
        <w:pStyle w:val="ListParagraph"/>
        <w:numPr>
          <w:ilvl w:val="0"/>
          <w:numId w:val="2"/>
        </w:numPr>
        <w:spacing w:after="60" w:line="264" w:lineRule="auto"/>
      </w:pPr>
      <w:r>
        <w:rPr>
          <w:rFonts w:ascii="Arial" w:cs="Arial" w:eastAsia="Yu Gothic" w:hAnsi="Arial"/>
          <w:color w:val="1F2533"/>
          <w:sz w:val="19"/>
          <w:szCs w:val="19"/>
        </w:rPr>
        <w:t xml:space="preserve">The </w:t>
      </w:r>
      <w:r>
        <w:rPr>
          <w:rFonts w:ascii="Arial" w:cs="Arial" w:eastAsia="Yu Gothic" w:hAnsi="Arial"/>
          <w:b/>
          <w:bCs/>
          <w:color w:val="1F2533"/>
          <w:sz w:val="19"/>
          <w:szCs w:val="19"/>
        </w:rPr>
        <w:t xml:space="preserve">Building division is the profit engine</w:t>
      </w:r>
      <w:r>
        <w:rPr>
          <w:rFonts w:ascii="Arial" w:cs="Arial" w:eastAsia="Yu Gothic" w:hAnsi="Arial"/>
          <w:color w:val="1F2533"/>
          <w:sz w:val="19"/>
          <w:szCs w:val="19"/>
        </w:rPr>
        <w:t xml:space="preserve">. In 1H FY2026 its operating profit (¥40.1bn) was larger than the whole group's (¥39.9bn).</w:t>
      </w:r>
    </w:p>
    <w:p>
      <w:pPr>
        <w:pStyle w:val="ListParagraph"/>
        <w:numPr>
          <w:ilvl w:val="0"/>
          <w:numId w:val="2"/>
        </w:numPr>
        <w:spacing w:after="60" w:line="264" w:lineRule="auto"/>
      </w:pPr>
      <w:r>
        <w:rPr>
          <w:rFonts w:ascii="Arial" w:cs="Arial" w:eastAsia="Yu Gothic" w:hAnsi="Arial"/>
          <w:b/>
          <w:bCs/>
          <w:color w:val="1F2533"/>
          <w:sz w:val="19"/>
          <w:szCs w:val="19"/>
        </w:rPr>
        <w:t xml:space="preserve">Residential is the swing factor</w:t>
      </w:r>
      <w:r>
        <w:rPr>
          <w:rFonts w:ascii="Arial" w:cs="Arial" w:eastAsia="Yu Gothic" w:hAnsi="Arial"/>
          <w:color w:val="1F2533"/>
          <w:sz w:val="19"/>
          <w:szCs w:val="19"/>
        </w:rPr>
        <w:t xml:space="preserve">, booming in FY2024 and dipping in 1H FY2026.</w:t>
      </w:r>
    </w:p>
    <w:p>
      <w:pPr>
        <w:pStyle w:val="ListParagraph"/>
        <w:numPr>
          <w:ilvl w:val="0"/>
          <w:numId w:val="2"/>
        </w:numPr>
        <w:spacing w:after="60" w:line="264" w:lineRule="auto"/>
      </w:pPr>
      <w:r>
        <w:rPr>
          <w:rFonts w:ascii="Arial" w:cs="Arial" w:eastAsia="Yu Gothic" w:hAnsi="Arial"/>
          <w:b/>
          <w:bCs/>
          <w:color w:val="1F2533"/>
          <w:sz w:val="19"/>
          <w:szCs w:val="19"/>
        </w:rPr>
        <w:t xml:space="preserve">Fees and resorts are small but steady.</w:t>
      </w:r>
    </w:p>
    <w:p>
      <w:pPr>
        <w:spacing w:after="40" w:before="0" w:line="276" w:lineRule="auto"/>
      </w:pPr>
    </w:p>
    <w:p>
      <w:pPr>
        <w:spacing w:after="110" w:before="0" w:line="276" w:lineRule="auto"/>
      </w:pPr>
      <w:r>
        <w:rPr>
          <w:rFonts w:ascii="Arial" w:cs="Arial" w:eastAsia="Yu Gothic" w:hAnsi="Arial"/>
          <w:color w:val="1F2533"/>
          <w:sz w:val="19"/>
          <w:szCs w:val="19"/>
        </w:rPr>
        <w:t xml:space="preserve">The company borrows heavily, about ¥1.5tn, to fund its buildings. Rising Japanese interest rates are therefore the single biggest outside force on its profits and its share price.</w:t>
      </w:r>
    </w:p>
    <w:p>
      <w:pPr>
        <w:pStyle w:val="Heading1"/>
        <w:keepNext/>
        <w:keepLines/>
        <w:pageBreakBefore/>
        <w:pBdr>
          <w:bottom w:val="single" w:color="2F6FD0" w:sz="12" w:space="6"/>
        </w:pBdr>
        <w:spacing w:after="160" w:before="0" w:line="252" w:lineRule="auto"/>
      </w:pPr>
      <w:r>
        <w:rPr>
          <w:rFonts w:ascii="Arial" w:cs="Arial" w:eastAsia="Yu Gothic" w:hAnsi="Arial"/>
          <w:b/>
          <w:bCs/>
          <w:color w:val="15233F"/>
          <w:sz w:val="32"/>
          <w:szCs w:val="32"/>
        </w:rPr>
        <w:t xml:space="preserve">1. Share-price catalysts: guidance beats drove the rallies, rates drove the sell-offs</w:t>
      </w:r>
    </w:p>
    <w:p>
      <w:pPr>
        <w:pStyle w:val="Heading2"/>
        <w:keepNext/>
        <w:keepLines/>
        <w:spacing w:after="90" w:before="260" w:line="252" w:lineRule="auto"/>
      </w:pPr>
      <w:r>
        <w:rPr>
          <w:rFonts w:ascii="Arial" w:cs="Arial" w:eastAsia="Yu Gothic" w:hAnsi="Arial"/>
          <w:b/>
          <w:bCs/>
          <w:color w:val="15233F"/>
          <w:sz w:val="25"/>
          <w:szCs w:val="25"/>
        </w:rPr>
        <w:t xml:space="preserve">Five-year record</w:t>
      </w:r>
    </w:p>
    <w:p>
      <w:pPr>
        <w:spacing w:after="110" w:before="0" w:line="276" w:lineRule="auto"/>
      </w:pPr>
      <w:r>
        <w:rPr>
          <w:rFonts w:ascii="Arial" w:cs="Arial" w:eastAsia="Yu Gothic" w:hAnsi="Arial"/>
          <w:color w:val="1F2533"/>
          <w:sz w:val="19"/>
          <w:szCs w:val="19"/>
        </w:rPr>
        <w:t xml:space="preserve">Tokyo Tatemono has been one of the better compounders in Japanese real estate. From the end of 2020 to the end of 2025 the share price rose </w:t>
      </w:r>
      <w:r>
        <w:rPr>
          <w:rFonts w:ascii="Arial" w:cs="Arial" w:eastAsia="Yu Gothic" w:hAnsi="Arial"/>
          <w:b/>
          <w:bCs/>
          <w:color w:val="1F2533"/>
          <w:sz w:val="19"/>
          <w:szCs w:val="19"/>
        </w:rPr>
        <w:t xml:space="preserve">150.6%</w:t>
      </w:r>
      <w:r>
        <w:rPr>
          <w:rFonts w:ascii="Arial" w:cs="Arial" w:eastAsia="Yu Gothic" w:hAnsi="Arial"/>
          <w:color w:val="1F2533"/>
          <w:sz w:val="19"/>
          <w:szCs w:val="19"/>
        </w:rPr>
        <w:t xml:space="preserve"> (¥1,415 to ¥3,546). With reported dividends reinvested each year, </w:t>
      </w:r>
      <w:r>
        <w:rPr>
          <w:rFonts w:ascii="Arial" w:cs="Arial" w:eastAsia="Yu Gothic" w:hAnsi="Arial"/>
          <w:b/>
          <w:bCs/>
          <w:color w:val="1F2533"/>
          <w:sz w:val="19"/>
          <w:szCs w:val="19"/>
        </w:rPr>
        <w:t xml:space="preserve">total shareholder return was +197%, or 24.3% a year</w:t>
      </w:r>
      <w:r>
        <w:rPr>
          <w:rFonts w:ascii="Arial" w:cs="Arial" w:eastAsia="Yu Gothic" w:hAnsi="Arial"/>
          <w:color w:val="1F2533"/>
          <w:sz w:val="19"/>
          <w:szCs w:val="19"/>
        </w:rPr>
        <w:t xml:space="preserve">. For comparison, TOPIX gained roughly 89% on price over the same window; those TOPIX levels come from coordinator background data and were only partly verified.</w:t>
      </w:r>
    </w:p>
    <w:p>
      <w:pPr>
        <w:spacing w:after="110" w:before="0" w:line="276" w:lineRule="auto"/>
      </w:pPr>
      <w:r>
        <w:rPr>
          <w:rFonts w:ascii="Arial" w:cs="Arial" w:eastAsia="Yu Gothic" w:hAnsi="Arial"/>
          <w:color w:val="1F2533"/>
          <w:sz w:val="19"/>
          <w:szCs w:val="19"/>
        </w:rPr>
        <w:t xml:space="preserve">Calendar-year price returns: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222"/>
        <w:gridCol w:w="1524"/>
      </w:tblGrid>
      <w:tr>
        <w:trPr>
          <w:cantSplit/>
          <w:tblHeader/>
        </w:trPr>
        <w:tc>
          <w:tcPr>
            <w:tcW w:type="dxa" w:w="8222"/>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bCs/>
                <w:color w:val="FFFFFF"/>
                <w:sz w:val="16"/>
                <w:szCs w:val="16"/>
              </w:rPr>
              <w:t xml:space="preserve">Year</w:t>
            </w:r>
          </w:p>
        </w:tc>
        <w:tc>
          <w:tcPr>
            <w:tcW w:type="dxa" w:w="1524"/>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6"/>
                <w:szCs w:val="16"/>
              </w:rPr>
              <w:t xml:space="preserve">Price return</w:t>
            </w:r>
          </w:p>
        </w:tc>
      </w:tr>
      <w:tr>
        <w:trPr>
          <w:cantSplit/>
        </w:trPr>
        <w:tc>
          <w:tcPr>
            <w:tcW w:type="dxa" w:w="8222"/>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2021</w:t>
            </w:r>
          </w:p>
        </w:tc>
        <w:tc>
          <w:tcPr>
            <w:tcW w:type="dxa" w:w="1524"/>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6"/>
                <w:szCs w:val="16"/>
              </w:rPr>
              <w:t xml:space="preserve">+18.7%</w:t>
            </w:r>
          </w:p>
        </w:tc>
      </w:tr>
      <w:tr>
        <w:trPr>
          <w:cantSplit/>
        </w:trPr>
        <w:tc>
          <w:tcPr>
            <w:tcW w:type="dxa" w:w="8222"/>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2022</w:t>
            </w:r>
          </w:p>
        </w:tc>
        <w:tc>
          <w:tcPr>
            <w:tcW w:type="dxa" w:w="1524"/>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6"/>
                <w:szCs w:val="16"/>
              </w:rPr>
              <w:t xml:space="preserve">−4.8%</w:t>
            </w:r>
          </w:p>
        </w:tc>
      </w:tr>
      <w:tr>
        <w:trPr>
          <w:cantSplit/>
        </w:trPr>
        <w:tc>
          <w:tcPr>
            <w:tcW w:type="dxa" w:w="8222"/>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2023</w:t>
            </w:r>
          </w:p>
        </w:tc>
        <w:tc>
          <w:tcPr>
            <w:tcW w:type="dxa" w:w="1524"/>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6"/>
                <w:szCs w:val="16"/>
              </w:rPr>
              <w:t xml:space="preserve">+32.1%</w:t>
            </w:r>
          </w:p>
        </w:tc>
      </w:tr>
      <w:tr>
        <w:trPr>
          <w:cantSplit/>
        </w:trPr>
        <w:tc>
          <w:tcPr>
            <w:tcW w:type="dxa" w:w="8222"/>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2024</w:t>
            </w:r>
          </w:p>
        </w:tc>
        <w:tc>
          <w:tcPr>
            <w:tcW w:type="dxa" w:w="1524"/>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6"/>
                <w:szCs w:val="16"/>
              </w:rPr>
              <w:t xml:space="preserve">+23.4%</w:t>
            </w:r>
          </w:p>
        </w:tc>
      </w:tr>
      <w:tr>
        <w:trPr>
          <w:cantSplit/>
        </w:trPr>
        <w:tc>
          <w:tcPr>
            <w:tcW w:type="dxa" w:w="8222"/>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2025</w:t>
            </w:r>
          </w:p>
        </w:tc>
        <w:tc>
          <w:tcPr>
            <w:tcW w:type="dxa" w:w="1524"/>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6"/>
                <w:szCs w:val="16"/>
              </w:rPr>
              <w:t xml:space="preserve">+36.0%</w:t>
            </w:r>
          </w:p>
        </w:tc>
      </w:tr>
      <w:tr>
        <w:trPr>
          <w:cantSplit/>
        </w:trPr>
        <w:tc>
          <w:tcPr>
            <w:tcW w:type="dxa" w:w="8222"/>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2026 to 2 Oct</w:t>
            </w:r>
          </w:p>
        </w:tc>
        <w:tc>
          <w:tcPr>
            <w:tcW w:type="dxa" w:w="1524"/>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6"/>
                <w:szCs w:val="16"/>
              </w:rPr>
              <w:t xml:space="preserve">−9.4%</w:t>
            </w:r>
          </w:p>
        </w:tc>
      </w:tr>
    </w:tbl>
    <w:p>
      <w:pPr>
        <w:spacing w:after="120" w:before="0" w:line="276" w:lineRule="auto"/>
      </w:pPr>
    </w:p>
    <w:p>
      <w:pPr>
        <w:spacing w:after="110" w:before="0" w:line="276" w:lineRule="auto"/>
      </w:pPr>
      <w:r>
        <w:rPr>
          <w:rFonts w:ascii="Arial" w:cs="Arial" w:eastAsia="Yu Gothic" w:hAnsi="Arial"/>
          <w:color w:val="1F2533"/>
          <w:sz w:val="19"/>
          <w:szCs w:val="19"/>
        </w:rPr>
        <w:t xml:space="preserve">Source: </w:t>
      </w:r>
      <w:hyperlink w:history="1" r:id="rIdfgi1aans-xfy2-5r1ft8m">
        <w:r>
          <w:rPr>
            <w:rFonts w:ascii="Arial" w:cs="Arial" w:eastAsia="Yu Gothic" w:hAnsi="Arial"/>
            <w:color w:val="2F6FD0"/>
            <w:sz w:val="19"/>
            <w:szCs w:val="19"/>
            <w:u w:val="single"/>
          </w:rPr>
          <w:t xml:space="preserve">Nikkei 10-year price history</w:t>
        </w:r>
      </w:hyperlink>
      <w:r>
        <w:rPr>
          <w:rFonts w:ascii="Arial" w:cs="Arial" w:eastAsia="Yu Gothic" w:hAnsi="Arial"/>
          <w:color w:val="1F2533"/>
          <w:sz w:val="19"/>
          <w:szCs w:val="19"/>
        </w:rPr>
        <w:t xml:space="preserve">.</w:t>
      </w:r>
    </w:p>
    <w:p>
      <w:pPr>
        <w:keepNext/>
        <w:spacing w:after="40" w:before="80" w:line="240" w:lineRule="auto"/>
        <w:jc w:val="center"/>
      </w:pPr>
      <w:r>
        <w:drawing>
          <wp:inline distT="0" distB="0" distL="0" distR="0">
            <wp:extent cx="6191250" cy="3467100"/>
            <wp:effectExtent t="0" r="0" b="0" l="0"/>
            <wp:docPr id="1" name="fig01_price_history.png" descr="Figure 1: Share price, end-2020 to 2 October 2026, with the main catalysts numbered." title="Figure 1: Share price, end-2020 to 2 October 2026, with the main catalysts numb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91250" cy="3467100"/>
                    </a:xfrm>
                    <a:prstGeom prst="rect">
                      <a:avLst/>
                    </a:prstGeom>
                  </pic:spPr>
                </pic:pic>
              </a:graphicData>
            </a:graphic>
          </wp:inline>
        </w:drawing>
      </w:r>
    </w:p>
    <w:p>
      <w:pPr>
        <w:spacing w:after="160" w:before="0" w:line="276" w:lineRule="auto"/>
        <w:jc w:val="left"/>
      </w:pPr>
      <w:r>
        <w:rPr>
          <w:rFonts w:ascii="Arial" w:cs="Arial" w:eastAsia="Yu Gothic" w:hAnsi="Arial"/>
          <w:i/>
          <w:iCs/>
          <w:color w:val="5B6577"/>
          <w:sz w:val="16"/>
          <w:szCs w:val="16"/>
        </w:rPr>
        <w:t xml:space="preserve">Figure 1: Share price, end-2020 to 2 October 2026, with the main catalysts numbered.</w:t>
      </w:r>
    </w:p>
    <w:p>
      <w:pPr>
        <w:spacing w:after="110" w:before="0" w:line="276" w:lineRule="auto"/>
      </w:pPr>
      <w:r>
        <w:rPr>
          <w:rFonts w:ascii="Arial" w:cs="Arial" w:eastAsia="Yu Gothic" w:hAnsi="Arial"/>
          <w:b/>
          <w:bCs/>
          <w:color w:val="1F2533"/>
          <w:sz w:val="19"/>
          <w:szCs w:val="19"/>
        </w:rPr>
        <w:t xml:space="preserve">Earnings drove most of the gain until 2024.</w:t>
      </w:r>
      <w:r>
        <w:rPr>
          <w:rFonts w:ascii="Arial" w:cs="Arial" w:eastAsia="Yu Gothic" w:hAnsi="Arial"/>
          <w:color w:val="1F2533"/>
          <w:sz w:val="19"/>
          <w:szCs w:val="19"/>
        </w:rPr>
        <w:t xml:space="preserve"> From FY2021 to FY2024, EPS rose 88.5% while the price rose 55.2%. The trailing P/E therefore fell from 10.0x to 8.3x.</w:t>
      </w:r>
    </w:p>
    <w:p>
      <w:pPr>
        <w:spacing w:after="110" w:before="0" w:line="276" w:lineRule="auto"/>
      </w:pPr>
      <w:r>
        <w:rPr>
          <w:rFonts w:ascii="Arial" w:cs="Arial" w:eastAsia="Yu Gothic" w:hAnsi="Arial"/>
          <w:b/>
          <w:bCs/>
          <w:color w:val="1F2533"/>
          <w:sz w:val="19"/>
          <w:szCs w:val="19"/>
        </w:rPr>
        <w:t xml:space="preserve">2025 was a re-rating year.</w:t>
      </w:r>
      <w:r>
        <w:rPr>
          <w:rFonts w:ascii="Arial" w:cs="Arial" w:eastAsia="Yu Gothic" w:hAnsi="Arial"/>
          <w:color w:val="1F2533"/>
          <w:sz w:val="19"/>
          <w:szCs w:val="19"/>
        </w:rPr>
        <w:t xml:space="preserve"> The shares rose 36% even though EPS fell 10%, lifting the year-end P/E to 12.5x.</w:t>
      </w:r>
    </w:p>
    <w:p>
      <w:pPr>
        <w:spacing w:after="110" w:before="0" w:line="276" w:lineRule="auto"/>
      </w:pPr>
      <w:r>
        <w:rPr>
          <w:rFonts w:ascii="Arial" w:cs="Arial" w:eastAsia="Yu Gothic" w:hAnsi="Arial"/>
          <w:b/>
          <w:bCs/>
          <w:color w:val="1F2533"/>
          <w:sz w:val="19"/>
          <w:szCs w:val="19"/>
        </w:rPr>
        <w:t xml:space="preserve">2026 has reversed part of that re-rating.</w:t>
      </w:r>
    </w:p>
    <w:p>
      <w:pPr>
        <w:pStyle w:val="Heading2"/>
        <w:keepNext/>
        <w:keepLines/>
        <w:spacing w:after="90" w:before="260" w:line="252" w:lineRule="auto"/>
      </w:pPr>
      <w:r>
        <w:rPr>
          <w:rFonts w:ascii="Arial" w:cs="Arial" w:eastAsia="Yu Gothic" w:hAnsi="Arial"/>
          <w:b/>
          <w:bCs/>
          <w:color w:val="15233F"/>
          <w:sz w:val="25"/>
          <w:szCs w:val="25"/>
        </w:rPr>
        <w:t xml:space="preserve">Every move of more than 10% since October 2021</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9"/>
        <w:gridCol w:w="1726"/>
        <w:gridCol w:w="1724"/>
        <w:gridCol w:w="3932"/>
        <w:gridCol w:w="1975"/>
      </w:tblGrid>
      <w:tr>
        <w:trPr>
          <w:cantSplit/>
          <w:tblHeader/>
        </w:trPr>
        <w:tc>
          <w:tcPr>
            <w:tcW w:type="dxa" w:w="389"/>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bCs/>
                <w:color w:val="FFFFFF"/>
                <w:sz w:val="15"/>
                <w:szCs w:val="15"/>
              </w:rPr>
              <w:t xml:space="preserve">#</w:t>
            </w:r>
          </w:p>
        </w:tc>
        <w:tc>
          <w:tcPr>
            <w:tcW w:type="dxa" w:w="1726"/>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5"/>
                <w:szCs w:val="15"/>
              </w:rPr>
              <w:t xml:space="preserve">Window</w:t>
            </w:r>
          </w:p>
        </w:tc>
        <w:tc>
          <w:tcPr>
            <w:tcW w:type="dxa" w:w="1724"/>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5"/>
                <w:szCs w:val="15"/>
              </w:rPr>
              <w:t xml:space="preserve">Move</w:t>
            </w:r>
          </w:p>
        </w:tc>
        <w:tc>
          <w:tcPr>
            <w:tcW w:type="dxa" w:w="3932"/>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5"/>
                <w:szCs w:val="15"/>
              </w:rPr>
              <w:t xml:space="preserve">Catalyst</w:t>
            </w:r>
          </w:p>
        </w:tc>
        <w:tc>
          <w:tcPr>
            <w:tcW w:type="dxa" w:w="1975"/>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5"/>
                <w:szCs w:val="15"/>
              </w:rPr>
              <w:t xml:space="preserve">Type</w:t>
            </w:r>
          </w:p>
        </w:tc>
      </w:tr>
      <w:tr>
        <w:trPr>
          <w:cantSplit/>
        </w:trPr>
        <w:tc>
          <w:tcPr>
            <w:tcW w:type="dxa" w:w="389"/>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5"/>
                <w:szCs w:val="15"/>
              </w:rPr>
              <w:t xml:space="preserve">1</w:t>
            </w:r>
          </w:p>
        </w:tc>
        <w:tc>
          <w:tcPr>
            <w:tcW w:type="dxa" w:w="172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2022 high → 2023 low (exact dates not available)</w:t>
            </w:r>
          </w:p>
        </w:tc>
        <w:tc>
          <w:tcPr>
            <w:tcW w:type="dxa" w:w="1724"/>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¥2,190 → ¥1,484 (−32%)</w:t>
            </w:r>
          </w:p>
        </w:tc>
        <w:tc>
          <w:tcPr>
            <w:tcW w:type="dxa" w:w="3932"/>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Not verified. The 2022 close was only 1.9% above the year's low, which fits a late-December slump around the BOJ's December 2022 yield-curve-control change (inference)</w:t>
            </w:r>
          </w:p>
        </w:tc>
        <w:tc>
          <w:tcPr>
            <w:tcW w:type="dxa" w:w="1975"/>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Macro (inferred)</w:t>
            </w:r>
          </w:p>
        </w:tc>
      </w:tr>
      <w:tr>
        <w:trPr>
          <w:cantSplit/>
        </w:trPr>
        <w:tc>
          <w:tcPr>
            <w:tcW w:type="dxa" w:w="389"/>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5"/>
                <w:szCs w:val="15"/>
              </w:rPr>
              <w:t xml:space="preserve">2</w:t>
            </w:r>
          </w:p>
        </w:tc>
        <w:tc>
          <w:tcPr>
            <w:tcW w:type="dxa" w:w="1726"/>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2023 low → 2023 high</w:t>
            </w:r>
          </w:p>
        </w:tc>
        <w:tc>
          <w:tcPr>
            <w:tcW w:type="dxa" w:w="1724"/>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¥1,484 → ¥2,191 (+48%)</w:t>
            </w:r>
          </w:p>
        </w:tc>
        <w:tc>
          <w:tcPr>
            <w:tcW w:type="dxa" w:w="3932"/>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Not verified. FY2022 net income rose 23% and dividend per share rose from ¥51 to ¥65</w:t>
            </w:r>
          </w:p>
        </w:tc>
        <w:tc>
          <w:tcPr>
            <w:tcW w:type="dxa" w:w="1975"/>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n/a</w:t>
            </w:r>
          </w:p>
        </w:tc>
      </w:tr>
      <w:tr>
        <w:trPr>
          <w:cantSplit/>
        </w:trPr>
        <w:tc>
          <w:tcPr>
            <w:tcW w:type="dxa" w:w="389"/>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5"/>
                <w:szCs w:val="15"/>
              </w:rPr>
              <w:t xml:space="preserve">3</w:t>
            </w:r>
          </w:p>
        </w:tc>
        <w:tc>
          <w:tcPr>
            <w:tcW w:type="dxa" w:w="172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2024 low → 2024 high</w:t>
            </w:r>
          </w:p>
        </w:tc>
        <w:tc>
          <w:tcPr>
            <w:tcW w:type="dxa" w:w="1724"/>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¥2,029 → ¥2,774 (+37%)</w:t>
            </w:r>
          </w:p>
        </w:tc>
        <w:tc>
          <w:tcPr>
            <w:tcW w:type="dxa" w:w="3932"/>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Not verified. FY2024 was the record net-income year (+46%)</w:t>
            </w:r>
          </w:p>
        </w:tc>
        <w:tc>
          <w:tcPr>
            <w:tcW w:type="dxa" w:w="1975"/>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n/a</w:t>
            </w:r>
          </w:p>
        </w:tc>
      </w:tr>
      <w:tr>
        <w:trPr>
          <w:cantSplit/>
        </w:trPr>
        <w:tc>
          <w:tcPr>
            <w:tcW w:type="dxa" w:w="389"/>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5"/>
                <w:szCs w:val="15"/>
              </w:rPr>
              <w:t xml:space="preserve">4</w:t>
            </w:r>
          </w:p>
        </w:tc>
        <w:tc>
          <w:tcPr>
            <w:tcW w:type="dxa" w:w="1726"/>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6 Jan → 7 Apr 2025</w:t>
            </w:r>
          </w:p>
        </w:tc>
        <w:tc>
          <w:tcPr>
            <w:tcW w:type="dxa" w:w="1724"/>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¥2,594 → ¥2,237.5 (−13.7%)</w:t>
            </w:r>
          </w:p>
        </w:tc>
        <w:tc>
          <w:tcPr>
            <w:tcW w:type="dxa" w:w="3932"/>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The new 2025–27 medium-term plan (16 Jan 2025) was seen as "物足りない" (underwhelming) (</w:t>
            </w:r>
            <w:hyperlink w:history="1" r:id="rIdqtc7knwgiwz0imdcpnmvk">
              <w:r>
                <w:rPr>
                  <w:rFonts w:ascii="Arial" w:cs="Arial" w:eastAsia="Yu Gothic" w:hAnsi="Arial"/>
                  <w:color w:val="2F6FD0"/>
                  <w:sz w:val="15"/>
                  <w:szCs w:val="15"/>
                  <w:u w:val="single"/>
                </w:rPr>
                <w:t xml:space="preserve">Nikkei</w:t>
              </w:r>
            </w:hyperlink>
            <w:r>
              <w:rPr>
                <w:rFonts w:ascii="Arial" w:cs="Arial" w:eastAsia="Yu Gothic" w:hAnsi="Arial"/>
                <w:color w:val="1F2533"/>
                <w:sz w:val="15"/>
                <w:szCs w:val="15"/>
              </w:rPr>
              <w:t xml:space="preserve">), followed by the April global tariff sell-off</w:t>
            </w:r>
          </w:p>
        </w:tc>
        <w:tc>
          <w:tcPr>
            <w:tcW w:type="dxa" w:w="1975"/>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Mixed</w:t>
            </w:r>
          </w:p>
        </w:tc>
      </w:tr>
      <w:tr>
        <w:trPr>
          <w:cantSplit/>
        </w:trPr>
        <w:tc>
          <w:tcPr>
            <w:tcW w:type="dxa" w:w="389"/>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5"/>
                <w:szCs w:val="15"/>
              </w:rPr>
              <w:t xml:space="preserve">5</w:t>
            </w:r>
          </w:p>
        </w:tc>
        <w:tc>
          <w:tcPr>
            <w:tcW w:type="dxa" w:w="172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7 Apr → 7 Oct 2025</w:t>
            </w:r>
          </w:p>
        </w:tc>
        <w:tc>
          <w:tcPr>
            <w:tcW w:type="dxa" w:w="1724"/>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+37.4% to ¥3,074</w:t>
            </w:r>
          </w:p>
        </w:tc>
        <w:tc>
          <w:tcPr>
            <w:tcW w:type="dxa" w:w="3932"/>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Recovery from the tariff shock, supported by a ¥3.0bn buyback (13 Feb–31 Aug 2025)</w:t>
            </w:r>
          </w:p>
        </w:tc>
        <w:tc>
          <w:tcPr>
            <w:tcW w:type="dxa" w:w="1975"/>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Market plus buyback</w:t>
            </w:r>
          </w:p>
        </w:tc>
      </w:tr>
      <w:tr>
        <w:trPr>
          <w:cantSplit/>
        </w:trPr>
        <w:tc>
          <w:tcPr>
            <w:tcW w:type="dxa" w:w="389"/>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5"/>
                <w:szCs w:val="15"/>
              </w:rPr>
              <w:t xml:space="preserve">6</w:t>
            </w:r>
          </w:p>
        </w:tc>
        <w:tc>
          <w:tcPr>
            <w:tcW w:type="dxa" w:w="1726"/>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13 → 14 Nov 2025</w:t>
            </w:r>
          </w:p>
        </w:tc>
        <w:tc>
          <w:tcPr>
            <w:tcW w:type="dxa" w:w="1724"/>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bCs/>
                <w:color w:val="1F2533"/>
                <w:sz w:val="15"/>
                <w:szCs w:val="15"/>
              </w:rPr>
              <w:t xml:space="preserve">+10.4% in one day</w:t>
            </w:r>
            <w:r>
              <w:rPr>
                <w:rFonts w:ascii="Arial" w:cs="Arial" w:eastAsia="Yu Gothic" w:hAnsi="Arial"/>
                <w:color w:val="1F2533"/>
                <w:sz w:val="15"/>
                <w:szCs w:val="15"/>
              </w:rPr>
              <w:t xml:space="preserve"> (¥2,994 → ¥3,305)</w:t>
            </w:r>
          </w:p>
        </w:tc>
        <w:tc>
          <w:tcPr>
            <w:tcW w:type="dxa" w:w="3932"/>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Q3 upgrade: FY2025 operating-profit guidance raised ¥6.5bn to ¥92.5bn, net income to ¥58.0bn, dividend +¥6 to ¥103; cancellation of treasury shares considered (</w:t>
            </w:r>
            <w:hyperlink w:history="1" r:id="rIdswpltknro_kp_2uelr9si">
              <w:r>
                <w:rPr>
                  <w:rFonts w:ascii="Arial" w:cs="Arial" w:eastAsia="Yu Gothic" w:hAnsi="Arial"/>
                  <w:color w:val="2F6FD0"/>
                  <w:sz w:val="15"/>
                  <w:szCs w:val="15"/>
                  <w:u w:val="single"/>
                </w:rPr>
                <w:t xml:space="preserve">Nikkei</w:t>
              </w:r>
            </w:hyperlink>
            <w:r>
              <w:rPr>
                <w:rFonts w:ascii="Arial" w:cs="Arial" w:eastAsia="Yu Gothic" w:hAnsi="Arial"/>
                <w:color w:val="1F2533"/>
                <w:sz w:val="15"/>
                <w:szCs w:val="15"/>
              </w:rPr>
              <w:t xml:space="preserve">; </w:t>
            </w:r>
            <w:hyperlink w:history="1" r:id="rIdbdchwdxd0dqdttxmk9rit">
              <w:r>
                <w:rPr>
                  <w:rFonts w:ascii="Arial" w:cs="Arial" w:eastAsia="Yu Gothic" w:hAnsi="Arial"/>
                  <w:color w:val="2F6FD0"/>
                  <w:sz w:val="15"/>
                  <w:szCs w:val="15"/>
                  <w:u w:val="single"/>
                </w:rPr>
                <w:t xml:space="preserve">f-p.jp/Kabutan</w:t>
              </w:r>
            </w:hyperlink>
            <w:r>
              <w:rPr>
                <w:rFonts w:ascii="Arial" w:cs="Arial" w:eastAsia="Yu Gothic" w:hAnsi="Arial"/>
                <w:color w:val="1F2533"/>
                <w:sz w:val="15"/>
                <w:szCs w:val="15"/>
              </w:rPr>
              <w:t xml:space="preserve">)</w:t>
            </w:r>
          </w:p>
        </w:tc>
        <w:tc>
          <w:tcPr>
            <w:tcW w:type="dxa" w:w="1975"/>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bCs/>
                <w:color w:val="1F2533"/>
                <w:sz w:val="15"/>
                <w:szCs w:val="15"/>
              </w:rPr>
              <w:t xml:space="preserve">Stock-specific</w:t>
            </w:r>
          </w:p>
        </w:tc>
      </w:tr>
      <w:tr>
        <w:trPr>
          <w:cantSplit/>
        </w:trPr>
        <w:tc>
          <w:tcPr>
            <w:tcW w:type="dxa" w:w="389"/>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5"/>
                <w:szCs w:val="15"/>
              </w:rPr>
              <w:t xml:space="preserve">7</w:t>
            </w:r>
          </w:p>
        </w:tc>
        <w:tc>
          <w:tcPr>
            <w:tcW w:type="dxa" w:w="172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13 Nov → 26 Dec 2025</w:t>
            </w:r>
          </w:p>
        </w:tc>
        <w:tc>
          <w:tcPr>
            <w:tcW w:type="dxa" w:w="1724"/>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+22.1% to ¥3,655</w:t>
            </w:r>
          </w:p>
        </w:tc>
        <w:tc>
          <w:tcPr>
            <w:tcW w:type="dxa" w:w="3932"/>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Follow-through, even though the BOJ raised rates to 0.75% and the 10-year JGB touched 2.1%</w:t>
            </w:r>
          </w:p>
        </w:tc>
        <w:tc>
          <w:tcPr>
            <w:tcW w:type="dxa" w:w="1975"/>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Stock-specific, against the rates headwind</w:t>
            </w:r>
          </w:p>
        </w:tc>
      </w:tr>
      <w:tr>
        <w:trPr>
          <w:cantSplit/>
        </w:trPr>
        <w:tc>
          <w:tcPr>
            <w:tcW w:type="dxa" w:w="389"/>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5"/>
                <w:szCs w:val="15"/>
              </w:rPr>
              <w:t xml:space="preserve">8</w:t>
            </w:r>
          </w:p>
        </w:tc>
        <w:tc>
          <w:tcPr>
            <w:tcW w:type="dxa" w:w="1726"/>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February 2026</w:t>
            </w:r>
          </w:p>
        </w:tc>
        <w:tc>
          <w:tcPr>
            <w:tcW w:type="dxa" w:w="1724"/>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bCs/>
                <w:color w:val="1F2533"/>
                <w:sz w:val="15"/>
                <w:szCs w:val="15"/>
              </w:rPr>
              <w:t xml:space="preserve">+20.5%</w:t>
            </w:r>
            <w:r>
              <w:rPr>
                <w:rFonts w:ascii="Arial" w:cs="Arial" w:eastAsia="Yu Gothic" w:hAnsi="Arial"/>
                <w:color w:val="1F2533"/>
                <w:sz w:val="15"/>
                <w:szCs w:val="15"/>
              </w:rPr>
              <w:t xml:space="preserve"> to an all-time high of ¥4,374 (27 Feb)</w:t>
            </w:r>
          </w:p>
        </w:tc>
        <w:tc>
          <w:tcPr>
            <w:tcW w:type="dxa" w:w="3932"/>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FY2025 record operating profit; FY2026 net-income guidance of ¥63.0bn vs QUICK consensus of ¥61.25bn; dividend guidance ¥122 (+¥17, a 40% payout a year early) (</w:t>
            </w:r>
            <w:hyperlink w:history="1" r:id="rIdg-2thxxxoob4vqaktm8nc">
              <w:r>
                <w:rPr>
                  <w:rFonts w:ascii="Arial" w:cs="Arial" w:eastAsia="Yu Gothic" w:hAnsi="Arial"/>
                  <w:color w:val="2F6FD0"/>
                  <w:sz w:val="15"/>
                  <w:szCs w:val="15"/>
                  <w:u w:val="single"/>
                </w:rPr>
                <w:t xml:space="preserve">Nikkei/QUICK</w:t>
              </w:r>
            </w:hyperlink>
            <w:r>
              <w:rPr>
                <w:rFonts w:ascii="Arial" w:cs="Arial" w:eastAsia="Yu Gothic" w:hAnsi="Arial"/>
                <w:color w:val="1F2533"/>
                <w:sz w:val="15"/>
                <w:szCs w:val="15"/>
              </w:rPr>
              <w:t xml:space="preserve">)</w:t>
            </w:r>
          </w:p>
        </w:tc>
        <w:tc>
          <w:tcPr>
            <w:tcW w:type="dxa" w:w="1975"/>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Stock-specific plus sector boom</w:t>
            </w:r>
          </w:p>
        </w:tc>
      </w:tr>
      <w:tr>
        <w:trPr>
          <w:cantSplit/>
        </w:trPr>
        <w:tc>
          <w:tcPr>
            <w:tcW w:type="dxa" w:w="389"/>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5"/>
                <w:szCs w:val="15"/>
              </w:rPr>
              <w:t xml:space="preserve">9</w:t>
            </w:r>
          </w:p>
        </w:tc>
        <w:tc>
          <w:tcPr>
            <w:tcW w:type="dxa" w:w="172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27 Feb → March low</w:t>
            </w:r>
          </w:p>
        </w:tc>
        <w:tc>
          <w:tcPr>
            <w:tcW w:type="dxa" w:w="1724"/>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bCs/>
                <w:color w:val="1F2533"/>
                <w:sz w:val="15"/>
                <w:szCs w:val="15"/>
              </w:rPr>
              <w:t xml:space="preserve">−20.9%</w:t>
            </w:r>
            <w:r>
              <w:rPr>
                <w:rFonts w:ascii="Arial" w:cs="Arial" w:eastAsia="Yu Gothic" w:hAnsi="Arial"/>
                <w:color w:val="1F2533"/>
                <w:sz w:val="15"/>
                <w:szCs w:val="15"/>
              </w:rPr>
              <w:t xml:space="preserve"> (to ¥3,462); March month −18.0%</w:t>
            </w:r>
          </w:p>
        </w:tc>
        <w:tc>
          <w:tcPr>
            <w:tcW w:type="dxa" w:w="3932"/>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10-year JGB up from 2.13% to 2.37% on oil-driven inflation fears; sector-wide sell-off (</w:t>
            </w:r>
            <w:hyperlink w:history="1" r:id="rIdq37plmhtjzgredjfcexeu">
              <w:r>
                <w:rPr>
                  <w:rFonts w:ascii="Arial" w:cs="Arial" w:eastAsia="Yu Gothic" w:hAnsi="Arial"/>
                  <w:color w:val="2F6FD0"/>
                  <w:sz w:val="15"/>
                  <w:szCs w:val="15"/>
                  <w:u w:val="single"/>
                </w:rPr>
                <w:t xml:space="preserve">PayPay Securities</w:t>
              </w:r>
            </w:hyperlink>
            <w:r>
              <w:rPr>
                <w:rFonts w:ascii="Arial" w:cs="Arial" w:eastAsia="Yu Gothic" w:hAnsi="Arial"/>
                <w:color w:val="1F2533"/>
                <w:sz w:val="15"/>
                <w:szCs w:val="15"/>
              </w:rPr>
              <w:t xml:space="preserve">)</w:t>
            </w:r>
          </w:p>
        </w:tc>
        <w:tc>
          <w:tcPr>
            <w:tcW w:type="dxa" w:w="1975"/>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bCs/>
                <w:color w:val="1F2533"/>
                <w:sz w:val="15"/>
                <w:szCs w:val="15"/>
              </w:rPr>
              <w:t xml:space="preserve">Macro/sector</w:t>
            </w:r>
          </w:p>
        </w:tc>
      </w:tr>
      <w:tr>
        <w:trPr>
          <w:cantSplit/>
        </w:trPr>
        <w:tc>
          <w:tcPr>
            <w:tcW w:type="dxa" w:w="389"/>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5"/>
                <w:szCs w:val="15"/>
              </w:rPr>
              <w:t xml:space="preserve">10</w:t>
            </w:r>
          </w:p>
        </w:tc>
        <w:tc>
          <w:tcPr>
            <w:tcW w:type="dxa" w:w="1726"/>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March low → April high</w:t>
            </w:r>
          </w:p>
        </w:tc>
        <w:tc>
          <w:tcPr>
            <w:tcW w:type="dxa" w:w="1724"/>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+13.3% (¥3,922)</w:t>
            </w:r>
          </w:p>
        </w:tc>
        <w:tc>
          <w:tcPr>
            <w:tcW w:type="dxa" w:w="3932"/>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Relief rally; "double bottom" commentary</w:t>
            </w:r>
          </w:p>
        </w:tc>
        <w:tc>
          <w:tcPr>
            <w:tcW w:type="dxa" w:w="1975"/>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Sector</w:t>
            </w:r>
          </w:p>
        </w:tc>
      </w:tr>
      <w:tr>
        <w:trPr>
          <w:cantSplit/>
        </w:trPr>
        <w:tc>
          <w:tcPr>
            <w:tcW w:type="dxa" w:w="389"/>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5"/>
                <w:szCs w:val="15"/>
              </w:rPr>
              <w:t xml:space="preserve">11</w:t>
            </w:r>
          </w:p>
        </w:tc>
        <w:tc>
          <w:tcPr>
            <w:tcW w:type="dxa" w:w="172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April high → 28 May 2026</w:t>
            </w:r>
          </w:p>
        </w:tc>
        <w:tc>
          <w:tcPr>
            <w:tcW w:type="dxa" w:w="1724"/>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bCs/>
                <w:color w:val="1F2533"/>
                <w:sz w:val="15"/>
                <w:szCs w:val="15"/>
              </w:rPr>
              <w:t xml:space="preserve">−21.4%</w:t>
            </w:r>
            <w:r>
              <w:rPr>
                <w:rFonts w:ascii="Arial" w:cs="Arial" w:eastAsia="Yu Gothic" w:hAnsi="Arial"/>
                <w:color w:val="1F2533"/>
                <w:sz w:val="15"/>
                <w:szCs w:val="15"/>
              </w:rPr>
              <w:t xml:space="preserve"> (to the 2026 low of ¥3,083)</w:t>
            </w:r>
          </w:p>
        </w:tc>
        <w:tc>
          <w:tcPr>
            <w:tcW w:type="dxa" w:w="3932"/>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Weak Q1: net income −60%, condo handovers 235 vs 772 units (</w:t>
            </w:r>
            <w:hyperlink w:history="1" r:id="rIdy6_c-ixtf_gypggjxjoli">
              <w:r>
                <w:rPr>
                  <w:rFonts w:ascii="Arial" w:cs="Arial" w:eastAsia="Yu Gothic" w:hAnsi="Arial"/>
                  <w:color w:val="2F6FD0"/>
                  <w:sz w:val="15"/>
                  <w:szCs w:val="15"/>
                  <w:u w:val="single"/>
                </w:rPr>
                <w:t xml:space="preserve">Nikkei</w:t>
              </w:r>
            </w:hyperlink>
            <w:r>
              <w:rPr>
                <w:rFonts w:ascii="Arial" w:cs="Arial" w:eastAsia="Yu Gothic" w:hAnsi="Arial"/>
                <w:color w:val="1F2533"/>
                <w:sz w:val="15"/>
                <w:szCs w:val="15"/>
              </w:rPr>
              <w:t xml:space="preserve">). TOPIX Real Estate hit a year-to-date low on 18 May (</w:t>
            </w:r>
            <w:hyperlink w:history="1" r:id="rIdjmhmmcqcdiat20gggqfel">
              <w:r>
                <w:rPr>
                  <w:rFonts w:ascii="Arial" w:cs="Arial" w:eastAsia="Yu Gothic" w:hAnsi="Arial"/>
                  <w:color w:val="2F6FD0"/>
                  <w:sz w:val="15"/>
                  <w:szCs w:val="15"/>
                  <w:u w:val="single"/>
                </w:rPr>
                <w:t xml:space="preserve">Nikkei</w:t>
              </w:r>
            </w:hyperlink>
            <w:r>
              <w:rPr>
                <w:rFonts w:ascii="Arial" w:cs="Arial" w:eastAsia="Yu Gothic" w:hAnsi="Arial"/>
                <w:color w:val="1F2533"/>
                <w:sz w:val="15"/>
                <w:szCs w:val="15"/>
              </w:rPr>
              <w:t xml:space="preserve">)</w:t>
            </w:r>
          </w:p>
        </w:tc>
        <w:tc>
          <w:tcPr>
            <w:tcW w:type="dxa" w:w="1975"/>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Mixed</w:t>
            </w:r>
          </w:p>
        </w:tc>
      </w:tr>
      <w:tr>
        <w:trPr>
          <w:cantSplit/>
        </w:trPr>
        <w:tc>
          <w:tcPr>
            <w:tcW w:type="dxa" w:w="389"/>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5"/>
                <w:szCs w:val="15"/>
              </w:rPr>
              <w:t xml:space="preserve">12</w:t>
            </w:r>
          </w:p>
        </w:tc>
        <w:tc>
          <w:tcPr>
            <w:tcW w:type="dxa" w:w="1726"/>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28 May → July high</w:t>
            </w:r>
          </w:p>
        </w:tc>
        <w:tc>
          <w:tcPr>
            <w:tcW w:type="dxa" w:w="1724"/>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+14.9% (¥3,542)</w:t>
            </w:r>
          </w:p>
        </w:tc>
        <w:tc>
          <w:tcPr>
            <w:tcW w:type="dxa" w:w="3932"/>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Rebound held through the BOJ's June hike to 1.00%</w:t>
            </w:r>
          </w:p>
        </w:tc>
        <w:tc>
          <w:tcPr>
            <w:tcW w:type="dxa" w:w="1975"/>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n/a</w:t>
            </w:r>
          </w:p>
        </w:tc>
      </w:tr>
      <w:tr>
        <w:trPr>
          <w:cantSplit/>
        </w:trPr>
        <w:tc>
          <w:tcPr>
            <w:tcW w:type="dxa" w:w="389"/>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5"/>
                <w:szCs w:val="15"/>
              </w:rPr>
              <w:t xml:space="preserve">13</w:t>
            </w:r>
          </w:p>
        </w:tc>
        <w:tc>
          <w:tcPr>
            <w:tcW w:type="dxa" w:w="172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July high → 2 Oct 2026</w:t>
            </w:r>
          </w:p>
        </w:tc>
        <w:tc>
          <w:tcPr>
            <w:tcW w:type="dxa" w:w="1724"/>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−9.3% (just below the threshold)</w:t>
            </w:r>
          </w:p>
        </w:tc>
        <w:tc>
          <w:tcPr>
            <w:tcW w:type="dxa" w:w="3932"/>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BOJ hike to 1.25% on 18 Sep (</w:t>
            </w:r>
            <w:hyperlink w:history="1" r:id="rIddx6klyw6h3556hbksc094">
              <w:r>
                <w:rPr>
                  <w:rFonts w:ascii="Arial" w:cs="Arial" w:eastAsia="Yu Gothic" w:hAnsi="Arial"/>
                  <w:color w:val="2F6FD0"/>
                  <w:sz w:val="15"/>
                  <w:szCs w:val="15"/>
                  <w:u w:val="single"/>
                </w:rPr>
                <w:t xml:space="preserve">NHK</w:t>
              </w:r>
            </w:hyperlink>
            <w:r>
              <w:rPr>
                <w:rFonts w:ascii="Arial" w:cs="Arial" w:eastAsia="Yu Gothic" w:hAnsi="Arial"/>
                <w:color w:val="1F2533"/>
                <w:sz w:val="15"/>
                <w:szCs w:val="15"/>
              </w:rPr>
              <w:t xml:space="preserve">)</w:t>
            </w:r>
          </w:p>
        </w:tc>
        <w:tc>
          <w:tcPr>
            <w:tcW w:type="dxa" w:w="1975"/>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Macro</w:t>
            </w:r>
          </w:p>
        </w:tc>
      </w:tr>
    </w:tbl>
    <w:p>
      <w:pPr>
        <w:spacing w:after="120" w:before="0" w:line="276" w:lineRule="auto"/>
      </w:pPr>
    </w:p>
    <w:p>
      <w:pPr>
        <w:spacing w:after="110" w:before="0" w:line="276" w:lineRule="auto"/>
      </w:pPr>
      <w:r>
        <w:rPr>
          <w:rFonts w:ascii="Arial" w:cs="Arial" w:eastAsia="Yu Gothic" w:hAnsi="Arial"/>
          <w:color w:val="1F2533"/>
          <w:sz w:val="19"/>
          <w:szCs w:val="19"/>
        </w:rPr>
        <w:t xml:space="preserve">Sources: </w:t>
      </w:r>
      <w:hyperlink w:history="1" r:id="rId6kxq4hpp-mwmymmgjj3-2">
        <w:r>
          <w:rPr>
            <w:rFonts w:ascii="Arial" w:cs="Arial" w:eastAsia="Yu Gothic" w:hAnsi="Arial"/>
            <w:color w:val="2F6FD0"/>
            <w:sz w:val="19"/>
            <w:szCs w:val="19"/>
            <w:u w:val="single"/>
          </w:rPr>
          <w:t xml:space="preserve">Kabutan monthly bars</w:t>
        </w:r>
      </w:hyperlink>
      <w:r>
        <w:rPr>
          <w:rFonts w:ascii="Arial" w:cs="Arial" w:eastAsia="Yu Gothic" w:hAnsi="Arial"/>
          <w:color w:val="1F2533"/>
          <w:sz w:val="19"/>
          <w:szCs w:val="19"/>
        </w:rPr>
        <w:t xml:space="preserve"> and </w:t>
      </w:r>
      <w:hyperlink w:history="1" r:id="rIdkjkvtpcrbjaq3j8fudwfb">
        <w:r>
          <w:rPr>
            <w:rFonts w:ascii="Arial" w:cs="Arial" w:eastAsia="Yu Gothic" w:hAnsi="Arial"/>
            <w:color w:val="2F6FD0"/>
            <w:sz w:val="19"/>
            <w:szCs w:val="19"/>
            <w:u w:val="single"/>
          </w:rPr>
          <w:t xml:space="preserve">Nikkei price history</w:t>
        </w:r>
      </w:hyperlink>
      <w:r>
        <w:rPr>
          <w:rFonts w:ascii="Arial" w:cs="Arial" w:eastAsia="Yu Gothic" w:hAnsi="Arial"/>
          <w:color w:val="1F2533"/>
          <w:sz w:val="19"/>
          <w:szCs w:val="19"/>
        </w:rPr>
        <w:t xml:space="preserve">. Daily data were unavailable, so moves are measured between documented highs, lows and closes.</w:t>
      </w:r>
    </w:p>
    <w:p>
      <w:pPr>
        <w:pStyle w:val="Heading2"/>
        <w:keepNext/>
        <w:keepLines/>
        <w:spacing w:after="90" w:before="260" w:line="252" w:lineRule="auto"/>
      </w:pPr>
      <w:r>
        <w:rPr>
          <w:rFonts w:ascii="Arial" w:cs="Arial" w:eastAsia="Yu Gothic" w:hAnsi="Arial"/>
          <w:b/>
          <w:bCs/>
          <w:color w:val="15233F"/>
          <w:sz w:val="25"/>
          <w:szCs w:val="25"/>
        </w:rPr>
        <w:t xml:space="preserve">What moved the stock</w:t>
      </w:r>
    </w:p>
    <w:p>
      <w:pPr>
        <w:spacing w:after="110" w:before="0" w:line="276" w:lineRule="auto"/>
      </w:pPr>
      <w:r>
        <w:rPr>
          <w:rFonts w:ascii="Arial" w:cs="Arial" w:eastAsia="Yu Gothic" w:hAnsi="Arial"/>
          <w:b/>
          <w:bCs/>
          <w:color w:val="1F2533"/>
          <w:sz w:val="19"/>
          <w:szCs w:val="19"/>
        </w:rPr>
        <w:t xml:space="preserve">Company-specific upgrades caused the clearest single moves.</w:t>
      </w:r>
    </w:p>
    <w:p>
      <w:pPr>
        <w:pStyle w:val="ListParagraph"/>
        <w:numPr>
          <w:ilvl w:val="0"/>
          <w:numId w:val="2"/>
        </w:numPr>
        <w:spacing w:after="60" w:line="264" w:lineRule="auto"/>
      </w:pPr>
      <w:r>
        <w:rPr>
          <w:rFonts w:ascii="Arial" w:cs="Arial" w:eastAsia="Yu Gothic" w:hAnsi="Arial"/>
          <w:color w:val="1F2533"/>
          <w:sz w:val="19"/>
          <w:szCs w:val="19"/>
        </w:rPr>
        <w:t xml:space="preserve">The one verified single-day move above 10% was the +10.4% jump after the November 2025 guidance and dividend upgrade.</w:t>
      </w:r>
    </w:p>
    <w:p>
      <w:pPr>
        <w:pStyle w:val="ListParagraph"/>
        <w:numPr>
          <w:ilvl w:val="0"/>
          <w:numId w:val="2"/>
        </w:numPr>
        <w:spacing w:after="60" w:line="264" w:lineRule="auto"/>
      </w:pPr>
      <w:r>
        <w:rPr>
          <w:rFonts w:ascii="Arial" w:cs="Arial" w:eastAsia="Yu Gothic" w:hAnsi="Arial"/>
          <w:color w:val="1F2533"/>
          <w:sz w:val="19"/>
          <w:szCs w:val="19"/>
        </w:rPr>
        <w:t xml:space="preserve">The +20.5% February 2026 rally followed results and guidance that beat consensus.</w:t>
      </w:r>
    </w:p>
    <w:p>
      <w:pPr>
        <w:pStyle w:val="ListParagraph"/>
        <w:numPr>
          <w:ilvl w:val="0"/>
          <w:numId w:val="2"/>
        </w:numPr>
        <w:spacing w:after="60" w:line="264" w:lineRule="auto"/>
      </w:pPr>
      <w:r>
        <w:rPr>
          <w:rFonts w:ascii="Arial" w:cs="Arial" w:eastAsia="Yu Gothic" w:hAnsi="Arial"/>
          <w:color w:val="1F2533"/>
          <w:sz w:val="19"/>
          <w:szCs w:val="19"/>
        </w:rPr>
        <w:t xml:space="preserve">The January 2025 medium-term plan is a useful counter-example. It raised the payout target to 40% yet was received as underwhelming. A policy announcement without an earnings surprise has not been enough on its own.</w:t>
      </w:r>
    </w:p>
    <w:p>
      <w:pPr>
        <w:spacing w:after="40" w:before="0" w:line="276" w:lineRule="auto"/>
      </w:pPr>
    </w:p>
    <w:p>
      <w:pPr>
        <w:spacing w:after="110" w:before="0" w:line="276" w:lineRule="auto"/>
      </w:pPr>
      <w:r>
        <w:rPr>
          <w:rFonts w:ascii="Arial" w:cs="Arial" w:eastAsia="Yu Gothic" w:hAnsi="Arial"/>
          <w:b/>
          <w:bCs/>
          <w:color w:val="1F2533"/>
          <w:sz w:val="19"/>
          <w:szCs w:val="19"/>
        </w:rPr>
        <w:t xml:space="preserve">Interest rates caused the largest falls.</w:t>
      </w:r>
      <w:r>
        <w:rPr>
          <w:rFonts w:ascii="Arial" w:cs="Arial" w:eastAsia="Yu Gothic" w:hAnsi="Arial"/>
          <w:color w:val="1F2533"/>
          <w:sz w:val="19"/>
          <w:szCs w:val="19"/>
        </w:rPr>
        <w:t xml:space="preserve"> The −21% drawdowns in March and May 2026 were sector-wide. In May, a timing-driven weak Q1 added to the pressure.</w:t>
      </w:r>
    </w:p>
    <w:p>
      <w:pPr>
        <w:spacing w:after="110" w:before="0" w:line="276" w:lineRule="auto"/>
      </w:pPr>
      <w:r>
        <w:rPr>
          <w:rFonts w:ascii="Arial" w:cs="Arial" w:eastAsia="Yu Gothic" w:hAnsi="Arial"/>
          <w:b/>
          <w:bCs/>
          <w:color w:val="1F2533"/>
          <w:sz w:val="19"/>
          <w:szCs w:val="19"/>
        </w:rPr>
        <w:t xml:space="preserve">The shares held up better than the large peers in 2026.</w:t>
      </w:r>
      <w:r>
        <w:rPr>
          <w:rFonts w:ascii="Arial" w:cs="Arial" w:eastAsia="Yu Gothic" w:hAnsi="Arial"/>
          <w:color w:val="1F2533"/>
          <w:sz w:val="19"/>
          <w:szCs w:val="19"/>
        </w:rPr>
        <w:t xml:space="preserve"> From their highs to 2 October:</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442"/>
        <w:gridCol w:w="1304"/>
      </w:tblGrid>
      <w:tr>
        <w:trPr>
          <w:cantSplit/>
          <w:tblHeader/>
        </w:trPr>
        <w:tc>
          <w:tcPr>
            <w:tcW w:type="dxa" w:w="8442"/>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bCs/>
                <w:color w:val="FFFFFF"/>
                <w:sz w:val="16"/>
                <w:szCs w:val="16"/>
              </w:rPr>
              <w:t xml:space="preserve">Company</w:t>
            </w:r>
          </w:p>
        </w:tc>
        <w:tc>
          <w:tcPr>
            <w:tcW w:type="dxa" w:w="1304"/>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6"/>
                <w:szCs w:val="16"/>
              </w:rPr>
              <w:t xml:space="preserve">Fall from 2026 high</w:t>
            </w:r>
          </w:p>
        </w:tc>
      </w:tr>
      <w:tr>
        <w:trPr>
          <w:cantSplit/>
        </w:trPr>
        <w:tc>
          <w:tcPr>
            <w:tcW w:type="dxa" w:w="8442"/>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Tokyo Tatemono</w:t>
            </w:r>
          </w:p>
        </w:tc>
        <w:tc>
          <w:tcPr>
            <w:tcW w:type="dxa" w:w="1304"/>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6"/>
                <w:szCs w:val="16"/>
              </w:rPr>
              <w:t xml:space="preserve">−26.6%</w:t>
            </w:r>
          </w:p>
        </w:tc>
      </w:tr>
      <w:tr>
        <w:trPr>
          <w:cantSplit/>
        </w:trPr>
        <w:tc>
          <w:tcPr>
            <w:tcW w:type="dxa" w:w="8442"/>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Mitsubishi Estate</w:t>
            </w:r>
          </w:p>
        </w:tc>
        <w:tc>
          <w:tcPr>
            <w:tcW w:type="dxa" w:w="1304"/>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6"/>
                <w:szCs w:val="16"/>
              </w:rPr>
              <w:t xml:space="preserve">−34.1%</w:t>
            </w:r>
          </w:p>
        </w:tc>
      </w:tr>
      <w:tr>
        <w:trPr>
          <w:cantSplit/>
        </w:trPr>
        <w:tc>
          <w:tcPr>
            <w:tcW w:type="dxa" w:w="8442"/>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Mitsui Fudosan</w:t>
            </w:r>
          </w:p>
        </w:tc>
        <w:tc>
          <w:tcPr>
            <w:tcW w:type="dxa" w:w="1304"/>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6"/>
                <w:szCs w:val="16"/>
              </w:rPr>
              <w:t xml:space="preserve">−33.6%</w:t>
            </w:r>
          </w:p>
        </w:tc>
      </w:tr>
      <w:tr>
        <w:trPr>
          <w:cantSplit/>
        </w:trPr>
        <w:tc>
          <w:tcPr>
            <w:tcW w:type="dxa" w:w="8442"/>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Sumitomo Realty</w:t>
            </w:r>
          </w:p>
        </w:tc>
        <w:tc>
          <w:tcPr>
            <w:tcW w:type="dxa" w:w="1304"/>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6"/>
                <w:szCs w:val="16"/>
              </w:rPr>
              <w:t xml:space="preserve">−42.2%</w:t>
            </w:r>
          </w:p>
        </w:tc>
      </w:tr>
    </w:tbl>
    <w:p>
      <w:pPr>
        <w:spacing w:after="120" w:before="0" w:line="276" w:lineRule="auto"/>
      </w:pPr>
    </w:p>
    <w:p>
      <w:pPr>
        <w:spacing w:after="110" w:before="0" w:line="276" w:lineRule="auto"/>
      </w:pPr>
      <w:r>
        <w:rPr>
          <w:rFonts w:ascii="Arial" w:cs="Arial" w:eastAsia="Yu Gothic" w:hAnsi="Arial"/>
          <w:color w:val="1F2533"/>
          <w:sz w:val="19"/>
          <w:szCs w:val="19"/>
        </w:rPr>
        <w:t xml:space="preserve">Source: </w:t>
      </w:r>
      <w:hyperlink w:history="1" r:id="rIdailrlwv8parsb4hfuyrcy">
        <w:r>
          <w:rPr>
            <w:rFonts w:ascii="Arial" w:cs="Arial" w:eastAsia="Yu Gothic" w:hAnsi="Arial"/>
            <w:color w:val="2F6FD0"/>
            <w:sz w:val="19"/>
            <w:szCs w:val="19"/>
            <w:u w:val="single"/>
          </w:rPr>
          <w:t xml:space="preserve">kabu.tagu-blog</w:t>
        </w:r>
      </w:hyperlink>
      <w:r>
        <w:rPr>
          <w:rFonts w:ascii="Arial" w:cs="Arial" w:eastAsia="Yu Gothic" w:hAnsi="Arial"/>
          <w:color w:val="1F2533"/>
          <w:sz w:val="19"/>
          <w:szCs w:val="19"/>
        </w:rPr>
        <w:t xml:space="preserve">. This fits Tokyo Tatemono's lower starting P/E (about 10x versus 18–24x for the majors) and its higher yield.</w:t>
      </w:r>
    </w:p>
    <w:p>
      <w:pPr>
        <w:pStyle w:val="Heading2"/>
        <w:keepNext/>
        <w:keepLines/>
        <w:spacing w:after="90" w:before="260" w:line="252" w:lineRule="auto"/>
      </w:pPr>
      <w:r>
        <w:rPr>
          <w:rFonts w:ascii="Arial" w:cs="Arial" w:eastAsia="Yu Gothic" w:hAnsi="Arial"/>
          <w:b/>
          <w:bCs/>
          <w:color w:val="15233F"/>
          <w:sz w:val="25"/>
          <w:szCs w:val="25"/>
        </w:rPr>
        <w:t xml:space="preserve">Technical picture (as of 2 Oct 2026)</w:t>
      </w:r>
    </w:p>
    <w:p>
      <w:pPr>
        <w:spacing w:after="110" w:before="0" w:line="276" w:lineRule="auto"/>
      </w:pPr>
      <w:r>
        <w:rPr>
          <w:rFonts w:ascii="Arial" w:cs="Arial" w:eastAsia="Yu Gothic" w:hAnsi="Arial"/>
          <w:b/>
          <w:bCs/>
          <w:color w:val="1F2533"/>
          <w:sz w:val="19"/>
          <w:szCs w:val="19"/>
        </w:rPr>
        <w:t xml:space="preserve">Below every moving average.</w:t>
      </w:r>
      <w:r>
        <w:rPr>
          <w:rFonts w:ascii="Arial" w:cs="Arial" w:eastAsia="Yu Gothic" w:hAnsi="Arial"/>
          <w:color w:val="1F2533"/>
          <w:sz w:val="19"/>
          <w:szCs w:val="19"/>
        </w:rPr>
        <w:t xml:space="preserve"> At ¥3,211 the shares sit about 4.5% below our 50- and 100-day moving-average proxies (≈¥3,360–3,370) and about 9.7% below the 200-day proxy (≈¥3,550). The proxies are built from monthly bars because daily data were unavailable, so they carry roughly ±2–3% error. The short averages sitting below the long average is a death-cross-type set-up.</w:t>
      </w:r>
    </w:p>
    <w:p>
      <w:pPr>
        <w:spacing w:after="110" w:before="0" w:line="276" w:lineRule="auto"/>
      </w:pPr>
      <w:r>
        <w:rPr>
          <w:rFonts w:ascii="Arial" w:cs="Arial" w:eastAsia="Yu Gothic" w:hAnsi="Arial"/>
          <w:b/>
          <w:bCs/>
          <w:color w:val="1F2533"/>
          <w:sz w:val="19"/>
          <w:szCs w:val="19"/>
        </w:rPr>
        <w:t xml:space="preserve">The intermediate trend is down.</w:t>
      </w:r>
      <w:r>
        <w:rPr>
          <w:rFonts w:ascii="Arial" w:cs="Arial" w:eastAsia="Yu Gothic" w:hAnsi="Arial"/>
          <w:color w:val="1F2533"/>
          <w:sz w:val="19"/>
          <w:szCs w:val="19"/>
        </w:rPr>
        <w:t xml:space="preserve"> Monthly highs have fallen every month since February: ¥4,374 → ¥3,922 → ¥3,606 → ¥3,542 → ¥3,481. From May to September the stock traced a narrowing triangle with rising lows (¥3,083 → ¥3,135 → ¥3,223 → ¥3,245 → ¥3,236). The 2 October price is the first break below that rising-low line.</w:t>
      </w:r>
    </w:p>
    <w:p>
      <w:pPr>
        <w:spacing w:after="110" w:before="0" w:line="276" w:lineRule="auto"/>
      </w:pPr>
      <w:r>
        <w:rPr>
          <w:rFonts w:ascii="Arial" w:cs="Arial" w:eastAsia="Yu Gothic" w:hAnsi="Arial"/>
          <w:b/>
          <w:bCs/>
          <w:color w:val="1F2533"/>
          <w:sz w:val="19"/>
          <w:szCs w:val="19"/>
        </w:rPr>
        <w:t xml:space="preserve">Levels to watch.</w:t>
      </w:r>
    </w:p>
    <w:p>
      <w:pPr>
        <w:pStyle w:val="ListParagraph"/>
        <w:numPr>
          <w:ilvl w:val="0"/>
          <w:numId w:val="2"/>
        </w:numPr>
        <w:spacing w:after="60" w:line="264" w:lineRule="auto"/>
      </w:pPr>
      <w:r>
        <w:rPr>
          <w:rFonts w:ascii="Arial" w:cs="Arial" w:eastAsia="Yu Gothic" w:hAnsi="Arial"/>
          <w:color w:val="1F2533"/>
          <w:sz w:val="19"/>
          <w:szCs w:val="19"/>
        </w:rPr>
        <w:t xml:space="preserve">Support: ¥3,135, then ¥3,083 (the 2026 low), then ¥3,000 / ¥2,994.</w:t>
      </w:r>
    </w:p>
    <w:p>
      <w:pPr>
        <w:pStyle w:val="ListParagraph"/>
        <w:numPr>
          <w:ilvl w:val="0"/>
          <w:numId w:val="2"/>
        </w:numPr>
        <w:spacing w:after="60" w:line="264" w:lineRule="auto"/>
      </w:pPr>
      <w:r>
        <w:rPr>
          <w:rFonts w:ascii="Arial" w:cs="Arial" w:eastAsia="Yu Gothic" w:hAnsi="Arial"/>
          <w:color w:val="1F2533"/>
          <w:sz w:val="19"/>
          <w:szCs w:val="19"/>
        </w:rPr>
        <w:t xml:space="preserve">Resistance: ¥3,223–3,245 (the broken floor), ¥3,475–3,481, ¥3,542–3,554, ¥3,606–3,655, ¥3,922, and ¥4,304–4,374.</w:t>
      </w:r>
    </w:p>
    <w:p>
      <w:pPr>
        <w:spacing w:after="40" w:before="0" w:line="276" w:lineRule="auto"/>
      </w:pPr>
    </w:p>
    <w:p>
      <w:pPr>
        <w:spacing w:after="110" w:before="0" w:line="276" w:lineRule="auto"/>
      </w:pPr>
      <w:r>
        <w:rPr>
          <w:rFonts w:ascii="Arial" w:cs="Arial" w:eastAsia="Yu Gothic" w:hAnsi="Arial"/>
          <w:b/>
          <w:bCs/>
          <w:color w:val="1F2533"/>
          <w:sz w:val="19"/>
          <w:szCs w:val="19"/>
        </w:rPr>
        <w:t xml:space="preserve">Signals and positioning.</w:t>
      </w:r>
      <w:r>
        <w:rPr>
          <w:rFonts w:ascii="Arial" w:cs="Arial" w:eastAsia="Yu Gothic" w:hAnsi="Arial"/>
          <w:color w:val="1F2533"/>
          <w:sz w:val="19"/>
          <w:szCs w:val="19"/>
        </w:rPr>
        <w:t xml:space="preserve"> Kabuyoho's trend signal reads 売り継続, "sell continuation" (</w:t>
      </w:r>
      <w:hyperlink w:history="1" r:id="rIds_vxnb6fixohvyqiefag9">
        <w:r>
          <w:rPr>
            <w:rFonts w:ascii="Arial" w:cs="Arial" w:eastAsia="Yu Gothic" w:hAnsi="Arial"/>
            <w:color w:val="2F6FD0"/>
            <w:sz w:val="19"/>
            <w:szCs w:val="19"/>
            <w:u w:val="single"/>
          </w:rPr>
          <w:t xml:space="preserve">Kabuyoho</w:t>
        </w:r>
      </w:hyperlink>
      <w:r>
        <w:rPr>
          <w:rFonts w:ascii="Arial" w:cs="Arial" w:eastAsia="Yu Gothic" w:hAnsi="Arial"/>
          <w:color w:val="1F2533"/>
          <w:sz w:val="19"/>
          <w:szCs w:val="19"/>
        </w:rPr>
        <w:t xml:space="preserve">). Retail margin positioning is negligible (Section 14).</w:t>
      </w:r>
    </w:p>
    <w:p>
      <w:pPr>
        <w:spacing w:after="110" w:before="0" w:line="276" w:lineRule="auto"/>
      </w:pPr>
      <w:r>
        <w:rPr>
          <w:rFonts w:ascii="Arial" w:cs="Arial" w:eastAsia="Yu Gothic" w:hAnsi="Arial"/>
          <w:b/>
          <w:bCs/>
          <w:color w:val="1F2533"/>
          <w:sz w:val="19"/>
          <w:szCs w:val="19"/>
        </w:rPr>
        <w:t xml:space="preserve">The long-term uptrend is intact.</w:t>
      </w:r>
      <w:r>
        <w:rPr>
          <w:rFonts w:ascii="Arial" w:cs="Arial" w:eastAsia="Yu Gothic" w:hAnsi="Arial"/>
          <w:color w:val="1F2533"/>
          <w:sz w:val="19"/>
          <w:szCs w:val="19"/>
        </w:rPr>
        <w:t xml:space="preserve"> Annual lows keep rising: ¥1,484 (2023), ¥2,029 (2024), ¥2,237.5 (2025), ¥3,083 (2026).</w:t>
      </w:r>
    </w:p>
    <w:p>
      <w:pPr>
        <w:pBdr>
          <w:left w:val="single" w:color="2F6FD0" w:sz="24" w:space="8"/>
        </w:pBdr>
        <w:shd w:fill="EEF3FA" w:color="auto" w:val="clear"/>
        <w:spacing w:after="160" w:before="60" w:line="264" w:lineRule="auto"/>
        <w:ind w:left="200" w:right="200"/>
      </w:pPr>
      <w:r>
        <w:rPr>
          <w:rFonts w:ascii="Arial" w:cs="Arial" w:eastAsia="Yu Gothic" w:hAnsi="Arial"/>
          <w:b/>
          <w:bCs/>
          <w:color w:val="15233F"/>
          <w:sz w:val="18"/>
          <w:szCs w:val="18"/>
        </w:rPr>
        <w:t xml:space="preserve">Key takeaway:</w:t>
      </w:r>
      <w:r>
        <w:rPr>
          <w:rFonts w:ascii="Arial" w:cs="Arial" w:eastAsia="Yu Gothic" w:hAnsi="Arial"/>
          <w:color w:val="15233F"/>
          <w:sz w:val="18"/>
          <w:szCs w:val="18"/>
        </w:rPr>
        <w:t xml:space="preserve"> Over five years the stock compounded at about 24% a year on earnings growth and a 2025 re-rating. Since February 2026, rates have overwhelmed a strong results season and the August 2026 guidance upgrade. The technical set-up stays negative until the stock holds ¥3,083 and reclaims the ¥3,245 floor.</w:t>
      </w:r>
    </w:p>
    <w:p>
      <w:pPr>
        <w:pStyle w:val="Heading1"/>
        <w:keepNext/>
        <w:keepLines/>
        <w:pageBreakBefore/>
        <w:pBdr>
          <w:bottom w:val="single" w:color="2F6FD0" w:sz="12" w:space="6"/>
        </w:pBdr>
        <w:spacing w:after="160" w:before="0" w:line="252" w:lineRule="auto"/>
      </w:pPr>
      <w:r>
        <w:rPr>
          <w:rFonts w:ascii="Arial" w:cs="Arial" w:eastAsia="Yu Gothic" w:hAnsi="Arial"/>
          <w:b/>
          <w:bCs/>
          <w:color w:val="15233F"/>
          <w:sz w:val="32"/>
          <w:szCs w:val="32"/>
        </w:rPr>
        <w:t xml:space="preserve">2. Business model and key drivers: a develop-lease-sell-recycle machine concentrated on Tokyo Station</w:t>
      </w:r>
    </w:p>
    <w:p>
      <w:pPr>
        <w:pStyle w:val="Heading2"/>
        <w:keepNext/>
        <w:keepLines/>
        <w:spacing w:after="90" w:before="260" w:line="252" w:lineRule="auto"/>
      </w:pPr>
      <w:r>
        <w:rPr>
          <w:rFonts w:ascii="Arial" w:cs="Arial" w:eastAsia="Yu Gothic" w:hAnsi="Arial"/>
          <w:b/>
          <w:bCs/>
          <w:color w:val="15233F"/>
          <w:sz w:val="25"/>
          <w:szCs w:val="25"/>
        </w:rPr>
        <w:t xml:space="preserve">The business model in simple terms</w:t>
      </w:r>
    </w:p>
    <w:p>
      <w:pPr>
        <w:spacing w:after="110" w:before="0" w:line="276" w:lineRule="auto"/>
      </w:pPr>
      <w:r>
        <w:rPr>
          <w:rFonts w:ascii="Arial" w:cs="Arial" w:eastAsia="Yu Gothic" w:hAnsi="Arial"/>
          <w:color w:val="1F2533"/>
          <w:sz w:val="19"/>
          <w:szCs w:val="19"/>
        </w:rPr>
        <w:t xml:space="preserve">Tokyo Tatemono runs a capital-recycling loop:</w:t>
      </w:r>
    </w:p>
    <w:p>
      <w:pPr>
        <w:pStyle w:val="ListParagraph"/>
        <w:numPr>
          <w:ilvl w:val="0"/>
          <w:numId w:val="5"/>
        </w:numPr>
        <w:spacing w:after="60" w:line="264" w:lineRule="auto"/>
      </w:pPr>
      <w:r>
        <w:rPr>
          <w:rFonts w:ascii="Arial" w:cs="Arial" w:eastAsia="Yu Gothic" w:hAnsi="Arial"/>
          <w:b/>
          <w:bCs/>
          <w:color w:val="1F2533"/>
          <w:sz w:val="19"/>
          <w:szCs w:val="19"/>
        </w:rPr>
        <w:t xml:space="preserve">Assemble land.</w:t>
      </w:r>
      <w:r>
        <w:rPr>
          <w:rFonts w:ascii="Arial" w:cs="Arial" w:eastAsia="Yu Gothic" w:hAnsi="Arial"/>
          <w:color w:val="1F2533"/>
          <w:sz w:val="19"/>
          <w:szCs w:val="19"/>
        </w:rPr>
        <w:t xml:space="preserve"> It assembles land, often through Type-1 urban redevelopment, in which existing landowners swap their plots for floor space in the new building.</w:t>
      </w:r>
    </w:p>
    <w:p>
      <w:pPr>
        <w:pStyle w:val="ListParagraph"/>
        <w:numPr>
          <w:ilvl w:val="0"/>
          <w:numId w:val="5"/>
        </w:numPr>
        <w:spacing w:after="60" w:line="264" w:lineRule="auto"/>
      </w:pPr>
      <w:r>
        <w:rPr>
          <w:rFonts w:ascii="Arial" w:cs="Arial" w:eastAsia="Yu Gothic" w:hAnsi="Arial"/>
          <w:b/>
          <w:bCs/>
          <w:color w:val="1F2533"/>
          <w:sz w:val="19"/>
          <w:szCs w:val="19"/>
        </w:rPr>
        <w:t xml:space="preserve">Have it built.</w:t>
      </w:r>
      <w:r>
        <w:rPr>
          <w:rFonts w:ascii="Arial" w:cs="Arial" w:eastAsia="Yu Gothic" w:hAnsi="Arial"/>
          <w:color w:val="1F2533"/>
          <w:sz w:val="19"/>
          <w:szCs w:val="19"/>
        </w:rPr>
        <w:t xml:space="preserve"> It hires general contractors (Taisei, Obayashi, Kajima) to build.</w:t>
      </w:r>
    </w:p>
    <w:p>
      <w:pPr>
        <w:pStyle w:val="ListParagraph"/>
        <w:numPr>
          <w:ilvl w:val="0"/>
          <w:numId w:val="5"/>
        </w:numPr>
        <w:spacing w:after="60" w:line="264" w:lineRule="auto"/>
      </w:pPr>
      <w:r>
        <w:rPr>
          <w:rFonts w:ascii="Arial" w:cs="Arial" w:eastAsia="Yu Gothic" w:hAnsi="Arial"/>
          <w:b/>
          <w:bCs/>
          <w:color w:val="1F2533"/>
          <w:sz w:val="19"/>
          <w:szCs w:val="19"/>
        </w:rPr>
        <w:t xml:space="preserve">Lease it up.</w:t>
      </w:r>
      <w:r>
        <w:rPr>
          <w:rFonts w:ascii="Arial" w:cs="Arial" w:eastAsia="Yu Gothic" w:hAnsi="Arial"/>
          <w:color w:val="1F2533"/>
          <w:sz w:val="19"/>
          <w:szCs w:val="19"/>
        </w:rPr>
        <w:t xml:space="preserve"> In-house companies manage the building and run the car parks.</w:t>
      </w:r>
    </w:p>
    <w:p>
      <w:pPr>
        <w:pStyle w:val="ListParagraph"/>
        <w:numPr>
          <w:ilvl w:val="0"/>
          <w:numId w:val="5"/>
        </w:numPr>
        <w:spacing w:after="60" w:line="264" w:lineRule="auto"/>
      </w:pPr>
      <w:r>
        <w:rPr>
          <w:rFonts w:ascii="Arial" w:cs="Arial" w:eastAsia="Yu Gothic" w:hAnsi="Arial"/>
          <w:b/>
          <w:bCs/>
          <w:color w:val="1F2533"/>
          <w:sz w:val="19"/>
          <w:szCs w:val="19"/>
        </w:rPr>
        <w:t xml:space="preserve">Hold or sell.</w:t>
      </w:r>
      <w:r>
        <w:rPr>
          <w:rFonts w:ascii="Arial" w:cs="Arial" w:eastAsia="Yu Gothic" w:hAnsi="Arial"/>
          <w:color w:val="1F2533"/>
          <w:sz w:val="19"/>
          <w:szCs w:val="19"/>
        </w:rPr>
        <w:t xml:space="preserve"> It either keeps the building for rent or sells the stabilised asset to investors. The buyers are typically the J-REIT it sponsors, Japan Prime Realty (JPR), its private REIT or third-party funds. When it sells to its own vehicles, a subsidiary keeps earning asset-management fees.</w:t>
      </w:r>
    </w:p>
    <w:p>
      <w:pPr>
        <w:pStyle w:val="ListParagraph"/>
        <w:numPr>
          <w:ilvl w:val="0"/>
          <w:numId w:val="5"/>
        </w:numPr>
        <w:spacing w:after="60" w:line="264" w:lineRule="auto"/>
      </w:pPr>
      <w:r>
        <w:rPr>
          <w:rFonts w:ascii="Arial" w:cs="Arial" w:eastAsia="Yu Gothic" w:hAnsi="Arial"/>
          <w:b/>
          <w:bCs/>
          <w:color w:val="1F2533"/>
          <w:sz w:val="19"/>
          <w:szCs w:val="19"/>
        </w:rPr>
        <w:t xml:space="preserve">Recycle.</w:t>
      </w:r>
      <w:r>
        <w:rPr>
          <w:rFonts w:ascii="Arial" w:cs="Arial" w:eastAsia="Yu Gothic" w:hAnsi="Arial"/>
          <w:color w:val="1F2533"/>
          <w:sz w:val="19"/>
          <w:szCs w:val="19"/>
        </w:rPr>
        <w:t xml:space="preserve"> Sale proceeds are recycled into new land.</w:t>
      </w:r>
    </w:p>
    <w:p>
      <w:pPr>
        <w:spacing w:after="40" w:before="0" w:line="276" w:lineRule="auto"/>
      </w:pPr>
    </w:p>
    <w:p>
      <w:pPr>
        <w:spacing w:after="110" w:before="0" w:line="276" w:lineRule="auto"/>
      </w:pPr>
      <w:r>
        <w:rPr>
          <w:rFonts w:ascii="Arial" w:cs="Arial" w:eastAsia="Yu Gothic" w:hAnsi="Arial"/>
          <w:color w:val="1F2533"/>
          <w:sz w:val="19"/>
          <w:szCs w:val="19"/>
        </w:rPr>
        <w:t xml:space="preserve">Alongside this loop:</w:t>
      </w:r>
    </w:p>
    <w:p>
      <w:pPr>
        <w:pStyle w:val="ListParagraph"/>
        <w:numPr>
          <w:ilvl w:val="0"/>
          <w:numId w:val="2"/>
        </w:numPr>
        <w:spacing w:after="60" w:line="264" w:lineRule="auto"/>
      </w:pPr>
      <w:r>
        <w:rPr>
          <w:rFonts w:ascii="Arial" w:cs="Arial" w:eastAsia="Yu Gothic" w:hAnsi="Arial"/>
          <w:b/>
          <w:bCs/>
          <w:color w:val="1F2533"/>
          <w:sz w:val="19"/>
          <w:szCs w:val="19"/>
        </w:rPr>
        <w:t xml:space="preserve">Residential</w:t>
      </w:r>
      <w:r>
        <w:rPr>
          <w:rFonts w:ascii="Arial" w:cs="Arial" w:eastAsia="Yu Gothic" w:hAnsi="Arial"/>
          <w:color w:val="1F2533"/>
          <w:sz w:val="19"/>
          <w:szCs w:val="19"/>
        </w:rPr>
        <w:t xml:space="preserve"> develops Brillia condominiums. Profit is booked when units are handed over.</w:t>
      </w:r>
    </w:p>
    <w:p>
      <w:pPr>
        <w:pStyle w:val="ListParagraph"/>
        <w:numPr>
          <w:ilvl w:val="0"/>
          <w:numId w:val="2"/>
        </w:numPr>
        <w:spacing w:after="60" w:line="264" w:lineRule="auto"/>
      </w:pPr>
      <w:r>
        <w:rPr>
          <w:rFonts w:ascii="Arial" w:cs="Arial" w:eastAsia="Yu Gothic" w:hAnsi="Arial"/>
          <w:b/>
          <w:bCs/>
          <w:color w:val="1F2533"/>
          <w:sz w:val="19"/>
          <w:szCs w:val="19"/>
        </w:rPr>
        <w:t xml:space="preserve">Asset Service</w:t>
      </w:r>
      <w:r>
        <w:rPr>
          <w:rFonts w:ascii="Arial" w:cs="Arial" w:eastAsia="Yu Gothic" w:hAnsi="Arial"/>
          <w:color w:val="1F2533"/>
          <w:sz w:val="19"/>
          <w:szCs w:val="19"/>
        </w:rPr>
        <w:t xml:space="preserve"> runs brokerage and Nippon Parking.</w:t>
      </w:r>
    </w:p>
    <w:p>
      <w:pPr>
        <w:pStyle w:val="ListParagraph"/>
        <w:numPr>
          <w:ilvl w:val="0"/>
          <w:numId w:val="2"/>
        </w:numPr>
        <w:spacing w:after="60" w:line="264" w:lineRule="auto"/>
      </w:pPr>
      <w:r>
        <w:rPr>
          <w:rFonts w:ascii="Arial" w:cs="Arial" w:eastAsia="Yu Gothic" w:hAnsi="Arial"/>
          <w:b/>
          <w:bCs/>
          <w:color w:val="1F2533"/>
          <w:sz w:val="19"/>
          <w:szCs w:val="19"/>
        </w:rPr>
        <w:t xml:space="preserve">Other</w:t>
      </w:r>
      <w:r>
        <w:rPr>
          <w:rFonts w:ascii="Arial" w:cs="Arial" w:eastAsia="Yu Gothic" w:hAnsi="Arial"/>
          <w:color w:val="1F2533"/>
          <w:sz w:val="19"/>
          <w:szCs w:val="19"/>
        </w:rPr>
        <w:t xml:space="preserve"> holds resorts, asset management and overseas joint ventures.</w:t>
      </w:r>
    </w:p>
    <w:p>
      <w:pPr>
        <w:spacing w:after="40" w:before="0" w:line="276" w:lineRule="auto"/>
      </w:pPr>
    </w:p>
    <w:p>
      <w:pPr>
        <w:spacing w:after="110" w:before="0" w:line="276" w:lineRule="auto"/>
      </w:pPr>
      <w:r>
        <w:rPr>
          <w:rFonts w:ascii="Arial" w:cs="Arial" w:eastAsia="Yu Gothic" w:hAnsi="Arial"/>
          <w:color w:val="1F2533"/>
          <w:sz w:val="19"/>
          <w:szCs w:val="19"/>
        </w:rPr>
        <w:t xml:space="preserve">The 2025–27 plan's stated policy is to "accelerate and expand asset-turnover businesses" with "disciplined balance-sheet control" (</w:t>
      </w:r>
      <w:hyperlink w:history="1" r:id="rIdjzkzzdgemiedkmoo7yr7_">
        <w:r>
          <w:rPr>
            <w:rFonts w:ascii="Arial" w:cs="Arial" w:eastAsia="Yu Gothic" w:hAnsi="Arial"/>
            <w:color w:val="2F6FD0"/>
            <w:sz w:val="19"/>
            <w:szCs w:val="19"/>
            <w:u w:val="single"/>
          </w:rPr>
          <w:t xml:space="preserve">MTP FY2025–27</w:t>
        </w:r>
      </w:hyperlink>
      <w:r>
        <w:rPr>
          <w:rFonts w:ascii="Arial" w:cs="Arial" w:eastAsia="Yu Gothic" w:hAnsi="Arial"/>
          <w:color w:val="1F2533"/>
          <w:sz w:val="19"/>
          <w:szCs w:val="19"/>
        </w:rPr>
        <w:t xml:space="preserve">). The company has also redefined its headline KPI, business profit (事業利益), to include gains on sales of fixed assets (</w:t>
      </w:r>
      <w:hyperlink w:history="1" r:id="rIdtm2r4xvsyybygxnd-eoy9">
        <w:r>
          <w:rPr>
            <w:rFonts w:ascii="Arial" w:cs="Arial" w:eastAsia="Yu Gothic" w:hAnsi="Arial"/>
            <w:color w:val="2F6FD0"/>
            <w:sz w:val="19"/>
            <w:szCs w:val="19"/>
            <w:u w:val="single"/>
          </w:rPr>
          <w:t xml:space="preserve">Altvega</w:t>
        </w:r>
      </w:hyperlink>
      <w:r>
        <w:rPr>
          <w:rFonts w:ascii="Arial" w:cs="Arial" w:eastAsia="Yu Gothic" w:hAnsi="Arial"/>
          <w:color w:val="1F2533"/>
          <w:sz w:val="19"/>
          <w:szCs w:val="19"/>
        </w:rPr>
        <w:t xml:space="preserve">).</w:t>
      </w:r>
    </w:p>
    <w:p>
      <w:pPr>
        <w:pStyle w:val="Heading2"/>
        <w:keepNext/>
        <w:keepLines/>
        <w:spacing w:after="90" w:before="260" w:line="252" w:lineRule="auto"/>
      </w:pPr>
      <w:r>
        <w:rPr>
          <w:rFonts w:ascii="Arial" w:cs="Arial" w:eastAsia="Yu Gothic" w:hAnsi="Arial"/>
          <w:b/>
          <w:bCs/>
          <w:color w:val="15233F"/>
          <w:sz w:val="25"/>
          <w:szCs w:val="25"/>
        </w:rPr>
        <w:t xml:space="preserve">Key drivers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7"/>
        <w:gridCol w:w="2887"/>
        <w:gridCol w:w="3597"/>
        <w:gridCol w:w="1455"/>
      </w:tblGrid>
      <w:tr>
        <w:trPr>
          <w:cantSplit/>
          <w:tblHeader/>
        </w:trPr>
        <w:tc>
          <w:tcPr>
            <w:tcW w:type="dxa" w:w="1807"/>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bCs/>
                <w:color w:val="FFFFFF"/>
                <w:sz w:val="16"/>
                <w:szCs w:val="16"/>
              </w:rPr>
              <w:t xml:space="preserve">Driver</w:t>
            </w:r>
          </w:p>
        </w:tc>
        <w:tc>
          <w:tcPr>
            <w:tcW w:type="dxa" w:w="2887"/>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6"/>
                <w:szCs w:val="16"/>
              </w:rPr>
              <w:t xml:space="preserve">How it moves earnings</w:t>
            </w:r>
          </w:p>
        </w:tc>
        <w:tc>
          <w:tcPr>
            <w:tcW w:type="dxa" w:w="3597"/>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6"/>
                <w:szCs w:val="16"/>
              </w:rPr>
              <w:t xml:space="preserve">Latest evidence</w:t>
            </w:r>
          </w:p>
        </w:tc>
        <w:tc>
          <w:tcPr>
            <w:tcW w:type="dxa" w:w="1455"/>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6"/>
                <w:szCs w:val="16"/>
              </w:rPr>
              <w:t xml:space="preserve">Direction</w:t>
            </w:r>
          </w:p>
        </w:tc>
      </w:tr>
      <w:tr>
        <w:trPr>
          <w:cantSplit/>
        </w:trPr>
        <w:tc>
          <w:tcPr>
            <w:tcW w:type="dxa" w:w="1807"/>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Office rents (price)</w:t>
            </w:r>
          </w:p>
        </w:tc>
        <w:tc>
          <w:tcPr>
            <w:tcW w:type="dxa" w:w="2887"/>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Rent rises on short leases at renewal; new buildings lease up</w:t>
            </w:r>
          </w:p>
        </w:tc>
        <w:tc>
          <w:tcPr>
            <w:tcW w:type="dxa" w:w="3597"/>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Central-5-ward asking rent ¥23,647/tsubo, +12.46% YoY; vacancy 1.87% (Aug 2026) (</w:t>
            </w:r>
            <w:hyperlink w:history="1" r:id="rIdof48cmenwc9dycbn2b8ju">
              <w:r>
                <w:rPr>
                  <w:rFonts w:ascii="Arial" w:cs="Arial" w:eastAsia="Yu Gothic" w:hAnsi="Arial"/>
                  <w:color w:val="2F6FD0"/>
                  <w:sz w:val="16"/>
                  <w:szCs w:val="16"/>
                  <w:u w:val="single"/>
                </w:rPr>
                <w:t xml:space="preserve">Miki Shoji</w:t>
              </w:r>
            </w:hyperlink>
            <w:r>
              <w:rPr>
                <w:rFonts w:ascii="Arial" w:cs="Arial" w:eastAsia="Yu Gothic" w:hAnsi="Arial"/>
                <w:color w:val="1F2533"/>
                <w:sz w:val="16"/>
                <w:szCs w:val="16"/>
              </w:rPr>
              <w:t xml:space="preserve">). Management cites "firm confidence" in inflation-driven rent growth (</w:t>
            </w:r>
            <w:hyperlink w:history="1" r:id="rIdo0kl3f5fklypwabckc0lq">
              <w:r>
                <w:rPr>
                  <w:rFonts w:ascii="Arial" w:cs="Arial" w:eastAsia="Yu Gothic" w:hAnsi="Arial"/>
                  <w:color w:val="2F6FD0"/>
                  <w:sz w:val="16"/>
                  <w:szCs w:val="16"/>
                  <w:u w:val="single"/>
                </w:rPr>
                <w:t xml:space="preserve">logmi</w:t>
              </w:r>
            </w:hyperlink>
            <w:r>
              <w:rPr>
                <w:rFonts w:ascii="Arial" w:cs="Arial" w:eastAsia="Yu Gothic" w:hAnsi="Arial"/>
                <w:color w:val="1F2533"/>
                <w:sz w:val="16"/>
                <w:szCs w:val="16"/>
              </w:rPr>
              <w:t xml:space="preserve">)</w:t>
            </w:r>
          </w:p>
        </w:tc>
        <w:tc>
          <w:tcPr>
            <w:tcW w:type="dxa" w:w="1455"/>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Positive</w:t>
            </w:r>
          </w:p>
        </w:tc>
      </w:tr>
      <w:tr>
        <w:trPr>
          <w:cantSplit/>
        </w:trPr>
        <w:tc>
          <w:tcPr>
            <w:tcW w:type="dxa" w:w="1807"/>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Leasable floor (volume)</w:t>
            </w:r>
          </w:p>
        </w:tc>
        <w:tc>
          <w:tcPr>
            <w:tcW w:type="dxa" w:w="2887"/>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Completions add net operating income; sales remove it</w:t>
            </w:r>
          </w:p>
        </w:tc>
        <w:tc>
          <w:tcPr>
            <w:tcW w:type="dxa" w:w="3597"/>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TOFROM YAESU TOWER (≈225,000 m² GFA) completed Feb 2026; Kyobashi 3-chome East (≈166,800 m²) due FY2029</w:t>
            </w:r>
          </w:p>
        </w:tc>
        <w:tc>
          <w:tcPr>
            <w:tcW w:type="dxa" w:w="1455"/>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Positive, lumpy</w:t>
            </w:r>
          </w:p>
        </w:tc>
      </w:tr>
      <w:tr>
        <w:trPr>
          <w:cantSplit/>
        </w:trPr>
        <w:tc>
          <w:tcPr>
            <w:tcW w:type="dxa" w:w="1807"/>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Investor-sale volume and margin (mix)</w:t>
            </w:r>
          </w:p>
        </w:tc>
        <w:tc>
          <w:tcPr>
            <w:tcW w:type="dxa" w:w="2887"/>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Gains flow through Building and Asset Service operating profit; fixed-asset gains now also count in business profit</w:t>
            </w:r>
          </w:p>
        </w:tc>
        <w:tc>
          <w:tcPr>
            <w:tcW w:type="dxa" w:w="3597"/>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1H FY2026 Building operating profit +122.7%. FY2026 sales are hotel-focused and "among the largest" in the company's history, from a stock of more than ¥100bn of embedded gains (</w:t>
            </w:r>
            <w:hyperlink w:history="1" r:id="rIdgzh1odatnrtozldgteq5w">
              <w:r>
                <w:rPr>
                  <w:rFonts w:ascii="Arial" w:cs="Arial" w:eastAsia="Yu Gothic" w:hAnsi="Arial"/>
                  <w:color w:val="2F6FD0"/>
                  <w:sz w:val="16"/>
                  <w:szCs w:val="16"/>
                  <w:u w:val="single"/>
                </w:rPr>
                <w:t xml:space="preserve">FY2025 presentation</w:t>
              </w:r>
            </w:hyperlink>
            <w:r>
              <w:rPr>
                <w:rFonts w:ascii="Arial" w:cs="Arial" w:eastAsia="Yu Gothic" w:hAnsi="Arial"/>
                <w:color w:val="1F2533"/>
                <w:sz w:val="16"/>
                <w:szCs w:val="16"/>
              </w:rPr>
              <w:t xml:space="preserve">)</w:t>
            </w:r>
          </w:p>
        </w:tc>
        <w:tc>
          <w:tcPr>
            <w:tcW w:type="dxa" w:w="1455"/>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Positive now; cyclical</w:t>
            </w:r>
          </w:p>
        </w:tc>
      </w:tr>
      <w:tr>
        <w:trPr>
          <w:cantSplit/>
        </w:trPr>
        <w:tc>
          <w:tcPr>
            <w:tcW w:type="dxa" w:w="1807"/>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Cap rates and buyer liquidity</w:t>
            </w:r>
          </w:p>
        </w:tc>
        <w:tc>
          <w:tcPr>
            <w:tcW w:type="dxa" w:w="2887"/>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Set sale prices and the NAV</w:t>
            </w:r>
          </w:p>
        </w:tc>
        <w:tc>
          <w:tcPr>
            <w:tcW w:type="dxa" w:w="3597"/>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Marunouchi/Otemachi cap rate 3.2%, unchanged for seven surveys (</w:t>
            </w:r>
            <w:hyperlink w:history="1" r:id="rIdh_0nf7ukje4374zcdtomz">
              <w:r>
                <w:rPr>
                  <w:rFonts w:ascii="Arial" w:cs="Arial" w:eastAsia="Yu Gothic" w:hAnsi="Arial"/>
                  <w:color w:val="2F6FD0"/>
                  <w:sz w:val="16"/>
                  <w:szCs w:val="16"/>
                  <w:u w:val="single"/>
                </w:rPr>
                <w:t xml:space="preserve">JREI</w:t>
              </w:r>
            </w:hyperlink>
            <w:r>
              <w:rPr>
                <w:rFonts w:ascii="Arial" w:cs="Arial" w:eastAsia="Yu Gothic" w:hAnsi="Arial"/>
                <w:color w:val="1F2533"/>
                <w:sz w:val="16"/>
                <w:szCs w:val="16"/>
              </w:rPr>
              <w:t xml:space="preserve">). TSE REIT index at year-to-date lows in Jun 2026 (</w:t>
            </w:r>
            <w:hyperlink w:history="1" r:id="rIdycht9pvilia1bmqjztta4">
              <w:r>
                <w:rPr>
                  <w:rFonts w:ascii="Arial" w:cs="Arial" w:eastAsia="Yu Gothic" w:hAnsi="Arial"/>
                  <w:color w:val="2F6FD0"/>
                  <w:sz w:val="16"/>
                  <w:szCs w:val="16"/>
                  <w:u w:val="single"/>
                </w:rPr>
                <w:t xml:space="preserve">Nikkei</w:t>
              </w:r>
            </w:hyperlink>
            <w:r>
              <w:rPr>
                <w:rFonts w:ascii="Arial" w:cs="Arial" w:eastAsia="Yu Gothic" w:hAnsi="Arial"/>
                <w:color w:val="1F2533"/>
                <w:sz w:val="16"/>
                <w:szCs w:val="16"/>
              </w:rPr>
              <w:t xml:space="preserve">)</w:t>
            </w:r>
          </w:p>
        </w:tc>
        <w:tc>
          <w:tcPr>
            <w:tcW w:type="dxa" w:w="1455"/>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Neutral to negative</w:t>
            </w:r>
          </w:p>
        </w:tc>
      </w:tr>
      <w:tr>
        <w:trPr>
          <w:cantSplit/>
        </w:trPr>
        <w:tc>
          <w:tcPr>
            <w:tcW w:type="dxa" w:w="1807"/>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Condo volume, price and margin</w:t>
            </w:r>
          </w:p>
        </w:tc>
        <w:tc>
          <w:tcPr>
            <w:tcW w:type="dxa" w:w="2887"/>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Profit booked at handover</w:t>
            </w:r>
          </w:p>
        </w:tc>
        <w:tc>
          <w:tcPr>
            <w:tcW w:type="dxa" w:w="3597"/>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1H FY2026: 270 units at ¥69.11m average and 27.8% gross margin, vs 969 units at 30.4% a year earlier; landbank ≈7,600 units (</w:t>
            </w:r>
            <w:hyperlink w:history="1" r:id="rIdlntfr0hpmi-8nbs8kwzvc">
              <w:r>
                <w:rPr>
                  <w:rFonts w:ascii="Arial" w:cs="Arial" w:eastAsia="Yu Gothic" w:hAnsi="Arial"/>
                  <w:color w:val="2F6FD0"/>
                  <w:sz w:val="16"/>
                  <w:szCs w:val="16"/>
                  <w:u w:val="single"/>
                </w:rPr>
                <w:t xml:space="preserve">logmi</w:t>
              </w:r>
            </w:hyperlink>
            <w:r>
              <w:rPr>
                <w:rFonts w:ascii="Arial" w:cs="Arial" w:eastAsia="Yu Gothic" w:hAnsi="Arial"/>
                <w:color w:val="1F2533"/>
                <w:sz w:val="16"/>
                <w:szCs w:val="16"/>
              </w:rPr>
              <w:t xml:space="preserve">)</w:t>
            </w:r>
          </w:p>
        </w:tc>
        <w:tc>
          <w:tcPr>
            <w:tcW w:type="dxa" w:w="1455"/>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Trough in 1H, recovery in 2H</w:t>
            </w:r>
          </w:p>
        </w:tc>
      </w:tr>
      <w:tr>
        <w:trPr>
          <w:cantSplit/>
        </w:trPr>
        <w:tc>
          <w:tcPr>
            <w:tcW w:type="dxa" w:w="1807"/>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Construction costs</w:t>
            </w:r>
          </w:p>
        </w:tc>
        <w:tc>
          <w:tcPr>
            <w:tcW w:type="dxa" w:w="2887"/>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Development margins and timing</w:t>
            </w:r>
          </w:p>
        </w:tc>
        <w:tc>
          <w:tcPr>
            <w:tcW w:type="dxa" w:w="3597"/>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MLIT construction deflator +5.1% YoY in Mar 2026 (</w:t>
            </w:r>
            <w:hyperlink w:history="1" r:id="rId7soowdhms7vh2zywu6eel">
              <w:r>
                <w:rPr>
                  <w:rFonts w:ascii="Arial" w:cs="Arial" w:eastAsia="Yu Gothic" w:hAnsi="Arial"/>
                  <w:color w:val="2F6FD0"/>
                  <w:sz w:val="16"/>
                  <w:szCs w:val="16"/>
                  <w:u w:val="single"/>
                </w:rPr>
                <w:t xml:space="preserve">genba-media</w:t>
              </w:r>
            </w:hyperlink>
            <w:r>
              <w:rPr>
                <w:rFonts w:ascii="Arial" w:cs="Arial" w:eastAsia="Yu Gothic" w:hAnsi="Arial"/>
                <w:color w:val="1F2533"/>
                <w:sz w:val="16"/>
                <w:szCs w:val="16"/>
              </w:rPr>
              <w:t xml:space="preserve">)</w:t>
            </w:r>
          </w:p>
        </w:tc>
        <w:tc>
          <w:tcPr>
            <w:tcW w:type="dxa" w:w="1455"/>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Negative</w:t>
            </w:r>
          </w:p>
        </w:tc>
      </w:tr>
      <w:tr>
        <w:trPr>
          <w:cantSplit/>
        </w:trPr>
        <w:tc>
          <w:tcPr>
            <w:tcW w:type="dxa" w:w="1807"/>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Interest rates</w:t>
            </w:r>
          </w:p>
        </w:tc>
        <w:tc>
          <w:tcPr>
            <w:tcW w:type="dxa" w:w="2887"/>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Cost of ≈¥1.5tn of debt; cap rates; mortgage affordability</w:t>
            </w:r>
          </w:p>
        </w:tc>
        <w:tc>
          <w:tcPr>
            <w:tcW w:type="dxa" w:w="3597"/>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BOJ 1.25%; 10-year JGB 2.945% intraday in Aug 2026 (</w:t>
            </w:r>
            <w:hyperlink w:history="1" r:id="rIdwqc3qslijghp0xm5aeeyh">
              <w:r>
                <w:rPr>
                  <w:rFonts w:ascii="Arial" w:cs="Arial" w:eastAsia="Yu Gothic" w:hAnsi="Arial"/>
                  <w:color w:val="2F6FD0"/>
                  <w:sz w:val="16"/>
                  <w:szCs w:val="16"/>
                  <w:u w:val="single"/>
                </w:rPr>
                <w:t xml:space="preserve">Nikkei</w:t>
              </w:r>
            </w:hyperlink>
            <w:r>
              <w:rPr>
                <w:rFonts w:ascii="Arial" w:cs="Arial" w:eastAsia="Yu Gothic" w:hAnsi="Arial"/>
                <w:color w:val="1F2533"/>
                <w:sz w:val="16"/>
                <w:szCs w:val="16"/>
              </w:rPr>
              <w:t xml:space="preserve">). Gap between operating and ordinary profit: ¥17.6bn in FY2025 → ¥22.0bn in FY2026 guidance</w:t>
            </w:r>
          </w:p>
        </w:tc>
        <w:tc>
          <w:tcPr>
            <w:tcW w:type="dxa" w:w="1455"/>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Negative</w:t>
            </w:r>
          </w:p>
        </w:tc>
      </w:tr>
      <w:tr>
        <w:trPr>
          <w:cantSplit/>
        </w:trPr>
        <w:tc>
          <w:tcPr>
            <w:tcW w:type="dxa" w:w="1807"/>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Regulation</w:t>
            </w:r>
          </w:p>
        </w:tc>
        <w:tc>
          <w:tcPr>
            <w:tcW w:type="dxa" w:w="2887"/>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Redevelopment approvals and floor-area bonuses; limits on condo resale and foreign buyers</w:t>
            </w:r>
          </w:p>
        </w:tc>
        <w:tc>
          <w:tcPr>
            <w:tcW w:type="dxa" w:w="3597"/>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TOFROM YAESU sits in a National Strategic Special Zone. Chiyoda Ward asked for resale restrictions in Jul 2025 (</w:t>
            </w:r>
            <w:hyperlink w:history="1" r:id="rIdvqdswdnghesotsj_5lsgx">
              <w:r>
                <w:rPr>
                  <w:rFonts w:ascii="Arial" w:cs="Arial" w:eastAsia="Yu Gothic" w:hAnsi="Arial"/>
                  <w:color w:val="2F6FD0"/>
                  <w:sz w:val="16"/>
                  <w:szCs w:val="16"/>
                  <w:u w:val="single"/>
                </w:rPr>
                <w:t xml:space="preserve">Diamond Fudosan</w:t>
              </w:r>
            </w:hyperlink>
            <w:r>
              <w:rPr>
                <w:rFonts w:ascii="Arial" w:cs="Arial" w:eastAsia="Yu Gothic" w:hAnsi="Arial"/>
                <w:color w:val="1F2533"/>
                <w:sz w:val="16"/>
                <w:szCs w:val="16"/>
              </w:rPr>
              <w:t xml:space="preserve">)</w:t>
            </w:r>
          </w:p>
        </w:tc>
        <w:tc>
          <w:tcPr>
            <w:tcW w:type="dxa" w:w="1455"/>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Mixed</w:t>
            </w:r>
          </w:p>
        </w:tc>
      </w:tr>
      <w:tr>
        <w:trPr>
          <w:cantSplit/>
        </w:trPr>
        <w:tc>
          <w:tcPr>
            <w:tcW w:type="dxa" w:w="1807"/>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Capex cycle</w:t>
            </w:r>
          </w:p>
        </w:tc>
        <w:tc>
          <w:tcPr>
            <w:tcW w:type="dxa" w:w="2887"/>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Redevelopment spending of ≈¥200bn over FY2025–27; FY2024 capex ¥125.7bn</w:t>
            </w:r>
          </w:p>
        </w:tc>
        <w:tc>
          <w:tcPr>
            <w:tcW w:type="dxa" w:w="3597"/>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Interest-bearing debt +¥191bn in 1H FY2026</w:t>
            </w:r>
          </w:p>
        </w:tc>
        <w:tc>
          <w:tcPr>
            <w:tcW w:type="dxa" w:w="1455"/>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Negative for free cash flow</w:t>
            </w:r>
          </w:p>
        </w:tc>
      </w:tr>
    </w:tbl>
    <w:p>
      <w:pPr>
        <w:spacing w:after="120" w:before="0" w:line="276" w:lineRule="auto"/>
      </w:pPr>
    </w:p>
    <w:p>
      <w:pPr>
        <w:pStyle w:val="Heading2"/>
        <w:keepNext/>
        <w:keepLines/>
        <w:spacing w:after="90" w:before="260" w:line="252" w:lineRule="auto"/>
      </w:pPr>
      <w:r>
        <w:rPr>
          <w:rFonts w:ascii="Arial" w:cs="Arial" w:eastAsia="Yu Gothic" w:hAnsi="Arial"/>
          <w:b/>
          <w:bCs/>
          <w:color w:val="15233F"/>
          <w:sz w:val="25"/>
          <w:szCs w:val="25"/>
        </w:rPr>
        <w:t xml:space="preserve">Key products, services and flagship assets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87"/>
        <w:gridCol w:w="3419"/>
        <w:gridCol w:w="2371"/>
        <w:gridCol w:w="2269"/>
      </w:tblGrid>
      <w:tr>
        <w:trPr>
          <w:cantSplit/>
          <w:tblHeader/>
        </w:trPr>
        <w:tc>
          <w:tcPr>
            <w:tcW w:type="dxa" w:w="1687"/>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bCs/>
                <w:color w:val="FFFFFF"/>
                <w:sz w:val="16"/>
                <w:szCs w:val="16"/>
              </w:rPr>
              <w:t xml:space="preserve">Business line</w:t>
            </w:r>
          </w:p>
        </w:tc>
        <w:tc>
          <w:tcPr>
            <w:tcW w:type="dxa" w:w="3419"/>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6"/>
                <w:szCs w:val="16"/>
              </w:rPr>
              <w:t xml:space="preserve">Brands / flagship assets</w:t>
            </w:r>
          </w:p>
        </w:tc>
        <w:tc>
          <w:tcPr>
            <w:tcW w:type="dxa" w:w="2371"/>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6"/>
                <w:szCs w:val="16"/>
              </w:rPr>
              <w:t xml:space="preserve">Scale (latest)</w:t>
            </w:r>
          </w:p>
        </w:tc>
        <w:tc>
          <w:tcPr>
            <w:tcW w:type="dxa" w:w="2269"/>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6"/>
                <w:szCs w:val="16"/>
              </w:rPr>
              <w:t xml:space="preserve">How it earns</w:t>
            </w:r>
          </w:p>
        </w:tc>
      </w:tr>
      <w:tr>
        <w:trPr>
          <w:cantSplit/>
        </w:trPr>
        <w:tc>
          <w:tcPr>
            <w:tcW w:type="dxa" w:w="1687"/>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Offices and mixed use</w:t>
            </w:r>
          </w:p>
        </w:tc>
        <w:tc>
          <w:tcPr>
            <w:tcW w:type="dxa" w:w="3419"/>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Otemachi Tower (2014; ≈198,467 m² GFA; tenants include Mizuho Bank's HQ and Aman Tokyo); Tokyo Square Garden (2013; DBJ Green Building Platinum); TOFROM YAESU TOWER (51 floors above ground, ≈250 m) and THE FRONT; Nakano Central Park; Shibuya 2-chome West; Kyobashi 3-chome East (FY2029)</w:t>
            </w:r>
          </w:p>
        </w:tc>
        <w:tc>
          <w:tcPr>
            <w:tcW w:type="dxa" w:w="2371"/>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Offices are "the majority" of the rental portfolio (</w:t>
            </w:r>
            <w:hyperlink w:history="1" r:id="rIdmz8ggbnd26a5yoobo3laz">
              <w:r>
                <w:rPr>
                  <w:rFonts w:ascii="Arial" w:cs="Arial" w:eastAsia="Yu Gothic" w:hAnsi="Arial"/>
                  <w:color w:val="2F6FD0"/>
                  <w:sz w:val="16"/>
                  <w:szCs w:val="16"/>
                  <w:u w:val="single"/>
                </w:rPr>
                <w:t xml:space="preserve">CFO message</w:t>
              </w:r>
            </w:hyperlink>
            <w:r>
              <w:rPr>
                <w:rFonts w:ascii="Arial" w:cs="Arial" w:eastAsia="Yu Gothic" w:hAnsi="Arial"/>
                <w:color w:val="1F2533"/>
                <w:sz w:val="16"/>
                <w:szCs w:val="16"/>
              </w:rPr>
              <w:t xml:space="preserve">)</w:t>
            </w:r>
          </w:p>
        </w:tc>
        <w:tc>
          <w:tcPr>
            <w:tcW w:type="dxa" w:w="2269"/>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Rent plus sales to investors</w:t>
            </w:r>
          </w:p>
        </w:tc>
      </w:tr>
      <w:tr>
        <w:trPr>
          <w:cantSplit/>
        </w:trPr>
        <w:tc>
          <w:tcPr>
            <w:tcW w:type="dxa" w:w="1687"/>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Retail</w:t>
            </w:r>
          </w:p>
        </w:tc>
        <w:tc>
          <w:tcPr>
            <w:tcW w:type="dxa" w:w="3419"/>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TOFROM YAESU retail zone, opened 10 Sep 2026 with 55 of 68 stores (</w:t>
            </w:r>
            <w:hyperlink w:history="1" r:id="rId6lho-jvjxwxmr-hpe3o3k">
              <w:r>
                <w:rPr>
                  <w:rFonts w:ascii="Arial" w:cs="Arial" w:eastAsia="Yu Gothic" w:hAnsi="Arial"/>
                  <w:color w:val="2F6FD0"/>
                  <w:sz w:val="16"/>
                  <w:szCs w:val="16"/>
                  <w:u w:val="single"/>
                </w:rPr>
                <w:t xml:space="preserve">Travel Watch</w:t>
              </w:r>
            </w:hyperlink>
            <w:r>
              <w:rPr>
                <w:rFonts w:ascii="Arial" w:cs="Arial" w:eastAsia="Yu Gothic" w:hAnsi="Arial"/>
                <w:color w:val="1F2533"/>
                <w:sz w:val="16"/>
                <w:szCs w:val="16"/>
              </w:rPr>
              <w:t xml:space="preserve">)</w:t>
            </w:r>
          </w:p>
        </w:tc>
        <w:tc>
          <w:tcPr>
            <w:tcW w:type="dxa" w:w="2371"/>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n/a</w:t>
            </w:r>
          </w:p>
        </w:tc>
        <w:tc>
          <w:tcPr>
            <w:tcW w:type="dxa" w:w="2269"/>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Rent, partly turnover-based</w:t>
            </w:r>
          </w:p>
        </w:tc>
      </w:tr>
      <w:tr>
        <w:trPr>
          <w:cantSplit/>
        </w:trPr>
        <w:tc>
          <w:tcPr>
            <w:tcW w:type="dxa" w:w="1687"/>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Logistics</w:t>
            </w:r>
          </w:p>
        </w:tc>
        <w:tc>
          <w:tcPr>
            <w:tcW w:type="dxa" w:w="3419"/>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T-LOGI, launched 2019: Kuki (≈71,000 m²), Narashino (≈34,000 m²), Narashino II, Chiba-kita, Fukuoka, Kyoto, Aichi; Sendai completed Jun 2026 (</w:t>
            </w:r>
            <w:hyperlink w:history="1" r:id="rIdvfyk1rkqlhijn9zegpnpw">
              <w:r>
                <w:rPr>
                  <w:rFonts w:ascii="Arial" w:cs="Arial" w:eastAsia="Yu Gothic" w:hAnsi="Arial"/>
                  <w:color w:val="2F6FD0"/>
                  <w:sz w:val="16"/>
                  <w:szCs w:val="16"/>
                  <w:u w:val="single"/>
                </w:rPr>
                <w:t xml:space="preserve">LOGI-TODAY</w:t>
              </w:r>
            </w:hyperlink>
            <w:r>
              <w:rPr>
                <w:rFonts w:ascii="Arial" w:cs="Arial" w:eastAsia="Yu Gothic" w:hAnsi="Arial"/>
                <w:color w:val="1F2533"/>
                <w:sz w:val="16"/>
                <w:szCs w:val="16"/>
              </w:rPr>
              <w:t xml:space="preserve">)</w:t>
            </w:r>
          </w:p>
        </w:tc>
        <w:tc>
          <w:tcPr>
            <w:tcW w:type="dxa" w:w="2371"/>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At least 5 buildings</w:t>
            </w:r>
          </w:p>
        </w:tc>
        <w:tc>
          <w:tcPr>
            <w:tcW w:type="dxa" w:w="2269"/>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Develop to sell or hold</w:t>
            </w:r>
          </w:p>
        </w:tc>
      </w:tr>
      <w:tr>
        <w:trPr>
          <w:cantSplit/>
        </w:trPr>
        <w:tc>
          <w:tcPr>
            <w:tcW w:type="dxa" w:w="1687"/>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Data centres</w:t>
            </w:r>
          </w:p>
        </w:tc>
        <w:tc>
          <w:tcPr>
            <w:tcW w:type="dxa" w:w="3419"/>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Zeus OSA1, Osaka, with SC Zeus Data Centers: 25MW phase 1 due 2028 (</w:t>
            </w:r>
            <w:hyperlink w:history="1" r:id="rIdqdsnolflnbemkxuap2xbd">
              <w:r>
                <w:rPr>
                  <w:rFonts w:ascii="Arial" w:cs="Arial" w:eastAsia="Yu Gothic" w:hAnsi="Arial"/>
                  <w:color w:val="2F6FD0"/>
                  <w:sz w:val="16"/>
                  <w:szCs w:val="16"/>
                  <w:u w:val="single"/>
                </w:rPr>
                <w:t xml:space="preserve">DX Magazine</w:t>
              </w:r>
            </w:hyperlink>
            <w:r>
              <w:rPr>
                <w:rFonts w:ascii="Arial" w:cs="Arial" w:eastAsia="Yu Gothic" w:hAnsi="Arial"/>
                <w:color w:val="1F2533"/>
                <w:sz w:val="16"/>
                <w:szCs w:val="16"/>
              </w:rPr>
              <w:t xml:space="preserve">)</w:t>
            </w:r>
          </w:p>
        </w:tc>
        <w:tc>
          <w:tcPr>
            <w:tcW w:type="dxa" w:w="2371"/>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1 project</w:t>
            </w:r>
          </w:p>
        </w:tc>
        <w:tc>
          <w:tcPr>
            <w:tcW w:type="dxa" w:w="2269"/>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Develop and lease</w:t>
            </w:r>
          </w:p>
        </w:tc>
      </w:tr>
      <w:tr>
        <w:trPr>
          <w:cantSplit/>
        </w:trPr>
        <w:tc>
          <w:tcPr>
            <w:tcW w:type="dxa" w:w="1687"/>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Condominiums</w:t>
            </w:r>
          </w:p>
        </w:tc>
        <w:tc>
          <w:tcPr>
            <w:tcW w:type="dxa" w:w="3419"/>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Brillia; more than 20 redevelopment condos (e.g. SHIROKANE The SKY, Brillia Towers Meguro)</w:t>
            </w:r>
          </w:p>
        </w:tc>
        <w:tc>
          <w:tcPr>
            <w:tcW w:type="dxa" w:w="2371"/>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1,054 units supplied in 2025, #19 nationally (</w:t>
            </w:r>
            <w:hyperlink w:history="1" r:id="rIdiu2sgiqas0_x5j_ld-jef">
              <w:r>
                <w:rPr>
                  <w:rFonts w:ascii="Arial" w:cs="Arial" w:eastAsia="Yu Gothic" w:hAnsi="Arial"/>
                  <w:color w:val="2F6FD0"/>
                  <w:sz w:val="16"/>
                  <w:szCs w:val="16"/>
                  <w:u w:val="single"/>
                </w:rPr>
                <w:t xml:space="preserve">REEI</w:t>
              </w:r>
            </w:hyperlink>
            <w:r>
              <w:rPr>
                <w:rFonts w:ascii="Arial" w:cs="Arial" w:eastAsia="Yu Gothic" w:hAnsi="Arial"/>
                <w:color w:val="1F2533"/>
                <w:sz w:val="16"/>
                <w:szCs w:val="16"/>
              </w:rPr>
              <w:t xml:space="preserve">); landbank ≈7,600 units</w:t>
            </w:r>
          </w:p>
        </w:tc>
        <w:tc>
          <w:tcPr>
            <w:tcW w:type="dxa" w:w="2269"/>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Sale margin at handover</w:t>
            </w:r>
          </w:p>
        </w:tc>
      </w:tr>
      <w:tr>
        <w:trPr>
          <w:cantSplit/>
        </w:trPr>
        <w:tc>
          <w:tcPr>
            <w:tcW w:type="dxa" w:w="1687"/>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Rental housing and condo management</w:t>
            </w:r>
          </w:p>
        </w:tc>
        <w:tc>
          <w:tcPr>
            <w:tcW w:type="dxa" w:w="3419"/>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Kachidoki GROWTH TOWN; Tokyo Tatemono Amenity Support</w:t>
            </w:r>
          </w:p>
        </w:tc>
        <w:tc>
          <w:tcPr>
            <w:tcW w:type="dxa" w:w="2371"/>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n/a</w:t>
            </w:r>
          </w:p>
        </w:tc>
        <w:tc>
          <w:tcPr>
            <w:tcW w:type="dxa" w:w="2269"/>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Rent and fees</w:t>
            </w:r>
          </w:p>
        </w:tc>
      </w:tr>
      <w:tr>
        <w:trPr>
          <w:cantSplit/>
        </w:trPr>
        <w:tc>
          <w:tcPr>
            <w:tcW w:type="dxa" w:w="1687"/>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Brokerage and appraisal</w:t>
            </w:r>
          </w:p>
        </w:tc>
        <w:tc>
          <w:tcPr>
            <w:tcW w:type="dxa" w:w="3419"/>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Tokyo Tatemono Real Estate Sales (corporate real estate, resale portal)</w:t>
            </w:r>
          </w:p>
        </w:tc>
        <w:tc>
          <w:tcPr>
            <w:tcW w:type="dxa" w:w="2371"/>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n/a</w:t>
            </w:r>
          </w:p>
        </w:tc>
        <w:tc>
          <w:tcPr>
            <w:tcW w:type="dxa" w:w="2269"/>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Commissions; property resales</w:t>
            </w:r>
          </w:p>
        </w:tc>
      </w:tr>
      <w:tr>
        <w:trPr>
          <w:cantSplit/>
        </w:trPr>
        <w:tc>
          <w:tcPr>
            <w:tcW w:type="dxa" w:w="1687"/>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Parking</w:t>
            </w:r>
          </w:p>
        </w:tc>
        <w:tc>
          <w:tcPr>
            <w:tcW w:type="dxa" w:w="3419"/>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Nippon Parking (NPC24H)</w:t>
            </w:r>
          </w:p>
        </w:tc>
        <w:tc>
          <w:tcPr>
            <w:tcW w:type="dxa" w:w="2371"/>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1,905 sites / 86,792 spaces (Dec 2024); ≈90,000 spaces (Dec 2025) (</w:t>
            </w:r>
            <w:hyperlink w:history="1" r:id="rIdbi_zwxhmsjnk7jqjlik92">
              <w:r>
                <w:rPr>
                  <w:rFonts w:ascii="Arial" w:cs="Arial" w:eastAsia="Yu Gothic" w:hAnsi="Arial"/>
                  <w:color w:val="2F6FD0"/>
                  <w:sz w:val="16"/>
                  <w:szCs w:val="16"/>
                  <w:u w:val="single"/>
                </w:rPr>
                <w:t xml:space="preserve">recruit page</w:t>
              </w:r>
            </w:hyperlink>
            <w:r>
              <w:rPr>
                <w:rFonts w:ascii="Arial" w:cs="Arial" w:eastAsia="Yu Gothic" w:hAnsi="Arial"/>
                <w:color w:val="1F2533"/>
                <w:sz w:val="16"/>
                <w:szCs w:val="16"/>
              </w:rPr>
              <w:t xml:space="preserve">)</w:t>
            </w:r>
          </w:p>
        </w:tc>
        <w:tc>
          <w:tcPr>
            <w:tcW w:type="dxa" w:w="2269"/>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Hourly and monthly fees; management contracts</w:t>
            </w:r>
          </w:p>
        </w:tc>
      </w:tr>
      <w:tr>
        <w:trPr>
          <w:cantSplit/>
        </w:trPr>
        <w:tc>
          <w:tcPr>
            <w:tcW w:type="dxa" w:w="1687"/>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Leisure</w:t>
            </w:r>
          </w:p>
        </w:tc>
        <w:tc>
          <w:tcPr>
            <w:tcW w:type="dxa" w:w="3419"/>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Tokyo Tatemono Resort: Regina hotels, 13 golf facilities, 11 hot-spring baths (</w:t>
            </w:r>
            <w:hyperlink w:history="1" r:id="rIdi15n_uxbs6bqp9aoehvfg">
              <w:r>
                <w:rPr>
                  <w:rFonts w:ascii="Arial" w:cs="Arial" w:eastAsia="Yu Gothic" w:hAnsi="Arial"/>
                  <w:color w:val="2F6FD0"/>
                  <w:sz w:val="16"/>
                  <w:szCs w:val="16"/>
                  <w:u w:val="single"/>
                </w:rPr>
                <w:t xml:space="preserve">TT Resort</w:t>
              </w:r>
            </w:hyperlink>
            <w:r>
              <w:rPr>
                <w:rFonts w:ascii="Arial" w:cs="Arial" w:eastAsia="Yu Gothic" w:hAnsi="Arial"/>
                <w:color w:val="1F2533"/>
                <w:sz w:val="16"/>
                <w:szCs w:val="16"/>
              </w:rPr>
              <w:t xml:space="preserve">)</w:t>
            </w:r>
          </w:p>
        </w:tc>
        <w:tc>
          <w:tcPr>
            <w:tcW w:type="dxa" w:w="2371"/>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Oyama Golf Club added Apr 2025</w:t>
            </w:r>
          </w:p>
        </w:tc>
        <w:tc>
          <w:tcPr>
            <w:tcW w:type="dxa" w:w="2269"/>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Operating income</w:t>
            </w:r>
          </w:p>
        </w:tc>
      </w:tr>
      <w:tr>
        <w:trPr>
          <w:cantSplit/>
        </w:trPr>
        <w:tc>
          <w:tcPr>
            <w:tcW w:type="dxa" w:w="1687"/>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Asset management</w:t>
            </w:r>
          </w:p>
        </w:tc>
        <w:tc>
          <w:tcPr>
            <w:tcW w:type="dxa" w:w="3419"/>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TRIM (100% owned) manages JPR, which holds 66 properties with total assets ≈¥534bn. Tokyo Tatemono Investment Advisors manages the private REIT (launched 2015 with ¥16bn)</w:t>
            </w:r>
          </w:p>
        </w:tc>
        <w:tc>
          <w:tcPr>
            <w:tcW w:type="dxa" w:w="2371"/>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n/a</w:t>
            </w:r>
          </w:p>
        </w:tc>
        <w:tc>
          <w:tcPr>
            <w:tcW w:type="dxa" w:w="2269"/>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Base, acquisition and disposition fees (schedule not retrieved)</w:t>
            </w:r>
          </w:p>
        </w:tc>
      </w:tr>
      <w:tr>
        <w:trPr>
          <w:cantSplit/>
        </w:trPr>
        <w:tc>
          <w:tcPr>
            <w:tcW w:type="dxa" w:w="1687"/>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Overseas</w:t>
            </w:r>
          </w:p>
        </w:tc>
        <w:tc>
          <w:tcPr>
            <w:tcW w:type="dxa" w:w="3419"/>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Thailand (15 projects with SC Asset), USA (8 projects in 5 states since 2023), Melbourne build-to-rent (499 units), London (125 Shaftesbury Avenue), Indonesia, China consulting</w:t>
            </w:r>
          </w:p>
        </w:tc>
        <w:tc>
          <w:tcPr>
            <w:tcW w:type="dxa" w:w="2371"/>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Small; mostly equity-method</w:t>
            </w:r>
          </w:p>
        </w:tc>
        <w:tc>
          <w:tcPr>
            <w:tcW w:type="dxa" w:w="2269"/>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Joint-venture profits (−¥6.9bn in FY2025)</w:t>
            </w:r>
          </w:p>
        </w:tc>
      </w:tr>
    </w:tbl>
    <w:p>
      <w:pPr>
        <w:spacing w:after="120" w:before="0" w:line="276" w:lineRule="auto"/>
      </w:pPr>
    </w:p>
    <w:p>
      <w:pPr>
        <w:pStyle w:val="Heading2"/>
        <w:keepNext/>
        <w:keepLines/>
        <w:spacing w:after="90" w:before="260" w:line="252" w:lineRule="auto"/>
      </w:pPr>
      <w:r>
        <w:rPr>
          <w:rFonts w:ascii="Arial" w:cs="Arial" w:eastAsia="Yu Gothic" w:hAnsi="Arial"/>
          <w:b/>
          <w:bCs/>
          <w:color w:val="15233F"/>
          <w:sz w:val="25"/>
          <w:szCs w:val="25"/>
        </w:rPr>
        <w:t xml:space="preserve">Customers</w:t>
      </w:r>
    </w:p>
    <w:p>
      <w:pPr>
        <w:spacing w:after="110" w:before="0" w:line="276" w:lineRule="auto"/>
      </w:pPr>
      <w:r>
        <w:rPr>
          <w:rFonts w:ascii="Arial" w:cs="Arial" w:eastAsia="Yu Gothic" w:hAnsi="Arial"/>
          <w:b/>
          <w:bCs/>
          <w:color w:val="1F2533"/>
          <w:sz w:val="19"/>
          <w:szCs w:val="19"/>
        </w:rPr>
        <w:t xml:space="preserve">Office tenants.</w:t>
      </w:r>
      <w:r>
        <w:rPr>
          <w:rFonts w:ascii="Arial" w:cs="Arial" w:eastAsia="Yu Gothic" w:hAnsi="Arial"/>
          <w:color w:val="1F2533"/>
          <w:sz w:val="19"/>
          <w:szCs w:val="19"/>
        </w:rPr>
        <w:t xml:space="preserve"> The only named anchors found are Mizuho Bank (headquarters) and Aman Tokyo at Otemachi Tower (</w:t>
      </w:r>
      <w:hyperlink w:history="1" r:id="rId-hkpbzp0jz8h5yrzkfu-4">
        <w:r>
          <w:rPr>
            <w:rFonts w:ascii="Arial" w:cs="Arial" w:eastAsia="Yu Gothic" w:hAnsi="Arial"/>
            <w:color w:val="2F6FD0"/>
            <w:sz w:val="19"/>
            <w:szCs w:val="19"/>
            <w:u w:val="single"/>
          </w:rPr>
          <w:t xml:space="preserve">Nikkenren</w:t>
        </w:r>
      </w:hyperlink>
      <w:r>
        <w:rPr>
          <w:rFonts w:ascii="Arial" w:cs="Arial" w:eastAsia="Yu Gothic" w:hAnsi="Arial"/>
          <w:color w:val="1F2533"/>
          <w:sz w:val="19"/>
          <w:szCs w:val="19"/>
        </w:rPr>
        <w:t xml:space="preserve">). At TOFROM YAESU, anchor users include:</w:t>
      </w:r>
    </w:p>
    <w:p>
      <w:pPr>
        <w:pStyle w:val="ListParagraph"/>
        <w:numPr>
          <w:ilvl w:val="0"/>
          <w:numId w:val="2"/>
        </w:numPr>
        <w:spacing w:after="60" w:line="264" w:lineRule="auto"/>
      </w:pPr>
      <w:r>
        <w:rPr>
          <w:rFonts w:ascii="Arial" w:cs="Arial" w:eastAsia="Yu Gothic" w:hAnsi="Arial"/>
          <w:color w:val="1F2533"/>
          <w:sz w:val="19"/>
          <w:szCs w:val="19"/>
        </w:rPr>
        <w:t xml:space="preserve">a Nippon Medical School medical facility (</w:t>
      </w:r>
      <w:hyperlink w:history="1" r:id="rId3uhoqbl09dlgomr5jmr3v">
        <w:r>
          <w:rPr>
            <w:rFonts w:ascii="Arial" w:cs="Arial" w:eastAsia="Yu Gothic" w:hAnsi="Arial"/>
            <w:color w:val="2F6FD0"/>
            <w:sz w:val="19"/>
            <w:szCs w:val="19"/>
            <w:u w:val="single"/>
          </w:rPr>
          <w:t xml:space="preserve">Obayashi</w:t>
        </w:r>
      </w:hyperlink>
      <w:r>
        <w:rPr>
          <w:rFonts w:ascii="Arial" w:cs="Arial" w:eastAsia="Yu Gothic" w:hAnsi="Arial"/>
          <w:color w:val="1F2533"/>
          <w:sz w:val="19"/>
          <w:szCs w:val="19"/>
        </w:rPr>
        <w:t xml:space="preserve">);</w:t>
      </w:r>
    </w:p>
    <w:p>
      <w:pPr>
        <w:pStyle w:val="ListParagraph"/>
        <w:numPr>
          <w:ilvl w:val="0"/>
          <w:numId w:val="2"/>
        </w:numPr>
        <w:spacing w:after="60" w:line="264" w:lineRule="auto"/>
      </w:pPr>
      <w:r>
        <w:rPr>
          <w:rFonts w:ascii="Arial" w:cs="Arial" w:eastAsia="Yu Gothic" w:hAnsi="Arial"/>
          <w:color w:val="1F2533"/>
          <w:sz w:val="19"/>
          <w:szCs w:val="19"/>
        </w:rPr>
        <w:t xml:space="preserve">a theatre and conference facility run by Pia and Congres;</w:t>
      </w:r>
    </w:p>
    <w:p>
      <w:pPr>
        <w:pStyle w:val="ListParagraph"/>
        <w:numPr>
          <w:ilvl w:val="0"/>
          <w:numId w:val="2"/>
        </w:numPr>
        <w:spacing w:after="60" w:line="264" w:lineRule="auto"/>
      </w:pPr>
      <w:r>
        <w:rPr>
          <w:rFonts w:ascii="Arial" w:cs="Arial" w:eastAsia="Yu Gothic" w:hAnsi="Arial"/>
          <w:color w:val="1F2533"/>
          <w:sz w:val="19"/>
          <w:szCs w:val="19"/>
        </w:rPr>
        <w:t xml:space="preserve">Bus Terminal Tokyo Yaesu, built by UR and operated by Keio Dentetsu Bus (</w:t>
      </w:r>
      <w:hyperlink w:history="1" r:id="rId0gyac-6d61uytj-jqiasj">
        <w:r>
          <w:rPr>
            <w:rFonts w:ascii="Arial" w:cs="Arial" w:eastAsia="Yu Gothic" w:hAnsi="Arial"/>
            <w:color w:val="2F6FD0"/>
            <w:sz w:val="19"/>
            <w:szCs w:val="19"/>
            <w:u w:val="single"/>
          </w:rPr>
          <w:t xml:space="preserve">company news</w:t>
        </w:r>
      </w:hyperlink>
      <w:r>
        <w:rPr>
          <w:rFonts w:ascii="Arial" w:cs="Arial" w:eastAsia="Yu Gothic" w:hAnsi="Arial"/>
          <w:color w:val="1F2533"/>
          <w:sz w:val="19"/>
          <w:szCs w:val="19"/>
        </w:rPr>
        <w:t xml:space="preserve">).</w:t>
      </w:r>
    </w:p>
    <w:p>
      <w:pPr>
        <w:spacing w:after="40" w:before="0" w:line="276" w:lineRule="auto"/>
      </w:pPr>
    </w:p>
    <w:p>
      <w:pPr>
        <w:spacing w:after="110" w:before="0" w:line="276" w:lineRule="auto"/>
      </w:pPr>
      <w:r>
        <w:rPr>
          <w:rFonts w:ascii="Arial" w:cs="Arial" w:eastAsia="Yu Gothic" w:hAnsi="Arial"/>
          <w:b/>
          <w:bCs/>
          <w:color w:val="1F2533"/>
          <w:sz w:val="19"/>
          <w:szCs w:val="19"/>
        </w:rPr>
        <w:t xml:space="preserve">Investors buying the company's properties.</w:t>
      </w:r>
      <w:r>
        <w:rPr>
          <w:rFonts w:ascii="Arial" w:cs="Arial" w:eastAsia="Yu Gothic" w:hAnsi="Arial"/>
          <w:color w:val="1F2533"/>
          <w:sz w:val="19"/>
          <w:szCs w:val="19"/>
        </w:rPr>
        <w:t xml:space="preserve"> The structurally important buyer is JPR:</w:t>
      </w:r>
    </w:p>
    <w:p>
      <w:pPr>
        <w:pStyle w:val="ListParagraph"/>
        <w:numPr>
          <w:ilvl w:val="0"/>
          <w:numId w:val="2"/>
        </w:numPr>
        <w:spacing w:after="60" w:line="264" w:lineRule="auto"/>
      </w:pPr>
      <w:r>
        <w:rPr>
          <w:rFonts w:ascii="Arial" w:cs="Arial" w:eastAsia="Yu Gothic" w:hAnsi="Arial"/>
          <w:color w:val="1F2533"/>
          <w:sz w:val="19"/>
          <w:szCs w:val="19"/>
        </w:rPr>
        <w:t xml:space="preserve">Tokyo Tatemono has been its sole sponsor since April 2023.</w:t>
      </w:r>
    </w:p>
    <w:p>
      <w:pPr>
        <w:pStyle w:val="ListParagraph"/>
        <w:numPr>
          <w:ilvl w:val="0"/>
          <w:numId w:val="2"/>
        </w:numPr>
        <w:spacing w:after="60" w:line="264" w:lineRule="auto"/>
      </w:pPr>
      <w:r>
        <w:rPr>
          <w:rFonts w:ascii="Arial" w:cs="Arial" w:eastAsia="Yu Gothic" w:hAnsi="Arial"/>
          <w:color w:val="1F2533"/>
          <w:sz w:val="19"/>
          <w:szCs w:val="19"/>
        </w:rPr>
        <w:t xml:space="preserve">In the period to December 2025, JPR bought ¥31.9bn of property funded by a public offering. It has about ¥62bn of remaining borrowing capacity and targets more than ¥600bn of assets (</w:t>
      </w:r>
      <w:hyperlink w:history="1" r:id="rIdkwc53u8pmyuixtsvpwxge">
        <w:r>
          <w:rPr>
            <w:rFonts w:ascii="Arial" w:cs="Arial" w:eastAsia="Yu Gothic" w:hAnsi="Arial"/>
            <w:color w:val="2F6FD0"/>
            <w:sz w:val="19"/>
            <w:szCs w:val="19"/>
            <w:u w:val="single"/>
          </w:rPr>
          <w:t xml:space="preserve">JPR presentation</w:t>
        </w:r>
      </w:hyperlink>
      <w:r>
        <w:rPr>
          <w:rFonts w:ascii="Arial" w:cs="Arial" w:eastAsia="Yu Gothic" w:hAnsi="Arial"/>
          <w:color w:val="1F2533"/>
          <w:sz w:val="19"/>
          <w:szCs w:val="19"/>
        </w:rPr>
        <w:t xml:space="preserve">).</w:t>
      </w:r>
    </w:p>
    <w:p>
      <w:pPr>
        <w:spacing w:after="40" w:before="0" w:line="276" w:lineRule="auto"/>
      </w:pPr>
    </w:p>
    <w:p>
      <w:pPr>
        <w:spacing w:after="110" w:before="0" w:line="276" w:lineRule="auto"/>
      </w:pPr>
      <w:r>
        <w:rPr>
          <w:rFonts w:ascii="Arial" w:cs="Arial" w:eastAsia="Yu Gothic" w:hAnsi="Arial"/>
          <w:color w:val="1F2533"/>
          <w:sz w:val="19"/>
          <w:szCs w:val="19"/>
        </w:rPr>
        <w:t xml:space="preserve">Other buyers are the private REIT (pension funds and financial institutions), unnamed private investors, and APA Group, which bought an Akihabara hotel from the company.</w:t>
      </w:r>
    </w:p>
    <w:p>
      <w:pPr>
        <w:spacing w:after="110" w:before="0" w:line="276" w:lineRule="auto"/>
      </w:pPr>
      <w:r>
        <w:rPr>
          <w:rFonts w:ascii="Arial" w:cs="Arial" w:eastAsia="Yu Gothic" w:hAnsi="Arial"/>
          <w:b/>
          <w:bCs/>
          <w:color w:val="1F2533"/>
          <w:sz w:val="19"/>
          <w:szCs w:val="19"/>
        </w:rPr>
        <w:t xml:space="preserve">Condo buyers.</w:t>
      </w:r>
      <w:r>
        <w:rPr>
          <w:rFonts w:ascii="Arial" w:cs="Arial" w:eastAsia="Yu Gothic" w:hAnsi="Arial"/>
          <w:color w:val="1F2533"/>
          <w:sz w:val="19"/>
          <w:szCs w:val="19"/>
        </w:rPr>
        <w:t xml:space="preserve"> The 1H FY2026 average price of ¥69.11m is about half the 23-ward market average. That points to a suburban, family-oriented mix.</w:t>
      </w:r>
    </w:p>
    <w:p>
      <w:pPr>
        <w:spacing w:after="110" w:before="0" w:line="276" w:lineRule="auto"/>
      </w:pPr>
      <w:r>
        <w:rPr>
          <w:rFonts w:ascii="Arial" w:cs="Arial" w:eastAsia="Yu Gothic" w:hAnsi="Arial"/>
          <w:b/>
          <w:bCs/>
          <w:color w:val="1F2533"/>
          <w:sz w:val="19"/>
          <w:szCs w:val="19"/>
        </w:rPr>
        <w:t xml:space="preserve">Others.</w:t>
      </w:r>
      <w:r>
        <w:rPr>
          <w:rFonts w:ascii="Arial" w:cs="Arial" w:eastAsia="Yu Gothic" w:hAnsi="Arial"/>
          <w:color w:val="1F2533"/>
          <w:sz w:val="19"/>
          <w:szCs w:val="19"/>
        </w:rPr>
        <w:t xml:space="preserve"> Parking and leisure customers, overseas renters, and Chinese development-consulting clients (projects involving China Vanke).</w:t>
      </w:r>
    </w:p>
    <w:p>
      <w:pPr>
        <w:spacing w:after="110" w:before="0" w:line="276" w:lineRule="auto"/>
      </w:pPr>
      <w:r>
        <w:rPr>
          <w:rFonts w:ascii="Arial" w:cs="Arial" w:eastAsia="Yu Gothic" w:hAnsi="Arial"/>
          <w:b/>
          <w:bCs/>
          <w:color w:val="1F2533"/>
          <w:sz w:val="19"/>
          <w:szCs w:val="19"/>
        </w:rPr>
        <w:t xml:space="preserve">Concentration.</w:t>
      </w:r>
      <w:r>
        <w:rPr>
          <w:rFonts w:ascii="Arial" w:cs="Arial" w:eastAsia="Yu Gothic" w:hAnsi="Arial"/>
          <w:color w:val="1F2533"/>
          <w:sz w:val="19"/>
          <w:szCs w:val="19"/>
        </w:rPr>
        <w:t xml:space="preserve"> No tenant-concentration data are disclosed.</w:t>
      </w:r>
    </w:p>
    <w:p>
      <w:pPr>
        <w:pStyle w:val="Heading2"/>
        <w:keepNext/>
        <w:keepLines/>
        <w:spacing w:after="90" w:before="260" w:line="252" w:lineRule="auto"/>
      </w:pPr>
      <w:r>
        <w:rPr>
          <w:rFonts w:ascii="Arial" w:cs="Arial" w:eastAsia="Yu Gothic" w:hAnsi="Arial"/>
          <w:b/>
          <w:bCs/>
          <w:color w:val="15233F"/>
          <w:sz w:val="25"/>
          <w:szCs w:val="25"/>
        </w:rPr>
        <w:t xml:space="preserve">Suppliers and partners</w:t>
      </w:r>
    </w:p>
    <w:p>
      <w:pPr>
        <w:spacing w:after="110" w:before="0" w:line="276" w:lineRule="auto"/>
      </w:pPr>
      <w:r>
        <w:rPr>
          <w:rFonts w:ascii="Arial" w:cs="Arial" w:eastAsia="Yu Gothic" w:hAnsi="Arial"/>
          <w:b/>
          <w:bCs/>
          <w:color w:val="1F2533"/>
          <w:sz w:val="19"/>
          <w:szCs w:val="19"/>
        </w:rPr>
        <w:t xml:space="preserve">General contractors.</w:t>
      </w:r>
    </w:p>
    <w:p>
      <w:pPr>
        <w:pStyle w:val="ListParagraph"/>
        <w:numPr>
          <w:ilvl w:val="0"/>
          <w:numId w:val="2"/>
        </w:numPr>
        <w:spacing w:after="60" w:line="264" w:lineRule="auto"/>
      </w:pPr>
      <w:r>
        <w:rPr>
          <w:rFonts w:ascii="Arial" w:cs="Arial" w:eastAsia="Yu Gothic" w:hAnsi="Arial"/>
          <w:b/>
          <w:bCs/>
          <w:color w:val="1F2533"/>
          <w:sz w:val="19"/>
          <w:szCs w:val="19"/>
        </w:rPr>
        <w:t xml:space="preserve">Taisei:</w:t>
      </w:r>
      <w:r>
        <w:rPr>
          <w:rFonts w:ascii="Arial" w:cs="Arial" w:eastAsia="Yu Gothic" w:hAnsi="Arial"/>
          <w:color w:val="1F2533"/>
          <w:sz w:val="19"/>
          <w:szCs w:val="19"/>
        </w:rPr>
        <w:t xml:space="preserve"> designed and built TOFROM YAESU block A, was in the joint venture that built block B, and partnered on Otemachi Tower.</w:t>
      </w:r>
    </w:p>
    <w:p>
      <w:pPr>
        <w:pStyle w:val="ListParagraph"/>
        <w:numPr>
          <w:ilvl w:val="0"/>
          <w:numId w:val="2"/>
        </w:numPr>
        <w:spacing w:after="60" w:line="264" w:lineRule="auto"/>
      </w:pPr>
      <w:r>
        <w:rPr>
          <w:rFonts w:ascii="Arial" w:cs="Arial" w:eastAsia="Yu Gothic" w:hAnsi="Arial"/>
          <w:b/>
          <w:bCs/>
          <w:color w:val="1F2533"/>
          <w:sz w:val="19"/>
          <w:szCs w:val="19"/>
        </w:rPr>
        <w:t xml:space="preserve">Obayashi:</w:t>
      </w:r>
      <w:r>
        <w:rPr>
          <w:rFonts w:ascii="Arial" w:cs="Arial" w:eastAsia="Yu Gothic" w:hAnsi="Arial"/>
          <w:color w:val="1F2533"/>
          <w:sz w:val="19"/>
          <w:szCs w:val="19"/>
        </w:rPr>
        <w:t xml:space="preserve"> designed and led construction of TOFROM YAESU TOWER, and was co-specified agent with Tokyo Tatemono.</w:t>
      </w:r>
    </w:p>
    <w:p>
      <w:pPr>
        <w:pStyle w:val="ListParagraph"/>
        <w:numPr>
          <w:ilvl w:val="0"/>
          <w:numId w:val="2"/>
        </w:numPr>
        <w:spacing w:after="60" w:line="264" w:lineRule="auto"/>
      </w:pPr>
      <w:r>
        <w:rPr>
          <w:rFonts w:ascii="Arial" w:cs="Arial" w:eastAsia="Yu Gothic" w:hAnsi="Arial"/>
          <w:b/>
          <w:bCs/>
          <w:color w:val="1F2533"/>
          <w:sz w:val="19"/>
          <w:szCs w:val="19"/>
        </w:rPr>
        <w:t xml:space="preserve">Kajima:</w:t>
      </w:r>
      <w:r>
        <w:rPr>
          <w:rFonts w:ascii="Arial" w:cs="Arial" w:eastAsia="Yu Gothic" w:hAnsi="Arial"/>
          <w:color w:val="1F2533"/>
          <w:sz w:val="19"/>
          <w:szCs w:val="19"/>
        </w:rPr>
        <w:t xml:space="preserve"> designed and built Nakano Central Park South.</w:t>
      </w:r>
    </w:p>
    <w:p>
      <w:pPr>
        <w:spacing w:after="40" w:before="0" w:line="276" w:lineRule="auto"/>
      </w:pPr>
    </w:p>
    <w:p>
      <w:pPr>
        <w:spacing w:after="110" w:before="0" w:line="276" w:lineRule="auto"/>
      </w:pPr>
      <w:r>
        <w:rPr>
          <w:rFonts w:ascii="Arial" w:cs="Arial" w:eastAsia="Yu Gothic" w:hAnsi="Arial"/>
          <w:b/>
          <w:bCs/>
          <w:color w:val="1F2533"/>
          <w:sz w:val="19"/>
          <w:szCs w:val="19"/>
        </w:rPr>
        <w:t xml:space="preserve">Land and approvals.</w:t>
      </w:r>
      <w:r>
        <w:rPr>
          <w:rFonts w:ascii="Arial" w:cs="Arial" w:eastAsia="Yu Gothic" w:hAnsi="Arial"/>
          <w:color w:val="1F2533"/>
          <w:sz w:val="19"/>
          <w:szCs w:val="19"/>
        </w:rPr>
        <w:t xml:space="preserve"> Redevelopment associations, the Tokyo Metropolitan Government (rights-conversion approvals) and UR.</w:t>
      </w:r>
    </w:p>
    <w:p>
      <w:pPr>
        <w:spacing w:after="110" w:before="0" w:line="276" w:lineRule="auto"/>
      </w:pPr>
      <w:r>
        <w:rPr>
          <w:rFonts w:ascii="Arial" w:cs="Arial" w:eastAsia="Yu Gothic" w:hAnsi="Arial"/>
          <w:b/>
          <w:bCs/>
          <w:color w:val="1F2533"/>
          <w:sz w:val="19"/>
          <w:szCs w:val="19"/>
        </w:rPr>
        <w:t xml:space="preserve">Sellers of buildings to the company.</w:t>
      </w:r>
      <w:r>
        <w:rPr>
          <w:rFonts w:ascii="Arial" w:cs="Arial" w:eastAsia="Yu Gothic" w:hAnsi="Arial"/>
          <w:color w:val="1F2533"/>
          <w:sz w:val="19"/>
          <w:szCs w:val="19"/>
        </w:rPr>
        <w:t xml:space="preserve"> Mizuho Bank (the Otemachi sites, via securitisation), Blackstone (a building near Hatchobori, 2026) and Yellow Hat (its former Iwamotocho head office) (</w:t>
      </w:r>
      <w:hyperlink w:history="1" r:id="rIdjeogqbtn-jnhuwrdripl9">
        <w:r>
          <w:rPr>
            <w:rFonts w:ascii="Arial" w:cs="Arial" w:eastAsia="Yu Gothic" w:hAnsi="Arial"/>
            <w:color w:val="2F6FD0"/>
            <w:sz w:val="19"/>
            <w:szCs w:val="19"/>
            <w:u w:val="single"/>
          </w:rPr>
          <w:t xml:space="preserve">NRM</w:t>
        </w:r>
      </w:hyperlink>
      <w:r>
        <w:rPr>
          <w:rFonts w:ascii="Arial" w:cs="Arial" w:eastAsia="Yu Gothic" w:hAnsi="Arial"/>
          <w:color w:val="1F2533"/>
          <w:sz w:val="19"/>
          <w:szCs w:val="19"/>
        </w:rPr>
        <w:t xml:space="preserve">; </w:t>
      </w:r>
      <w:hyperlink w:history="1" r:id="rIdb5leu2xhp1y-2can7mtpd">
        <w:r>
          <w:rPr>
            <w:rFonts w:ascii="Arial" w:cs="Arial" w:eastAsia="Yu Gothic" w:hAnsi="Arial"/>
            <w:color w:val="2F6FD0"/>
            <w:sz w:val="19"/>
            <w:szCs w:val="19"/>
            <w:u w:val="single"/>
          </w:rPr>
          <w:t xml:space="preserve">NRM</w:t>
        </w:r>
      </w:hyperlink>
      <w:r>
        <w:rPr>
          <w:rFonts w:ascii="Arial" w:cs="Arial" w:eastAsia="Yu Gothic" w:hAnsi="Arial"/>
          <w:color w:val="1F2533"/>
          <w:sz w:val="19"/>
          <w:szCs w:val="19"/>
        </w:rPr>
        <w:t xml:space="preserve">).</w:t>
      </w:r>
    </w:p>
    <w:p>
      <w:pPr>
        <w:spacing w:after="110" w:before="0" w:line="276" w:lineRule="auto"/>
      </w:pPr>
      <w:r>
        <w:rPr>
          <w:rFonts w:ascii="Arial" w:cs="Arial" w:eastAsia="Yu Gothic" w:hAnsi="Arial"/>
          <w:b/>
          <w:bCs/>
          <w:color w:val="1F2533"/>
          <w:sz w:val="19"/>
          <w:szCs w:val="19"/>
        </w:rPr>
        <w:t xml:space="preserve">Capital providers.</w:t>
      </w:r>
      <w:r>
        <w:rPr>
          <w:rFonts w:ascii="Arial" w:cs="Arial" w:eastAsia="Yu Gothic" w:hAnsi="Arial"/>
          <w:color w:val="1F2533"/>
          <w:sz w:val="19"/>
          <w:szCs w:val="19"/>
        </w:rPr>
        <w:t xml:space="preserve"> Main banks Mizuho, SMBC and MUFG (</w:t>
      </w:r>
      <w:hyperlink w:history="1" r:id="rIdu_nwwu0xryopt7m_5iq0m">
        <w:r>
          <w:rPr>
            <w:rFonts w:ascii="Arial" w:cs="Arial" w:eastAsia="Yu Gothic" w:hAnsi="Arial"/>
            <w:color w:val="2F6FD0"/>
            <w:sz w:val="19"/>
            <w:szCs w:val="19"/>
            <w:u w:val="single"/>
          </w:rPr>
          <w:t xml:space="preserve">Shikiho</w:t>
        </w:r>
      </w:hyperlink>
      <w:r>
        <w:rPr>
          <w:rFonts w:ascii="Arial" w:cs="Arial" w:eastAsia="Yu Gothic" w:hAnsi="Arial"/>
          <w:color w:val="1F2533"/>
          <w:sz w:val="19"/>
          <w:szCs w:val="19"/>
        </w:rPr>
        <w:t xml:space="preserve">), bond investors, and joint-venture partners: SCX/SC Asset, Lendlease, Nippon Steel Kowa, SC Zeus Data Centers, PT Farpoint, the WHA–KW alliance, and Charter Hall/UBS.</w:t>
      </w:r>
    </w:p>
    <w:p>
      <w:pPr>
        <w:spacing w:after="110" w:before="0" w:line="276" w:lineRule="auto"/>
      </w:pPr>
      <w:r>
        <w:rPr>
          <w:rFonts w:ascii="Arial" w:cs="Arial" w:eastAsia="Yu Gothic" w:hAnsi="Arial"/>
          <w:b/>
          <w:bCs/>
          <w:color w:val="1F2533"/>
          <w:sz w:val="19"/>
          <w:szCs w:val="19"/>
        </w:rPr>
        <w:t xml:space="preserve">Others.</w:t>
      </w:r>
      <w:r>
        <w:rPr>
          <w:rFonts w:ascii="Arial" w:cs="Arial" w:eastAsia="Yu Gothic" w:hAnsi="Arial"/>
          <w:color w:val="1F2533"/>
          <w:sz w:val="19"/>
          <w:szCs w:val="19"/>
        </w:rPr>
        <w:t xml:space="preserve"> JCR rates the company; EY ShinNihon is the auditor.</w:t>
      </w:r>
    </w:p>
    <w:p>
      <w:pPr>
        <w:pStyle w:val="Heading2"/>
        <w:keepNext/>
        <w:keepLines/>
        <w:spacing w:after="90" w:before="260" w:line="252" w:lineRule="auto"/>
      </w:pPr>
      <w:r>
        <w:rPr>
          <w:rFonts w:ascii="Arial" w:cs="Arial" w:eastAsia="Yu Gothic" w:hAnsi="Arial"/>
          <w:b/>
          <w:bCs/>
          <w:color w:val="15233F"/>
          <w:sz w:val="25"/>
          <w:szCs w:val="25"/>
        </w:rPr>
        <w:t xml:space="preserve">Competitors, markets and geographies</w:t>
      </w:r>
    </w:p>
    <w:p>
      <w:pPr>
        <w:spacing w:after="110" w:before="0" w:line="276" w:lineRule="auto"/>
      </w:pPr>
      <w:r>
        <w:rPr>
          <w:rFonts w:ascii="Arial" w:cs="Arial" w:eastAsia="Yu Gothic" w:hAnsi="Arial"/>
          <w:b/>
          <w:bCs/>
          <w:color w:val="1F2533"/>
          <w:sz w:val="19"/>
          <w:szCs w:val="19"/>
        </w:rPr>
        <w:t xml:space="preserve">Competitors.</w:t>
      </w:r>
      <w:r>
        <w:rPr>
          <w:rFonts w:ascii="Arial" w:cs="Arial" w:eastAsia="Yu Gothic" w:hAnsi="Arial"/>
          <w:color w:val="1F2533"/>
          <w:sz w:val="19"/>
          <w:szCs w:val="19"/>
        </w:rPr>
        <w:t xml:space="preserve"> The direct listed competitors are the Tokyo majors: Mitsui Fudosan (8801), Mitsubishi Estate (8802), Sumitomo Realty (8830), Tokyu Fudosan HD (3289) and Nomura Real Estate HD (3231). Hulic (3003) is the closest Fuyo-lineage peer, and smaller landlords include Heiwa Real Estate (8803) and Keihanshin Building (8818). The main unlisted competitors are Mori Building, Mori Trust and Nippon Steel Kowa Real Estate (full list in Section 10).</w:t>
      </w:r>
    </w:p>
    <w:p>
      <w:pPr>
        <w:spacing w:after="110" w:before="0" w:line="276" w:lineRule="auto"/>
      </w:pPr>
      <w:r>
        <w:rPr>
          <w:rFonts w:ascii="Arial" w:cs="Arial" w:eastAsia="Yu Gothic" w:hAnsi="Arial"/>
          <w:b/>
          <w:bCs/>
          <w:color w:val="1F2533"/>
          <w:sz w:val="19"/>
          <w:szCs w:val="19"/>
        </w:rPr>
        <w:t xml:space="preserve">Scale.</w:t>
      </w:r>
      <w:r>
        <w:rPr>
          <w:rFonts w:ascii="Arial" w:cs="Arial" w:eastAsia="Yu Gothic" w:hAnsi="Arial"/>
          <w:color w:val="1F2533"/>
          <w:sz w:val="19"/>
          <w:szCs w:val="19"/>
        </w:rPr>
        <w:t xml:space="preserve"> Tokyo Tatemono's FY2025 operating profit of ¥95.8bn is about 24% of Mitsui Fudosan's, 29% of Mitsubishi Estate's and 32% of Sumitomo's, and 57–69% of Tokyu's and Nomura's (</w:t>
      </w:r>
      <w:hyperlink w:history="1" r:id="rIddtfqiazg4nnzu7neckgjg">
        <w:r>
          <w:rPr>
            <w:rFonts w:ascii="Arial" w:cs="Arial" w:eastAsia="Yu Gothic" w:hAnsi="Arial"/>
            <w:color w:val="2F6FD0"/>
            <w:sz w:val="19"/>
            <w:szCs w:val="19"/>
            <w:u w:val="single"/>
          </w:rPr>
          <w:t xml:space="preserve">investalk</w:t>
        </w:r>
      </w:hyperlink>
      <w:r>
        <w:rPr>
          <w:rFonts w:ascii="Arial" w:cs="Arial" w:eastAsia="Yu Gothic" w:hAnsi="Arial"/>
          <w:color w:val="1F2533"/>
          <w:sz w:val="19"/>
          <w:szCs w:val="19"/>
        </w:rPr>
        <w:t xml:space="preserve">).</w:t>
      </w:r>
    </w:p>
    <w:p>
      <w:pPr>
        <w:spacing w:after="110" w:before="0" w:line="276" w:lineRule="auto"/>
      </w:pPr>
      <w:r>
        <w:rPr>
          <w:rFonts w:ascii="Arial" w:cs="Arial" w:eastAsia="Yu Gothic" w:hAnsi="Arial"/>
          <w:b/>
          <w:bCs/>
          <w:color w:val="1F2533"/>
          <w:sz w:val="19"/>
          <w:szCs w:val="19"/>
        </w:rPr>
        <w:t xml:space="preserve">Geography.</w:t>
      </w:r>
      <w:r>
        <w:rPr>
          <w:rFonts w:ascii="Arial" w:cs="Arial" w:eastAsia="Yu Gothic" w:hAnsi="Arial"/>
          <w:color w:val="1F2533"/>
          <w:sz w:val="19"/>
          <w:szCs w:val="19"/>
        </w:rPr>
        <w:t xml:space="preserve"> The business is overwhelmingly Tokyo:</w:t>
      </w:r>
    </w:p>
    <w:p>
      <w:pPr>
        <w:pStyle w:val="ListParagraph"/>
        <w:numPr>
          <w:ilvl w:val="0"/>
          <w:numId w:val="2"/>
        </w:numPr>
        <w:spacing w:after="60" w:line="264" w:lineRule="auto"/>
      </w:pPr>
      <w:r>
        <w:rPr>
          <w:rFonts w:ascii="Arial" w:cs="Arial" w:eastAsia="Yu Gothic" w:hAnsi="Arial"/>
          <w:b/>
          <w:bCs/>
          <w:color w:val="1F2533"/>
          <w:sz w:val="19"/>
          <w:szCs w:val="19"/>
        </w:rPr>
        <w:t xml:space="preserve">Core:</w:t>
      </w:r>
      <w:r>
        <w:rPr>
          <w:rFonts w:ascii="Arial" w:cs="Arial" w:eastAsia="Yu Gothic" w:hAnsi="Arial"/>
          <w:color w:val="1F2533"/>
          <w:sz w:val="19"/>
          <w:szCs w:val="19"/>
        </w:rPr>
        <w:t xml:space="preserve"> the Tokyo Station cluster (Otemachi, Yaesu, Nihonbashi, Kyobashi), with hubs in Ikebukuro, Shibuya and Nakano.</w:t>
      </w:r>
    </w:p>
    <w:p>
      <w:pPr>
        <w:pStyle w:val="ListParagraph"/>
        <w:numPr>
          <w:ilvl w:val="0"/>
          <w:numId w:val="2"/>
        </w:numPr>
        <w:spacing w:after="60" w:line="264" w:lineRule="auto"/>
      </w:pPr>
      <w:r>
        <w:rPr>
          <w:rFonts w:ascii="Arial" w:cs="Arial" w:eastAsia="Yu Gothic" w:hAnsi="Arial"/>
          <w:b/>
          <w:bCs/>
          <w:color w:val="1F2533"/>
          <w:sz w:val="19"/>
          <w:szCs w:val="19"/>
        </w:rPr>
        <w:t xml:space="preserve">Elsewhere in Japan:</w:t>
      </w:r>
      <w:r>
        <w:rPr>
          <w:rFonts w:ascii="Arial" w:cs="Arial" w:eastAsia="Yu Gothic" w:hAnsi="Arial"/>
          <w:color w:val="1F2533"/>
          <w:sz w:val="19"/>
          <w:szCs w:val="19"/>
        </w:rPr>
        <w:t xml:space="preserve"> logistics extends to Saitama, Chiba, Sendai, Fukuoka, Kyoto and Aichi; there is a data centre in Osaka; parking is nationwide; leisure is concentrated around Lake Kawaguchi.</w:t>
      </w:r>
    </w:p>
    <w:p>
      <w:pPr>
        <w:pStyle w:val="ListParagraph"/>
        <w:numPr>
          <w:ilvl w:val="0"/>
          <w:numId w:val="2"/>
        </w:numPr>
        <w:spacing w:after="60" w:line="264" w:lineRule="auto"/>
      </w:pPr>
      <w:r>
        <w:rPr>
          <w:rFonts w:ascii="Arial" w:cs="Arial" w:eastAsia="Yu Gothic" w:hAnsi="Arial"/>
          <w:b/>
          <w:bCs/>
          <w:color w:val="1F2533"/>
          <w:sz w:val="19"/>
          <w:szCs w:val="19"/>
        </w:rPr>
        <w:t xml:space="preserve">Overseas:</w:t>
      </w:r>
      <w:r>
        <w:rPr>
          <w:rFonts w:ascii="Arial" w:cs="Arial" w:eastAsia="Yu Gothic" w:hAnsi="Arial"/>
          <w:color w:val="1F2533"/>
          <w:sz w:val="19"/>
          <w:szCs w:val="19"/>
        </w:rPr>
        <w:t xml:space="preserve"> small and mostly accounted for under the equity method. No geographic segment split is published (Section 6).</w:t>
      </w:r>
    </w:p>
    <w:p>
      <w:pPr>
        <w:spacing w:after="40" w:before="0" w:line="276" w:lineRule="auto"/>
      </w:pPr>
    </w:p>
    <w:p>
      <w:pPr>
        <w:pStyle w:val="Heading2"/>
        <w:keepNext/>
        <w:keepLines/>
        <w:spacing w:after="90" w:before="260" w:line="252" w:lineRule="auto"/>
      </w:pPr>
      <w:r>
        <w:rPr>
          <w:rFonts w:ascii="Arial" w:cs="Arial" w:eastAsia="Yu Gothic" w:hAnsi="Arial"/>
          <w:b/>
          <w:bCs/>
          <w:color w:val="15233F"/>
          <w:sz w:val="25"/>
          <w:szCs w:val="25"/>
        </w:rPr>
        <w:t xml:space="preserve">Contracts and payment terms</w:t>
      </w:r>
    </w:p>
    <w:p>
      <w:pPr>
        <w:spacing w:after="110" w:before="0" w:line="276" w:lineRule="auto"/>
      </w:pPr>
      <w:r>
        <w:rPr>
          <w:rFonts w:ascii="Arial" w:cs="Arial" w:eastAsia="Yu Gothic" w:hAnsi="Arial"/>
          <w:color w:val="1F2533"/>
          <w:sz w:val="19"/>
          <w:szCs w:val="19"/>
        </w:rPr>
        <w:t xml:space="preserve">Company-specific terms are thinly disclosed. What is known:</w:t>
      </w:r>
    </w:p>
    <w:p>
      <w:pPr>
        <w:pStyle w:val="ListParagraph"/>
        <w:numPr>
          <w:ilvl w:val="0"/>
          <w:numId w:val="2"/>
        </w:numPr>
        <w:spacing w:after="60" w:line="264" w:lineRule="auto"/>
      </w:pPr>
      <w:r>
        <w:rPr>
          <w:rFonts w:ascii="Arial" w:cs="Arial" w:eastAsia="Yu Gothic" w:hAnsi="Arial"/>
          <w:b/>
          <w:bCs/>
          <w:color w:val="1F2533"/>
          <w:sz w:val="19"/>
          <w:szCs w:val="19"/>
        </w:rPr>
        <w:t xml:space="preserve">TRIM–JPR agreement.</w:t>
      </w:r>
      <w:r>
        <w:rPr>
          <w:rFonts w:ascii="Arial" w:cs="Arial" w:eastAsia="Yu Gothic" w:hAnsi="Arial"/>
          <w:color w:val="1F2533"/>
          <w:sz w:val="19"/>
          <w:szCs w:val="19"/>
        </w:rPr>
        <w:t xml:space="preserve"> TRIM's agreement covers JPR's acquisitions and disposals, all leasing decisions, fund-raising and reporting (</w:t>
      </w:r>
      <w:hyperlink w:history="1" r:id="rIdhu35lrmqeyskmuuc4ktab">
        <w:r>
          <w:rPr>
            <w:rFonts w:ascii="Arial" w:cs="Arial" w:eastAsia="Yu Gothic" w:hAnsi="Arial"/>
            <w:color w:val="2F6FD0"/>
            <w:sz w:val="19"/>
            <w:szCs w:val="19"/>
            <w:u w:val="single"/>
          </w:rPr>
          <w:t xml:space="preserve">JPR</w:t>
        </w:r>
      </w:hyperlink>
      <w:r>
        <w:rPr>
          <w:rFonts w:ascii="Arial" w:cs="Arial" w:eastAsia="Yu Gothic" w:hAnsi="Arial"/>
          <w:color w:val="1F2533"/>
          <w:sz w:val="19"/>
          <w:szCs w:val="19"/>
        </w:rPr>
        <w:t xml:space="preserve">). The fee schedule was not retrieved.</w:t>
      </w:r>
    </w:p>
    <w:p>
      <w:pPr>
        <w:pStyle w:val="ListParagraph"/>
        <w:numPr>
          <w:ilvl w:val="0"/>
          <w:numId w:val="2"/>
        </w:numPr>
        <w:spacing w:after="60" w:line="264" w:lineRule="auto"/>
      </w:pPr>
      <w:r>
        <w:rPr>
          <w:rFonts w:ascii="Arial" w:cs="Arial" w:eastAsia="Yu Gothic" w:hAnsi="Arial"/>
          <w:b/>
          <w:bCs/>
          <w:color w:val="1F2533"/>
          <w:sz w:val="19"/>
          <w:szCs w:val="19"/>
        </w:rPr>
        <w:t xml:space="preserve">Timing of revenue.</w:t>
      </w:r>
    </w:p>
    <w:p>
      <w:pPr>
        <w:pStyle w:val="ListParagraph"/>
        <w:numPr>
          <w:ilvl w:val="1"/>
          <w:numId w:val="2"/>
        </w:numPr>
        <w:spacing w:after="60" w:line="264" w:lineRule="auto"/>
      </w:pPr>
      <w:r>
        <w:rPr>
          <w:rFonts w:ascii="Arial" w:cs="Arial" w:eastAsia="Yu Gothic" w:hAnsi="Arial"/>
          <w:color w:val="1F2533"/>
          <w:sz w:val="19"/>
          <w:szCs w:val="19"/>
        </w:rPr>
        <w:t xml:space="preserve">Condo revenue is booked when the unit is handed over; deliveries cluster in Q1 and Q4.</w:t>
      </w:r>
    </w:p>
    <w:p>
      <w:pPr>
        <w:pStyle w:val="ListParagraph"/>
        <w:numPr>
          <w:ilvl w:val="1"/>
          <w:numId w:val="2"/>
        </w:numPr>
        <w:spacing w:after="60" w:line="264" w:lineRule="auto"/>
      </w:pPr>
      <w:r>
        <w:rPr>
          <w:rFonts w:ascii="Arial" w:cs="Arial" w:eastAsia="Yu Gothic" w:hAnsi="Arial"/>
          <w:color w:val="1F2533"/>
          <w:sz w:val="19"/>
          <w:szCs w:val="19"/>
        </w:rPr>
        <w:t xml:space="preserve">Rents are booked monthly.</w:t>
      </w:r>
    </w:p>
    <w:p>
      <w:pPr>
        <w:pStyle w:val="ListParagraph"/>
        <w:numPr>
          <w:ilvl w:val="1"/>
          <w:numId w:val="2"/>
        </w:numPr>
        <w:spacing w:after="60" w:line="264" w:lineRule="auto"/>
      </w:pPr>
      <w:r>
        <w:rPr>
          <w:rFonts w:ascii="Arial" w:cs="Arial" w:eastAsia="Yu Gothic" w:hAnsi="Arial"/>
          <w:color w:val="1F2533"/>
          <w:sz w:val="19"/>
          <w:szCs w:val="19"/>
        </w:rPr>
        <w:t xml:space="preserve">Investor sales are booked at closing, which makes them lumpy.</w:t>
      </w:r>
    </w:p>
    <w:p>
      <w:pPr>
        <w:pStyle w:val="ListParagraph"/>
        <w:numPr>
          <w:ilvl w:val="0"/>
          <w:numId w:val="2"/>
        </w:numPr>
        <w:spacing w:after="60" w:line="264" w:lineRule="auto"/>
      </w:pPr>
      <w:r>
        <w:rPr>
          <w:rFonts w:ascii="Arial" w:cs="Arial" w:eastAsia="Yu Gothic" w:hAnsi="Arial"/>
          <w:b/>
          <w:bCs/>
          <w:color w:val="1F2533"/>
          <w:sz w:val="19"/>
          <w:szCs w:val="19"/>
        </w:rPr>
        <w:t xml:space="preserve">Hotels.</w:t>
      </w:r>
      <w:r>
        <w:rPr>
          <w:rFonts w:ascii="Arial" w:cs="Arial" w:eastAsia="Yu Gothic" w:hAnsi="Arial"/>
          <w:color w:val="1F2533"/>
          <w:sz w:val="19"/>
          <w:szCs w:val="19"/>
        </w:rPr>
        <w:t xml:space="preserve"> Hotel leases increasingly include commission-based (variable) rents (</w:t>
      </w:r>
      <w:hyperlink w:history="1" r:id="rIdnl9ih3zf5hmfgwnhsrqmh">
        <w:r>
          <w:rPr>
            <w:rFonts w:ascii="Arial" w:cs="Arial" w:eastAsia="Yu Gothic" w:hAnsi="Arial"/>
            <w:color w:val="2F6FD0"/>
            <w:sz w:val="19"/>
            <w:szCs w:val="19"/>
            <w:u w:val="single"/>
          </w:rPr>
          <w:t xml:space="preserve">Integrated Report 2025</w:t>
        </w:r>
      </w:hyperlink>
      <w:r>
        <w:rPr>
          <w:rFonts w:ascii="Arial" w:cs="Arial" w:eastAsia="Yu Gothic" w:hAnsi="Arial"/>
          <w:color w:val="1F2533"/>
          <w:sz w:val="19"/>
          <w:szCs w:val="19"/>
        </w:rPr>
        <w:t xml:space="preserve">).</w:t>
      </w:r>
    </w:p>
    <w:p>
      <w:pPr>
        <w:pStyle w:val="ListParagraph"/>
        <w:numPr>
          <w:ilvl w:val="0"/>
          <w:numId w:val="2"/>
        </w:numPr>
        <w:spacing w:after="60" w:line="264" w:lineRule="auto"/>
      </w:pPr>
      <w:r>
        <w:rPr>
          <w:rFonts w:ascii="Arial" w:cs="Arial" w:eastAsia="Yu Gothic" w:hAnsi="Arial"/>
          <w:b/>
          <w:bCs/>
          <w:color w:val="1F2533"/>
          <w:sz w:val="19"/>
          <w:szCs w:val="19"/>
        </w:rPr>
        <w:t xml:space="preserve">Deal structures.</w:t>
      </w:r>
      <w:r>
        <w:rPr>
          <w:rFonts w:ascii="Arial" w:cs="Arial" w:eastAsia="Yu Gothic" w:hAnsi="Arial"/>
          <w:color w:val="1F2533"/>
          <w:sz w:val="19"/>
          <w:szCs w:val="19"/>
        </w:rPr>
        <w:t xml:space="preserve"> Acquisitions and products use securitisation and trust-beneficiary-right structures: the Otemachi purchase, and a 2023 product with Mizuho Trust &amp; Banking.</w:t>
      </w:r>
    </w:p>
    <w:p>
      <w:pPr>
        <w:pStyle w:val="ListParagraph"/>
        <w:numPr>
          <w:ilvl w:val="0"/>
          <w:numId w:val="2"/>
        </w:numPr>
        <w:spacing w:after="60" w:line="264" w:lineRule="auto"/>
      </w:pPr>
      <w:r>
        <w:rPr>
          <w:rFonts w:ascii="Arial" w:cs="Arial" w:eastAsia="Yu Gothic" w:hAnsi="Arial"/>
          <w:b/>
          <w:bCs/>
          <w:color w:val="1F2533"/>
          <w:sz w:val="19"/>
          <w:szCs w:val="19"/>
        </w:rPr>
        <w:t xml:space="preserve">Not disclosed.</w:t>
      </w:r>
      <w:r>
        <w:rPr>
          <w:rFonts w:ascii="Arial" w:cs="Arial" w:eastAsia="Yu Gothic" w:hAnsi="Arial"/>
          <w:color w:val="1F2533"/>
          <w:sz w:val="19"/>
          <w:szCs w:val="19"/>
        </w:rPr>
        <w:t xml:space="preserve"> Office lease lengths, deposits and condo deposit schedules.</w:t>
      </w:r>
    </w:p>
    <w:p>
      <w:pPr>
        <w:spacing w:after="40" w:before="0" w:line="276" w:lineRule="auto"/>
      </w:pPr>
    </w:p>
    <w:p>
      <w:pPr>
        <w:spacing w:after="110" w:before="0" w:line="276" w:lineRule="auto"/>
      </w:pPr>
      <w:r>
        <w:rPr>
          <w:rFonts w:ascii="Arial" w:cs="Arial" w:eastAsia="Yu Gothic" w:hAnsi="Arial"/>
          <w:color w:val="1F2533"/>
          <w:sz w:val="19"/>
          <w:szCs w:val="19"/>
        </w:rPr>
        <w:t xml:space="preserve">As a market convention rather than a company disclosure, Tokyo office leases are typically two-year renewable ordinary leases or three-to-five-year fixed-term leases. Revenue therefore reprices quickly in both directions.</w:t>
      </w:r>
    </w:p>
    <w:p>
      <w:pPr>
        <w:pBdr>
          <w:left w:val="single" w:color="2F6FD0" w:sz="24" w:space="8"/>
        </w:pBdr>
        <w:shd w:fill="EEF3FA" w:color="auto" w:val="clear"/>
        <w:spacing w:after="160" w:before="60" w:line="264" w:lineRule="auto"/>
        <w:ind w:left="200" w:right="200"/>
      </w:pPr>
      <w:r>
        <w:rPr>
          <w:rFonts w:ascii="Arial" w:cs="Arial" w:eastAsia="Yu Gothic" w:hAnsi="Arial"/>
          <w:b/>
          <w:bCs/>
          <w:color w:val="15233F"/>
          <w:sz w:val="18"/>
          <w:szCs w:val="18"/>
        </w:rPr>
        <w:t xml:space="preserve">Key takeaway:</w:t>
      </w:r>
      <w:r>
        <w:rPr>
          <w:rFonts w:ascii="Arial" w:cs="Arial" w:eastAsia="Yu Gothic" w:hAnsi="Arial"/>
          <w:color w:val="15233F"/>
          <w:sz w:val="18"/>
          <w:szCs w:val="18"/>
        </w:rPr>
        <w:t xml:space="preserve"> Earnings rest on three engines. Rent is the stable base and is now accelerating with inflation. Sales to investors drive growth and are cyclical. Condos are timing-driven. The key external variables are Tokyo office rents, cap rates and buyer liquidity, and the cost of about ¥1.5tn of debt.</w:t>
      </w:r>
    </w:p>
    <w:p>
      <w:pPr>
        <w:pStyle w:val="Heading1"/>
        <w:keepNext/>
        <w:keepLines/>
        <w:pageBreakBefore/>
        <w:pBdr>
          <w:bottom w:val="single" w:color="2F6FD0" w:sz="12" w:space="6"/>
        </w:pBdr>
        <w:spacing w:after="160" w:before="0" w:line="252" w:lineRule="auto"/>
      </w:pPr>
      <w:r>
        <w:rPr>
          <w:rFonts w:ascii="Arial" w:cs="Arial" w:eastAsia="Yu Gothic" w:hAnsi="Arial"/>
          <w:b/>
          <w:bCs/>
          <w:color w:val="15233F"/>
          <w:sz w:val="32"/>
          <w:szCs w:val="32"/>
        </w:rPr>
        <w:t xml:space="preserve">3. Macro and micro factors: a record-tight office market meets the highest BOJ policy rate since 1995</w:t>
      </w:r>
    </w:p>
    <w:p>
      <w:pPr>
        <w:pStyle w:val="Heading2"/>
        <w:keepNext/>
        <w:keepLines/>
        <w:spacing w:after="90" w:before="260" w:line="252" w:lineRule="auto"/>
      </w:pPr>
      <w:r>
        <w:rPr>
          <w:rFonts w:ascii="Arial" w:cs="Arial" w:eastAsia="Yu Gothic" w:hAnsi="Arial"/>
          <w:b/>
          <w:bCs/>
          <w:color w:val="15233F"/>
          <w:sz w:val="25"/>
          <w:szCs w:val="25"/>
        </w:rPr>
        <w:t xml:space="preserve">Macro dashboard</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3"/>
        <w:gridCol w:w="3735"/>
        <w:gridCol w:w="1632"/>
        <w:gridCol w:w="2576"/>
      </w:tblGrid>
      <w:tr>
        <w:trPr>
          <w:cantSplit/>
          <w:tblHeader/>
        </w:trPr>
        <w:tc>
          <w:tcPr>
            <w:tcW w:type="dxa" w:w="1803"/>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bCs/>
                <w:color w:val="FFFFFF"/>
                <w:sz w:val="16"/>
                <w:szCs w:val="16"/>
              </w:rPr>
              <w:t xml:space="preserve">Indicator</w:t>
            </w:r>
          </w:p>
        </w:tc>
        <w:tc>
          <w:tcPr>
            <w:tcW w:type="dxa" w:w="3735"/>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6"/>
                <w:szCs w:val="16"/>
              </w:rPr>
              <w:t xml:space="preserve">Latest reading</w:t>
            </w:r>
          </w:p>
        </w:tc>
        <w:tc>
          <w:tcPr>
            <w:tcW w:type="dxa" w:w="1632"/>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6"/>
                <w:szCs w:val="16"/>
              </w:rPr>
              <w:t xml:space="preserve">Trend</w:t>
            </w:r>
          </w:p>
        </w:tc>
        <w:tc>
          <w:tcPr>
            <w:tcW w:type="dxa" w:w="2576"/>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6"/>
                <w:szCs w:val="16"/>
              </w:rPr>
              <w:t xml:space="preserve">What it means for Tokyo Tatemono</w:t>
            </w:r>
          </w:p>
        </w:tc>
      </w:tr>
      <w:tr>
        <w:trPr>
          <w:cantSplit/>
        </w:trPr>
        <w:tc>
          <w:tcPr>
            <w:tcW w:type="dxa" w:w="1803"/>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BOJ policy rate</w:t>
            </w:r>
          </w:p>
        </w:tc>
        <w:tc>
          <w:tcPr>
            <w:tcW w:type="dxa" w:w="3735"/>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1.25% (18 Sep 2026, 7–2 vote; highest since 1995) (</w:t>
            </w:r>
            <w:hyperlink w:history="1" r:id="rIdm4dgesiz7h5fambbqlw2b">
              <w:r>
                <w:rPr>
                  <w:rFonts w:ascii="Arial" w:cs="Arial" w:eastAsia="Yu Gothic" w:hAnsi="Arial"/>
                  <w:color w:val="2F6FD0"/>
                  <w:sz w:val="16"/>
                  <w:szCs w:val="16"/>
                  <w:u w:val="single"/>
                </w:rPr>
                <w:t xml:space="preserve">DLRI</w:t>
              </w:r>
            </w:hyperlink>
            <w:r>
              <w:rPr>
                <w:rFonts w:ascii="Arial" w:cs="Arial" w:eastAsia="Yu Gothic" w:hAnsi="Arial"/>
                <w:color w:val="1F2533"/>
                <w:sz w:val="16"/>
                <w:szCs w:val="16"/>
              </w:rPr>
              <w:t xml:space="preserve">)</w:t>
            </w:r>
          </w:p>
        </w:tc>
        <w:tc>
          <w:tcPr>
            <w:tcW w:type="dxa" w:w="1632"/>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0.75% (Dec 2025) → 1.00% (Jun 2026) → 1.25%</w:t>
            </w:r>
          </w:p>
        </w:tc>
        <w:tc>
          <w:tcPr>
            <w:tcW w:type="dxa" w:w="257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Higher refinancing costs; pressure on cap rates and mortgage affordability</w:t>
            </w:r>
          </w:p>
        </w:tc>
      </w:tr>
      <w:tr>
        <w:trPr>
          <w:cantSplit/>
        </w:trPr>
        <w:tc>
          <w:tcPr>
            <w:tcW w:type="dxa" w:w="1803"/>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10-year JGB</w:t>
            </w:r>
          </w:p>
        </w:tc>
        <w:tc>
          <w:tcPr>
            <w:tcW w:type="dxa" w:w="3735"/>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2.945% intraday (Aug 2026); passed 2% in Dec 2025 (</w:t>
            </w:r>
            <w:hyperlink w:history="1" r:id="rIdu3la-nhhgf_rreas1obsa">
              <w:r>
                <w:rPr>
                  <w:rFonts w:ascii="Arial" w:cs="Arial" w:eastAsia="Yu Gothic" w:hAnsi="Arial"/>
                  <w:color w:val="2F6FD0"/>
                  <w:sz w:val="16"/>
                  <w:szCs w:val="16"/>
                  <w:u w:val="single"/>
                </w:rPr>
                <w:t xml:space="preserve">NRI</w:t>
              </w:r>
            </w:hyperlink>
            <w:r>
              <w:rPr>
                <w:rFonts w:ascii="Arial" w:cs="Arial" w:eastAsia="Yu Gothic" w:hAnsi="Arial"/>
                <w:color w:val="1F2533"/>
                <w:sz w:val="16"/>
                <w:szCs w:val="16"/>
              </w:rPr>
              <w:t xml:space="preserve">)</w:t>
            </w:r>
          </w:p>
        </w:tc>
        <w:tc>
          <w:tcPr>
            <w:tcW w:type="dxa" w:w="1632"/>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Rising</w:t>
            </w:r>
          </w:p>
        </w:tc>
        <w:tc>
          <w:tcPr>
            <w:tcW w:type="dxa" w:w="2576"/>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Prime cap-rate spread over JGBs only ≈20–30bp</w:t>
            </w:r>
          </w:p>
        </w:tc>
      </w:tr>
      <w:tr>
        <w:trPr>
          <w:cantSplit/>
        </w:trPr>
        <w:tc>
          <w:tcPr>
            <w:tcW w:type="dxa" w:w="1803"/>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Tokyo central-5-ward offices</w:t>
            </w:r>
          </w:p>
        </w:tc>
        <w:tc>
          <w:tcPr>
            <w:tcW w:type="dxa" w:w="3735"/>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Vacancy 1.87%; rent +12.46% YoY (Aug 2026), vs 6.31% vacancy in Aug 2021 (</w:t>
            </w:r>
            <w:hyperlink w:history="1" r:id="rIdzu1fkalxjg2yhtjp9t1i3">
              <w:r>
                <w:rPr>
                  <w:rFonts w:ascii="Arial" w:cs="Arial" w:eastAsia="Yu Gothic" w:hAnsi="Arial"/>
                  <w:color w:val="2F6FD0"/>
                  <w:sz w:val="16"/>
                  <w:szCs w:val="16"/>
                  <w:u w:val="single"/>
                </w:rPr>
                <w:t xml:space="preserve">Nikkei 2021</w:t>
              </w:r>
            </w:hyperlink>
            <w:r>
              <w:rPr>
                <w:rFonts w:ascii="Arial" w:cs="Arial" w:eastAsia="Yu Gothic" w:hAnsi="Arial"/>
                <w:color w:val="1F2533"/>
                <w:sz w:val="16"/>
                <w:szCs w:val="16"/>
              </w:rPr>
              <w:t xml:space="preserve">)</w:t>
            </w:r>
          </w:p>
        </w:tc>
        <w:tc>
          <w:tcPr>
            <w:tcW w:type="dxa" w:w="1632"/>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Tightening for 5–6 months running</w:t>
            </w:r>
          </w:p>
        </w:tc>
        <w:tc>
          <w:tcPr>
            <w:tcW w:type="dxa" w:w="257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Supports rent rises and TOFROM YAESU lease-up</w:t>
            </w:r>
          </w:p>
        </w:tc>
      </w:tr>
      <w:tr>
        <w:trPr>
          <w:cantSplit/>
        </w:trPr>
        <w:tc>
          <w:tcPr>
            <w:tcW w:type="dxa" w:w="1803"/>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Prime cap rate</w:t>
            </w:r>
          </w:p>
        </w:tc>
        <w:tc>
          <w:tcPr>
            <w:tcW w:type="dxa" w:w="3735"/>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Marunouchi/Otemachi 3.2%, unchanged for seven surveys (Apr 2026)</w:t>
            </w:r>
          </w:p>
        </w:tc>
        <w:tc>
          <w:tcPr>
            <w:tcW w:type="dxa" w:w="1632"/>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Stable</w:t>
            </w:r>
          </w:p>
        </w:tc>
        <w:tc>
          <w:tcPr>
            <w:tcW w:type="dxa" w:w="2576"/>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Supports sale margins and NAV marks</w:t>
            </w:r>
          </w:p>
        </w:tc>
      </w:tr>
      <w:tr>
        <w:trPr>
          <w:cantSplit/>
        </w:trPr>
        <w:tc>
          <w:tcPr>
            <w:tcW w:type="dxa" w:w="1803"/>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Greater Tokyo new condos</w:t>
            </w:r>
          </w:p>
        </w:tc>
        <w:tc>
          <w:tcPr>
            <w:tcW w:type="dxa" w:w="3735"/>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2025: 21,962 units (−4.5%; lowest since 1973). 1H 2026: average ¥101.35m (+13.1%); initial contract rate 64.8%; unsold inventory 6,389 (+363) (</w:t>
            </w:r>
            <w:hyperlink w:history="1" r:id="rIdup4pxe593l_xaafuqsgdj">
              <w:r>
                <w:rPr>
                  <w:rFonts w:ascii="Arial" w:cs="Arial" w:eastAsia="Yu Gothic" w:hAnsi="Arial"/>
                  <w:color w:val="2F6FD0"/>
                  <w:sz w:val="16"/>
                  <w:szCs w:val="16"/>
                  <w:u w:val="single"/>
                </w:rPr>
                <w:t xml:space="preserve">Nikkei/REEI</w:t>
              </w:r>
            </w:hyperlink>
            <w:r>
              <w:rPr>
                <w:rFonts w:ascii="Arial" w:cs="Arial" w:eastAsia="Yu Gothic" w:hAnsi="Arial"/>
                <w:color w:val="1F2533"/>
                <w:sz w:val="16"/>
                <w:szCs w:val="16"/>
              </w:rPr>
              <w:t xml:space="preserve">)</w:t>
            </w:r>
          </w:p>
        </w:tc>
        <w:tc>
          <w:tcPr>
            <w:tcW w:type="dxa" w:w="1632"/>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Prices up, volumes down, take-up softening</w:t>
            </w:r>
          </w:p>
        </w:tc>
        <w:tc>
          <w:tcPr>
            <w:tcW w:type="dxa" w:w="257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Price support, but affordability strain at the top of the cycle</w:t>
            </w:r>
          </w:p>
        </w:tc>
      </w:tr>
      <w:tr>
        <w:trPr>
          <w:cantSplit/>
        </w:trPr>
        <w:tc>
          <w:tcPr>
            <w:tcW w:type="dxa" w:w="1803"/>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23-ward condo prices</w:t>
            </w:r>
          </w:p>
        </w:tc>
        <w:tc>
          <w:tcPr>
            <w:tcW w:type="dxa" w:w="3735"/>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2025 average ¥136.13m (+21.8%); 1H 2026 ¥142.49m (+9.1%) (</w:t>
            </w:r>
            <w:hyperlink w:history="1" r:id="rIdmyubv7ylqtdnuzlyo0_ma">
              <w:r>
                <w:rPr>
                  <w:rFonts w:ascii="Arial" w:cs="Arial" w:eastAsia="Yu Gothic" w:hAnsi="Arial"/>
                  <w:color w:val="2F6FD0"/>
                  <w:sz w:val="16"/>
                  <w:szCs w:val="16"/>
                  <w:u w:val="single"/>
                </w:rPr>
                <w:t xml:space="preserve">Nikkei/REEI</w:t>
              </w:r>
            </w:hyperlink>
            <w:r>
              <w:rPr>
                <w:rFonts w:ascii="Arial" w:cs="Arial" w:eastAsia="Yu Gothic" w:hAnsi="Arial"/>
                <w:color w:val="1F2533"/>
                <w:sz w:val="16"/>
                <w:szCs w:val="16"/>
              </w:rPr>
              <w:t xml:space="preserve">)</w:t>
            </w:r>
          </w:p>
        </w:tc>
        <w:tc>
          <w:tcPr>
            <w:tcW w:type="dxa" w:w="1632"/>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Rising</w:t>
            </w:r>
          </w:p>
        </w:tc>
        <w:tc>
          <w:tcPr>
            <w:tcW w:type="dxa" w:w="2576"/>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Tokyo Tatemono's mix is cheaper (¥69m), so less exposed to luxury-condo policy</w:t>
            </w:r>
          </w:p>
        </w:tc>
      </w:tr>
      <w:tr>
        <w:trPr>
          <w:cantSplit/>
        </w:trPr>
        <w:tc>
          <w:tcPr>
            <w:tcW w:type="dxa" w:w="1803"/>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Construction costs</w:t>
            </w:r>
          </w:p>
        </w:tc>
        <w:tc>
          <w:tcPr>
            <w:tcW w:type="dxa" w:w="3735"/>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MLIT deflator 135.4 (Mar 2026), +5.1% YoY</w:t>
            </w:r>
          </w:p>
        </w:tc>
        <w:tc>
          <w:tcPr>
            <w:tcW w:type="dxa" w:w="1632"/>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Rising</w:t>
            </w:r>
          </w:p>
        </w:tc>
        <w:tc>
          <w:tcPr>
            <w:tcW w:type="dxa" w:w="257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Margin squeeze on new projects; locked-in projects gain relative value</w:t>
            </w:r>
          </w:p>
        </w:tc>
      </w:tr>
      <w:tr>
        <w:trPr>
          <w:cantSplit/>
        </w:trPr>
        <w:tc>
          <w:tcPr>
            <w:tcW w:type="dxa" w:w="1803"/>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Housing policy</w:t>
            </w:r>
          </w:p>
        </w:tc>
        <w:tc>
          <w:tcPr>
            <w:tcW w:type="dxa" w:w="3735"/>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Chiyoda Ward resale-restriction request (Jul 2025); foreigners bought 20–40% of new condos in Chiyoda, Minato and Shibuya; national measures being studied</w:t>
            </w:r>
          </w:p>
        </w:tc>
        <w:tc>
          <w:tcPr>
            <w:tcW w:type="dxa" w:w="1632"/>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Tightening</w:t>
            </w:r>
          </w:p>
        </w:tc>
        <w:tc>
          <w:tcPr>
            <w:tcW w:type="dxa" w:w="2576"/>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Limited direct impact</w:t>
            </w:r>
          </w:p>
        </w:tc>
      </w:tr>
      <w:tr>
        <w:trPr>
          <w:cantSplit/>
        </w:trPr>
        <w:tc>
          <w:tcPr>
            <w:tcW w:type="dxa" w:w="1803"/>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Governance reform</w:t>
            </w:r>
          </w:p>
        </w:tc>
        <w:tc>
          <w:tcPr>
            <w:tcW w:type="dxa" w:w="3735"/>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Japan Inc. sold a record ≈¥9tn of cross-shareholdings in FY2024 (</w:t>
            </w:r>
            <w:hyperlink w:history="1" r:id="rIdaaqo2or2hgnux9ob3c8hf">
              <w:r>
                <w:rPr>
                  <w:rFonts w:ascii="Arial" w:cs="Arial" w:eastAsia="Yu Gothic" w:hAnsi="Arial"/>
                  <w:color w:val="2F6FD0"/>
                  <w:sz w:val="16"/>
                  <w:szCs w:val="16"/>
                  <w:u w:val="single"/>
                </w:rPr>
                <w:t xml:space="preserve">Nikkei</w:t>
              </w:r>
            </w:hyperlink>
            <w:r>
              <w:rPr>
                <w:rFonts w:ascii="Arial" w:cs="Arial" w:eastAsia="Yu Gothic" w:hAnsi="Arial"/>
                <w:color w:val="1F2533"/>
                <w:sz w:val="16"/>
                <w:szCs w:val="16"/>
              </w:rPr>
              <w:t xml:space="preserve">)</w:t>
            </w:r>
          </w:p>
        </w:tc>
        <w:tc>
          <w:tcPr>
            <w:tcW w:type="dxa" w:w="1632"/>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Supportive</w:t>
            </w:r>
          </w:p>
        </w:tc>
        <w:tc>
          <w:tcPr>
            <w:tcW w:type="dxa" w:w="257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Matches the company's ≥¥130bn programme of policy-share and fixed-asset sales</w:t>
            </w:r>
          </w:p>
        </w:tc>
      </w:tr>
      <w:tr>
        <w:trPr>
          <w:cantSplit/>
        </w:trPr>
        <w:tc>
          <w:tcPr>
            <w:tcW w:type="dxa" w:w="1803"/>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Sector earnings</w:t>
            </w:r>
          </w:p>
        </w:tc>
        <w:tc>
          <w:tcPr>
            <w:tcW w:type="dxa" w:w="3735"/>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All five majors reported record FY3/2026 profits; "Middle East procurement risk" flagged (</w:t>
            </w:r>
            <w:hyperlink w:history="1" r:id="rIdw_n4b5okw98bk9e2iofwi">
              <w:r>
                <w:rPr>
                  <w:rFonts w:ascii="Arial" w:cs="Arial" w:eastAsia="Yu Gothic" w:hAnsi="Arial"/>
                  <w:color w:val="2F6FD0"/>
                  <w:sz w:val="16"/>
                  <w:szCs w:val="16"/>
                  <w:u w:val="single"/>
                </w:rPr>
                <w:t xml:space="preserve">BigGo</w:t>
              </w:r>
            </w:hyperlink>
            <w:r>
              <w:rPr>
                <w:rFonts w:ascii="Arial" w:cs="Arial" w:eastAsia="Yu Gothic" w:hAnsi="Arial"/>
                <w:color w:val="1F2533"/>
                <w:sz w:val="16"/>
                <w:szCs w:val="16"/>
              </w:rPr>
              <w:t xml:space="preserve">)</w:t>
            </w:r>
          </w:p>
        </w:tc>
        <w:tc>
          <w:tcPr>
            <w:tcW w:type="dxa" w:w="1632"/>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Upcycle</w:t>
            </w:r>
          </w:p>
        </w:tc>
        <w:tc>
          <w:tcPr>
            <w:tcW w:type="dxa" w:w="2576"/>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Much of Tokyo Tatemono's growth is cyclical, not idiosyncratic</w:t>
            </w:r>
          </w:p>
        </w:tc>
      </w:tr>
    </w:tbl>
    <w:p>
      <w:pPr>
        <w:spacing w:after="120" w:before="0" w:line="276" w:lineRule="auto"/>
      </w:pPr>
    </w:p>
    <w:p>
      <w:pPr>
        <w:spacing w:after="110" w:before="0" w:line="276" w:lineRule="auto"/>
      </w:pPr>
      <w:r>
        <w:rPr>
          <w:rFonts w:ascii="Arial" w:cs="Arial" w:eastAsia="Yu Gothic" w:hAnsi="Arial"/>
          <w:b/>
          <w:bCs/>
          <w:color w:val="1F2533"/>
          <w:sz w:val="19"/>
          <w:szCs w:val="19"/>
        </w:rPr>
        <w:t xml:space="preserve">The central macro tension is spread compression.</w:t>
      </w:r>
      <w:r>
        <w:rPr>
          <w:rFonts w:ascii="Arial" w:cs="Arial" w:eastAsia="Yu Gothic" w:hAnsi="Arial"/>
          <w:color w:val="1F2533"/>
          <w:sz w:val="19"/>
          <w:szCs w:val="19"/>
        </w:rPr>
        <w:t xml:space="preserve"> Prime office cap rates of about 3.2% now sit only 20–30bp above a 10-year JGB of about 2.9–3.0%, the thinnest spread in decades. So far, rent growth of about 12% has offset higher rates in private-market pricing. If yields keep rising without matching rent growth, three things weaken at once:</w:t>
      </w:r>
    </w:p>
    <w:p>
      <w:pPr>
        <w:pStyle w:val="ListParagraph"/>
        <w:numPr>
          <w:ilvl w:val="0"/>
          <w:numId w:val="2"/>
        </w:numPr>
        <w:spacing w:after="60" w:line="264" w:lineRule="auto"/>
      </w:pPr>
      <w:r>
        <w:rPr>
          <w:rFonts w:ascii="Arial" w:cs="Arial" w:eastAsia="Yu Gothic" w:hAnsi="Arial"/>
          <w:color w:val="1F2533"/>
          <w:sz w:val="19"/>
          <w:szCs w:val="19"/>
        </w:rPr>
        <w:t xml:space="preserve">the margins on Tokyo Tatemono's investor sales;</w:t>
      </w:r>
    </w:p>
    <w:p>
      <w:pPr>
        <w:pStyle w:val="ListParagraph"/>
        <w:numPr>
          <w:ilvl w:val="0"/>
          <w:numId w:val="2"/>
        </w:numPr>
        <w:spacing w:after="60" w:line="264" w:lineRule="auto"/>
      </w:pPr>
      <w:r>
        <w:rPr>
          <w:rFonts w:ascii="Arial" w:cs="Arial" w:eastAsia="Yu Gothic" w:hAnsi="Arial"/>
          <w:color w:val="1F2533"/>
          <w:sz w:val="19"/>
          <w:szCs w:val="19"/>
        </w:rPr>
        <w:t xml:space="preserve">its unrealised gains;</w:t>
      </w:r>
    </w:p>
    <w:p>
      <w:pPr>
        <w:pStyle w:val="ListParagraph"/>
        <w:numPr>
          <w:ilvl w:val="0"/>
          <w:numId w:val="2"/>
        </w:numPr>
        <w:spacing w:after="60" w:line="264" w:lineRule="auto"/>
      </w:pPr>
      <w:r>
        <w:rPr>
          <w:rFonts w:ascii="Arial" w:cs="Arial" w:eastAsia="Yu Gothic" w:hAnsi="Arial"/>
          <w:color w:val="1F2533"/>
          <w:sz w:val="19"/>
          <w:szCs w:val="19"/>
        </w:rPr>
        <w:t xml:space="preserve">J-REIT buyers' ability to raise equity.</w:t>
      </w:r>
    </w:p>
    <w:p>
      <w:pPr>
        <w:spacing w:after="40" w:before="0" w:line="276" w:lineRule="auto"/>
      </w:pPr>
    </w:p>
    <w:p>
      <w:pPr>
        <w:pStyle w:val="Heading2"/>
        <w:keepNext/>
        <w:keepLines/>
        <w:spacing w:after="90" w:before="260" w:line="252" w:lineRule="auto"/>
      </w:pPr>
      <w:r>
        <w:rPr>
          <w:rFonts w:ascii="Arial" w:cs="Arial" w:eastAsia="Yu Gothic" w:hAnsi="Arial"/>
          <w:b/>
          <w:bCs/>
          <w:color w:val="15233F"/>
          <w:sz w:val="25"/>
          <w:szCs w:val="25"/>
        </w:rPr>
        <w:t xml:space="preserve">Micro factors</w:t>
      </w:r>
    </w:p>
    <w:p>
      <w:pPr>
        <w:spacing w:after="110" w:before="0" w:line="276" w:lineRule="auto"/>
      </w:pPr>
      <w:r>
        <w:rPr>
          <w:rFonts w:ascii="Arial" w:cs="Arial" w:eastAsia="Yu Gothic" w:hAnsi="Arial"/>
          <w:b/>
          <w:bCs/>
          <w:color w:val="1F2533"/>
          <w:sz w:val="19"/>
          <w:szCs w:val="19"/>
        </w:rPr>
        <w:t xml:space="preserve">Leasing.</w:t>
      </w:r>
      <w:r>
        <w:rPr>
          <w:rFonts w:ascii="Arial" w:cs="Arial" w:eastAsia="Yu Gothic" w:hAnsi="Arial"/>
          <w:color w:val="1F2533"/>
          <w:sz w:val="19"/>
          <w:szCs w:val="19"/>
        </w:rPr>
        <w:t xml:space="preserve"> TOFROM YAESU TOWER was completed on 28 Feb 2026, THE FRONT on 15 Jul 2026, and retail opened on 10 Sep 2026. The total project cost was ≈¥210.4bn; Tokyo Tatemono and Obayashi are the specified agents (</w:t>
      </w:r>
      <w:hyperlink w:history="1" r:id="rId_xd8ezbscpmoogt20kydx">
        <w:r>
          <w:rPr>
            <w:rFonts w:ascii="Arial" w:cs="Arial" w:eastAsia="Yu Gothic" w:hAnsi="Arial"/>
            <w:color w:val="2F6FD0"/>
            <w:sz w:val="19"/>
            <w:szCs w:val="19"/>
            <w:u w:val="single"/>
          </w:rPr>
          <w:t xml:space="preserve">Kenbiya</w:t>
        </w:r>
      </w:hyperlink>
      <w:r>
        <w:rPr>
          <w:rFonts w:ascii="Arial" w:cs="Arial" w:eastAsia="Yu Gothic" w:hAnsi="Arial"/>
          <w:color w:val="1F2533"/>
          <w:sz w:val="19"/>
          <w:szCs w:val="19"/>
        </w:rPr>
        <w:t xml:space="preserve">). Tokyo Tatemono's ownership share and the occupancy rate are not disclosed.</w:t>
      </w:r>
    </w:p>
    <w:p>
      <w:pPr>
        <w:spacing w:after="110" w:before="0" w:line="276" w:lineRule="auto"/>
      </w:pPr>
      <w:r>
        <w:rPr>
          <w:rFonts w:ascii="Arial" w:cs="Arial" w:eastAsia="Yu Gothic" w:hAnsi="Arial"/>
          <w:b/>
          <w:bCs/>
          <w:color w:val="1F2533"/>
          <w:sz w:val="19"/>
          <w:szCs w:val="19"/>
        </w:rPr>
        <w:t xml:space="preserve">Investor sales.</w:t>
      </w:r>
      <w:r>
        <w:rPr>
          <w:rFonts w:ascii="Arial" w:cs="Arial" w:eastAsia="Yu Gothic" w:hAnsi="Arial"/>
          <w:color w:val="1F2533"/>
          <w:sz w:val="19"/>
          <w:szCs w:val="19"/>
        </w:rPr>
        <w:t xml:space="preserve"> FY2026 sales are hotel-led. The company reports a stock of more than ¥100bn of embedded gains and targets at least ¥130bn of non-current-asset and cross-shareholding sales over FY2025–27.</w:t>
      </w:r>
    </w:p>
    <w:p>
      <w:pPr>
        <w:spacing w:after="110" w:before="0" w:line="276" w:lineRule="auto"/>
      </w:pPr>
      <w:r>
        <w:rPr>
          <w:rFonts w:ascii="Arial" w:cs="Arial" w:eastAsia="Yu Gothic" w:hAnsi="Arial"/>
          <w:b/>
          <w:bCs/>
          <w:color w:val="1F2533"/>
          <w:sz w:val="19"/>
          <w:szCs w:val="19"/>
        </w:rPr>
        <w:t xml:space="preserve">Condos.</w:t>
      </w:r>
      <w:r>
        <w:rPr>
          <w:rFonts w:ascii="Arial" w:cs="Arial" w:eastAsia="Yu Gothic" w:hAnsi="Arial"/>
          <w:color w:val="1F2533"/>
          <w:sz w:val="19"/>
          <w:szCs w:val="19"/>
        </w:rPr>
        <w:t xml:space="preserve"> Handovers trough in 1H FY2026 and recover in 2H. The landbank is ≈7,600 units. The 1H gross margin of 27.8% is down from 30.4%.</w:t>
      </w:r>
    </w:p>
    <w:p>
      <w:pPr>
        <w:spacing w:after="110" w:before="0" w:line="276" w:lineRule="auto"/>
      </w:pPr>
      <w:r>
        <w:rPr>
          <w:rFonts w:ascii="Arial" w:cs="Arial" w:eastAsia="Yu Gothic" w:hAnsi="Arial"/>
          <w:b/>
          <w:bCs/>
          <w:color w:val="1F2533"/>
          <w:sz w:val="19"/>
          <w:szCs w:val="19"/>
        </w:rPr>
        <w:t xml:space="preserve">Below the operating line.</w:t>
      </w:r>
    </w:p>
    <w:p>
      <w:pPr>
        <w:pStyle w:val="ListParagraph"/>
        <w:numPr>
          <w:ilvl w:val="0"/>
          <w:numId w:val="2"/>
        </w:numPr>
        <w:spacing w:after="60" w:line="264" w:lineRule="auto"/>
      </w:pPr>
      <w:r>
        <w:rPr>
          <w:rFonts w:ascii="Arial" w:cs="Arial" w:eastAsia="Yu Gothic" w:hAnsi="Arial"/>
          <w:color w:val="1F2533"/>
          <w:sz w:val="19"/>
          <w:szCs w:val="19"/>
        </w:rPr>
        <w:t xml:space="preserve">The overseas equity-method result swung to −¥6.9bn in FY2025.</w:t>
      </w:r>
    </w:p>
    <w:p>
      <w:pPr>
        <w:pStyle w:val="ListParagraph"/>
        <w:numPr>
          <w:ilvl w:val="0"/>
          <w:numId w:val="2"/>
        </w:numPr>
        <w:spacing w:after="60" w:line="264" w:lineRule="auto"/>
      </w:pPr>
      <w:r>
        <w:rPr>
          <w:rFonts w:ascii="Arial" w:cs="Arial" w:eastAsia="Yu Gothic" w:hAnsi="Arial"/>
          <w:color w:val="1F2533"/>
          <w:sz w:val="19"/>
          <w:szCs w:val="19"/>
        </w:rPr>
        <w:t xml:space="preserve">In August 2026, guidance for overseas equity-method income was cut and corporate costs were raised (</w:t>
      </w:r>
      <w:hyperlink w:history="1" r:id="rIdglwzzo7cdpdgdjr9rzpoz">
        <w:r>
          <w:rPr>
            <w:rFonts w:ascii="Arial" w:cs="Arial" w:eastAsia="Yu Gothic" w:hAnsi="Arial"/>
            <w:color w:val="2F6FD0"/>
            <w:sz w:val="19"/>
            <w:szCs w:val="19"/>
            <w:u w:val="single"/>
          </w:rPr>
          <w:t xml:space="preserve">Minkabu</w:t>
        </w:r>
      </w:hyperlink>
      <w:r>
        <w:rPr>
          <w:rFonts w:ascii="Arial" w:cs="Arial" w:eastAsia="Yu Gothic" w:hAnsi="Arial"/>
          <w:color w:val="1F2533"/>
          <w:sz w:val="19"/>
          <w:szCs w:val="19"/>
        </w:rPr>
        <w:t xml:space="preserve">).</w:t>
      </w:r>
    </w:p>
    <w:p>
      <w:pPr>
        <w:pStyle w:val="ListParagraph"/>
        <w:numPr>
          <w:ilvl w:val="0"/>
          <w:numId w:val="2"/>
        </w:numPr>
        <w:spacing w:after="60" w:line="264" w:lineRule="auto"/>
      </w:pPr>
      <w:r>
        <w:rPr>
          <w:rFonts w:ascii="Arial" w:cs="Arial" w:eastAsia="Yu Gothic" w:hAnsi="Arial"/>
          <w:color w:val="1F2533"/>
          <w:sz w:val="19"/>
          <w:szCs w:val="19"/>
        </w:rPr>
        <w:t xml:space="preserve">Interest-bearing debt rose ¥191bn in 1H FY2026 to ¥1,536.6bn.</w:t>
      </w:r>
    </w:p>
    <w:p>
      <w:pPr>
        <w:spacing w:after="40" w:before="0" w:line="276" w:lineRule="auto"/>
      </w:pPr>
    </w:p>
    <w:p>
      <w:pPr>
        <w:spacing w:after="110" w:before="0" w:line="276" w:lineRule="auto"/>
      </w:pPr>
      <w:r>
        <w:rPr>
          <w:rFonts w:ascii="Arial" w:cs="Arial" w:eastAsia="Yu Gothic" w:hAnsi="Arial"/>
          <w:b/>
          <w:bCs/>
          <w:color w:val="1F2533"/>
          <w:sz w:val="19"/>
          <w:szCs w:val="19"/>
        </w:rPr>
        <w:t xml:space="preserve">New pipeline.</w:t>
      </w:r>
      <w:r>
        <w:rPr>
          <w:rFonts w:ascii="Arial" w:cs="Arial" w:eastAsia="Yu Gothic" w:hAnsi="Arial"/>
          <w:color w:val="1F2533"/>
          <w:sz w:val="19"/>
          <w:szCs w:val="19"/>
        </w:rPr>
        <w:t xml:space="preserve"> Kyobashi 3-chome East (FY2029), the Osaka data centre (2028), Thai rental factories (from Sep 2026), and the Star Mica alliance in pre-owned condo renovation (May 2026).</w:t>
      </w:r>
    </w:p>
    <w:p>
      <w:pPr>
        <w:pStyle w:val="Heading2"/>
        <w:keepNext/>
        <w:keepLines/>
        <w:spacing w:after="90" w:before="260" w:line="252" w:lineRule="auto"/>
      </w:pPr>
      <w:r>
        <w:rPr>
          <w:rFonts w:ascii="Arial" w:cs="Arial" w:eastAsia="Yu Gothic" w:hAnsi="Arial"/>
          <w:b/>
          <w:bCs/>
          <w:color w:val="15233F"/>
          <w:sz w:val="25"/>
          <w:szCs w:val="25"/>
        </w:rPr>
        <w:t xml:space="preserve">Tailwinds and headwinds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277"/>
        <w:gridCol w:w="4469"/>
      </w:tblGrid>
      <w:tr>
        <w:trPr>
          <w:cantSplit/>
          <w:tblHeader/>
        </w:trPr>
        <w:tc>
          <w:tcPr>
            <w:tcW w:type="dxa" w:w="5277"/>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bCs/>
                <w:color w:val="FFFFFF"/>
                <w:sz w:val="16"/>
                <w:szCs w:val="16"/>
              </w:rPr>
              <w:t xml:space="preserve">Tailwinds</w:t>
            </w:r>
          </w:p>
        </w:tc>
        <w:tc>
          <w:tcPr>
            <w:tcW w:type="dxa" w:w="4469"/>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6"/>
                <w:szCs w:val="16"/>
              </w:rPr>
              <w:t xml:space="preserve">Headwinds</w:t>
            </w:r>
          </w:p>
        </w:tc>
      </w:tr>
      <w:tr>
        <w:trPr>
          <w:cantSplit/>
        </w:trPr>
        <w:tc>
          <w:tcPr>
            <w:tcW w:type="dxa" w:w="5277"/>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Record-tight Tokyo office market (1.87% vacancy, +12.5% rents) drives rent rises on short leases</w:t>
            </w:r>
          </w:p>
        </w:tc>
        <w:tc>
          <w:tcPr>
            <w:tcW w:type="dxa" w:w="4469"/>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BOJ at 1.25% with a hawkish minority; 10-year JGB near 3%; refinancing costs are repricing</w:t>
            </w:r>
          </w:p>
        </w:tc>
      </w:tr>
      <w:tr>
        <w:trPr>
          <w:cantSplit/>
        </w:trPr>
        <w:tc>
          <w:tcPr>
            <w:tcW w:type="dxa" w:w="5277"/>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Stable prime cap rates (3.2%) and deep private-capital demand, e.g. Blackstone's ≈¥400bn Tokyo Garden Terrace purchase in 2025 (</w:t>
            </w:r>
            <w:hyperlink w:history="1" r:id="rIdpkpf0rid4guaylh55qjjq">
              <w:r>
                <w:rPr>
                  <w:rFonts w:ascii="Arial" w:cs="Arial" w:eastAsia="Yu Gothic" w:hAnsi="Arial"/>
                  <w:b w:val="false"/>
                  <w:bCs w:val="false"/>
                  <w:color w:val="2F6FD0"/>
                  <w:sz w:val="16"/>
                  <w:szCs w:val="16"/>
                  <w:u w:val="single"/>
                </w:rPr>
                <w:t xml:space="preserve">trafficnews</w:t>
              </w:r>
            </w:hyperlink>
            <w:r>
              <w:rPr>
                <w:rFonts w:ascii="Arial" w:cs="Arial" w:eastAsia="Yu Gothic" w:hAnsi="Arial"/>
                <w:b w:val="false"/>
                <w:bCs w:val="false"/>
                <w:color w:val="1F2533"/>
                <w:sz w:val="16"/>
                <w:szCs w:val="16"/>
              </w:rPr>
              <w:t xml:space="preserve">)</w:t>
            </w:r>
          </w:p>
        </w:tc>
        <w:tc>
          <w:tcPr>
            <w:tcW w:type="dxa" w:w="4469"/>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J-REIT index at year-to-date lows limits the sponsored exit channel (JPR)</w:t>
            </w:r>
          </w:p>
        </w:tc>
      </w:tr>
      <w:tr>
        <w:trPr>
          <w:cantSplit/>
        </w:trPr>
        <w:tc>
          <w:tcPr>
            <w:tcW w:type="dxa" w:w="5277"/>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Record condo prices and constrained supply</w:t>
            </w:r>
          </w:p>
        </w:tc>
        <w:tc>
          <w:tcPr>
            <w:tcW w:type="dxa" w:w="4469"/>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Affordability strain (64.8% contract rate, rising inventory); 1H gross margin down 2.6pt</w:t>
            </w:r>
          </w:p>
        </w:tc>
      </w:tr>
      <w:tr>
        <w:trPr>
          <w:cantSplit/>
        </w:trPr>
        <w:tc>
          <w:tcPr>
            <w:tcW w:type="dxa" w:w="5277"/>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New flagship (TOFROM YAESU) in an irreplaceable location</w:t>
            </w:r>
          </w:p>
        </w:tc>
        <w:tc>
          <w:tcPr>
            <w:tcW w:type="dxa" w:w="4469"/>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New Yaesu supply (Yaesu 2-chome Central district, Jan 2029) competes for the same tenants (</w:t>
            </w:r>
            <w:hyperlink w:history="1" r:id="rId5bhdqfn4bdkdypyp6vqzg">
              <w:r>
                <w:rPr>
                  <w:rFonts w:ascii="Arial" w:cs="Arial" w:eastAsia="Yu Gothic" w:hAnsi="Arial"/>
                  <w:color w:val="2F6FD0"/>
                  <w:sz w:val="16"/>
                  <w:szCs w:val="16"/>
                  <w:u w:val="single"/>
                </w:rPr>
                <w:t xml:space="preserve">Kenbiya</w:t>
              </w:r>
            </w:hyperlink>
            <w:r>
              <w:rPr>
                <w:rFonts w:ascii="Arial" w:cs="Arial" w:eastAsia="Yu Gothic" w:hAnsi="Arial"/>
                <w:color w:val="1F2533"/>
                <w:sz w:val="16"/>
                <w:szCs w:val="16"/>
              </w:rPr>
              <w:t xml:space="preserve">)</w:t>
            </w:r>
          </w:p>
        </w:tc>
      </w:tr>
      <w:tr>
        <w:trPr>
          <w:cantSplit/>
        </w:trPr>
        <w:tc>
          <w:tcPr>
            <w:tcW w:type="dxa" w:w="5277"/>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Governance push: payout to 40%, cross-shareholding sales</w:t>
            </w:r>
          </w:p>
        </w:tc>
        <w:tc>
          <w:tcPr>
            <w:tcW w:type="dxa" w:w="4469"/>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Construction inflation (+5.1%) and contractor capacity constraints</w:t>
            </w:r>
          </w:p>
        </w:tc>
      </w:tr>
      <w:tr>
        <w:trPr>
          <w:cantSplit/>
        </w:trPr>
        <w:tc>
          <w:tcPr>
            <w:tcW w:type="dxa" w:w="5277"/>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Thai expansion with a strong partner (SC Asset)</w:t>
            </w:r>
          </w:p>
        </w:tc>
        <w:tc>
          <w:tcPr>
            <w:tcW w:type="dxa" w:w="4469"/>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Overseas losses (FY2025 −¥6.9bn); London office exposure</w:t>
            </w:r>
          </w:p>
        </w:tc>
      </w:tr>
    </w:tbl>
    <w:p>
      <w:pPr>
        <w:spacing w:after="120" w:before="0" w:line="276" w:lineRule="auto"/>
      </w:pPr>
    </w:p>
    <w:p>
      <w:pPr>
        <w:pBdr>
          <w:left w:val="single" w:color="2F6FD0" w:sz="24" w:space="8"/>
        </w:pBdr>
        <w:shd w:fill="EEF3FA" w:color="auto" w:val="clear"/>
        <w:spacing w:after="160" w:before="60" w:line="264" w:lineRule="auto"/>
        <w:ind w:left="200" w:right="200"/>
      </w:pPr>
      <w:r>
        <w:rPr>
          <w:rFonts w:ascii="Arial" w:cs="Arial" w:eastAsia="Yu Gothic" w:hAnsi="Arial"/>
          <w:b/>
          <w:bCs/>
          <w:color w:val="15233F"/>
          <w:sz w:val="18"/>
          <w:szCs w:val="18"/>
        </w:rPr>
        <w:t xml:space="preserve">Key takeaway:</w:t>
      </w:r>
      <w:r>
        <w:rPr>
          <w:rFonts w:ascii="Arial" w:cs="Arial" w:eastAsia="Yu Gothic" w:hAnsi="Arial"/>
          <w:color w:val="15233F"/>
          <w:sz w:val="18"/>
          <w:szCs w:val="18"/>
        </w:rPr>
        <w:t xml:space="preserve"> Demand-side indicators (rents, vacancy, condo prices, cap rates) are at or near cycle highs, while financing and cost indicators are deteriorating. Tokyo Tatemono's earnings over the next 12–24 months depend on rent growth outrunning refinancing costs and on private buyers continuing to clear assets at a 3.2% cap rate.</w:t>
      </w:r>
    </w:p>
    <w:p>
      <w:pPr>
        <w:pStyle w:val="Heading1"/>
        <w:keepNext/>
        <w:keepLines/>
        <w:pageBreakBefore/>
        <w:pBdr>
          <w:bottom w:val="single" w:color="2F6FD0" w:sz="12" w:space="6"/>
        </w:pBdr>
        <w:spacing w:after="160" w:before="0" w:line="252" w:lineRule="auto"/>
      </w:pPr>
      <w:r>
        <w:rPr>
          <w:rFonts w:ascii="Arial" w:cs="Arial" w:eastAsia="Yu Gothic" w:hAnsi="Arial"/>
          <w:b/>
          <w:bCs/>
          <w:color w:val="15233F"/>
          <w:sz w:val="32"/>
          <w:szCs w:val="32"/>
        </w:rPr>
        <w:t xml:space="preserve">4. Competitive position and moats: a narrow, location-specific moat around Tokyo Station</w:t>
      </w:r>
    </w:p>
    <w:p>
      <w:pPr>
        <w:pStyle w:val="Heading2"/>
        <w:keepNext/>
        <w:keepLines/>
        <w:spacing w:after="90" w:before="260" w:line="252" w:lineRule="auto"/>
      </w:pPr>
      <w:r>
        <w:rPr>
          <w:rFonts w:ascii="Arial" w:cs="Arial" w:eastAsia="Yu Gothic" w:hAnsi="Arial"/>
          <w:b/>
          <w:bCs/>
          <w:color w:val="15233F"/>
          <w:sz w:val="25"/>
          <w:szCs w:val="25"/>
        </w:rPr>
        <w:t xml:space="preserve">How the products compare</w:t>
      </w:r>
    </w:p>
    <w:p>
      <w:pPr>
        <w:spacing w:after="110" w:before="0" w:line="276" w:lineRule="auto"/>
      </w:pPr>
      <w:r>
        <w:rPr>
          <w:rFonts w:ascii="Arial" w:cs="Arial" w:eastAsia="Yu Gothic" w:hAnsi="Arial"/>
          <w:b/>
          <w:bCs/>
          <w:color w:val="1F2533"/>
          <w:sz w:val="19"/>
          <w:szCs w:val="19"/>
        </w:rPr>
        <w:t xml:space="preserve">Condominiums.</w:t>
      </w:r>
      <w:r>
        <w:rPr>
          <w:rFonts w:ascii="Arial" w:cs="Arial" w:eastAsia="Yu Gothic" w:hAnsi="Arial"/>
          <w:color w:val="1F2533"/>
          <w:sz w:val="19"/>
          <w:szCs w:val="19"/>
        </w:rPr>
        <w:t xml:space="preserve"> Brillia scores near the top of the market on resale value. Mansion Review's 2026 Tokyo brand rating (</w:t>
      </w:r>
      <w:hyperlink w:history="1" r:id="rIduaxwjio_xhbjr1isdao4l">
        <w:r>
          <w:rPr>
            <w:rFonts w:ascii="Arial" w:cs="Arial" w:eastAsia="Yu Gothic" w:hAnsi="Arial"/>
            <w:color w:val="2F6FD0"/>
            <w:sz w:val="19"/>
            <w:szCs w:val="19"/>
            <w:u w:val="single"/>
          </w:rPr>
          <w:t xml:space="preserve">t23m-navi</w:t>
        </w:r>
      </w:hyperlink>
      <w:r>
        <w:rPr>
          <w:rFonts w:ascii="Arial" w:cs="Arial" w:eastAsia="Yu Gothic" w:hAnsi="Arial"/>
          <w:color w:val="1F2533"/>
          <w:sz w:val="19"/>
          <w:szCs w:val="19"/>
        </w:rPr>
        <w:t xml:space="preserve">) measures average price appreciation on resale:</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75"/>
        <w:gridCol w:w="5025"/>
        <w:gridCol w:w="1646"/>
      </w:tblGrid>
      <w:tr>
        <w:trPr>
          <w:cantSplit/>
          <w:tblHeader/>
        </w:trPr>
        <w:tc>
          <w:tcPr>
            <w:tcW w:type="dxa" w:w="3075"/>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bCs/>
                <w:color w:val="FFFFFF"/>
                <w:sz w:val="16"/>
                <w:szCs w:val="16"/>
              </w:rPr>
              <w:t xml:space="preserve">Brand</w:t>
            </w:r>
          </w:p>
        </w:tc>
        <w:tc>
          <w:tcPr>
            <w:tcW w:type="dxa" w:w="5025"/>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6"/>
                <w:szCs w:val="16"/>
              </w:rPr>
              <w:t xml:space="preserve">Developer</w:t>
            </w:r>
          </w:p>
        </w:tc>
        <w:tc>
          <w:tcPr>
            <w:tcW w:type="dxa" w:w="1646"/>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6"/>
                <w:szCs w:val="16"/>
              </w:rPr>
              <w:t xml:space="preserve">Average resale price appreciation</w:t>
            </w:r>
          </w:p>
        </w:tc>
      </w:tr>
      <w:tr>
        <w:trPr>
          <w:cantSplit/>
        </w:trPr>
        <w:tc>
          <w:tcPr>
            <w:tcW w:type="dxa" w:w="3075"/>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The Parkhouse</w:t>
            </w:r>
          </w:p>
        </w:tc>
        <w:tc>
          <w:tcPr>
            <w:tcW w:type="dxa" w:w="5025"/>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Mitsubishi Jisho Residence</w:t>
            </w:r>
          </w:p>
        </w:tc>
        <w:tc>
          <w:tcPr>
            <w:tcW w:type="dxa" w:w="164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6"/>
                <w:szCs w:val="16"/>
              </w:rPr>
              <w:t xml:space="preserve">95.6%</w:t>
            </w:r>
          </w:p>
        </w:tc>
      </w:tr>
      <w:tr>
        <w:trPr>
          <w:cantSplit/>
        </w:trPr>
        <w:tc>
          <w:tcPr>
            <w:tcW w:type="dxa" w:w="3075"/>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Brillia</w:t>
            </w:r>
          </w:p>
        </w:tc>
        <w:tc>
          <w:tcPr>
            <w:tcW w:type="dxa" w:w="5025"/>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Tokyo Tatemono</w:t>
            </w:r>
          </w:p>
        </w:tc>
        <w:tc>
          <w:tcPr>
            <w:tcW w:type="dxa" w:w="1646"/>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6"/>
                <w:szCs w:val="16"/>
              </w:rPr>
              <w:t xml:space="preserve">93.1%</w:t>
            </w:r>
          </w:p>
        </w:tc>
      </w:tr>
      <w:tr>
        <w:trPr>
          <w:cantSplit/>
        </w:trPr>
        <w:tc>
          <w:tcPr>
            <w:tcW w:type="dxa" w:w="3075"/>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Proud</w:t>
            </w:r>
          </w:p>
        </w:tc>
        <w:tc>
          <w:tcPr>
            <w:tcW w:type="dxa" w:w="5025"/>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Nomura</w:t>
            </w:r>
          </w:p>
        </w:tc>
        <w:tc>
          <w:tcPr>
            <w:tcW w:type="dxa" w:w="164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6"/>
                <w:szCs w:val="16"/>
              </w:rPr>
              <w:t xml:space="preserve">88.4%</w:t>
            </w:r>
          </w:p>
        </w:tc>
      </w:tr>
      <w:tr>
        <w:trPr>
          <w:cantSplit/>
        </w:trPr>
        <w:tc>
          <w:tcPr>
            <w:tcW w:type="dxa" w:w="3075"/>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Park Homes</w:t>
            </w:r>
          </w:p>
        </w:tc>
        <w:tc>
          <w:tcPr>
            <w:tcW w:type="dxa" w:w="5025"/>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Mitsui</w:t>
            </w:r>
          </w:p>
        </w:tc>
        <w:tc>
          <w:tcPr>
            <w:tcW w:type="dxa" w:w="1646"/>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6"/>
                <w:szCs w:val="16"/>
              </w:rPr>
              <w:t xml:space="preserve">81.1%</w:t>
            </w:r>
          </w:p>
        </w:tc>
      </w:tr>
    </w:tbl>
    <w:p>
      <w:pPr>
        <w:spacing w:after="120" w:before="0" w:line="276" w:lineRule="auto"/>
      </w:pPr>
    </w:p>
    <w:p>
      <w:pPr>
        <w:spacing w:after="110" w:before="0" w:line="276" w:lineRule="auto"/>
      </w:pPr>
      <w:r>
        <w:rPr>
          <w:rFonts w:ascii="Arial" w:cs="Arial" w:eastAsia="Yu Gothic" w:hAnsi="Arial"/>
          <w:color w:val="1F2533"/>
          <w:sz w:val="19"/>
          <w:szCs w:val="19"/>
        </w:rPr>
        <w:t xml:space="preserve">On awareness, Brillia sits mid-table: around #7 in aggregator "popular brand" lists (</w:t>
      </w:r>
      <w:hyperlink w:history="1" r:id="rIdazwtcpydedq47zcsvrar4">
        <w:r>
          <w:rPr>
            <w:rFonts w:ascii="Arial" w:cs="Arial" w:eastAsia="Yu Gothic" w:hAnsi="Arial"/>
            <w:color w:val="2F6FD0"/>
            <w:sz w:val="19"/>
            <w:szCs w:val="19"/>
            <w:u w:val="single"/>
          </w:rPr>
          <w:t xml:space="preserve">Mynavi</w:t>
        </w:r>
      </w:hyperlink>
      <w:r>
        <w:rPr>
          <w:rFonts w:ascii="Arial" w:cs="Arial" w:eastAsia="Yu Gothic" w:hAnsi="Arial"/>
          <w:color w:val="1F2533"/>
          <w:sz w:val="19"/>
          <w:szCs w:val="19"/>
        </w:rPr>
        <w:t xml:space="preserve">). This reflects its smaller volume: Tokyo Tatemono supplied 1,054 units nationally in 2025, against Nomura's 2,273 in Greater Tokyo alone (</w:t>
      </w:r>
      <w:hyperlink w:history="1" r:id="rId_wajhgcfyatqnxqjp2qd2">
        <w:r>
          <w:rPr>
            <w:rFonts w:ascii="Arial" w:cs="Arial" w:eastAsia="Yu Gothic" w:hAnsi="Arial"/>
            <w:color w:val="2F6FD0"/>
            <w:sz w:val="19"/>
            <w:szCs w:val="19"/>
            <w:u w:val="single"/>
          </w:rPr>
          <w:t xml:space="preserve">Nikkei/REEI</w:t>
        </w:r>
      </w:hyperlink>
      <w:r>
        <w:rPr>
          <w:rFonts w:ascii="Arial" w:cs="Arial" w:eastAsia="Yu Gothic" w:hAnsi="Arial"/>
          <w:color w:val="1F2533"/>
          <w:sz w:val="19"/>
          <w:szCs w:val="19"/>
        </w:rPr>
        <w:t xml:space="preserve">). Brillia's selling points are design and "three-stage security"; the company also runs a dedicated resale portal.</w:t>
      </w:r>
    </w:p>
    <w:p>
      <w:pPr>
        <w:spacing w:after="110" w:before="0" w:line="276" w:lineRule="auto"/>
      </w:pPr>
      <w:r>
        <w:rPr>
          <w:rFonts w:ascii="Arial" w:cs="Arial" w:eastAsia="Yu Gothic" w:hAnsi="Arial"/>
          <w:b/>
          <w:bCs/>
          <w:color w:val="1F2533"/>
          <w:sz w:val="19"/>
          <w:szCs w:val="19"/>
        </w:rPr>
        <w:t xml:space="preserve">Offices.</w:t>
      </w:r>
      <w:r>
        <w:rPr>
          <w:rFonts w:ascii="Arial" w:cs="Arial" w:eastAsia="Yu Gothic" w:hAnsi="Arial"/>
          <w:color w:val="1F2533"/>
          <w:sz w:val="19"/>
          <w:szCs w:val="19"/>
        </w:rPr>
        <w:t xml:space="preserve"> The edge is location rather than branding:</w:t>
      </w:r>
    </w:p>
    <w:p>
      <w:pPr>
        <w:pStyle w:val="ListParagraph"/>
        <w:numPr>
          <w:ilvl w:val="0"/>
          <w:numId w:val="2"/>
        </w:numPr>
        <w:spacing w:after="60" w:line="264" w:lineRule="auto"/>
      </w:pPr>
      <w:r>
        <w:rPr>
          <w:rFonts w:ascii="Arial" w:cs="Arial" w:eastAsia="Yu Gothic" w:hAnsi="Arial"/>
          <w:color w:val="1F2533"/>
          <w:sz w:val="19"/>
          <w:szCs w:val="19"/>
        </w:rPr>
        <w:t xml:space="preserve">direct connection to Tokyo Station;</w:t>
      </w:r>
    </w:p>
    <w:p>
      <w:pPr>
        <w:pStyle w:val="ListParagraph"/>
        <w:numPr>
          <w:ilvl w:val="0"/>
          <w:numId w:val="2"/>
        </w:numPr>
        <w:spacing w:after="60" w:line="264" w:lineRule="auto"/>
      </w:pPr>
      <w:r>
        <w:rPr>
          <w:rFonts w:ascii="Arial" w:cs="Arial" w:eastAsia="Yu Gothic" w:hAnsi="Arial"/>
          <w:color w:val="1F2533"/>
          <w:sz w:val="19"/>
          <w:szCs w:val="19"/>
        </w:rPr>
        <w:t xml:space="preserve">a bus terminal and medical and theatre anchors at TOFROM YAESU;</w:t>
      </w:r>
    </w:p>
    <w:p>
      <w:pPr>
        <w:pStyle w:val="ListParagraph"/>
        <w:numPr>
          <w:ilvl w:val="0"/>
          <w:numId w:val="2"/>
        </w:numPr>
        <w:spacing w:after="60" w:line="264" w:lineRule="auto"/>
      </w:pPr>
      <w:r>
        <w:rPr>
          <w:rFonts w:ascii="Arial" w:cs="Arial" w:eastAsia="Yu Gothic" w:hAnsi="Arial"/>
          <w:color w:val="1F2533"/>
          <w:sz w:val="19"/>
          <w:szCs w:val="19"/>
        </w:rPr>
        <w:t xml:space="preserve">DBJ Green Building Platinum certification at Tokyo Square Garden;</w:t>
      </w:r>
    </w:p>
    <w:p>
      <w:pPr>
        <w:pStyle w:val="ListParagraph"/>
        <w:numPr>
          <w:ilvl w:val="0"/>
          <w:numId w:val="2"/>
        </w:numPr>
        <w:spacing w:after="60" w:line="264" w:lineRule="auto"/>
      </w:pPr>
      <w:r>
        <w:rPr>
          <w:rFonts w:ascii="Arial" w:cs="Arial" w:eastAsia="Yu Gothic" w:hAnsi="Arial"/>
          <w:color w:val="1F2533"/>
          <w:sz w:val="19"/>
          <w:szCs w:val="19"/>
        </w:rPr>
        <w:t xml:space="preserve">pre-fitted "set-up" office products.</w:t>
      </w:r>
    </w:p>
    <w:p>
      <w:pPr>
        <w:spacing w:after="40" w:before="0" w:line="276" w:lineRule="auto"/>
      </w:pPr>
    </w:p>
    <w:p>
      <w:pPr>
        <w:spacing w:after="110" w:before="0" w:line="276" w:lineRule="auto"/>
      </w:pPr>
      <w:r>
        <w:rPr>
          <w:rFonts w:ascii="Arial" w:cs="Arial" w:eastAsia="Yu Gothic" w:hAnsi="Arial"/>
          <w:b/>
          <w:bCs/>
          <w:color w:val="1F2533"/>
          <w:sz w:val="19"/>
          <w:szCs w:val="19"/>
        </w:rPr>
        <w:t xml:space="preserve">ESG.</w:t>
      </w:r>
      <w:r>
        <w:rPr>
          <w:rFonts w:ascii="Arial" w:cs="Arial" w:eastAsia="Yu Gothic" w:hAnsi="Arial"/>
          <w:color w:val="1F2533"/>
          <w:sz w:val="19"/>
          <w:szCs w:val="19"/>
        </w:rPr>
        <w:t xml:space="preserve"> Tokyo Tatemono holds SBT certification, joined RE100, and targets a 40% CO2 cut by 2030 and net zero by 2050 (</w:t>
      </w:r>
      <w:hyperlink w:history="1" r:id="rIdg2amkibmnhz6e4yiuarh3">
        <w:r>
          <w:rPr>
            <w:rFonts w:ascii="Arial" w:cs="Arial" w:eastAsia="Yu Gothic" w:hAnsi="Arial"/>
            <w:color w:val="2F6FD0"/>
            <w:sz w:val="19"/>
            <w:szCs w:val="19"/>
            <w:u w:val="single"/>
          </w:rPr>
          <w:t xml:space="preserve">FY2022 Yuho</w:t>
        </w:r>
      </w:hyperlink>
      <w:r>
        <w:rPr>
          <w:rFonts w:ascii="Arial" w:cs="Arial" w:eastAsia="Yu Gothic" w:hAnsi="Arial"/>
          <w:color w:val="1F2533"/>
          <w:sz w:val="19"/>
          <w:szCs w:val="19"/>
        </w:rPr>
        <w:t xml:space="preserve">). It was included in the SOMPO Sustainability Index in 2024.</w:t>
      </w:r>
    </w:p>
    <w:p>
      <w:pPr>
        <w:pStyle w:val="Heading2"/>
        <w:keepNext/>
        <w:keepLines/>
        <w:spacing w:after="90" w:before="260" w:line="252" w:lineRule="auto"/>
      </w:pPr>
      <w:r>
        <w:rPr>
          <w:rFonts w:ascii="Arial" w:cs="Arial" w:eastAsia="Yu Gothic" w:hAnsi="Arial"/>
          <w:b/>
          <w:bCs/>
          <w:color w:val="15233F"/>
          <w:sz w:val="25"/>
          <w:szCs w:val="25"/>
        </w:rPr>
        <w:t xml:space="preserve">Moat assessment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89"/>
        <w:gridCol w:w="1581"/>
        <w:gridCol w:w="4115"/>
        <w:gridCol w:w="2261"/>
      </w:tblGrid>
      <w:tr>
        <w:trPr>
          <w:cantSplit/>
          <w:tblHeader/>
        </w:trPr>
        <w:tc>
          <w:tcPr>
            <w:tcW w:type="dxa" w:w="1789"/>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bCs/>
                <w:color w:val="FFFFFF"/>
                <w:sz w:val="16"/>
                <w:szCs w:val="16"/>
              </w:rPr>
              <w:t xml:space="preserve">Moat category</w:t>
            </w:r>
          </w:p>
        </w:tc>
        <w:tc>
          <w:tcPr>
            <w:tcW w:type="dxa" w:w="1581"/>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6"/>
                <w:szCs w:val="16"/>
              </w:rPr>
              <w:t xml:space="preserve">Rating</w:t>
            </w:r>
          </w:p>
        </w:tc>
        <w:tc>
          <w:tcPr>
            <w:tcW w:type="dxa" w:w="4115"/>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6"/>
                <w:szCs w:val="16"/>
              </w:rPr>
              <w:t xml:space="preserve">Evidence</w:t>
            </w:r>
          </w:p>
        </w:tc>
        <w:tc>
          <w:tcPr>
            <w:tcW w:type="dxa" w:w="2261"/>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6"/>
                <w:szCs w:val="16"/>
              </w:rPr>
              <w:t xml:space="preserve">Durability</w:t>
            </w:r>
          </w:p>
        </w:tc>
      </w:tr>
      <w:tr>
        <w:trPr>
          <w:cantSplit/>
        </w:trPr>
        <w:tc>
          <w:tcPr>
            <w:tcW w:type="dxa" w:w="1789"/>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Brand</w:t>
            </w:r>
          </w:p>
        </w:tc>
        <w:tc>
          <w:tcPr>
            <w:tcW w:type="dxa" w:w="1581"/>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Moderate</w:t>
            </w:r>
          </w:p>
        </w:tc>
        <w:tc>
          <w:tcPr>
            <w:tcW w:type="dxa" w:w="4115"/>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Brillia ranks #2 of four rated brands on resale appreciation, but mid-table on awareness. Corporate brand is 130 years old</w:t>
            </w:r>
          </w:p>
        </w:tc>
        <w:tc>
          <w:tcPr>
            <w:tcW w:type="dxa" w:w="2261"/>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Location matters more than brand in the current cycle</w:t>
            </w:r>
          </w:p>
        </w:tc>
      </w:tr>
      <w:tr>
        <w:trPr>
          <w:cantSplit/>
        </w:trPr>
        <w:tc>
          <w:tcPr>
            <w:tcW w:type="dxa" w:w="1789"/>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Hard assets</w:t>
            </w:r>
          </w:p>
        </w:tc>
        <w:tc>
          <w:tcPr>
            <w:tcW w:type="dxa" w:w="1581"/>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bCs/>
                <w:color w:val="1F2533"/>
                <w:sz w:val="16"/>
                <w:szCs w:val="16"/>
              </w:rPr>
              <w:t xml:space="preserve">Strong (local)</w:t>
            </w:r>
          </w:p>
        </w:tc>
        <w:tc>
          <w:tcPr>
            <w:tcW w:type="dxa" w:w="4115"/>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Tokyo Station cluster: Otemachi Tower, Tokyo Square Garden, TOFROM YAESU (≈225,000 m²), Kyobashi 3-chome East (≈166,800 m²). Rental property fair value ¥1,658bn vs book ¥1,058bn (</w:t>
            </w:r>
            <w:hyperlink w:history="1" r:id="rIdwbeznwtaztrmxvatr9lzq">
              <w:r>
                <w:rPr>
                  <w:rFonts w:ascii="Arial" w:cs="Arial" w:eastAsia="Yu Gothic" w:hAnsi="Arial"/>
                  <w:color w:val="2F6FD0"/>
                  <w:sz w:val="16"/>
                  <w:szCs w:val="16"/>
                  <w:u w:val="single"/>
                </w:rPr>
                <w:t xml:space="preserve">IR Bank</w:t>
              </w:r>
            </w:hyperlink>
            <w:r>
              <w:rPr>
                <w:rFonts w:ascii="Arial" w:cs="Arial" w:eastAsia="Yu Gothic" w:hAnsi="Arial"/>
                <w:color w:val="1F2533"/>
                <w:sz w:val="16"/>
                <w:szCs w:val="16"/>
              </w:rPr>
              <w:t xml:space="preserve">)</w:t>
            </w:r>
          </w:p>
        </w:tc>
        <w:tc>
          <w:tcPr>
            <w:tcW w:type="dxa" w:w="2261"/>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Irreplaceable sites next to Japan's largest rail hub</w:t>
            </w:r>
          </w:p>
        </w:tc>
      </w:tr>
      <w:tr>
        <w:trPr>
          <w:cantSplit/>
        </w:trPr>
        <w:tc>
          <w:tcPr>
            <w:tcW w:type="dxa" w:w="1789"/>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Long-term contracts</w:t>
            </w:r>
          </w:p>
        </w:tc>
        <w:tc>
          <w:tcPr>
            <w:tcW w:type="dxa" w:w="1581"/>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Weak to moderate</w:t>
            </w:r>
          </w:p>
        </w:tc>
        <w:tc>
          <w:tcPr>
            <w:tcW w:type="dxa" w:w="4115"/>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Short leases by market convention; hotel rents partly variable. The JPR management contract is long-dated but small</w:t>
            </w:r>
          </w:p>
        </w:tc>
        <w:tc>
          <w:tcPr>
            <w:tcW w:type="dxa" w:w="2261"/>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Revenue reprices both ways: helpful now, harmful in a downturn</w:t>
            </w:r>
          </w:p>
        </w:tc>
      </w:tr>
      <w:tr>
        <w:trPr>
          <w:cantSplit/>
        </w:trPr>
        <w:tc>
          <w:tcPr>
            <w:tcW w:type="dxa" w:w="1789"/>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Network effect</w:t>
            </w:r>
          </w:p>
        </w:tc>
        <w:tc>
          <w:tcPr>
            <w:tcW w:type="dxa" w:w="1581"/>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Weak</w:t>
            </w:r>
          </w:p>
        </w:tc>
        <w:tc>
          <w:tcPr>
            <w:tcW w:type="dxa" w:w="4115"/>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Area-management and clustering benefits in Yaesu–Nihonbashi–Kyobashi; the REIT and fund platform deepens the buyer pool</w:t>
            </w:r>
          </w:p>
        </w:tc>
        <w:tc>
          <w:tcPr>
            <w:tcW w:type="dxa" w:w="2261"/>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Not a true network effect</w:t>
            </w:r>
          </w:p>
        </w:tc>
      </w:tr>
      <w:tr>
        <w:trPr>
          <w:cantSplit/>
        </w:trPr>
        <w:tc>
          <w:tcPr>
            <w:tcW w:type="dxa" w:w="1789"/>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Regulatory and switching costs</w:t>
            </w:r>
          </w:p>
        </w:tc>
        <w:tc>
          <w:tcPr>
            <w:tcW w:type="dxa" w:w="1581"/>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bCs/>
                <w:color w:val="1F2533"/>
                <w:sz w:val="16"/>
                <w:szCs w:val="16"/>
              </w:rPr>
              <w:t xml:space="preserve">Strong (regulatory)</w:t>
            </w:r>
            <w:r>
              <w:rPr>
                <w:rFonts w:ascii="Arial" w:cs="Arial" w:eastAsia="Yu Gothic" w:hAnsi="Arial"/>
                <w:color w:val="1F2533"/>
                <w:sz w:val="16"/>
                <w:szCs w:val="16"/>
              </w:rPr>
              <w:t xml:space="preserve"> / moderate (switching)</w:t>
            </w:r>
          </w:p>
        </w:tc>
        <w:tc>
          <w:tcPr>
            <w:tcW w:type="dxa" w:w="4115"/>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Type-1 redevelopment needs landowner consensus and Tokyo approval: rights conversion approved 2020, tower completed 2026 (</w:t>
            </w:r>
            <w:hyperlink w:history="1" r:id="rIdov1_qgpaygzzsfepnsa1k">
              <w:r>
                <w:rPr>
                  <w:rFonts w:ascii="Arial" w:cs="Arial" w:eastAsia="Yu Gothic" w:hAnsi="Arial"/>
                  <w:color w:val="2F6FD0"/>
                  <w:sz w:val="16"/>
                  <w:szCs w:val="16"/>
                  <w:u w:val="single"/>
                </w:rPr>
                <w:t xml:space="preserve">Nikkei</w:t>
              </w:r>
            </w:hyperlink>
            <w:r>
              <w:rPr>
                <w:rFonts w:ascii="Arial" w:cs="Arial" w:eastAsia="Yu Gothic" w:hAnsi="Arial"/>
                <w:color w:val="1F2533"/>
                <w:sz w:val="16"/>
                <w:szCs w:val="16"/>
              </w:rPr>
              <w:t xml:space="preserve">). Strategic Special Zone status. Tenant moves are costly, but leases are re-tendered</w:t>
            </w:r>
          </w:p>
        </w:tc>
        <w:tc>
          <w:tcPr>
            <w:tcW w:type="dxa" w:w="2261"/>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Six-plus-year lead times deter new entrants</w:t>
            </w:r>
          </w:p>
        </w:tc>
      </w:tr>
      <w:tr>
        <w:trPr>
          <w:cantSplit/>
        </w:trPr>
        <w:tc>
          <w:tcPr>
            <w:tcW w:type="dxa" w:w="1789"/>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Oligopolistic / monopolistic industry</w:t>
            </w:r>
          </w:p>
        </w:tc>
        <w:tc>
          <w:tcPr>
            <w:tcW w:type="dxa" w:w="1581"/>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Moderate</w:t>
            </w:r>
          </w:p>
        </w:tc>
        <w:tc>
          <w:tcPr>
            <w:tcW w:type="dxa" w:w="4115"/>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Prime CBD redevelopment is a territorial oligopoly (Mitsubishi Estate in Marunouchi, Mitsui in Nihonbashi, Mori in Toranomon, Tokyo Tatemono in Yaesu–Kyobashi). Condos are fragmented: Tokyo Tatemono has ≤5% share, and Open House is #1 nationally</w:t>
            </w:r>
          </w:p>
        </w:tc>
        <w:tc>
          <w:tcPr>
            <w:tcW w:type="dxa" w:w="2261"/>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Oligopoly only in core-CBD offices</w:t>
            </w:r>
          </w:p>
        </w:tc>
      </w:tr>
      <w:tr>
        <w:trPr>
          <w:cantSplit/>
        </w:trPr>
        <w:tc>
          <w:tcPr>
            <w:tcW w:type="dxa" w:w="1789"/>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Cash-flow predictability</w:t>
            </w:r>
          </w:p>
        </w:tc>
        <w:tc>
          <w:tcPr>
            <w:tcW w:type="dxa" w:w="1581"/>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Moderate to weak</w:t>
            </w:r>
          </w:p>
        </w:tc>
        <w:tc>
          <w:tcPr>
            <w:tcW w:type="dxa" w:w="4115"/>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Rental base is stable, but growth comes from sale gains. Operating cash flow ¥18.9–32.1bn vs operating profit ¥80–96bn in FY2024–25; FY2024 free cash flow −¥123bn; equity-method swing to −¥6.9bn</w:t>
            </w:r>
          </w:p>
        </w:tc>
        <w:tc>
          <w:tcPr>
            <w:tcW w:type="dxa" w:w="2261"/>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Lumpy and capital-intensive</w:t>
            </w:r>
          </w:p>
        </w:tc>
      </w:tr>
      <w:tr>
        <w:trPr>
          <w:cantSplit/>
        </w:trPr>
        <w:tc>
          <w:tcPr>
            <w:tcW w:type="dxa" w:w="1789"/>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Scalability</w:t>
            </w:r>
          </w:p>
        </w:tc>
        <w:tc>
          <w:tcPr>
            <w:tcW w:type="dxa" w:w="1581"/>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Weak to moderate</w:t>
            </w:r>
          </w:p>
        </w:tc>
        <w:tc>
          <w:tcPr>
            <w:tcW w:type="dxa" w:w="4115"/>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Growth needs balance sheet: interest-bearing debt rose from ¥977bn to ¥1,537bn in 4.5 years. Asset-management platform via JPR (≈¥534bn of assets)</w:t>
            </w:r>
          </w:p>
        </w:tc>
        <w:tc>
          <w:tcPr>
            <w:tcW w:type="dxa" w:w="2261"/>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Capped by leverage and the ≈2.4x debt/equity guide</w:t>
            </w:r>
          </w:p>
        </w:tc>
      </w:tr>
      <w:tr>
        <w:trPr>
          <w:cantSplit/>
        </w:trPr>
        <w:tc>
          <w:tcPr>
            <w:tcW w:type="dxa" w:w="1789"/>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Risk / history of government interference</w:t>
            </w:r>
          </w:p>
        </w:tc>
        <w:tc>
          <w:tcPr>
            <w:tcW w:type="dxa" w:w="1581"/>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Moderate</w:t>
            </w:r>
          </w:p>
        </w:tc>
        <w:tc>
          <w:tcPr>
            <w:tcW w:type="dxa" w:w="4115"/>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No adverse intervention found in company history. Risks are condo resale and foreign-buyer measures and BOJ normalisation; offset by supportive urban-renewal policy</w:t>
            </w:r>
          </w:p>
        </w:tc>
        <w:tc>
          <w:tcPr>
            <w:tcW w:type="dxa" w:w="2261"/>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Policy mixed</w:t>
            </w:r>
          </w:p>
        </w:tc>
      </w:tr>
      <w:tr>
        <w:trPr>
          <w:cantSplit/>
        </w:trPr>
        <w:tc>
          <w:tcPr>
            <w:tcW w:type="dxa" w:w="1789"/>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Bargaining power over other stakeholders</w:t>
            </w:r>
          </w:p>
        </w:tc>
        <w:tc>
          <w:tcPr>
            <w:tcW w:type="dxa" w:w="1581"/>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Mixed</w:t>
            </w:r>
          </w:p>
        </w:tc>
        <w:tc>
          <w:tcPr>
            <w:tcW w:type="dxa" w:w="4115"/>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Tenants: strong but cyclical (1.87% vacancy). Contractors: weak (+5.1% costs; Middle East procurement risk). Landowners: shared under rights conversion. Lenders: neutral to weakening (JCR A, rising rates). Buyers: favourable (3.2% cap rate; sponsor of JPR)</w:t>
            </w:r>
          </w:p>
        </w:tc>
        <w:tc>
          <w:tcPr>
            <w:tcW w:type="dxa" w:w="2261"/>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Cyclical</w:t>
            </w:r>
          </w:p>
        </w:tc>
      </w:tr>
    </w:tbl>
    <w:p>
      <w:pPr>
        <w:spacing w:after="120" w:before="0" w:line="276" w:lineRule="auto"/>
      </w:pPr>
    </w:p>
    <w:p>
      <w:pPr>
        <w:spacing w:after="110" w:before="0" w:line="276" w:lineRule="auto"/>
      </w:pPr>
      <w:r>
        <w:rPr>
          <w:rFonts w:ascii="Arial" w:cs="Arial" w:eastAsia="Yu Gothic" w:hAnsi="Arial"/>
          <w:b/>
          <w:bCs/>
          <w:color w:val="1F2533"/>
          <w:sz w:val="19"/>
          <w:szCs w:val="19"/>
        </w:rPr>
        <w:t xml:space="preserve">Verdict: a narrow, location-specific moat.</w:t>
      </w:r>
    </w:p>
    <w:p>
      <w:pPr>
        <w:pStyle w:val="ListParagraph"/>
        <w:numPr>
          <w:ilvl w:val="0"/>
          <w:numId w:val="2"/>
        </w:numPr>
        <w:spacing w:after="60" w:line="264" w:lineRule="auto"/>
      </w:pPr>
      <w:r>
        <w:rPr>
          <w:rFonts w:ascii="Arial" w:cs="Arial" w:eastAsia="Yu Gothic" w:hAnsi="Arial"/>
          <w:b/>
          <w:bCs/>
          <w:color w:val="1F2533"/>
          <w:sz w:val="19"/>
          <w:szCs w:val="19"/>
        </w:rPr>
        <w:t xml:space="preserve">Real:</w:t>
      </w:r>
      <w:r>
        <w:rPr>
          <w:rFonts w:ascii="Arial" w:cs="Arial" w:eastAsia="Yu Gothic" w:hAnsi="Arial"/>
          <w:color w:val="1F2533"/>
          <w:sz w:val="19"/>
          <w:szCs w:val="19"/>
        </w:rPr>
        <w:t xml:space="preserve"> control of redevelopment rights around Tokyo Station's Yaesu side. That position took a decade to assemble and cannot be replicated quickly.</w:t>
      </w:r>
    </w:p>
    <w:p>
      <w:pPr>
        <w:pStyle w:val="ListParagraph"/>
        <w:numPr>
          <w:ilvl w:val="0"/>
          <w:numId w:val="2"/>
        </w:numPr>
        <w:spacing w:after="60" w:line="264" w:lineRule="auto"/>
      </w:pPr>
      <w:r>
        <w:rPr>
          <w:rFonts w:ascii="Arial" w:cs="Arial" w:eastAsia="Yu Gothic" w:hAnsi="Arial"/>
          <w:b/>
          <w:bCs/>
          <w:color w:val="1F2533"/>
          <w:sz w:val="19"/>
          <w:szCs w:val="19"/>
        </w:rPr>
        <w:t xml:space="preserve">Not wide:</w:t>
      </w:r>
      <w:r>
        <w:rPr>
          <w:rFonts w:ascii="Arial" w:cs="Arial" w:eastAsia="Yu Gothic" w:hAnsi="Arial"/>
          <w:color w:val="1F2533"/>
          <w:sz w:val="19"/>
          <w:szCs w:val="19"/>
        </w:rPr>
        <w:t xml:space="preserve"> most of the profit pool reprices with the cycle (rents, sale gains, condo prices).</w:t>
      </w:r>
    </w:p>
    <w:p>
      <w:pPr>
        <w:pStyle w:val="ListParagraph"/>
        <w:numPr>
          <w:ilvl w:val="0"/>
          <w:numId w:val="2"/>
        </w:numPr>
        <w:spacing w:after="60" w:line="264" w:lineRule="auto"/>
      </w:pPr>
      <w:r>
        <w:rPr>
          <w:rFonts w:ascii="Arial" w:cs="Arial" w:eastAsia="Yu Gothic" w:hAnsi="Arial"/>
          <w:b/>
          <w:bCs/>
          <w:color w:val="1F2533"/>
          <w:sz w:val="19"/>
          <w:szCs w:val="19"/>
        </w:rPr>
        <w:t xml:space="preserve">Exposed:</w:t>
      </w:r>
      <w:r>
        <w:rPr>
          <w:rFonts w:ascii="Arial" w:cs="Arial" w:eastAsia="Yu Gothic" w:hAnsi="Arial"/>
          <w:color w:val="1F2533"/>
          <w:sz w:val="19"/>
          <w:szCs w:val="19"/>
        </w:rPr>
        <w:t xml:space="preserve"> construction costs and interest rates sit largely outside management's control.</w:t>
      </w:r>
    </w:p>
    <w:p>
      <w:pPr>
        <w:spacing w:after="40" w:before="0" w:line="276" w:lineRule="auto"/>
      </w:pPr>
    </w:p>
    <w:p>
      <w:pPr>
        <w:pBdr>
          <w:left w:val="single" w:color="2F6FD0" w:sz="24" w:space="8"/>
        </w:pBdr>
        <w:shd w:fill="EEF3FA" w:color="auto" w:val="clear"/>
        <w:spacing w:after="160" w:before="60" w:line="264" w:lineRule="auto"/>
        <w:ind w:left="200" w:right="200"/>
      </w:pPr>
      <w:r>
        <w:rPr>
          <w:rFonts w:ascii="Arial" w:cs="Arial" w:eastAsia="Yu Gothic" w:hAnsi="Arial"/>
          <w:b/>
          <w:bCs/>
          <w:color w:val="15233F"/>
          <w:sz w:val="18"/>
          <w:szCs w:val="18"/>
        </w:rPr>
        <w:t xml:space="preserve">Key takeaway:</w:t>
      </w:r>
      <w:r>
        <w:rPr>
          <w:rFonts w:ascii="Arial" w:cs="Arial" w:eastAsia="Yu Gothic" w:hAnsi="Arial"/>
          <w:color w:val="15233F"/>
          <w:sz w:val="18"/>
          <w:szCs w:val="18"/>
        </w:rPr>
        <w:t xml:space="preserve"> Tokyo Tatemono's competitive advantage is real estate scarcity, not brand or contracts. It protects returns on the Yaesu cluster but does not insulate group earnings from the rate and capital-market cycle.</w:t>
      </w:r>
    </w:p>
    <w:p>
      <w:pPr>
        <w:pStyle w:val="Heading1"/>
        <w:keepNext/>
        <w:keepLines/>
        <w:pageBreakBefore/>
        <w:pBdr>
          <w:bottom w:val="single" w:color="2F6FD0" w:sz="12" w:space="6"/>
        </w:pBdr>
        <w:spacing w:after="160" w:before="0" w:line="252" w:lineRule="auto"/>
      </w:pPr>
      <w:r>
        <w:rPr>
          <w:rFonts w:ascii="Arial" w:cs="Arial" w:eastAsia="Yu Gothic" w:hAnsi="Arial"/>
          <w:b/>
          <w:bCs/>
          <w:color w:val="15233F"/>
          <w:sz w:val="32"/>
          <w:szCs w:val="32"/>
        </w:rPr>
        <w:t xml:space="preserve">5. Supply chain: from landowners to J-REIT unitholders, with Tokyo Tatemono as orchestrator</w:t>
      </w:r>
    </w:p>
    <w:p>
      <w:pPr>
        <w:spacing w:after="110" w:before="0" w:line="276" w:lineRule="auto"/>
      </w:pPr>
      <w:r>
        <w:rPr>
          <w:rFonts w:ascii="Arial" w:cs="Arial" w:eastAsia="Yu Gothic" w:hAnsi="Arial"/>
          <w:color w:val="1F2533"/>
          <w:sz w:val="19"/>
          <w:szCs w:val="19"/>
        </w:rPr>
        <w:t xml:space="preserve">Tokyo Tatemono sits in the middle of the real-estate value chain as an asset-light orchestrator of construction and a capital-heavy owner of land and buildings. The flow runs:</w:t>
      </w:r>
    </w:p>
    <w:p>
      <w:pPr>
        <w:pStyle w:val="ListParagraph"/>
        <w:numPr>
          <w:ilvl w:val="0"/>
          <w:numId w:val="6"/>
        </w:numPr>
        <w:spacing w:after="60" w:line="264" w:lineRule="auto"/>
      </w:pPr>
      <w:r>
        <w:rPr>
          <w:rFonts w:ascii="Arial" w:cs="Arial" w:eastAsia="Yu Gothic" w:hAnsi="Arial"/>
          <w:color w:val="1F2533"/>
          <w:sz w:val="19"/>
          <w:szCs w:val="19"/>
        </w:rPr>
        <w:t xml:space="preserve">land and redevelopment rights;</w:t>
      </w:r>
    </w:p>
    <w:p>
      <w:pPr>
        <w:pStyle w:val="ListParagraph"/>
        <w:numPr>
          <w:ilvl w:val="0"/>
          <w:numId w:val="6"/>
        </w:numPr>
        <w:spacing w:after="60" w:line="264" w:lineRule="auto"/>
      </w:pPr>
      <w:r>
        <w:rPr>
          <w:rFonts w:ascii="Arial" w:cs="Arial" w:eastAsia="Yu Gothic" w:hAnsi="Arial"/>
          <w:color w:val="1F2533"/>
          <w:sz w:val="19"/>
          <w:szCs w:val="19"/>
        </w:rPr>
        <w:t xml:space="preserve">public approvals;</w:t>
      </w:r>
    </w:p>
    <w:p>
      <w:pPr>
        <w:pStyle w:val="ListParagraph"/>
        <w:numPr>
          <w:ilvl w:val="0"/>
          <w:numId w:val="6"/>
        </w:numPr>
        <w:spacing w:after="60" w:line="264" w:lineRule="auto"/>
      </w:pPr>
      <w:r>
        <w:rPr>
          <w:rFonts w:ascii="Arial" w:cs="Arial" w:eastAsia="Yu Gothic" w:hAnsi="Arial"/>
          <w:color w:val="1F2533"/>
          <w:sz w:val="19"/>
          <w:szCs w:val="19"/>
        </w:rPr>
        <w:t xml:space="preserve">outside contractors who design and build;</w:t>
      </w:r>
    </w:p>
    <w:p>
      <w:pPr>
        <w:pStyle w:val="ListParagraph"/>
        <w:numPr>
          <w:ilvl w:val="0"/>
          <w:numId w:val="6"/>
        </w:numPr>
        <w:spacing w:after="60" w:line="264" w:lineRule="auto"/>
      </w:pPr>
      <w:r>
        <w:rPr>
          <w:rFonts w:ascii="Arial" w:cs="Arial" w:eastAsia="Yu Gothic" w:hAnsi="Arial"/>
          <w:color w:val="1F2533"/>
          <w:sz w:val="19"/>
          <w:szCs w:val="19"/>
        </w:rPr>
        <w:t xml:space="preserve">debt and joint-venture capital;</w:t>
      </w:r>
    </w:p>
    <w:p>
      <w:pPr>
        <w:pStyle w:val="ListParagraph"/>
        <w:numPr>
          <w:ilvl w:val="0"/>
          <w:numId w:val="6"/>
        </w:numPr>
        <w:spacing w:after="60" w:line="264" w:lineRule="auto"/>
      </w:pPr>
      <w:r>
        <w:rPr>
          <w:rFonts w:ascii="Arial" w:cs="Arial" w:eastAsia="Yu Gothic" w:hAnsi="Arial"/>
          <w:color w:val="1F2533"/>
          <w:sz w:val="19"/>
          <w:szCs w:val="19"/>
        </w:rPr>
        <w:t xml:space="preserve">Tokyo Tatemono and its in-house operating companies;</w:t>
      </w:r>
    </w:p>
    <w:p>
      <w:pPr>
        <w:pStyle w:val="ListParagraph"/>
        <w:numPr>
          <w:ilvl w:val="0"/>
          <w:numId w:val="6"/>
        </w:numPr>
        <w:spacing w:after="60" w:line="264" w:lineRule="auto"/>
      </w:pPr>
      <w:r>
        <w:rPr>
          <w:rFonts w:ascii="Arial" w:cs="Arial" w:eastAsia="Yu Gothic" w:hAnsi="Arial"/>
          <w:color w:val="1F2533"/>
          <w:sz w:val="19"/>
          <w:szCs w:val="19"/>
        </w:rPr>
        <w:t xml:space="preserve">third-party operators and anchors;</w:t>
      </w:r>
    </w:p>
    <w:p>
      <w:pPr>
        <w:pStyle w:val="ListParagraph"/>
        <w:numPr>
          <w:ilvl w:val="0"/>
          <w:numId w:val="6"/>
        </w:numPr>
        <w:spacing w:after="60" w:line="264" w:lineRule="auto"/>
      </w:pPr>
      <w:r>
        <w:rPr>
          <w:rFonts w:ascii="Arial" w:cs="Arial" w:eastAsia="Yu Gothic" w:hAnsi="Arial"/>
          <w:color w:val="1F2533"/>
          <w:sz w:val="19"/>
          <w:szCs w:val="19"/>
        </w:rPr>
        <w:t xml:space="preserve">end users (tenants, condo buyers, parking and leisure users);</w:t>
      </w:r>
    </w:p>
    <w:p>
      <w:pPr>
        <w:pStyle w:val="ListParagraph"/>
        <w:numPr>
          <w:ilvl w:val="0"/>
          <w:numId w:val="6"/>
        </w:numPr>
        <w:spacing w:after="60" w:line="264" w:lineRule="auto"/>
      </w:pPr>
      <w:r>
        <w:rPr>
          <w:rFonts w:ascii="Arial" w:cs="Arial" w:eastAsia="Yu Gothic" w:hAnsi="Arial"/>
          <w:color w:val="1F2533"/>
          <w:sz w:val="19"/>
          <w:szCs w:val="19"/>
        </w:rPr>
        <w:t xml:space="preserve">exit buyers (JPR, the private REIT, funds), whose purchases recycle cash back to step 1.</w:t>
      </w:r>
    </w:p>
    <w:p>
      <w:pPr>
        <w:spacing w:after="40" w:before="0" w:line="276" w:lineRule="auto"/>
      </w:pPr>
    </w:p>
    <w:p>
      <w:pPr>
        <w:keepNext/>
        <w:spacing w:after="40" w:before="80" w:line="240" w:lineRule="auto"/>
        <w:jc w:val="center"/>
      </w:pPr>
      <w:r>
        <w:drawing>
          <wp:inline distT="0" distB="0" distL="0" distR="0">
            <wp:extent cx="6191250" cy="8201025"/>
            <wp:effectExtent t="0" r="0" b="0" l="0"/>
            <wp:docPr id="1" name="fig11_supply_chain_map.png" descr="Figure 2: Supply-chain map — upstream inputs, Tokyo Tatemono&amp;#39;s operating companies, and downstream operators, end users and exit buyers, with named counterparties." title="Figure 2: Supply-chain map — upstream inputs, Tokyo Tatemono&amp;#39;s operating companies, and downstream operators, end users and exit buyers, with named counterpar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91250" cy="8201025"/>
                    </a:xfrm>
                    <a:prstGeom prst="rect">
                      <a:avLst/>
                    </a:prstGeom>
                  </pic:spPr>
                </pic:pic>
              </a:graphicData>
            </a:graphic>
          </wp:inline>
        </w:drawing>
      </w:r>
    </w:p>
    <w:p>
      <w:pPr>
        <w:spacing w:after="160" w:before="0" w:line="276" w:lineRule="auto"/>
        <w:jc w:val="left"/>
      </w:pPr>
      <w:r>
        <w:rPr>
          <w:rFonts w:ascii="Arial" w:cs="Arial" w:eastAsia="Yu Gothic" w:hAnsi="Arial"/>
          <w:i/>
          <w:iCs/>
          <w:color w:val="5B6577"/>
          <w:sz w:val="16"/>
          <w:szCs w:val="16"/>
        </w:rPr>
        <w:t xml:space="preserve">Figure 2: Supply-chain map — upstream inputs, Tokyo Tatemono&amp;#39;s operating companies, and downstream operators, end users and exit buyers, with named counterparties.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51"/>
        <w:gridCol w:w="2147"/>
        <w:gridCol w:w="3892"/>
        <w:gridCol w:w="2056"/>
      </w:tblGrid>
      <w:tr>
        <w:trPr>
          <w:cantSplit/>
          <w:tblHeader/>
        </w:trPr>
        <w:tc>
          <w:tcPr>
            <w:tcW w:type="dxa" w:w="1651"/>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bCs/>
                <w:color w:val="FFFFFF"/>
                <w:sz w:val="16"/>
                <w:szCs w:val="16"/>
              </w:rPr>
              <w:t xml:space="preserve">Stage</w:t>
            </w:r>
          </w:p>
        </w:tc>
        <w:tc>
          <w:tcPr>
            <w:tcW w:type="dxa" w:w="2147"/>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6"/>
                <w:szCs w:val="16"/>
              </w:rPr>
              <w:t xml:space="preserve">Stakeholders</w:t>
            </w:r>
          </w:p>
        </w:tc>
        <w:tc>
          <w:tcPr>
            <w:tcW w:type="dxa" w:w="3892"/>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6"/>
                <w:szCs w:val="16"/>
              </w:rPr>
              <w:t xml:space="preserve">Named companies and bodies</w:t>
            </w:r>
          </w:p>
        </w:tc>
        <w:tc>
          <w:tcPr>
            <w:tcW w:type="dxa" w:w="2056"/>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6"/>
                <w:szCs w:val="16"/>
              </w:rPr>
              <w:t xml:space="preserve">Tokyo Tatemono's role</w:t>
            </w:r>
          </w:p>
        </w:tc>
      </w:tr>
      <w:tr>
        <w:trPr>
          <w:cantSplit/>
        </w:trPr>
        <w:tc>
          <w:tcPr>
            <w:tcW w:type="dxa" w:w="1651"/>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1. Land, sites, existing buildings</w:t>
            </w:r>
          </w:p>
        </w:tc>
        <w:tc>
          <w:tcPr>
            <w:tcW w:type="dxa" w:w="2147"/>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Landowners, redevelopment associations, corporate and investor sellers</w:t>
            </w:r>
          </w:p>
        </w:tc>
        <w:tc>
          <w:tcPr>
            <w:tcW w:type="dxa" w:w="3892"/>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Yaesu 1-chome East A/B associations (TOFROM YAESU); Kyobashi 3-chome East association (Apr 2024); Shibuya 2-chome West; Shirokane 1-chome East North and Meguro Station-front (condos); Mizuho Bank (Otemachi sites, via securitisation); Blackstone (Hatchobori building); Yellow Hat (Iwamotocho building); unnamed condo land sellers (≈1,200 units added in 2025)</w:t>
            </w:r>
          </w:p>
        </w:tc>
        <w:tc>
          <w:tcPr>
            <w:tcW w:type="dxa" w:w="205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Buyer, redevelopment promoter, specified agent</w:t>
            </w:r>
          </w:p>
        </w:tc>
      </w:tr>
      <w:tr>
        <w:trPr>
          <w:cantSplit/>
        </w:trPr>
        <w:tc>
          <w:tcPr>
            <w:tcW w:type="dxa" w:w="1651"/>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2. Approvals and public partners</w:t>
            </w:r>
          </w:p>
        </w:tc>
        <w:tc>
          <w:tcPr>
            <w:tcW w:type="dxa" w:w="2147"/>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Government and public bodies</w:t>
            </w:r>
          </w:p>
        </w:tc>
        <w:tc>
          <w:tcPr>
            <w:tcW w:type="dxa" w:w="3892"/>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Tokyo Metropolitan Government (rights-conversion approvals); National Strategic Special Zone; UR Urban Renaissance Agency (bus terminal)</w:t>
            </w:r>
          </w:p>
        </w:tc>
        <w:tc>
          <w:tcPr>
            <w:tcW w:type="dxa" w:w="2056"/>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Applicant and partner</w:t>
            </w:r>
          </w:p>
        </w:tc>
      </w:tr>
      <w:tr>
        <w:trPr>
          <w:cantSplit/>
        </w:trPr>
        <w:tc>
          <w:tcPr>
            <w:tcW w:type="dxa" w:w="1651"/>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3. Design and construction</w:t>
            </w:r>
          </w:p>
        </w:tc>
        <w:tc>
          <w:tcPr>
            <w:tcW w:type="dxa" w:w="2147"/>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General contractors</w:t>
            </w:r>
          </w:p>
        </w:tc>
        <w:tc>
          <w:tcPr>
            <w:tcW w:type="dxa" w:w="3892"/>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Taisei; Obayashi; Kajima</w:t>
            </w:r>
          </w:p>
        </w:tc>
        <w:tc>
          <w:tcPr>
            <w:tcW w:type="dxa" w:w="205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Client: construction is outsourced</w:t>
            </w:r>
          </w:p>
        </w:tc>
      </w:tr>
      <w:tr>
        <w:trPr>
          <w:cantSplit/>
        </w:trPr>
        <w:tc>
          <w:tcPr>
            <w:tcW w:type="dxa" w:w="1651"/>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4. Capital</w:t>
            </w:r>
          </w:p>
        </w:tc>
        <w:tc>
          <w:tcPr>
            <w:tcW w:type="dxa" w:w="2147"/>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Banks, bondholders, rating agency, trust banks, co-investors, auditor</w:t>
            </w:r>
          </w:p>
        </w:tc>
        <w:tc>
          <w:tcPr>
            <w:tcW w:type="dxa" w:w="3892"/>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Mizuho, SMBC, MUFG; retail buyers of the 36th unsecured sustainability bond (via Rakuten Securities) (</w:t>
            </w:r>
            <w:hyperlink w:history="1" r:id="rIdtoijvfyxdu6dmx73uwltd">
              <w:r>
                <w:rPr>
                  <w:rFonts w:ascii="Arial" w:cs="Arial" w:eastAsia="Yu Gothic" w:hAnsi="Arial"/>
                  <w:color w:val="2F6FD0"/>
                  <w:sz w:val="16"/>
                  <w:szCs w:val="16"/>
                  <w:u w:val="single"/>
                </w:rPr>
                <w:t xml:space="preserve">Rakuten</w:t>
              </w:r>
            </w:hyperlink>
            <w:r>
              <w:rPr>
                <w:rFonts w:ascii="Arial" w:cs="Arial" w:eastAsia="Yu Gothic" w:hAnsi="Arial"/>
                <w:color w:val="1F2533"/>
                <w:sz w:val="16"/>
                <w:szCs w:val="16"/>
              </w:rPr>
              <w:t xml:space="preserve">); JCR (A); Mizuho Trust &amp; Banking; JV partners SCX/SC Asset, Lendlease, Nippon Steel Kowa, SC Zeus Data Centers, PT Farpoint, WHA–KW alliance, Charter Hall/UBS; EY ShinNihon (auditor)</w:t>
            </w:r>
          </w:p>
        </w:tc>
        <w:tc>
          <w:tcPr>
            <w:tcW w:type="dxa" w:w="2056"/>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Borrower, issuer, JV partner</w:t>
            </w:r>
          </w:p>
        </w:tc>
      </w:tr>
      <w:tr>
        <w:trPr>
          <w:cantSplit/>
        </w:trPr>
        <w:tc>
          <w:tcPr>
            <w:tcW w:type="dxa" w:w="1651"/>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5. Tokyo Tatemono and in-house operators</w:t>
            </w:r>
          </w:p>
        </w:tc>
        <w:tc>
          <w:tcPr>
            <w:tcW w:type="dxa" w:w="2147"/>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Parent and subsidiaries</w:t>
            </w:r>
          </w:p>
        </w:tc>
        <w:tc>
          <w:tcPr>
            <w:tcW w:type="dxa" w:w="3892"/>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Building management: Tokyo Fudosan Kanri, Shinjuku Center Building Kanri, Tokyo Building Service, Nishi-shin Service. Expert Office (serviced offices); Prime Place (retail operations); Tokyo Tatemono Amenity Support (condo management); Kachidoki GROWTH TOWN (rental); e-State Online (web promotion); Tokyo Tatemono Real Estate Sales (brokerage); Nippon Parking (NPC24H); Tokyo Tatemono Resort; Tokyo Tatemono Staffing; Tokyo Tatemono Kids; TRIM (JPR's manager); Tokyo Tatemono Investment Advisors (private REIT); Tokyo Tatemono Asia, Tokyo Tatemono (Thailand), a US subsidiary (Los Angeles) and a Shanghai consultancy (</w:t>
            </w:r>
            <w:hyperlink w:history="1" r:id="rIdjace3n7rfkssrivyebeks">
              <w:r>
                <w:rPr>
                  <w:rFonts w:ascii="Arial" w:cs="Arial" w:eastAsia="Yu Gothic" w:hAnsi="Arial"/>
                  <w:color w:val="2F6FD0"/>
                  <w:sz w:val="16"/>
                  <w:szCs w:val="16"/>
                  <w:u w:val="single"/>
                </w:rPr>
                <w:t xml:space="preserve">FY2022 Yuho</w:t>
              </w:r>
            </w:hyperlink>
            <w:r>
              <w:rPr>
                <w:rFonts w:ascii="Arial" w:cs="Arial" w:eastAsia="Yu Gothic" w:hAnsi="Arial"/>
                <w:color w:val="1F2533"/>
                <w:sz w:val="16"/>
                <w:szCs w:val="16"/>
              </w:rPr>
              <w:t xml:space="preserve">)</w:t>
            </w:r>
          </w:p>
        </w:tc>
        <w:tc>
          <w:tcPr>
            <w:tcW w:type="dxa" w:w="205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Developer, landlord, operator</w:t>
            </w:r>
          </w:p>
        </w:tc>
      </w:tr>
      <w:tr>
        <w:trPr>
          <w:cantSplit/>
        </w:trPr>
        <w:tc>
          <w:tcPr>
            <w:tcW w:type="dxa" w:w="1651"/>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6. Third-party operators and anchors</w:t>
            </w:r>
          </w:p>
        </w:tc>
        <w:tc>
          <w:tcPr>
            <w:tcW w:type="dxa" w:w="2147"/>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Hotel, transport, medical and culture operators</w:t>
            </w:r>
          </w:p>
        </w:tc>
        <w:tc>
          <w:tcPr>
            <w:tcW w:type="dxa" w:w="3892"/>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Aman (Aman Tokyo); Keio Dentetsu Bus (Bus Terminal Tokyo Yaesu); Nippon Medical School; Pia and Congres</w:t>
            </w:r>
          </w:p>
        </w:tc>
        <w:tc>
          <w:tcPr>
            <w:tcW w:type="dxa" w:w="2056"/>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Landlord</w:t>
            </w:r>
          </w:p>
        </w:tc>
      </w:tr>
      <w:tr>
        <w:trPr>
          <w:cantSplit/>
        </w:trPr>
        <w:tc>
          <w:tcPr>
            <w:tcW w:type="dxa" w:w="1651"/>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7. End users</w:t>
            </w:r>
          </w:p>
        </w:tc>
        <w:tc>
          <w:tcPr>
            <w:tcW w:type="dxa" w:w="2147"/>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Tenants, condo buyers, parking and leisure users, overseas renters</w:t>
            </w:r>
          </w:p>
        </w:tc>
        <w:tc>
          <w:tcPr>
            <w:tcW w:type="dxa" w:w="3892"/>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Mizuho Bank HQ (Otemachi Tower); TOFROM YAESU retailers (55 stores); Brillia buyers; NPC24H customers; golf and spa guests; renters in Herndon (Virginia) and at 899 Collins Street (Melbourne); Thai logistics tenants; Chinese consulting clients (China Vanke-related projects)</w:t>
            </w:r>
          </w:p>
        </w:tc>
        <w:tc>
          <w:tcPr>
            <w:tcW w:type="dxa" w:w="205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Landlord, seller, operator</w:t>
            </w:r>
          </w:p>
        </w:tc>
      </w:tr>
      <w:tr>
        <w:trPr>
          <w:cantSplit/>
        </w:trPr>
        <w:tc>
          <w:tcPr>
            <w:tcW w:type="dxa" w:w="1651"/>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8. Exit and recycling</w:t>
            </w:r>
          </w:p>
        </w:tc>
        <w:tc>
          <w:tcPr>
            <w:tcW w:type="dxa" w:w="2147"/>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Buyers of stabilised assets and resale partners</w:t>
            </w:r>
          </w:p>
        </w:tc>
        <w:tc>
          <w:tcPr>
            <w:tcW w:type="dxa" w:w="3892"/>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Japan Prime Realty (8955); Tokyo Tatemono Private REIT; private funds; APA Group (Akihabara hotel); Star Mica (pre-owned condo alliance; 13.74% stake)</w:t>
            </w:r>
          </w:p>
        </w:tc>
        <w:tc>
          <w:tcPr>
            <w:tcW w:type="dxa" w:w="2056"/>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Seller; sponsor; earns asset-management fees</w:t>
            </w:r>
          </w:p>
        </w:tc>
      </w:tr>
    </w:tbl>
    <w:p>
      <w:pPr>
        <w:spacing w:after="120" w:before="0" w:line="276" w:lineRule="auto"/>
      </w:pPr>
    </w:p>
    <w:p>
      <w:pPr>
        <w:spacing w:after="110" w:before="0" w:line="276" w:lineRule="auto"/>
      </w:pPr>
      <w:r>
        <w:rPr>
          <w:rFonts w:ascii="Arial" w:cs="Arial" w:eastAsia="Yu Gothic" w:hAnsi="Arial"/>
          <w:b/>
          <w:bCs/>
          <w:color w:val="1F2533"/>
          <w:sz w:val="19"/>
          <w:szCs w:val="19"/>
        </w:rPr>
        <w:t xml:space="preserve">Where value is captured.</w:t>
      </w:r>
    </w:p>
    <w:p>
      <w:pPr>
        <w:pStyle w:val="ListParagraph"/>
        <w:numPr>
          <w:ilvl w:val="0"/>
          <w:numId w:val="2"/>
        </w:numPr>
        <w:spacing w:after="60" w:line="264" w:lineRule="auto"/>
      </w:pPr>
      <w:r>
        <w:rPr>
          <w:rFonts w:ascii="Arial" w:cs="Arial" w:eastAsia="Yu Gothic" w:hAnsi="Arial"/>
          <w:color w:val="1F2533"/>
          <w:sz w:val="19"/>
          <w:szCs w:val="19"/>
        </w:rPr>
        <w:t xml:space="preserve">Tokyo Tatemono takes the development margin and the rental net operating income.</w:t>
      </w:r>
    </w:p>
    <w:p>
      <w:pPr>
        <w:pStyle w:val="ListParagraph"/>
        <w:numPr>
          <w:ilvl w:val="0"/>
          <w:numId w:val="2"/>
        </w:numPr>
        <w:spacing w:after="60" w:line="264" w:lineRule="auto"/>
      </w:pPr>
      <w:r>
        <w:rPr>
          <w:rFonts w:ascii="Arial" w:cs="Arial" w:eastAsia="Yu Gothic" w:hAnsi="Arial"/>
          <w:color w:val="1F2533"/>
          <w:sz w:val="19"/>
          <w:szCs w:val="19"/>
        </w:rPr>
        <w:t xml:space="preserve">On exit, it keeps fee streams through TRIM and Tokyo Tatemono Investment Advisors, and building-management income through its subsidiaries.</w:t>
      </w:r>
    </w:p>
    <w:p>
      <w:pPr>
        <w:pStyle w:val="ListParagraph"/>
        <w:numPr>
          <w:ilvl w:val="0"/>
          <w:numId w:val="2"/>
        </w:numPr>
        <w:spacing w:after="60" w:line="264" w:lineRule="auto"/>
      </w:pPr>
      <w:r>
        <w:rPr>
          <w:rFonts w:ascii="Arial" w:cs="Arial" w:eastAsia="Yu Gothic" w:hAnsi="Arial"/>
          <w:color w:val="1F2533"/>
          <w:sz w:val="19"/>
          <w:szCs w:val="19"/>
        </w:rPr>
        <w:t xml:space="preserve">Contractors capture the construction margin, and they currently hold the pricing power.</w:t>
      </w:r>
    </w:p>
    <w:p>
      <w:pPr>
        <w:spacing w:after="40" w:before="0" w:line="276" w:lineRule="auto"/>
      </w:pPr>
    </w:p>
    <w:p>
      <w:pPr>
        <w:spacing w:after="110" w:before="0" w:line="276" w:lineRule="auto"/>
      </w:pPr>
      <w:r>
        <w:rPr>
          <w:rFonts w:ascii="Arial" w:cs="Arial" w:eastAsia="Yu Gothic" w:hAnsi="Arial"/>
          <w:b/>
          <w:bCs/>
          <w:color w:val="1F2533"/>
          <w:sz w:val="19"/>
          <w:szCs w:val="19"/>
        </w:rPr>
        <w:t xml:space="preserve">Two counterparty risks dominate:</w:t>
      </w:r>
    </w:p>
    <w:p>
      <w:pPr>
        <w:pStyle w:val="ListParagraph"/>
        <w:numPr>
          <w:ilvl w:val="0"/>
          <w:numId w:val="2"/>
        </w:numPr>
        <w:spacing w:after="60" w:line="264" w:lineRule="auto"/>
      </w:pPr>
      <w:r>
        <w:rPr>
          <w:rFonts w:ascii="Arial" w:cs="Arial" w:eastAsia="Yu Gothic" w:hAnsi="Arial"/>
          <w:b/>
          <w:bCs/>
          <w:color w:val="1F2533"/>
          <w:sz w:val="19"/>
          <w:szCs w:val="19"/>
        </w:rPr>
        <w:t xml:space="preserve">Construction:</w:t>
      </w:r>
      <w:r>
        <w:rPr>
          <w:rFonts w:ascii="Arial" w:cs="Arial" w:eastAsia="Yu Gothic" w:hAnsi="Arial"/>
          <w:color w:val="1F2533"/>
          <w:sz w:val="19"/>
          <w:szCs w:val="19"/>
        </w:rPr>
        <w:t xml:space="preserve"> concentration among a few large general contractors.</w:t>
      </w:r>
    </w:p>
    <w:p>
      <w:pPr>
        <w:pStyle w:val="ListParagraph"/>
        <w:numPr>
          <w:ilvl w:val="0"/>
          <w:numId w:val="2"/>
        </w:numPr>
        <w:spacing w:after="60" w:line="264" w:lineRule="auto"/>
      </w:pPr>
      <w:r>
        <w:rPr>
          <w:rFonts w:ascii="Arial" w:cs="Arial" w:eastAsia="Yu Gothic" w:hAnsi="Arial"/>
          <w:b/>
          <w:bCs/>
          <w:color w:val="1F2533"/>
          <w:sz w:val="19"/>
          <w:szCs w:val="19"/>
        </w:rPr>
        <w:t xml:space="preserve">Exit:</w:t>
      </w:r>
      <w:r>
        <w:rPr>
          <w:rFonts w:ascii="Arial" w:cs="Arial" w:eastAsia="Yu Gothic" w:hAnsi="Arial"/>
          <w:color w:val="1F2533"/>
          <w:sz w:val="19"/>
          <w:szCs w:val="19"/>
        </w:rPr>
        <w:t xml:space="preserve"> dependence on JPR's and private buyers' access to capital for the sales that drive growth.</w:t>
      </w:r>
    </w:p>
    <w:p>
      <w:pPr>
        <w:spacing w:after="40" w:before="0" w:line="276" w:lineRule="auto"/>
      </w:pPr>
    </w:p>
    <w:p>
      <w:pPr>
        <w:pBdr>
          <w:left w:val="single" w:color="2F6FD0" w:sz="24" w:space="8"/>
        </w:pBdr>
        <w:shd w:fill="EEF3FA" w:color="auto" w:val="clear"/>
        <w:spacing w:after="160" w:before="60" w:line="264" w:lineRule="auto"/>
        <w:ind w:left="200" w:right="200"/>
      </w:pPr>
      <w:r>
        <w:rPr>
          <w:rFonts w:ascii="Arial" w:cs="Arial" w:eastAsia="Yu Gothic" w:hAnsi="Arial"/>
          <w:b/>
          <w:bCs/>
          <w:color w:val="15233F"/>
          <w:sz w:val="18"/>
          <w:szCs w:val="18"/>
        </w:rPr>
        <w:t xml:space="preserve">Key takeaway:</w:t>
      </w:r>
      <w:r>
        <w:rPr>
          <w:rFonts w:ascii="Arial" w:cs="Arial" w:eastAsia="Yu Gothic" w:hAnsi="Arial"/>
          <w:color w:val="15233F"/>
          <w:sz w:val="18"/>
          <w:szCs w:val="18"/>
        </w:rPr>
        <w:t xml:space="preserve"> Tokyo Tatemono controls the scarce inputs (land rights and approvals) and the exit channel (its own REIT platform), but outsources construction and relies on external capital. Contractors and lenders are the stakeholders with rising bargaining power.</w:t>
      </w:r>
    </w:p>
    <w:p>
      <w:pPr>
        <w:pStyle w:val="Heading1"/>
        <w:keepNext/>
        <w:keepLines/>
        <w:pageBreakBefore/>
        <w:pBdr>
          <w:bottom w:val="single" w:color="2F6FD0" w:sz="12" w:space="6"/>
        </w:pBdr>
        <w:spacing w:after="160" w:before="0" w:line="252" w:lineRule="auto"/>
      </w:pPr>
      <w:r>
        <w:rPr>
          <w:rFonts w:ascii="Arial" w:cs="Arial" w:eastAsia="Yu Gothic" w:hAnsi="Arial"/>
          <w:b/>
          <w:bCs/>
          <w:color w:val="15233F"/>
          <w:sz w:val="32"/>
          <w:szCs w:val="32"/>
        </w:rPr>
        <w:t xml:space="preserve">6. Five-year financials: operating profit compounded 13% a year as the profit mix swung between condos and sales</w:t>
      </w:r>
    </w:p>
    <w:p>
      <w:pPr>
        <w:pStyle w:val="Heading2"/>
        <w:keepNext/>
        <w:keepLines/>
        <w:spacing w:after="90" w:before="260" w:line="252" w:lineRule="auto"/>
      </w:pPr>
      <w:r>
        <w:rPr>
          <w:rFonts w:ascii="Arial" w:cs="Arial" w:eastAsia="Yu Gothic" w:hAnsi="Arial"/>
          <w:b/>
          <w:bCs/>
          <w:color w:val="15233F"/>
          <w:sz w:val="25"/>
          <w:szCs w:val="25"/>
        </w:rPr>
        <w:t xml:space="preserve">Consolidated P&amp;L, FY2021–FY2025 and 1H FY2026</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18"/>
        <w:gridCol w:w="727"/>
        <w:gridCol w:w="1406"/>
        <w:gridCol w:w="1406"/>
        <w:gridCol w:w="1401"/>
        <w:gridCol w:w="958"/>
        <w:gridCol w:w="1330"/>
      </w:tblGrid>
      <w:tr>
        <w:trPr>
          <w:cantSplit/>
          <w:tblHeader/>
        </w:trPr>
        <w:tc>
          <w:tcPr>
            <w:tcW w:type="dxa" w:w="2518"/>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bCs/>
                <w:color w:val="FFFFFF"/>
                <w:sz w:val="14"/>
                <w:szCs w:val="14"/>
              </w:rPr>
              <w:t xml:space="preserve">¥bn</w:t>
            </w:r>
          </w:p>
        </w:tc>
        <w:tc>
          <w:tcPr>
            <w:tcW w:type="dxa" w:w="727"/>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4"/>
                <w:szCs w:val="14"/>
              </w:rPr>
              <w:t xml:space="preserve">FY2021</w:t>
            </w:r>
          </w:p>
        </w:tc>
        <w:tc>
          <w:tcPr>
            <w:tcW w:type="dxa" w:w="1406"/>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4"/>
                <w:szCs w:val="14"/>
              </w:rPr>
              <w:t xml:space="preserve">FY2022</w:t>
            </w:r>
          </w:p>
        </w:tc>
        <w:tc>
          <w:tcPr>
            <w:tcW w:type="dxa" w:w="1406"/>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4"/>
                <w:szCs w:val="14"/>
              </w:rPr>
              <w:t xml:space="preserve">FY2023</w:t>
            </w:r>
          </w:p>
        </w:tc>
        <w:tc>
          <w:tcPr>
            <w:tcW w:type="dxa" w:w="1401"/>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4"/>
                <w:szCs w:val="14"/>
              </w:rPr>
              <w:t xml:space="preserve">FY2024</w:t>
            </w:r>
          </w:p>
        </w:tc>
        <w:tc>
          <w:tcPr>
            <w:tcW w:type="dxa" w:w="958"/>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4"/>
                <w:szCs w:val="14"/>
              </w:rPr>
              <w:t xml:space="preserve">FY2025</w:t>
            </w:r>
          </w:p>
        </w:tc>
        <w:tc>
          <w:tcPr>
            <w:tcW w:type="dxa" w:w="1330"/>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4"/>
                <w:szCs w:val="14"/>
              </w:rPr>
              <w:t xml:space="preserve">1H FY2026</w:t>
            </w:r>
          </w:p>
        </w:tc>
      </w:tr>
      <w:tr>
        <w:trPr>
          <w:cantSplit/>
        </w:trPr>
        <w:tc>
          <w:tcPr>
            <w:tcW w:type="dxa" w:w="2518"/>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4"/>
                <w:szCs w:val="14"/>
              </w:rPr>
              <w:t xml:space="preserve">Operating revenue</w:t>
            </w:r>
          </w:p>
        </w:tc>
        <w:tc>
          <w:tcPr>
            <w:tcW w:type="dxa" w:w="727"/>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340.5</w:t>
            </w:r>
          </w:p>
        </w:tc>
        <w:tc>
          <w:tcPr>
            <w:tcW w:type="dxa" w:w="140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349.9</w:t>
            </w:r>
          </w:p>
        </w:tc>
        <w:tc>
          <w:tcPr>
            <w:tcW w:type="dxa" w:w="140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375.9</w:t>
            </w:r>
          </w:p>
        </w:tc>
        <w:tc>
          <w:tcPr>
            <w:tcW w:type="dxa" w:w="1401"/>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463.7</w:t>
            </w:r>
          </w:p>
        </w:tc>
        <w:tc>
          <w:tcPr>
            <w:tcW w:type="dxa" w:w="958"/>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474.6</w:t>
            </w:r>
          </w:p>
        </w:tc>
        <w:tc>
          <w:tcPr>
            <w:tcW w:type="dxa" w:w="1330"/>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194.4</w:t>
            </w:r>
          </w:p>
        </w:tc>
      </w:tr>
      <w:tr>
        <w:trPr>
          <w:cantSplit/>
        </w:trPr>
        <w:tc>
          <w:tcPr>
            <w:tcW w:type="dxa" w:w="2518"/>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4"/>
                <w:szCs w:val="14"/>
              </w:rPr>
              <w:t xml:space="preserve">Revenue growth</w:t>
            </w:r>
          </w:p>
        </w:tc>
        <w:tc>
          <w:tcPr>
            <w:tcW w:type="dxa" w:w="727"/>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+1.6%</w:t>
            </w:r>
          </w:p>
        </w:tc>
        <w:tc>
          <w:tcPr>
            <w:tcW w:type="dxa" w:w="1406"/>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+2.8%</w:t>
            </w:r>
          </w:p>
        </w:tc>
        <w:tc>
          <w:tcPr>
            <w:tcW w:type="dxa" w:w="1406"/>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+7.4%</w:t>
            </w:r>
          </w:p>
        </w:tc>
        <w:tc>
          <w:tcPr>
            <w:tcW w:type="dxa" w:w="1401"/>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+23.3%</w:t>
            </w:r>
          </w:p>
        </w:tc>
        <w:tc>
          <w:tcPr>
            <w:tcW w:type="dxa" w:w="958"/>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+2.3%</w:t>
            </w:r>
          </w:p>
        </w:tc>
        <w:tc>
          <w:tcPr>
            <w:tcW w:type="dxa" w:w="1330"/>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−6.9%</w:t>
            </w:r>
          </w:p>
        </w:tc>
      </w:tr>
      <w:tr>
        <w:trPr>
          <w:cantSplit/>
        </w:trPr>
        <w:tc>
          <w:tcPr>
            <w:tcW w:type="dxa" w:w="2518"/>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4"/>
                <w:szCs w:val="14"/>
              </w:rPr>
              <w:t xml:space="preserve">D&amp;A</w:t>
            </w:r>
          </w:p>
        </w:tc>
        <w:tc>
          <w:tcPr>
            <w:tcW w:type="dxa" w:w="727"/>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18.6</w:t>
            </w:r>
          </w:p>
        </w:tc>
        <w:tc>
          <w:tcPr>
            <w:tcW w:type="dxa" w:w="140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18.8</w:t>
            </w:r>
          </w:p>
        </w:tc>
        <w:tc>
          <w:tcPr>
            <w:tcW w:type="dxa" w:w="140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20.5</w:t>
            </w:r>
          </w:p>
        </w:tc>
        <w:tc>
          <w:tcPr>
            <w:tcW w:type="dxa" w:w="1401"/>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22.4</w:t>
            </w:r>
          </w:p>
        </w:tc>
        <w:tc>
          <w:tcPr>
            <w:tcW w:type="dxa" w:w="958"/>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24.3</w:t>
            </w:r>
          </w:p>
        </w:tc>
        <w:tc>
          <w:tcPr>
            <w:tcW w:type="dxa" w:w="1330"/>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n/a</w:t>
            </w:r>
          </w:p>
        </w:tc>
      </w:tr>
      <w:tr>
        <w:trPr>
          <w:cantSplit/>
        </w:trPr>
        <w:tc>
          <w:tcPr>
            <w:tcW w:type="dxa" w:w="2518"/>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4"/>
                <w:szCs w:val="14"/>
              </w:rPr>
              <w:t xml:space="preserve">EBITDA (OI + D&amp;A)</w:t>
            </w:r>
          </w:p>
        </w:tc>
        <w:tc>
          <w:tcPr>
            <w:tcW w:type="dxa" w:w="727"/>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77.4</w:t>
            </w:r>
          </w:p>
        </w:tc>
        <w:tc>
          <w:tcPr>
            <w:tcW w:type="dxa" w:w="1406"/>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83.3</w:t>
            </w:r>
          </w:p>
        </w:tc>
        <w:tc>
          <w:tcPr>
            <w:tcW w:type="dxa" w:w="1406"/>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91.0</w:t>
            </w:r>
          </w:p>
        </w:tc>
        <w:tc>
          <w:tcPr>
            <w:tcW w:type="dxa" w:w="1401"/>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102.1</w:t>
            </w:r>
          </w:p>
        </w:tc>
        <w:tc>
          <w:tcPr>
            <w:tcW w:type="dxa" w:w="958"/>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120.1</w:t>
            </w:r>
          </w:p>
        </w:tc>
        <w:tc>
          <w:tcPr>
            <w:tcW w:type="dxa" w:w="1330"/>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n/a</w:t>
            </w:r>
          </w:p>
        </w:tc>
      </w:tr>
      <w:tr>
        <w:trPr>
          <w:cantSplit/>
        </w:trPr>
        <w:tc>
          <w:tcPr>
            <w:tcW w:type="dxa" w:w="2518"/>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4"/>
                <w:szCs w:val="14"/>
              </w:rPr>
              <w:t xml:space="preserve">EBITDA margin</w:t>
            </w:r>
          </w:p>
        </w:tc>
        <w:tc>
          <w:tcPr>
            <w:tcW w:type="dxa" w:w="727"/>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22.7%</w:t>
            </w:r>
          </w:p>
        </w:tc>
        <w:tc>
          <w:tcPr>
            <w:tcW w:type="dxa" w:w="140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23.8%</w:t>
            </w:r>
          </w:p>
        </w:tc>
        <w:tc>
          <w:tcPr>
            <w:tcW w:type="dxa" w:w="140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24.2%</w:t>
            </w:r>
          </w:p>
        </w:tc>
        <w:tc>
          <w:tcPr>
            <w:tcW w:type="dxa" w:w="1401"/>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22.0%</w:t>
            </w:r>
          </w:p>
        </w:tc>
        <w:tc>
          <w:tcPr>
            <w:tcW w:type="dxa" w:w="958"/>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25.3%</w:t>
            </w:r>
          </w:p>
        </w:tc>
        <w:tc>
          <w:tcPr>
            <w:tcW w:type="dxa" w:w="1330"/>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n/a</w:t>
            </w:r>
          </w:p>
        </w:tc>
      </w:tr>
      <w:tr>
        <w:trPr>
          <w:cantSplit/>
        </w:trPr>
        <w:tc>
          <w:tcPr>
            <w:tcW w:type="dxa" w:w="2518"/>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4"/>
                <w:szCs w:val="14"/>
              </w:rPr>
              <w:t xml:space="preserve">Operating income (EBIT)</w:t>
            </w:r>
          </w:p>
        </w:tc>
        <w:tc>
          <w:tcPr>
            <w:tcW w:type="dxa" w:w="727"/>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58.8</w:t>
            </w:r>
          </w:p>
        </w:tc>
        <w:tc>
          <w:tcPr>
            <w:tcW w:type="dxa" w:w="1406"/>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64.5</w:t>
            </w:r>
          </w:p>
        </w:tc>
        <w:tc>
          <w:tcPr>
            <w:tcW w:type="dxa" w:w="1406"/>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70.5</w:t>
            </w:r>
          </w:p>
        </w:tc>
        <w:tc>
          <w:tcPr>
            <w:tcW w:type="dxa" w:w="1401"/>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79.7</w:t>
            </w:r>
          </w:p>
        </w:tc>
        <w:tc>
          <w:tcPr>
            <w:tcW w:type="dxa" w:w="958"/>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95.8</w:t>
            </w:r>
          </w:p>
        </w:tc>
        <w:tc>
          <w:tcPr>
            <w:tcW w:type="dxa" w:w="1330"/>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39.9</w:t>
            </w:r>
          </w:p>
        </w:tc>
      </w:tr>
      <w:tr>
        <w:trPr>
          <w:cantSplit/>
        </w:trPr>
        <w:tc>
          <w:tcPr>
            <w:tcW w:type="dxa" w:w="2518"/>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4"/>
                <w:szCs w:val="14"/>
              </w:rPr>
              <w:t xml:space="preserve">Operating margin</w:t>
            </w:r>
          </w:p>
        </w:tc>
        <w:tc>
          <w:tcPr>
            <w:tcW w:type="dxa" w:w="727"/>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17.3%</w:t>
            </w:r>
          </w:p>
        </w:tc>
        <w:tc>
          <w:tcPr>
            <w:tcW w:type="dxa" w:w="140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18.4%</w:t>
            </w:r>
          </w:p>
        </w:tc>
        <w:tc>
          <w:tcPr>
            <w:tcW w:type="dxa" w:w="140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18.8%</w:t>
            </w:r>
          </w:p>
        </w:tc>
        <w:tc>
          <w:tcPr>
            <w:tcW w:type="dxa" w:w="1401"/>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17.2%</w:t>
            </w:r>
          </w:p>
        </w:tc>
        <w:tc>
          <w:tcPr>
            <w:tcW w:type="dxa" w:w="958"/>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20.2%</w:t>
            </w:r>
          </w:p>
        </w:tc>
        <w:tc>
          <w:tcPr>
            <w:tcW w:type="dxa" w:w="1330"/>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20.5%</w:t>
            </w:r>
          </w:p>
        </w:tc>
      </w:tr>
      <w:tr>
        <w:trPr>
          <w:cantSplit/>
        </w:trPr>
        <w:tc>
          <w:tcPr>
            <w:tcW w:type="dxa" w:w="2518"/>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4"/>
                <w:szCs w:val="14"/>
              </w:rPr>
              <w:t xml:space="preserve">Equity-method income</w:t>
            </w:r>
          </w:p>
        </w:tc>
        <w:tc>
          <w:tcPr>
            <w:tcW w:type="dxa" w:w="727"/>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n/a</w:t>
            </w:r>
          </w:p>
        </w:tc>
        <w:tc>
          <w:tcPr>
            <w:tcW w:type="dxa" w:w="1406"/>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≈+1.8 (derived)</w:t>
            </w:r>
          </w:p>
        </w:tc>
        <w:tc>
          <w:tcPr>
            <w:tcW w:type="dxa" w:w="1406"/>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≈+3.9 (derived)</w:t>
            </w:r>
          </w:p>
        </w:tc>
        <w:tc>
          <w:tcPr>
            <w:tcW w:type="dxa" w:w="1401"/>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+0.8</w:t>
            </w:r>
          </w:p>
        </w:tc>
        <w:tc>
          <w:tcPr>
            <w:tcW w:type="dxa" w:w="958"/>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−6.9</w:t>
            </w:r>
          </w:p>
        </w:tc>
        <w:tc>
          <w:tcPr>
            <w:tcW w:type="dxa" w:w="1330"/>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≈+1.5 (derived)</w:t>
            </w:r>
          </w:p>
        </w:tc>
      </w:tr>
      <w:tr>
        <w:trPr>
          <w:cantSplit/>
        </w:trPr>
        <w:tc>
          <w:tcPr>
            <w:tcW w:type="dxa" w:w="2518"/>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4"/>
                <w:szCs w:val="14"/>
              </w:rPr>
              <w:t xml:space="preserve">Business profit (company KPI)</w:t>
            </w:r>
          </w:p>
        </w:tc>
        <w:tc>
          <w:tcPr>
            <w:tcW w:type="dxa" w:w="727"/>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n/a</w:t>
            </w:r>
          </w:p>
        </w:tc>
        <w:tc>
          <w:tcPr>
            <w:tcW w:type="dxa" w:w="140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≈66.3 (old definition)</w:t>
            </w:r>
          </w:p>
        </w:tc>
        <w:tc>
          <w:tcPr>
            <w:tcW w:type="dxa" w:w="140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≈74.4 (old definition)</w:t>
            </w:r>
          </w:p>
        </w:tc>
        <w:tc>
          <w:tcPr>
            <w:tcW w:type="dxa" w:w="1401"/>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80.5 (old) / 79.3 (new)</w:t>
            </w:r>
          </w:p>
        </w:tc>
        <w:tc>
          <w:tcPr>
            <w:tcW w:type="dxa" w:w="958"/>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89.4 (new)</w:t>
            </w:r>
          </w:p>
        </w:tc>
        <w:tc>
          <w:tcPr>
            <w:tcW w:type="dxa" w:w="1330"/>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41.3 (new)</w:t>
            </w:r>
          </w:p>
        </w:tc>
      </w:tr>
      <w:tr>
        <w:trPr>
          <w:cantSplit/>
        </w:trPr>
        <w:tc>
          <w:tcPr>
            <w:tcW w:type="dxa" w:w="2518"/>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4"/>
                <w:szCs w:val="14"/>
              </w:rPr>
              <w:t xml:space="preserve">Ordinary income</w:t>
            </w:r>
          </w:p>
        </w:tc>
        <w:tc>
          <w:tcPr>
            <w:tcW w:type="dxa" w:w="727"/>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46.3</w:t>
            </w:r>
          </w:p>
        </w:tc>
        <w:tc>
          <w:tcPr>
            <w:tcW w:type="dxa" w:w="1406"/>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63.5</w:t>
            </w:r>
          </w:p>
        </w:tc>
        <w:tc>
          <w:tcPr>
            <w:tcW w:type="dxa" w:w="1406"/>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69.5</w:t>
            </w:r>
          </w:p>
        </w:tc>
        <w:tc>
          <w:tcPr>
            <w:tcW w:type="dxa" w:w="1401"/>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71.7</w:t>
            </w:r>
          </w:p>
        </w:tc>
        <w:tc>
          <w:tcPr>
            <w:tcW w:type="dxa" w:w="958"/>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78.2</w:t>
            </w:r>
          </w:p>
        </w:tc>
        <w:tc>
          <w:tcPr>
            <w:tcW w:type="dxa" w:w="1330"/>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n/a</w:t>
            </w:r>
          </w:p>
        </w:tc>
      </w:tr>
      <w:tr>
        <w:trPr>
          <w:cantSplit/>
        </w:trPr>
        <w:tc>
          <w:tcPr>
            <w:tcW w:type="dxa" w:w="2518"/>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4"/>
                <w:szCs w:val="14"/>
              </w:rPr>
              <w:t xml:space="preserve">Net income attributable to owners</w:t>
            </w:r>
          </w:p>
        </w:tc>
        <w:tc>
          <w:tcPr>
            <w:tcW w:type="dxa" w:w="727"/>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35.0</w:t>
            </w:r>
          </w:p>
        </w:tc>
        <w:tc>
          <w:tcPr>
            <w:tcW w:type="dxa" w:w="140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43.1</w:t>
            </w:r>
          </w:p>
        </w:tc>
        <w:tc>
          <w:tcPr>
            <w:tcW w:type="dxa" w:w="140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45.1</w:t>
            </w:r>
          </w:p>
        </w:tc>
        <w:tc>
          <w:tcPr>
            <w:tcW w:type="dxa" w:w="1401"/>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65.9</w:t>
            </w:r>
          </w:p>
        </w:tc>
        <w:tc>
          <w:tcPr>
            <w:tcW w:type="dxa" w:w="958"/>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58.9</w:t>
            </w:r>
          </w:p>
        </w:tc>
        <w:tc>
          <w:tcPr>
            <w:tcW w:type="dxa" w:w="1330"/>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23.4</w:t>
            </w:r>
          </w:p>
        </w:tc>
      </w:tr>
      <w:tr>
        <w:trPr>
          <w:cantSplit/>
        </w:trPr>
        <w:tc>
          <w:tcPr>
            <w:tcW w:type="dxa" w:w="2518"/>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4"/>
                <w:szCs w:val="14"/>
              </w:rPr>
              <w:t xml:space="preserve">Net margin</w:t>
            </w:r>
          </w:p>
        </w:tc>
        <w:tc>
          <w:tcPr>
            <w:tcW w:type="dxa" w:w="727"/>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10.3%</w:t>
            </w:r>
          </w:p>
        </w:tc>
        <w:tc>
          <w:tcPr>
            <w:tcW w:type="dxa" w:w="1406"/>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12.3%</w:t>
            </w:r>
          </w:p>
        </w:tc>
        <w:tc>
          <w:tcPr>
            <w:tcW w:type="dxa" w:w="1406"/>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12.0%</w:t>
            </w:r>
          </w:p>
        </w:tc>
        <w:tc>
          <w:tcPr>
            <w:tcW w:type="dxa" w:w="1401"/>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14.2%</w:t>
            </w:r>
          </w:p>
        </w:tc>
        <w:tc>
          <w:tcPr>
            <w:tcW w:type="dxa" w:w="958"/>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12.4%</w:t>
            </w:r>
          </w:p>
        </w:tc>
        <w:tc>
          <w:tcPr>
            <w:tcW w:type="dxa" w:w="1330"/>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12.0%</w:t>
            </w:r>
          </w:p>
        </w:tc>
      </w:tr>
      <w:tr>
        <w:trPr>
          <w:cantSplit/>
        </w:trPr>
        <w:tc>
          <w:tcPr>
            <w:tcW w:type="dxa" w:w="2518"/>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4"/>
                <w:szCs w:val="14"/>
              </w:rPr>
              <w:t xml:space="preserve">EPS (¥)</w:t>
            </w:r>
          </w:p>
        </w:tc>
        <w:tc>
          <w:tcPr>
            <w:tcW w:type="dxa" w:w="727"/>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167.35</w:t>
            </w:r>
          </w:p>
        </w:tc>
        <w:tc>
          <w:tcPr>
            <w:tcW w:type="dxa" w:w="140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206.15</w:t>
            </w:r>
          </w:p>
        </w:tc>
        <w:tc>
          <w:tcPr>
            <w:tcW w:type="dxa" w:w="140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215.82</w:t>
            </w:r>
          </w:p>
        </w:tc>
        <w:tc>
          <w:tcPr>
            <w:tcW w:type="dxa" w:w="1401"/>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315.49</w:t>
            </w:r>
          </w:p>
        </w:tc>
        <w:tc>
          <w:tcPr>
            <w:tcW w:type="dxa" w:w="958"/>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283.08</w:t>
            </w:r>
          </w:p>
        </w:tc>
        <w:tc>
          <w:tcPr>
            <w:tcW w:type="dxa" w:w="1330"/>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≈112</w:t>
            </w:r>
          </w:p>
        </w:tc>
      </w:tr>
      <w:tr>
        <w:trPr>
          <w:cantSplit/>
        </w:trPr>
        <w:tc>
          <w:tcPr>
            <w:tcW w:type="dxa" w:w="2518"/>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4"/>
                <w:szCs w:val="14"/>
              </w:rPr>
              <w:t xml:space="preserve">DPS (¥)</w:t>
            </w:r>
          </w:p>
        </w:tc>
        <w:tc>
          <w:tcPr>
            <w:tcW w:type="dxa" w:w="727"/>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51</w:t>
            </w:r>
          </w:p>
        </w:tc>
        <w:tc>
          <w:tcPr>
            <w:tcW w:type="dxa" w:w="1406"/>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65</w:t>
            </w:r>
          </w:p>
        </w:tc>
        <w:tc>
          <w:tcPr>
            <w:tcW w:type="dxa" w:w="1406"/>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73</w:t>
            </w:r>
          </w:p>
        </w:tc>
        <w:tc>
          <w:tcPr>
            <w:tcW w:type="dxa" w:w="1401"/>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95</w:t>
            </w:r>
          </w:p>
        </w:tc>
        <w:tc>
          <w:tcPr>
            <w:tcW w:type="dxa" w:w="958"/>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105</w:t>
            </w:r>
          </w:p>
        </w:tc>
        <w:tc>
          <w:tcPr>
            <w:tcW w:type="dxa" w:w="1330"/>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61 (interim)</w:t>
            </w:r>
          </w:p>
        </w:tc>
      </w:tr>
    </w:tbl>
    <w:p>
      <w:pPr>
        <w:spacing w:after="120" w:before="0" w:line="276" w:lineRule="auto"/>
      </w:pPr>
    </w:p>
    <w:p>
      <w:pPr>
        <w:spacing w:after="110" w:before="0" w:line="276" w:lineRule="auto"/>
      </w:pPr>
      <w:r>
        <w:rPr>
          <w:rFonts w:ascii="Arial" w:cs="Arial" w:eastAsia="Yu Gothic" w:hAnsi="Arial"/>
          <w:color w:val="1F2533"/>
          <w:sz w:val="19"/>
          <w:szCs w:val="19"/>
        </w:rPr>
        <w:t xml:space="preserve">Sources and derivations:</w:t>
      </w:r>
    </w:p>
    <w:p>
      <w:pPr>
        <w:pStyle w:val="ListParagraph"/>
        <w:numPr>
          <w:ilvl w:val="0"/>
          <w:numId w:val="2"/>
        </w:numPr>
        <w:spacing w:after="60" w:line="264" w:lineRule="auto"/>
      </w:pPr>
      <w:r>
        <w:rPr>
          <w:rFonts w:ascii="Arial" w:cs="Arial" w:eastAsia="Yu Gothic" w:hAnsi="Arial"/>
          <w:color w:val="1F2533"/>
          <w:sz w:val="19"/>
          <w:szCs w:val="19"/>
        </w:rPr>
        <w:t xml:space="preserve">P&amp;L: </w:t>
      </w:r>
      <w:hyperlink w:history="1" r:id="rIdp8bbov_h9visw0uppw5wr">
        <w:r>
          <w:rPr>
            <w:rFonts w:ascii="Arial" w:cs="Arial" w:eastAsia="Yu Gothic" w:hAnsi="Arial"/>
            <w:color w:val="2F6FD0"/>
            <w:sz w:val="19"/>
            <w:szCs w:val="19"/>
            <w:u w:val="single"/>
          </w:rPr>
          <w:t xml:space="preserve">FY2025 tanshin</w:t>
        </w:r>
      </w:hyperlink>
      <w:r>
        <w:rPr>
          <w:rFonts w:ascii="Arial" w:cs="Arial" w:eastAsia="Yu Gothic" w:hAnsi="Arial"/>
          <w:color w:val="1F2533"/>
          <w:sz w:val="19"/>
          <w:szCs w:val="19"/>
        </w:rPr>
        <w:t xml:space="preserve">; </w:t>
      </w:r>
      <w:hyperlink w:history="1" r:id="rIdtw7xoz_a7bgoywucnr017">
        <w:r>
          <w:rPr>
            <w:rFonts w:ascii="Arial" w:cs="Arial" w:eastAsia="Yu Gothic" w:hAnsi="Arial"/>
            <w:color w:val="2F6FD0"/>
            <w:sz w:val="19"/>
            <w:szCs w:val="19"/>
            <w:u w:val="single"/>
          </w:rPr>
          <w:t xml:space="preserve">FY2024 tanshin</w:t>
        </w:r>
      </w:hyperlink>
      <w:r>
        <w:rPr>
          <w:rFonts w:ascii="Arial" w:cs="Arial" w:eastAsia="Yu Gothic" w:hAnsi="Arial"/>
          <w:color w:val="1F2533"/>
          <w:sz w:val="19"/>
          <w:szCs w:val="19"/>
        </w:rPr>
        <w:t xml:space="preserve">; </w:t>
      </w:r>
      <w:hyperlink w:history="1" r:id="rIdy2nwa-b8oqbpfjndvihex">
        <w:r>
          <w:rPr>
            <w:rFonts w:ascii="Arial" w:cs="Arial" w:eastAsia="Yu Gothic" w:hAnsi="Arial"/>
            <w:color w:val="2F6FD0"/>
            <w:sz w:val="19"/>
            <w:szCs w:val="19"/>
            <w:u w:val="single"/>
          </w:rPr>
          <w:t xml:space="preserve">FY2023 tanshin</w:t>
        </w:r>
      </w:hyperlink>
      <w:r>
        <w:rPr>
          <w:rFonts w:ascii="Arial" w:cs="Arial" w:eastAsia="Yu Gothic" w:hAnsi="Arial"/>
          <w:color w:val="1F2533"/>
          <w:sz w:val="19"/>
          <w:szCs w:val="19"/>
        </w:rPr>
        <w:t xml:space="preserve">; </w:t>
      </w:r>
      <w:hyperlink w:history="1" r:id="rIdxt7auymhjrypm4b_2tvg0">
        <w:r>
          <w:rPr>
            <w:rFonts w:ascii="Arial" w:cs="Arial" w:eastAsia="Yu Gothic" w:hAnsi="Arial"/>
            <w:color w:val="2F6FD0"/>
            <w:sz w:val="19"/>
            <w:szCs w:val="19"/>
            <w:u w:val="single"/>
          </w:rPr>
          <w:t xml:space="preserve">Nikkei FY2021 data</w:t>
        </w:r>
      </w:hyperlink>
      <w:r>
        <w:rPr>
          <w:rFonts w:ascii="Arial" w:cs="Arial" w:eastAsia="Yu Gothic" w:hAnsi="Arial"/>
          <w:color w:val="1F2533"/>
          <w:sz w:val="19"/>
          <w:szCs w:val="19"/>
        </w:rPr>
        <w:t xml:space="preserve">; </w:t>
      </w:r>
      <w:hyperlink w:history="1" r:id="rIds92jzkxbdhxbiftauo9jz">
        <w:r>
          <w:rPr>
            <w:rFonts w:ascii="Arial" w:cs="Arial" w:eastAsia="Yu Gothic" w:hAnsi="Arial"/>
            <w:color w:val="2F6FD0"/>
            <w:sz w:val="19"/>
            <w:szCs w:val="19"/>
            <w:u w:val="single"/>
          </w:rPr>
          <w:t xml:space="preserve">1H FY2026 highlights</w:t>
        </w:r>
      </w:hyperlink>
      <w:r>
        <w:rPr>
          <w:rFonts w:ascii="Arial" w:cs="Arial" w:eastAsia="Yu Gothic" w:hAnsi="Arial"/>
          <w:color w:val="1F2533"/>
          <w:sz w:val="19"/>
          <w:szCs w:val="19"/>
        </w:rPr>
        <w:t xml:space="preserve">.</w:t>
      </w:r>
    </w:p>
    <w:p>
      <w:pPr>
        <w:pStyle w:val="ListParagraph"/>
        <w:numPr>
          <w:ilvl w:val="0"/>
          <w:numId w:val="2"/>
        </w:numPr>
        <w:spacing w:after="60" w:line="264" w:lineRule="auto"/>
      </w:pPr>
      <w:r>
        <w:rPr>
          <w:rFonts w:ascii="Arial" w:cs="Arial" w:eastAsia="Yu Gothic" w:hAnsi="Arial"/>
          <w:color w:val="1F2533"/>
          <w:sz w:val="19"/>
          <w:szCs w:val="19"/>
        </w:rPr>
        <w:t xml:space="preserve">EPS: </w:t>
      </w:r>
      <w:hyperlink w:history="1" r:id="rId0ivma2x3brsqiud3g8q8n">
        <w:r>
          <w:rPr>
            <w:rFonts w:ascii="Arial" w:cs="Arial" w:eastAsia="Yu Gothic" w:hAnsi="Arial"/>
            <w:color w:val="2F6FD0"/>
            <w:sz w:val="19"/>
            <w:szCs w:val="19"/>
            <w:u w:val="single"/>
          </w:rPr>
          <w:t xml:space="preserve">Matsui</w:t>
        </w:r>
      </w:hyperlink>
      <w:r>
        <w:rPr>
          <w:rFonts w:ascii="Arial" w:cs="Arial" w:eastAsia="Yu Gothic" w:hAnsi="Arial"/>
          <w:color w:val="1F2533"/>
          <w:sz w:val="19"/>
          <w:szCs w:val="19"/>
        </w:rPr>
        <w:t xml:space="preserve">.</w:t>
      </w:r>
    </w:p>
    <w:p>
      <w:pPr>
        <w:pStyle w:val="ListParagraph"/>
        <w:numPr>
          <w:ilvl w:val="0"/>
          <w:numId w:val="2"/>
        </w:numPr>
        <w:spacing w:after="60" w:line="264" w:lineRule="auto"/>
      </w:pPr>
      <w:r>
        <w:rPr>
          <w:rFonts w:ascii="Arial" w:cs="Arial" w:eastAsia="Yu Gothic" w:hAnsi="Arial"/>
          <w:color w:val="1F2533"/>
          <w:sz w:val="19"/>
          <w:szCs w:val="19"/>
        </w:rPr>
        <w:t xml:space="preserve">D&amp;A: stockanalysis/finboard extracts; FY2024 is consistent with </w:t>
      </w:r>
      <w:hyperlink w:history="1" r:id="rIdkeljgbsp-76lwrwnuzg_g">
        <w:r>
          <w:rPr>
            <w:rFonts w:ascii="Arial" w:cs="Arial" w:eastAsia="Yu Gothic" w:hAnsi="Arial"/>
            <w:color w:val="2F6FD0"/>
            <w:sz w:val="19"/>
            <w:szCs w:val="19"/>
            <w:u w:val="single"/>
          </w:rPr>
          <w:t xml:space="preserve">Shikiho</w:t>
        </w:r>
      </w:hyperlink>
      <w:r>
        <w:rPr>
          <w:rFonts w:ascii="Arial" w:cs="Arial" w:eastAsia="Yu Gothic" w:hAnsi="Arial"/>
          <w:color w:val="1F2533"/>
          <w:sz w:val="19"/>
          <w:szCs w:val="19"/>
        </w:rPr>
        <w:t xml:space="preserve">.</w:t>
      </w:r>
    </w:p>
    <w:p>
      <w:pPr>
        <w:pStyle w:val="ListParagraph"/>
        <w:numPr>
          <w:ilvl w:val="0"/>
          <w:numId w:val="2"/>
        </w:numPr>
        <w:spacing w:after="60" w:line="264" w:lineRule="auto"/>
      </w:pPr>
      <w:r>
        <w:rPr>
          <w:rFonts w:ascii="Arial" w:cs="Arial" w:eastAsia="Yu Gothic" w:hAnsi="Arial"/>
          <w:color w:val="1F2533"/>
          <w:sz w:val="19"/>
          <w:szCs w:val="19"/>
        </w:rPr>
        <w:t xml:space="preserve">Equity-method figures for FY2022, FY2023 and 1H FY2026 are derived as business profit minus operating income.</w:t>
      </w:r>
    </w:p>
    <w:p>
      <w:pPr>
        <w:pStyle w:val="ListParagraph"/>
        <w:numPr>
          <w:ilvl w:val="0"/>
          <w:numId w:val="2"/>
        </w:numPr>
        <w:spacing w:after="60" w:line="264" w:lineRule="auto"/>
      </w:pPr>
      <w:r>
        <w:rPr>
          <w:rFonts w:ascii="Arial" w:cs="Arial" w:eastAsia="Yu Gothic" w:hAnsi="Arial"/>
          <w:color w:val="1F2533"/>
          <w:sz w:val="19"/>
          <w:szCs w:val="19"/>
        </w:rPr>
        <w:t xml:space="preserve">Business profit was redefined in FY2025 to include gains on sale of fixed assets.</w:t>
      </w:r>
    </w:p>
    <w:p>
      <w:pPr>
        <w:spacing w:after="40" w:before="0" w:line="276" w:lineRule="auto"/>
      </w:pPr>
    </w:p>
    <w:p>
      <w:pPr>
        <w:keepNext/>
        <w:spacing w:after="40" w:before="80" w:line="240" w:lineRule="auto"/>
        <w:jc w:val="center"/>
      </w:pPr>
      <w:r>
        <w:drawing>
          <wp:inline distT="0" distB="0" distL="0" distR="0">
            <wp:extent cx="6191250" cy="5191125"/>
            <wp:effectExtent t="0" r="0" b="0" l="0"/>
            <wp:docPr id="1" name="fig02_five_year_pnl.png" descr="Figure 3: Five-year revenue, EBITDA, operating income, net income and margins (FY2021–FY2025)." title="Figure 3: Five-year revenue, EBITDA, operating income, net income and margins (FY2021–FY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91250" cy="5191125"/>
                    </a:xfrm>
                    <a:prstGeom prst="rect">
                      <a:avLst/>
                    </a:prstGeom>
                  </pic:spPr>
                </pic:pic>
              </a:graphicData>
            </a:graphic>
          </wp:inline>
        </w:drawing>
      </w:r>
    </w:p>
    <w:p>
      <w:pPr>
        <w:spacing w:after="160" w:before="0" w:line="276" w:lineRule="auto"/>
        <w:jc w:val="left"/>
      </w:pPr>
      <w:r>
        <w:rPr>
          <w:rFonts w:ascii="Arial" w:cs="Arial" w:eastAsia="Yu Gothic" w:hAnsi="Arial"/>
          <w:i/>
          <w:iCs/>
          <w:color w:val="5B6577"/>
          <w:sz w:val="16"/>
          <w:szCs w:val="16"/>
        </w:rPr>
        <w:t xml:space="preserve">Figure 3: Five-year revenue, EBITDA, operating income, net income and margins (FY2021–FY2025).</w:t>
      </w:r>
    </w:p>
    <w:p>
      <w:pPr>
        <w:spacing w:after="110" w:before="0" w:line="276" w:lineRule="auto"/>
      </w:pPr>
      <w:r>
        <w:rPr>
          <w:rFonts w:ascii="Arial" w:cs="Arial" w:eastAsia="Yu Gothic" w:hAnsi="Arial"/>
          <w:b/>
          <w:bCs/>
          <w:color w:val="1F2533"/>
          <w:sz w:val="19"/>
          <w:szCs w:val="19"/>
        </w:rPr>
        <w:t xml:space="preserve">Growth, FY2021–FY2025 (four-year CAGRs):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728"/>
        <w:gridCol w:w="1018"/>
      </w:tblGrid>
      <w:tr>
        <w:trPr>
          <w:cantSplit/>
          <w:tblHeader/>
        </w:trPr>
        <w:tc>
          <w:tcPr>
            <w:tcW w:type="dxa" w:w="8728"/>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bCs/>
                <w:color w:val="FFFFFF"/>
                <w:sz w:val="16"/>
                <w:szCs w:val="16"/>
              </w:rPr>
              <w:t xml:space="preserve">Measure</w:t>
            </w:r>
          </w:p>
        </w:tc>
        <w:tc>
          <w:tcPr>
            <w:tcW w:type="dxa" w:w="1018"/>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6"/>
                <w:szCs w:val="16"/>
              </w:rPr>
              <w:t xml:space="preserve">CAGR</w:t>
            </w:r>
          </w:p>
        </w:tc>
      </w:tr>
      <w:tr>
        <w:trPr>
          <w:cantSplit/>
        </w:trPr>
        <w:tc>
          <w:tcPr>
            <w:tcW w:type="dxa" w:w="8728"/>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Revenue</w:t>
            </w:r>
          </w:p>
        </w:tc>
        <w:tc>
          <w:tcPr>
            <w:tcW w:type="dxa" w:w="1018"/>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6"/>
                <w:szCs w:val="16"/>
              </w:rPr>
              <w:t xml:space="preserve">8.7%</w:t>
            </w:r>
          </w:p>
        </w:tc>
      </w:tr>
      <w:tr>
        <w:trPr>
          <w:cantSplit/>
        </w:trPr>
        <w:tc>
          <w:tcPr>
            <w:tcW w:type="dxa" w:w="8728"/>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Operating income</w:t>
            </w:r>
          </w:p>
        </w:tc>
        <w:tc>
          <w:tcPr>
            <w:tcW w:type="dxa" w:w="1018"/>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6"/>
                <w:szCs w:val="16"/>
              </w:rPr>
              <w:t xml:space="preserve">13.0%</w:t>
            </w:r>
          </w:p>
        </w:tc>
      </w:tr>
      <w:tr>
        <w:trPr>
          <w:cantSplit/>
        </w:trPr>
        <w:tc>
          <w:tcPr>
            <w:tcW w:type="dxa" w:w="8728"/>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Net income</w:t>
            </w:r>
          </w:p>
        </w:tc>
        <w:tc>
          <w:tcPr>
            <w:tcW w:type="dxa" w:w="1018"/>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6"/>
                <w:szCs w:val="16"/>
              </w:rPr>
              <w:t xml:space="preserve">13.9%</w:t>
            </w:r>
          </w:p>
        </w:tc>
      </w:tr>
      <w:tr>
        <w:trPr>
          <w:cantSplit/>
        </w:trPr>
        <w:tc>
          <w:tcPr>
            <w:tcW w:type="dxa" w:w="8728"/>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EPS</w:t>
            </w:r>
          </w:p>
        </w:tc>
        <w:tc>
          <w:tcPr>
            <w:tcW w:type="dxa" w:w="1018"/>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6"/>
                <w:szCs w:val="16"/>
              </w:rPr>
              <w:t xml:space="preserve">14.0%</w:t>
            </w:r>
          </w:p>
        </w:tc>
      </w:tr>
    </w:tbl>
    <w:p>
      <w:pPr>
        <w:spacing w:after="120" w:before="0" w:line="276" w:lineRule="auto"/>
      </w:pPr>
    </w:p>
    <w:p>
      <w:pPr>
        <w:spacing w:after="110" w:before="0" w:line="276" w:lineRule="auto"/>
      </w:pPr>
      <w:r>
        <w:rPr>
          <w:rFonts w:ascii="Arial" w:cs="Arial" w:eastAsia="Yu Gothic" w:hAnsi="Arial"/>
          <w:b/>
          <w:bCs/>
          <w:color w:val="1F2533"/>
          <w:sz w:val="19"/>
          <w:szCs w:val="19"/>
        </w:rPr>
        <w:t xml:space="preserve">The operating margin rose by about three points.</w:t>
      </w:r>
      <w:r>
        <w:rPr>
          <w:rFonts w:ascii="Arial" w:cs="Arial" w:eastAsia="Yu Gothic" w:hAnsi="Arial"/>
          <w:color w:val="1F2533"/>
          <w:sz w:val="19"/>
          <w:szCs w:val="19"/>
        </w:rPr>
        <w:t xml:space="preserve"> It went from 17.3% to 20.2%, and the EBITDA margin from 22.7% to 25.3%. Most of the improvement came in FY2025, when the profit mix moved away from lower-margin condo handovers towards rent and higher-margin sales to investors.</w:t>
      </w:r>
    </w:p>
    <w:p>
      <w:pPr>
        <w:spacing w:after="110" w:before="0" w:line="276" w:lineRule="auto"/>
      </w:pPr>
      <w:r>
        <w:rPr>
          <w:rFonts w:ascii="Arial" w:cs="Arial" w:eastAsia="Yu Gothic" w:hAnsi="Arial"/>
          <w:b/>
          <w:bCs/>
          <w:color w:val="1F2533"/>
          <w:sz w:val="19"/>
          <w:szCs w:val="19"/>
        </w:rPr>
        <w:t xml:space="preserve">Below the operating line, the trend has worked against shareholders.</w:t>
      </w:r>
    </w:p>
    <w:p>
      <w:pPr>
        <w:pStyle w:val="ListParagraph"/>
        <w:numPr>
          <w:ilvl w:val="0"/>
          <w:numId w:val="2"/>
        </w:numPr>
        <w:spacing w:after="60" w:line="264" w:lineRule="auto"/>
      </w:pPr>
      <w:r>
        <w:rPr>
          <w:rFonts w:ascii="Arial" w:cs="Arial" w:eastAsia="Yu Gothic" w:hAnsi="Arial"/>
          <w:b/>
          <w:bCs/>
          <w:color w:val="1F2533"/>
          <w:sz w:val="19"/>
          <w:szCs w:val="19"/>
        </w:rPr>
        <w:t xml:space="preserve">Ordinary income</w:t>
      </w:r>
      <w:r>
        <w:rPr>
          <w:rFonts w:ascii="Arial" w:cs="Arial" w:eastAsia="Yu Gothic" w:hAnsi="Arial"/>
          <w:color w:val="1F2533"/>
          <w:sz w:val="19"/>
          <w:szCs w:val="19"/>
        </w:rPr>
        <w:t xml:space="preserve"> lagged operating income in FY2021, when the non-operating gap was −¥12.5bn and the cause was not identified, and again in FY2024–FY2025.</w:t>
      </w:r>
    </w:p>
    <w:p>
      <w:pPr>
        <w:pStyle w:val="ListParagraph"/>
        <w:numPr>
          <w:ilvl w:val="0"/>
          <w:numId w:val="2"/>
        </w:numPr>
        <w:spacing w:after="60" w:line="264" w:lineRule="auto"/>
      </w:pPr>
      <w:r>
        <w:rPr>
          <w:rFonts w:ascii="Arial" w:cs="Arial" w:eastAsia="Yu Gothic" w:hAnsi="Arial"/>
          <w:b/>
          <w:bCs/>
          <w:color w:val="1F2533"/>
          <w:sz w:val="19"/>
          <w:szCs w:val="19"/>
        </w:rPr>
        <w:t xml:space="preserve">FY2024 net income was flattered</w:t>
      </w:r>
      <w:r>
        <w:rPr>
          <w:rFonts w:ascii="Arial" w:cs="Arial" w:eastAsia="Yu Gothic" w:hAnsi="Arial"/>
          <w:color w:val="1F2533"/>
          <w:sz w:val="19"/>
          <w:szCs w:val="19"/>
        </w:rPr>
        <w:t xml:space="preserve"> by roughly ¥20–25bn of extraordinary gains, most plausibly from cross-shareholding sales. Net income was 91.9% of ordinary income that year, against 65–75% in other years. Two material-event reports were filed in December 2024 (</w:t>
      </w:r>
      <w:hyperlink w:history="1" r:id="rIdx5krhmpdbsk8jwe6crnak">
        <w:r>
          <w:rPr>
            <w:rFonts w:ascii="Arial" w:cs="Arial" w:eastAsia="Yu Gothic" w:hAnsi="Arial"/>
            <w:color w:val="2F6FD0"/>
            <w:sz w:val="19"/>
            <w:szCs w:val="19"/>
            <w:u w:val="single"/>
          </w:rPr>
          <w:t xml:space="preserve">EDINET index</w:t>
        </w:r>
      </w:hyperlink>
      <w:r>
        <w:rPr>
          <w:rFonts w:ascii="Arial" w:cs="Arial" w:eastAsia="Yu Gothic" w:hAnsi="Arial"/>
          <w:color w:val="1F2533"/>
          <w:sz w:val="19"/>
          <w:szCs w:val="19"/>
        </w:rPr>
        <w:t xml:space="preserve">).</w:t>
      </w:r>
    </w:p>
    <w:p>
      <w:pPr>
        <w:pStyle w:val="ListParagraph"/>
        <w:numPr>
          <w:ilvl w:val="0"/>
          <w:numId w:val="2"/>
        </w:numPr>
        <w:spacing w:after="60" w:line="264" w:lineRule="auto"/>
      </w:pPr>
      <w:r>
        <w:rPr>
          <w:rFonts w:ascii="Arial" w:cs="Arial" w:eastAsia="Yu Gothic" w:hAnsi="Arial"/>
          <w:b/>
          <w:bCs/>
          <w:color w:val="1F2533"/>
          <w:sz w:val="19"/>
          <w:szCs w:val="19"/>
        </w:rPr>
        <w:t xml:space="preserve">FY2025 net income fell 10.6%</w:t>
      </w:r>
      <w:r>
        <w:rPr>
          <w:rFonts w:ascii="Arial" w:cs="Arial" w:eastAsia="Yu Gothic" w:hAnsi="Arial"/>
          <w:color w:val="1F2533"/>
          <w:sz w:val="19"/>
          <w:szCs w:val="19"/>
        </w:rPr>
        <w:t xml:space="preserve">, even though operating income rose 20.2%:</w:t>
      </w:r>
    </w:p>
    <w:p>
      <w:pPr>
        <w:pStyle w:val="ListParagraph"/>
        <w:numPr>
          <w:ilvl w:val="1"/>
          <w:numId w:val="2"/>
        </w:numPr>
        <w:spacing w:after="60" w:line="264" w:lineRule="auto"/>
      </w:pPr>
      <w:r>
        <w:rPr>
          <w:rFonts w:ascii="Arial" w:cs="Arial" w:eastAsia="Yu Gothic" w:hAnsi="Arial"/>
          <w:color w:val="1F2533"/>
          <w:sz w:val="19"/>
          <w:szCs w:val="19"/>
        </w:rPr>
        <w:t xml:space="preserve">The equity-method result swung by −¥7.7bn, to a ¥6.9bn loss, mostly from overseas businesses.</w:t>
      </w:r>
    </w:p>
    <w:p>
      <w:pPr>
        <w:pStyle w:val="ListParagraph"/>
        <w:numPr>
          <w:ilvl w:val="1"/>
          <w:numId w:val="2"/>
        </w:numPr>
        <w:spacing w:after="60" w:line="264" w:lineRule="auto"/>
      </w:pPr>
      <w:r>
        <w:rPr>
          <w:rFonts w:ascii="Arial" w:cs="Arial" w:eastAsia="Yu Gothic" w:hAnsi="Arial"/>
          <w:color w:val="1F2533"/>
          <w:sz w:val="19"/>
          <w:szCs w:val="19"/>
        </w:rPr>
        <w:t xml:space="preserve">Other net non-operating cost, mainly interest, rose from about ¥8.8bn to ¥10.7bn.</w:t>
      </w:r>
    </w:p>
    <w:p>
      <w:pPr>
        <w:pStyle w:val="ListParagraph"/>
        <w:numPr>
          <w:ilvl w:val="1"/>
          <w:numId w:val="2"/>
        </w:numPr>
        <w:spacing w:after="60" w:line="264" w:lineRule="auto"/>
      </w:pPr>
      <w:r>
        <w:rPr>
          <w:rFonts w:ascii="Arial" w:cs="Arial" w:eastAsia="Yu Gothic" w:hAnsi="Arial"/>
          <w:color w:val="1F2533"/>
          <w:sz w:val="19"/>
          <w:szCs w:val="19"/>
        </w:rPr>
        <w:t xml:space="preserve">Gains on securities sales fell (Shikiho: 「有証売却益減」).</w:t>
      </w:r>
    </w:p>
    <w:p>
      <w:pPr>
        <w:spacing w:after="40" w:before="0" w:line="276" w:lineRule="auto"/>
      </w:pPr>
    </w:p>
    <w:p>
      <w:pPr>
        <w:spacing w:after="110" w:before="0" w:line="276" w:lineRule="auto"/>
      </w:pPr>
      <w:r>
        <w:rPr>
          <w:rFonts w:ascii="Arial" w:cs="Arial" w:eastAsia="Yu Gothic" w:hAnsi="Arial"/>
          <w:color w:val="1F2533"/>
          <w:sz w:val="19"/>
          <w:szCs w:val="19"/>
        </w:rPr>
        <w:t xml:space="preserve">Impairment losses have been immaterial: ¥0.3bn in FY2021, ¥0.5bn in FY2022, ¥0.2bn in FY2023 and ¥0.3bn in FY2024 (</w:t>
      </w:r>
      <w:hyperlink w:history="1" r:id="rIdnvordabv4pnqj9yczjayq">
        <w:r>
          <w:rPr>
            <w:rFonts w:ascii="Arial" w:cs="Arial" w:eastAsia="Yu Gothic" w:hAnsi="Arial"/>
            <w:color w:val="2F6FD0"/>
            <w:sz w:val="19"/>
            <w:szCs w:val="19"/>
            <w:u w:val="single"/>
          </w:rPr>
          <w:t xml:space="preserve">the-shashi</w:t>
        </w:r>
      </w:hyperlink>
      <w:r>
        <w:rPr>
          <w:rFonts w:ascii="Arial" w:cs="Arial" w:eastAsia="Yu Gothic" w:hAnsi="Arial"/>
          <w:color w:val="1F2533"/>
          <w:sz w:val="19"/>
          <w:szCs w:val="19"/>
        </w:rPr>
        <w:t xml:space="preserve">).</w:t>
      </w:r>
    </w:p>
    <w:p>
      <w:pPr>
        <w:pStyle w:val="Heading2"/>
        <w:keepNext/>
        <w:keepLines/>
        <w:spacing w:after="90" w:before="260" w:line="252" w:lineRule="auto"/>
      </w:pPr>
      <w:r>
        <w:rPr>
          <w:rFonts w:ascii="Arial" w:cs="Arial" w:eastAsia="Yu Gothic" w:hAnsi="Arial"/>
          <w:b/>
          <w:bCs/>
          <w:color w:val="15233F"/>
          <w:sz w:val="25"/>
          <w:szCs w:val="25"/>
        </w:rPr>
        <w:t xml:space="preserve">Segment revenue (product segments)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75"/>
        <w:gridCol w:w="2788"/>
        <w:gridCol w:w="723"/>
        <w:gridCol w:w="733"/>
        <w:gridCol w:w="733"/>
        <w:gridCol w:w="733"/>
        <w:gridCol w:w="1461"/>
      </w:tblGrid>
      <w:tr>
        <w:trPr>
          <w:cantSplit/>
          <w:tblHeader/>
        </w:trPr>
        <w:tc>
          <w:tcPr>
            <w:tcW w:type="dxa" w:w="2575"/>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bCs/>
                <w:color w:val="FFFFFF"/>
                <w:sz w:val="14"/>
                <w:szCs w:val="14"/>
              </w:rPr>
              <w:t xml:space="preserve">Segment, ¥bn</w:t>
            </w:r>
          </w:p>
        </w:tc>
        <w:tc>
          <w:tcPr>
            <w:tcW w:type="dxa" w:w="2788"/>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4"/>
                <w:szCs w:val="14"/>
              </w:rPr>
              <w:t xml:space="preserve">FY2021</w:t>
            </w:r>
          </w:p>
        </w:tc>
        <w:tc>
          <w:tcPr>
            <w:tcW w:type="dxa" w:w="723"/>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4"/>
                <w:szCs w:val="14"/>
              </w:rPr>
              <w:t xml:space="preserve">FY2022</w:t>
            </w:r>
          </w:p>
        </w:tc>
        <w:tc>
          <w:tcPr>
            <w:tcW w:type="dxa" w:w="733"/>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4"/>
                <w:szCs w:val="14"/>
              </w:rPr>
              <w:t xml:space="preserve">FY2023</w:t>
            </w:r>
          </w:p>
        </w:tc>
        <w:tc>
          <w:tcPr>
            <w:tcW w:type="dxa" w:w="733"/>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4"/>
                <w:szCs w:val="14"/>
              </w:rPr>
              <w:t xml:space="preserve">FY2024</w:t>
            </w:r>
          </w:p>
        </w:tc>
        <w:tc>
          <w:tcPr>
            <w:tcW w:type="dxa" w:w="733"/>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4"/>
                <w:szCs w:val="14"/>
              </w:rPr>
              <w:t xml:space="preserve">FY2025</w:t>
            </w:r>
          </w:p>
        </w:tc>
        <w:tc>
          <w:tcPr>
            <w:tcW w:type="dxa" w:w="1461"/>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4"/>
                <w:szCs w:val="14"/>
              </w:rPr>
              <w:t xml:space="preserve">1H FY2026</w:t>
            </w:r>
          </w:p>
        </w:tc>
      </w:tr>
      <w:tr>
        <w:trPr>
          <w:cantSplit/>
        </w:trPr>
        <w:tc>
          <w:tcPr>
            <w:tcW w:type="dxa" w:w="2575"/>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4"/>
                <w:szCs w:val="14"/>
              </w:rPr>
              <w:t xml:space="preserve">Building / Commercial Properties</w:t>
            </w:r>
          </w:p>
        </w:tc>
        <w:tc>
          <w:tcPr>
            <w:tcW w:type="dxa" w:w="2788"/>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4"/>
                <w:szCs w:val="14"/>
              </w:rPr>
              <w:t xml:space="preserve">≈146 (low confidence)</w:t>
            </w:r>
          </w:p>
        </w:tc>
        <w:tc>
          <w:tcPr>
            <w:tcW w:type="dxa" w:w="723"/>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n/a</w:t>
            </w:r>
          </w:p>
        </w:tc>
        <w:tc>
          <w:tcPr>
            <w:tcW w:type="dxa" w:w="733"/>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155.2</w:t>
            </w:r>
          </w:p>
        </w:tc>
        <w:tc>
          <w:tcPr>
            <w:tcW w:type="dxa" w:w="733"/>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176.5</w:t>
            </w:r>
          </w:p>
        </w:tc>
        <w:tc>
          <w:tcPr>
            <w:tcW w:type="dxa" w:w="733"/>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220.2</w:t>
            </w:r>
          </w:p>
        </w:tc>
        <w:tc>
          <w:tcPr>
            <w:tcW w:type="dxa" w:w="1461"/>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≈156.8 (Building + Residential combined)</w:t>
            </w:r>
          </w:p>
        </w:tc>
      </w:tr>
      <w:tr>
        <w:trPr>
          <w:cantSplit/>
        </w:trPr>
        <w:tc>
          <w:tcPr>
            <w:tcW w:type="dxa" w:w="2575"/>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4"/>
                <w:szCs w:val="14"/>
              </w:rPr>
              <w:t xml:space="preserve">Residential</w:t>
            </w:r>
          </w:p>
        </w:tc>
        <w:tc>
          <w:tcPr>
            <w:tcW w:type="dxa" w:w="2788"/>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4"/>
                <w:szCs w:val="14"/>
              </w:rPr>
              <w:t xml:space="preserve">≈102 (low confidence)</w:t>
            </w:r>
          </w:p>
        </w:tc>
        <w:tc>
          <w:tcPr>
            <w:tcW w:type="dxa" w:w="723"/>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n/a</w:t>
            </w:r>
          </w:p>
        </w:tc>
        <w:tc>
          <w:tcPr>
            <w:tcW w:type="dxa" w:w="733"/>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134.1</w:t>
            </w:r>
          </w:p>
        </w:tc>
        <w:tc>
          <w:tcPr>
            <w:tcW w:type="dxa" w:w="733"/>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211.4</w:t>
            </w:r>
          </w:p>
        </w:tc>
        <w:tc>
          <w:tcPr>
            <w:tcW w:type="dxa" w:w="733"/>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165.1</w:t>
            </w:r>
          </w:p>
        </w:tc>
        <w:tc>
          <w:tcPr>
            <w:tcW w:type="dxa" w:w="1461"/>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(included above)</w:t>
            </w:r>
          </w:p>
        </w:tc>
      </w:tr>
      <w:tr>
        <w:trPr>
          <w:cantSplit/>
        </w:trPr>
        <w:tc>
          <w:tcPr>
            <w:tcW w:type="dxa" w:w="2575"/>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4"/>
                <w:szCs w:val="14"/>
              </w:rPr>
              <w:t xml:space="preserve">Asset Service</w:t>
            </w:r>
          </w:p>
        </w:tc>
        <w:tc>
          <w:tcPr>
            <w:tcW w:type="dxa" w:w="2788"/>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4"/>
                <w:szCs w:val="14"/>
              </w:rPr>
              <w:t xml:space="preserve">≈48 (low confidence)</w:t>
            </w:r>
          </w:p>
        </w:tc>
        <w:tc>
          <w:tcPr>
            <w:tcW w:type="dxa" w:w="723"/>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n/a</w:t>
            </w:r>
          </w:p>
        </w:tc>
        <w:tc>
          <w:tcPr>
            <w:tcW w:type="dxa" w:w="733"/>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63.8</w:t>
            </w:r>
          </w:p>
        </w:tc>
        <w:tc>
          <w:tcPr>
            <w:tcW w:type="dxa" w:w="733"/>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54.7</w:t>
            </w:r>
          </w:p>
        </w:tc>
        <w:tc>
          <w:tcPr>
            <w:tcW w:type="dxa" w:w="733"/>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63.5</w:t>
            </w:r>
          </w:p>
        </w:tc>
        <w:tc>
          <w:tcPr>
            <w:tcW w:type="dxa" w:w="1461"/>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26.8</w:t>
            </w:r>
          </w:p>
        </w:tc>
      </w:tr>
      <w:tr>
        <w:trPr>
          <w:cantSplit/>
        </w:trPr>
        <w:tc>
          <w:tcPr>
            <w:tcW w:type="dxa" w:w="2575"/>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4"/>
                <w:szCs w:val="14"/>
              </w:rPr>
              <w:t xml:space="preserve">Other (incl. eliminations)</w:t>
            </w:r>
          </w:p>
        </w:tc>
        <w:tc>
          <w:tcPr>
            <w:tcW w:type="dxa" w:w="2788"/>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4"/>
                <w:szCs w:val="14"/>
              </w:rPr>
              <w:t xml:space="preserve">n/a (Overseas was then a separate segment)</w:t>
            </w:r>
          </w:p>
        </w:tc>
        <w:tc>
          <w:tcPr>
            <w:tcW w:type="dxa" w:w="723"/>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n/a</w:t>
            </w:r>
          </w:p>
        </w:tc>
        <w:tc>
          <w:tcPr>
            <w:tcW w:type="dxa" w:w="733"/>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≈22.8</w:t>
            </w:r>
          </w:p>
        </w:tc>
        <w:tc>
          <w:tcPr>
            <w:tcW w:type="dxa" w:w="733"/>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≈21.1</w:t>
            </w:r>
          </w:p>
        </w:tc>
        <w:tc>
          <w:tcPr>
            <w:tcW w:type="dxa" w:w="733"/>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≈25.8</w:t>
            </w:r>
          </w:p>
        </w:tc>
        <w:tc>
          <w:tcPr>
            <w:tcW w:type="dxa" w:w="1461"/>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10.8</w:t>
            </w:r>
          </w:p>
        </w:tc>
      </w:tr>
      <w:tr>
        <w:trPr>
          <w:cantSplit/>
        </w:trPr>
        <w:tc>
          <w:tcPr>
            <w:tcW w:type="dxa" w:w="2575"/>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bCs/>
                <w:color w:val="1F2533"/>
                <w:sz w:val="14"/>
                <w:szCs w:val="14"/>
              </w:rPr>
              <w:t xml:space="preserve">Consolidated</w:t>
            </w:r>
          </w:p>
        </w:tc>
        <w:tc>
          <w:tcPr>
            <w:tcW w:type="dxa" w:w="2788"/>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bCs/>
                <w:color w:val="1F2533"/>
                <w:sz w:val="14"/>
                <w:szCs w:val="14"/>
              </w:rPr>
              <w:t xml:space="preserve">340.5</w:t>
            </w:r>
          </w:p>
        </w:tc>
        <w:tc>
          <w:tcPr>
            <w:tcW w:type="dxa" w:w="723"/>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b/>
                <w:bCs/>
                <w:color w:val="1F2533"/>
                <w:sz w:val="14"/>
                <w:szCs w:val="14"/>
              </w:rPr>
              <w:t xml:space="preserve">349.9</w:t>
            </w:r>
          </w:p>
        </w:tc>
        <w:tc>
          <w:tcPr>
            <w:tcW w:type="dxa" w:w="733"/>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b/>
                <w:bCs/>
                <w:color w:val="1F2533"/>
                <w:sz w:val="14"/>
                <w:szCs w:val="14"/>
              </w:rPr>
              <w:t xml:space="preserve">375.9</w:t>
            </w:r>
          </w:p>
        </w:tc>
        <w:tc>
          <w:tcPr>
            <w:tcW w:type="dxa" w:w="733"/>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b/>
                <w:bCs/>
                <w:color w:val="1F2533"/>
                <w:sz w:val="14"/>
                <w:szCs w:val="14"/>
              </w:rPr>
              <w:t xml:space="preserve">463.7</w:t>
            </w:r>
          </w:p>
        </w:tc>
        <w:tc>
          <w:tcPr>
            <w:tcW w:type="dxa" w:w="733"/>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b/>
                <w:bCs/>
                <w:color w:val="1F2533"/>
                <w:sz w:val="14"/>
                <w:szCs w:val="14"/>
              </w:rPr>
              <w:t xml:space="preserve">474.6</w:t>
            </w:r>
          </w:p>
        </w:tc>
        <w:tc>
          <w:tcPr>
            <w:tcW w:type="dxa" w:w="1461"/>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b/>
                <w:bCs/>
                <w:color w:val="1F2533"/>
                <w:sz w:val="14"/>
                <w:szCs w:val="14"/>
              </w:rPr>
              <w:t xml:space="preserve">194.4</w:t>
            </w:r>
          </w:p>
        </w:tc>
      </w:tr>
    </w:tbl>
    <w:p>
      <w:pPr>
        <w:spacing w:after="120" w:before="0" w:line="276" w:lineRule="auto"/>
      </w:pPr>
    </w:p>
    <w:p>
      <w:pPr>
        <w:spacing w:after="110" w:before="0" w:line="276" w:lineRule="auto"/>
      </w:pPr>
      <w:r>
        <w:rPr>
          <w:rFonts w:ascii="Arial" w:cs="Arial" w:eastAsia="Yu Gothic" w:hAnsi="Arial"/>
          <w:color w:val="1F2533"/>
          <w:sz w:val="19"/>
          <w:szCs w:val="19"/>
        </w:rPr>
        <w:t xml:space="preserve">Sources: </w:t>
      </w:r>
      <w:hyperlink w:history="1" r:id="rId2uuucdquvob-tgfdms7p0">
        <w:r>
          <w:rPr>
            <w:rFonts w:ascii="Arial" w:cs="Arial" w:eastAsia="Yu Gothic" w:hAnsi="Arial"/>
            <w:color w:val="2F6FD0"/>
            <w:sz w:val="19"/>
            <w:szCs w:val="19"/>
            <w:u w:val="single"/>
          </w:rPr>
          <w:t xml:space="preserve">FY2023 English presentation</w:t>
        </w:r>
      </w:hyperlink>
      <w:r>
        <w:rPr>
          <w:rFonts w:ascii="Arial" w:cs="Arial" w:eastAsia="Yu Gothic" w:hAnsi="Arial"/>
          <w:color w:val="1F2533"/>
          <w:sz w:val="19"/>
          <w:szCs w:val="19"/>
        </w:rPr>
        <w:t xml:space="preserve">; </w:t>
      </w:r>
      <w:hyperlink w:history="1" r:id="rIddc9yff5ustrqcxyufkhy2">
        <w:r>
          <w:rPr>
            <w:rFonts w:ascii="Arial" w:cs="Arial" w:eastAsia="Yu Gothic" w:hAnsi="Arial"/>
            <w:color w:val="2F6FD0"/>
            <w:sz w:val="19"/>
            <w:szCs w:val="19"/>
            <w:u w:val="single"/>
          </w:rPr>
          <w:t xml:space="preserve">FY2024 English presentation</w:t>
        </w:r>
      </w:hyperlink>
      <w:r>
        <w:rPr>
          <w:rFonts w:ascii="Arial" w:cs="Arial" w:eastAsia="Yu Gothic" w:hAnsi="Arial"/>
          <w:color w:val="1F2533"/>
          <w:sz w:val="19"/>
          <w:szCs w:val="19"/>
        </w:rPr>
        <w:t xml:space="preserve">; </w:t>
      </w:r>
      <w:hyperlink w:history="1" r:id="rIdixoirx2xraputp8huo7u1">
        <w:r>
          <w:rPr>
            <w:rFonts w:ascii="Arial" w:cs="Arial" w:eastAsia="Yu Gothic" w:hAnsi="Arial"/>
            <w:color w:val="2F6FD0"/>
            <w:sz w:val="19"/>
            <w:szCs w:val="19"/>
            <w:u w:val="single"/>
          </w:rPr>
          <w:t xml:space="preserve">company overview</w:t>
        </w:r>
      </w:hyperlink>
      <w:r>
        <w:rPr>
          <w:rFonts w:ascii="Arial" w:cs="Arial" w:eastAsia="Yu Gothic" w:hAnsi="Arial"/>
          <w:color w:val="1F2533"/>
          <w:sz w:val="19"/>
          <w:szCs w:val="19"/>
        </w:rPr>
        <w:t xml:space="preserve">; </w:t>
      </w:r>
      <w:hyperlink w:history="1" r:id="rIdfjgadf402ur_bn-loot-i">
        <w:r>
          <w:rPr>
            <w:rFonts w:ascii="Arial" w:cs="Arial" w:eastAsia="Yu Gothic" w:hAnsi="Arial"/>
            <w:color w:val="2F6FD0"/>
            <w:sz w:val="19"/>
            <w:szCs w:val="19"/>
            <w:u w:val="single"/>
          </w:rPr>
          <w:t xml:space="preserve">FY2025 tanshin</w:t>
        </w:r>
      </w:hyperlink>
      <w:r>
        <w:rPr>
          <w:rFonts w:ascii="Arial" w:cs="Arial" w:eastAsia="Yu Gothic" w:hAnsi="Arial"/>
          <w:color w:val="1F2533"/>
          <w:sz w:val="19"/>
          <w:szCs w:val="19"/>
        </w:rPr>
        <w:t xml:space="preserve">. The FY2021 split is a low-confidence extract. FY2022 segment revenue was not retrievable. "Other" is the residual after the three named segments.</w:t>
      </w:r>
    </w:p>
    <w:p>
      <w:pPr>
        <w:pStyle w:val="Heading2"/>
        <w:keepNext/>
        <w:keepLines/>
        <w:spacing w:after="90" w:before="260" w:line="252" w:lineRule="auto"/>
      </w:pPr>
      <w:r>
        <w:rPr>
          <w:rFonts w:ascii="Arial" w:cs="Arial" w:eastAsia="Yu Gothic" w:hAnsi="Arial"/>
          <w:b/>
          <w:bCs/>
          <w:color w:val="15233F"/>
          <w:sz w:val="25"/>
          <w:szCs w:val="25"/>
        </w:rPr>
        <w:t xml:space="preserve">Segment profit and margins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7"/>
        <w:gridCol w:w="1368"/>
        <w:gridCol w:w="1368"/>
        <w:gridCol w:w="1376"/>
        <w:gridCol w:w="1373"/>
        <w:gridCol w:w="1373"/>
        <w:gridCol w:w="1481"/>
      </w:tblGrid>
      <w:tr>
        <w:trPr>
          <w:cantSplit/>
          <w:tblHeader/>
        </w:trPr>
        <w:tc>
          <w:tcPr>
            <w:tcW w:type="dxa" w:w="1407"/>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bCs/>
                <w:color w:val="FFFFFF"/>
                <w:sz w:val="14"/>
                <w:szCs w:val="14"/>
              </w:rPr>
              <w:t xml:space="preserve">Segment, ¥bn</w:t>
            </w:r>
          </w:p>
        </w:tc>
        <w:tc>
          <w:tcPr>
            <w:tcW w:type="dxa" w:w="1368"/>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4"/>
                <w:szCs w:val="14"/>
              </w:rPr>
              <w:t xml:space="preserve">FY2022</w:t>
            </w:r>
          </w:p>
        </w:tc>
        <w:tc>
          <w:tcPr>
            <w:tcW w:type="dxa" w:w="1368"/>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4"/>
                <w:szCs w:val="14"/>
              </w:rPr>
              <w:t xml:space="preserve">FY2023</w:t>
            </w:r>
          </w:p>
        </w:tc>
        <w:tc>
          <w:tcPr>
            <w:tcW w:type="dxa" w:w="1376"/>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4"/>
                <w:szCs w:val="14"/>
              </w:rPr>
              <w:t xml:space="preserve">FY2024</w:t>
            </w:r>
          </w:p>
        </w:tc>
        <w:tc>
          <w:tcPr>
            <w:tcW w:type="dxa" w:w="1373"/>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4"/>
                <w:szCs w:val="14"/>
              </w:rPr>
              <w:t xml:space="preserve">FY2025 operating profit</w:t>
            </w:r>
          </w:p>
        </w:tc>
        <w:tc>
          <w:tcPr>
            <w:tcW w:type="dxa" w:w="1373"/>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4"/>
                <w:szCs w:val="14"/>
              </w:rPr>
              <w:t xml:space="preserve">FY2025 business profit</w:t>
            </w:r>
          </w:p>
        </w:tc>
        <w:tc>
          <w:tcPr>
            <w:tcW w:type="dxa" w:w="1481"/>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4"/>
                <w:szCs w:val="14"/>
              </w:rPr>
              <w:t xml:space="preserve">1H FY2026 operating profit</w:t>
            </w:r>
          </w:p>
        </w:tc>
      </w:tr>
      <w:tr>
        <w:trPr>
          <w:cantSplit/>
        </w:trPr>
        <w:tc>
          <w:tcPr>
            <w:tcW w:type="dxa" w:w="1407"/>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4"/>
                <w:szCs w:val="14"/>
              </w:rPr>
              <w:t xml:space="preserve">Building / Commercial Properties</w:t>
            </w:r>
          </w:p>
        </w:tc>
        <w:tc>
          <w:tcPr>
            <w:tcW w:type="dxa" w:w="1368"/>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≈41.1</w:t>
            </w:r>
          </w:p>
        </w:tc>
        <w:tc>
          <w:tcPr>
            <w:tcW w:type="dxa" w:w="1368"/>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40.1</w:t>
            </w:r>
          </w:p>
        </w:tc>
        <w:tc>
          <w:tcPr>
            <w:tcW w:type="dxa" w:w="137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4"/>
                <w:szCs w:val="14"/>
              </w:rPr>
              <w:t xml:space="preserve">41.4 (restated) / 41.9 (old business profit)</w:t>
            </w:r>
          </w:p>
        </w:tc>
        <w:tc>
          <w:tcPr>
            <w:tcW w:type="dxa" w:w="1373"/>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67.1</w:t>
            </w:r>
          </w:p>
        </w:tc>
        <w:tc>
          <w:tcPr>
            <w:tcW w:type="dxa" w:w="1373"/>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67.4</w:t>
            </w:r>
          </w:p>
        </w:tc>
        <w:tc>
          <w:tcPr>
            <w:tcW w:type="dxa" w:w="1481"/>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4"/>
                <w:szCs w:val="14"/>
              </w:rPr>
              <w:t xml:space="preserve">40.1 (+122.7%)</w:t>
            </w:r>
          </w:p>
        </w:tc>
      </w:tr>
      <w:tr>
        <w:trPr>
          <w:cantSplit/>
        </w:trPr>
        <w:tc>
          <w:tcPr>
            <w:tcW w:type="dxa" w:w="1407"/>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4"/>
                <w:szCs w:val="14"/>
              </w:rPr>
              <w:t xml:space="preserve">Residential</w:t>
            </w:r>
          </w:p>
        </w:tc>
        <w:tc>
          <w:tcPr>
            <w:tcW w:type="dxa" w:w="1368"/>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≈23.3</w:t>
            </w:r>
          </w:p>
        </w:tc>
        <w:tc>
          <w:tcPr>
            <w:tcW w:type="dxa" w:w="1368"/>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27.1</w:t>
            </w:r>
          </w:p>
        </w:tc>
        <w:tc>
          <w:tcPr>
            <w:tcW w:type="dxa" w:w="1376"/>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4"/>
                <w:szCs w:val="14"/>
              </w:rPr>
              <w:t xml:space="preserve">38.2 (restated) / 37.6 (old business profit)</w:t>
            </w:r>
          </w:p>
        </w:tc>
        <w:tc>
          <w:tcPr>
            <w:tcW w:type="dxa" w:w="1373"/>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25.6</w:t>
            </w:r>
          </w:p>
        </w:tc>
        <w:tc>
          <w:tcPr>
            <w:tcW w:type="dxa" w:w="1373"/>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25.6</w:t>
            </w:r>
          </w:p>
        </w:tc>
        <w:tc>
          <w:tcPr>
            <w:tcW w:type="dxa" w:w="1481"/>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4"/>
                <w:szCs w:val="14"/>
              </w:rPr>
              <w:t xml:space="preserve">2.9–3.0 (−83.2%)</w:t>
            </w:r>
          </w:p>
        </w:tc>
      </w:tr>
      <w:tr>
        <w:trPr>
          <w:cantSplit/>
        </w:trPr>
        <w:tc>
          <w:tcPr>
            <w:tcW w:type="dxa" w:w="1407"/>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4"/>
                <w:szCs w:val="14"/>
              </w:rPr>
              <w:t xml:space="preserve">Asset Service</w:t>
            </w:r>
          </w:p>
        </w:tc>
        <w:tc>
          <w:tcPr>
            <w:tcW w:type="dxa" w:w="1368"/>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≈7.4</w:t>
            </w:r>
          </w:p>
        </w:tc>
        <w:tc>
          <w:tcPr>
            <w:tcW w:type="dxa" w:w="1368"/>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12.9</w:t>
            </w:r>
          </w:p>
        </w:tc>
        <w:tc>
          <w:tcPr>
            <w:tcW w:type="dxa" w:w="137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4"/>
                <w:szCs w:val="14"/>
              </w:rPr>
              <w:t xml:space="preserve">11.5</w:t>
            </w:r>
          </w:p>
        </w:tc>
        <w:tc>
          <w:tcPr>
            <w:tcW w:type="dxa" w:w="1373"/>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11.5</w:t>
            </w:r>
          </w:p>
        </w:tc>
        <w:tc>
          <w:tcPr>
            <w:tcW w:type="dxa" w:w="1373"/>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11.5</w:t>
            </w:r>
          </w:p>
        </w:tc>
        <w:tc>
          <w:tcPr>
            <w:tcW w:type="dxa" w:w="1481"/>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4"/>
                <w:szCs w:val="14"/>
              </w:rPr>
              <w:t xml:space="preserve">n/a (revenue and profit up)</w:t>
            </w:r>
          </w:p>
        </w:tc>
      </w:tr>
      <w:tr>
        <w:trPr>
          <w:cantSplit/>
        </w:trPr>
        <w:tc>
          <w:tcPr>
            <w:tcW w:type="dxa" w:w="1407"/>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4"/>
                <w:szCs w:val="14"/>
              </w:rPr>
              <w:t xml:space="preserve">Other</w:t>
            </w:r>
          </w:p>
        </w:tc>
        <w:tc>
          <w:tcPr>
            <w:tcW w:type="dxa" w:w="1368"/>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n/a</w:t>
            </w:r>
          </w:p>
        </w:tc>
        <w:tc>
          <w:tcPr>
            <w:tcW w:type="dxa" w:w="1368"/>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4.4</w:t>
            </w:r>
          </w:p>
        </w:tc>
        <w:tc>
          <w:tcPr>
            <w:tcW w:type="dxa" w:w="1376"/>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4"/>
                <w:szCs w:val="14"/>
              </w:rPr>
              <w:t xml:space="preserve">≈2.1</w:t>
            </w:r>
          </w:p>
        </w:tc>
        <w:tc>
          <w:tcPr>
            <w:tcW w:type="dxa" w:w="1373"/>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4.2</w:t>
            </w:r>
          </w:p>
        </w:tc>
        <w:tc>
          <w:tcPr>
            <w:tcW w:type="dxa" w:w="1373"/>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−2.5</w:t>
            </w:r>
          </w:p>
        </w:tc>
        <w:tc>
          <w:tcPr>
            <w:tcW w:type="dxa" w:w="1481"/>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4"/>
                <w:szCs w:val="14"/>
              </w:rPr>
              <w:t xml:space="preserve">n/a</w:t>
            </w:r>
          </w:p>
        </w:tc>
      </w:tr>
      <w:tr>
        <w:trPr>
          <w:cantSplit/>
        </w:trPr>
        <w:tc>
          <w:tcPr>
            <w:tcW w:type="dxa" w:w="1407"/>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4"/>
                <w:szCs w:val="14"/>
              </w:rPr>
              <w:t xml:space="preserve">Corporate and eliminations</w:t>
            </w:r>
          </w:p>
        </w:tc>
        <w:tc>
          <w:tcPr>
            <w:tcW w:type="dxa" w:w="1368"/>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n/a</w:t>
            </w:r>
          </w:p>
        </w:tc>
        <w:tc>
          <w:tcPr>
            <w:tcW w:type="dxa" w:w="1368"/>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≈−10.1</w:t>
            </w:r>
          </w:p>
        </w:tc>
        <w:tc>
          <w:tcPr>
            <w:tcW w:type="dxa" w:w="137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4"/>
                <w:szCs w:val="14"/>
              </w:rPr>
              <w:t xml:space="preserve">≈−12.6</w:t>
            </w:r>
          </w:p>
        </w:tc>
        <w:tc>
          <w:tcPr>
            <w:tcW w:type="dxa" w:w="1373"/>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−12.5</w:t>
            </w:r>
          </w:p>
        </w:tc>
        <w:tc>
          <w:tcPr>
            <w:tcW w:type="dxa" w:w="1373"/>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−12.5</w:t>
            </w:r>
          </w:p>
        </w:tc>
        <w:tc>
          <w:tcPr>
            <w:tcW w:type="dxa" w:w="1481"/>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4"/>
                <w:szCs w:val="14"/>
              </w:rPr>
              <w:t xml:space="preserve">≈−3.2 (Other + Asset Service + corporate, residual)</w:t>
            </w:r>
          </w:p>
        </w:tc>
      </w:tr>
      <w:tr>
        <w:trPr>
          <w:cantSplit/>
        </w:trPr>
        <w:tc>
          <w:tcPr>
            <w:tcW w:type="dxa" w:w="1407"/>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bCs/>
                <w:color w:val="1F2533"/>
                <w:sz w:val="14"/>
                <w:szCs w:val="14"/>
              </w:rPr>
              <w:t xml:space="preserve">Group</w:t>
            </w:r>
          </w:p>
        </w:tc>
        <w:tc>
          <w:tcPr>
            <w:tcW w:type="dxa" w:w="1368"/>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b/>
                <w:bCs/>
                <w:color w:val="1F2533"/>
                <w:sz w:val="14"/>
                <w:szCs w:val="14"/>
              </w:rPr>
              <w:t xml:space="preserve">Operating income 64.5</w:t>
            </w:r>
          </w:p>
        </w:tc>
        <w:tc>
          <w:tcPr>
            <w:tcW w:type="dxa" w:w="1368"/>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b/>
                <w:bCs/>
                <w:color w:val="1F2533"/>
                <w:sz w:val="14"/>
                <w:szCs w:val="14"/>
              </w:rPr>
              <w:t xml:space="preserve">Operating income 70.5</w:t>
            </w:r>
          </w:p>
        </w:tc>
        <w:tc>
          <w:tcPr>
            <w:tcW w:type="dxa" w:w="1376"/>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bCs/>
                <w:color w:val="1F2533"/>
                <w:sz w:val="14"/>
                <w:szCs w:val="14"/>
              </w:rPr>
              <w:t xml:space="preserve">Operating income 79.7</w:t>
            </w:r>
          </w:p>
        </w:tc>
        <w:tc>
          <w:tcPr>
            <w:tcW w:type="dxa" w:w="1373"/>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b/>
                <w:bCs/>
                <w:color w:val="1F2533"/>
                <w:sz w:val="14"/>
                <w:szCs w:val="14"/>
              </w:rPr>
              <w:t xml:space="preserve">Operating income 95.8</w:t>
            </w:r>
          </w:p>
        </w:tc>
        <w:tc>
          <w:tcPr>
            <w:tcW w:type="dxa" w:w="1373"/>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b/>
                <w:bCs/>
                <w:color w:val="1F2533"/>
                <w:sz w:val="14"/>
                <w:szCs w:val="14"/>
              </w:rPr>
              <w:t xml:space="preserve">Business profit 89.4</w:t>
            </w:r>
          </w:p>
        </w:tc>
        <w:tc>
          <w:tcPr>
            <w:tcW w:type="dxa" w:w="1481"/>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bCs/>
                <w:color w:val="1F2533"/>
                <w:sz w:val="14"/>
                <w:szCs w:val="14"/>
              </w:rPr>
              <w:t xml:space="preserve">Operating income 39.9</w:t>
            </w:r>
          </w:p>
        </w:tc>
      </w:tr>
    </w:tbl>
    <w:p>
      <w:pPr>
        <w:spacing w:after="120" w:before="0" w:line="276" w:lineRule="auto"/>
      </w:pPr>
    </w:p>
    <w:p>
      <w:pPr>
        <w:spacing w:after="110" w:before="0" w:line="276" w:lineRule="auto"/>
      </w:pPr>
      <w:r>
        <w:rPr>
          <w:rFonts w:ascii="Arial" w:cs="Arial" w:eastAsia="Yu Gothic" w:hAnsi="Arial"/>
          <w:color w:val="1F2533"/>
          <w:sz w:val="19"/>
          <w:szCs w:val="19"/>
        </w:rPr>
        <w:t xml:space="preserve">How the segment figures were built:</w:t>
      </w:r>
    </w:p>
    <w:p>
      <w:pPr>
        <w:pStyle w:val="ListParagraph"/>
        <w:numPr>
          <w:ilvl w:val="0"/>
          <w:numId w:val="2"/>
        </w:numPr>
        <w:spacing w:after="60" w:line="264" w:lineRule="auto"/>
      </w:pPr>
      <w:r>
        <w:rPr>
          <w:rFonts w:ascii="Arial" w:cs="Arial" w:eastAsia="Yu Gothic" w:hAnsi="Arial"/>
          <w:color w:val="1F2533"/>
          <w:sz w:val="19"/>
          <w:szCs w:val="19"/>
        </w:rPr>
        <w:t xml:space="preserve">FY2022 is back-solved from the FY2023 year-on-year changes.</w:t>
      </w:r>
    </w:p>
    <w:p>
      <w:pPr>
        <w:pStyle w:val="ListParagraph"/>
        <w:numPr>
          <w:ilvl w:val="0"/>
          <w:numId w:val="2"/>
        </w:numPr>
        <w:spacing w:after="60" w:line="264" w:lineRule="auto"/>
      </w:pPr>
      <w:r>
        <w:rPr>
          <w:rFonts w:ascii="Arial" w:cs="Arial" w:eastAsia="Yu Gothic" w:hAnsi="Arial"/>
          <w:color w:val="1F2533"/>
          <w:sz w:val="19"/>
          <w:szCs w:val="19"/>
        </w:rPr>
        <w:t xml:space="preserve">FY2023 and old-definition FY2024 figures are on a business-profit basis.</w:t>
      </w:r>
    </w:p>
    <w:p>
      <w:pPr>
        <w:pStyle w:val="ListParagraph"/>
        <w:numPr>
          <w:ilvl w:val="0"/>
          <w:numId w:val="2"/>
        </w:numPr>
        <w:spacing w:after="60" w:line="264" w:lineRule="auto"/>
      </w:pPr>
      <w:r>
        <w:rPr>
          <w:rFonts w:ascii="Arial" w:cs="Arial" w:eastAsia="Yu Gothic" w:hAnsi="Arial"/>
          <w:color w:val="1F2533"/>
          <w:sz w:val="19"/>
          <w:szCs w:val="19"/>
        </w:rPr>
        <w:t xml:space="preserve">"Restated FY2024" is implied by the FY2025 year-on-year changes.</w:t>
      </w:r>
    </w:p>
    <w:p>
      <w:pPr>
        <w:spacing w:after="40" w:before="0" w:line="276" w:lineRule="auto"/>
      </w:pPr>
    </w:p>
    <w:p>
      <w:pPr>
        <w:spacing w:after="110" w:before="0" w:line="276" w:lineRule="auto"/>
      </w:pPr>
      <w:r>
        <w:rPr>
          <w:rFonts w:ascii="Arial" w:cs="Arial" w:eastAsia="Yu Gothic" w:hAnsi="Arial"/>
          <w:color w:val="1F2533"/>
          <w:sz w:val="19"/>
          <w:szCs w:val="19"/>
        </w:rPr>
        <w:t xml:space="preserve">Sources: </w:t>
      </w:r>
      <w:hyperlink w:history="1" r:id="rIdr4a9zkmsatxp2mgr7vo-m">
        <w:r>
          <w:rPr>
            <w:rFonts w:ascii="Arial" w:cs="Arial" w:eastAsia="Yu Gothic" w:hAnsi="Arial"/>
            <w:color w:val="2F6FD0"/>
            <w:sz w:val="19"/>
            <w:szCs w:val="19"/>
            <w:u w:val="single"/>
          </w:rPr>
          <w:t xml:space="preserve">FY2023 results materials</w:t>
        </w:r>
      </w:hyperlink>
      <w:r>
        <w:rPr>
          <w:rFonts w:ascii="Arial" w:cs="Arial" w:eastAsia="Yu Gothic" w:hAnsi="Arial"/>
          <w:color w:val="1F2533"/>
          <w:sz w:val="19"/>
          <w:szCs w:val="19"/>
        </w:rPr>
        <w:t xml:space="preserve">; </w:t>
      </w:r>
      <w:hyperlink w:history="1" r:id="rIdfritqx2kure4fkpvw96ul">
        <w:r>
          <w:rPr>
            <w:rFonts w:ascii="Arial" w:cs="Arial" w:eastAsia="Yu Gothic" w:hAnsi="Arial"/>
            <w:color w:val="2F6FD0"/>
            <w:sz w:val="19"/>
            <w:szCs w:val="19"/>
            <w:u w:val="single"/>
          </w:rPr>
          <w:t xml:space="preserve">FY2024 English presentation</w:t>
        </w:r>
      </w:hyperlink>
      <w:r>
        <w:rPr>
          <w:rFonts w:ascii="Arial" w:cs="Arial" w:eastAsia="Yu Gothic" w:hAnsi="Arial"/>
          <w:color w:val="1F2533"/>
          <w:sz w:val="19"/>
          <w:szCs w:val="19"/>
        </w:rPr>
        <w:t xml:space="preserve">; </w:t>
      </w:r>
      <w:hyperlink w:history="1" r:id="rIdx8rbpbexabspzv8he3mxa">
        <w:r>
          <w:rPr>
            <w:rFonts w:ascii="Arial" w:cs="Arial" w:eastAsia="Yu Gothic" w:hAnsi="Arial"/>
            <w:color w:val="2F6FD0"/>
            <w:sz w:val="19"/>
            <w:szCs w:val="19"/>
            <w:u w:val="single"/>
          </w:rPr>
          <w:t xml:space="preserve">japanir</w:t>
        </w:r>
      </w:hyperlink>
      <w:r>
        <w:rPr>
          <w:rFonts w:ascii="Arial" w:cs="Arial" w:eastAsia="Yu Gothic" w:hAnsi="Arial"/>
          <w:color w:val="1F2533"/>
          <w:sz w:val="19"/>
          <w:szCs w:val="19"/>
        </w:rPr>
        <w:t xml:space="preserve">; </w:t>
      </w:r>
      <w:hyperlink w:history="1" r:id="rIdamy_rl4dd1nr8n8wa4vnm">
        <w:r>
          <w:rPr>
            <w:rFonts w:ascii="Arial" w:cs="Arial" w:eastAsia="Yu Gothic" w:hAnsi="Arial"/>
            <w:color w:val="2F6FD0"/>
            <w:sz w:val="19"/>
            <w:szCs w:val="19"/>
            <w:u w:val="single"/>
          </w:rPr>
          <w:t xml:space="preserve">Shikiho</w:t>
        </w:r>
      </w:hyperlink>
      <w:r>
        <w:rPr>
          <w:rFonts w:ascii="Arial" w:cs="Arial" w:eastAsia="Yu Gothic" w:hAnsi="Arial"/>
          <w:color w:val="1F2533"/>
          <w:sz w:val="19"/>
          <w:szCs w:val="19"/>
        </w:rPr>
        <w:t xml:space="preserve">; </w:t>
      </w:r>
      <w:hyperlink w:history="1" r:id="rIdfmwl4e9bdxaqrgwcdoxlo">
        <w:r>
          <w:rPr>
            <w:rFonts w:ascii="Arial" w:cs="Arial" w:eastAsia="Yu Gothic" w:hAnsi="Arial"/>
            <w:color w:val="2F6FD0"/>
            <w:sz w:val="19"/>
            <w:szCs w:val="19"/>
            <w:u w:val="single"/>
          </w:rPr>
          <w:t xml:space="preserve">BigGo</w:t>
        </w:r>
      </w:hyperlink>
      <w:r>
        <w:rPr>
          <w:rFonts w:ascii="Arial" w:cs="Arial" w:eastAsia="Yu Gothic" w:hAnsi="Arial"/>
          <w:color w:val="1F2533"/>
          <w:sz w:val="19"/>
          <w:szCs w:val="19"/>
        </w:rPr>
        <w:t xml:space="preserve">.</w:t>
      </w:r>
    </w:p>
    <w:p>
      <w:pPr>
        <w:keepNext/>
        <w:spacing w:after="40" w:before="80" w:line="240" w:lineRule="auto"/>
        <w:jc w:val="center"/>
      </w:pPr>
      <w:r>
        <w:drawing>
          <wp:inline distT="0" distB="0" distL="0" distR="0">
            <wp:extent cx="6191250" cy="4086225"/>
            <wp:effectExtent t="0" r="0" b="0" l="0"/>
            <wp:docPr id="1" name="fig03_segment_profit.png" descr="Figure 4: Segment profit FY2023–FY2025 and the 1H FY2026 swing between Building and Residential." title="Figure 4: Segment profit FY2023–FY2025 and the 1H FY2026 swing between Building and Resident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191250" cy="4086225"/>
                    </a:xfrm>
                    <a:prstGeom prst="rect">
                      <a:avLst/>
                    </a:prstGeom>
                  </pic:spPr>
                </pic:pic>
              </a:graphicData>
            </a:graphic>
          </wp:inline>
        </w:drawing>
      </w:r>
    </w:p>
    <w:p>
      <w:pPr>
        <w:spacing w:after="160" w:before="0" w:line="276" w:lineRule="auto"/>
        <w:jc w:val="left"/>
      </w:pPr>
      <w:r>
        <w:rPr>
          <w:rFonts w:ascii="Arial" w:cs="Arial" w:eastAsia="Yu Gothic" w:hAnsi="Arial"/>
          <w:i/>
          <w:iCs/>
          <w:color w:val="5B6577"/>
          <w:sz w:val="16"/>
          <w:szCs w:val="16"/>
        </w:rPr>
        <w:t xml:space="preserve">Figure 4: Segment profit FY2023–FY2025 and the 1H FY2026 swing between Building and Residential.</w:t>
      </w:r>
    </w:p>
    <w:p>
      <w:pPr>
        <w:spacing w:after="110" w:before="0" w:line="276" w:lineRule="auto"/>
      </w:pPr>
      <w:r>
        <w:rPr>
          <w:rFonts w:ascii="Arial" w:cs="Arial" w:eastAsia="Yu Gothic" w:hAnsi="Arial"/>
          <w:b/>
          <w:bCs/>
          <w:color w:val="1F2533"/>
          <w:sz w:val="19"/>
          <w:szCs w:val="19"/>
        </w:rPr>
        <w:t xml:space="preserve">Segment EBITDA and segment net income are not disclosed</w:t>
      </w:r>
      <w:r>
        <w:rPr>
          <w:rFonts w:ascii="Arial" w:cs="Arial" w:eastAsia="Yu Gothic" w:hAnsi="Arial"/>
          <w:color w:val="1F2533"/>
          <w:sz w:val="19"/>
          <w:szCs w:val="19"/>
        </w:rPr>
        <w:t xml:space="preserve"> under J-GAAP segment reporting. Group EBITDA and net income are shown in the consolidated table above.</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971"/>
        <w:gridCol w:w="925"/>
        <w:gridCol w:w="925"/>
        <w:gridCol w:w="925"/>
      </w:tblGrid>
      <w:tr>
        <w:trPr>
          <w:cantSplit/>
          <w:tblHeader/>
        </w:trPr>
        <w:tc>
          <w:tcPr>
            <w:tcW w:type="dxa" w:w="6971"/>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bCs/>
                <w:color w:val="FFFFFF"/>
                <w:sz w:val="16"/>
                <w:szCs w:val="16"/>
              </w:rPr>
              <w:t xml:space="preserve">Segment margin (profit ÷ revenue)</w:t>
            </w:r>
          </w:p>
        </w:tc>
        <w:tc>
          <w:tcPr>
            <w:tcW w:type="dxa" w:w="925"/>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6"/>
                <w:szCs w:val="16"/>
              </w:rPr>
              <w:t xml:space="preserve">FY2023</w:t>
            </w:r>
          </w:p>
        </w:tc>
        <w:tc>
          <w:tcPr>
            <w:tcW w:type="dxa" w:w="925"/>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6"/>
                <w:szCs w:val="16"/>
              </w:rPr>
              <w:t xml:space="preserve">FY2024</w:t>
            </w:r>
          </w:p>
        </w:tc>
        <w:tc>
          <w:tcPr>
            <w:tcW w:type="dxa" w:w="925"/>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6"/>
                <w:szCs w:val="16"/>
              </w:rPr>
              <w:t xml:space="preserve">FY2025</w:t>
            </w:r>
          </w:p>
        </w:tc>
      </w:tr>
      <w:tr>
        <w:trPr>
          <w:cantSplit/>
        </w:trPr>
        <w:tc>
          <w:tcPr>
            <w:tcW w:type="dxa" w:w="6971"/>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Building / Commercial Properties</w:t>
            </w:r>
          </w:p>
        </w:tc>
        <w:tc>
          <w:tcPr>
            <w:tcW w:type="dxa" w:w="925"/>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6"/>
                <w:szCs w:val="16"/>
              </w:rPr>
              <w:t xml:space="preserve">25.8%</w:t>
            </w:r>
          </w:p>
        </w:tc>
        <w:tc>
          <w:tcPr>
            <w:tcW w:type="dxa" w:w="925"/>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6"/>
                <w:szCs w:val="16"/>
              </w:rPr>
              <w:t xml:space="preserve">23.5%</w:t>
            </w:r>
          </w:p>
        </w:tc>
        <w:tc>
          <w:tcPr>
            <w:tcW w:type="dxa" w:w="925"/>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6"/>
                <w:szCs w:val="16"/>
              </w:rPr>
              <w:t xml:space="preserve">30.5%</w:t>
            </w:r>
          </w:p>
        </w:tc>
      </w:tr>
      <w:tr>
        <w:trPr>
          <w:cantSplit/>
        </w:trPr>
        <w:tc>
          <w:tcPr>
            <w:tcW w:type="dxa" w:w="6971"/>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Residential</w:t>
            </w:r>
          </w:p>
        </w:tc>
        <w:tc>
          <w:tcPr>
            <w:tcW w:type="dxa" w:w="925"/>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6"/>
                <w:szCs w:val="16"/>
              </w:rPr>
              <w:t xml:space="preserve">20.2%</w:t>
            </w:r>
          </w:p>
        </w:tc>
        <w:tc>
          <w:tcPr>
            <w:tcW w:type="dxa" w:w="925"/>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6"/>
                <w:szCs w:val="16"/>
              </w:rPr>
              <w:t xml:space="preserve">18.0%</w:t>
            </w:r>
          </w:p>
        </w:tc>
        <w:tc>
          <w:tcPr>
            <w:tcW w:type="dxa" w:w="925"/>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6"/>
                <w:szCs w:val="16"/>
              </w:rPr>
              <w:t xml:space="preserve">15.5%</w:t>
            </w:r>
          </w:p>
        </w:tc>
      </w:tr>
      <w:tr>
        <w:trPr>
          <w:cantSplit/>
        </w:trPr>
        <w:tc>
          <w:tcPr>
            <w:tcW w:type="dxa" w:w="6971"/>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Asset Service</w:t>
            </w:r>
          </w:p>
        </w:tc>
        <w:tc>
          <w:tcPr>
            <w:tcW w:type="dxa" w:w="925"/>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6"/>
                <w:szCs w:val="16"/>
              </w:rPr>
              <w:t xml:space="preserve">20.2%</w:t>
            </w:r>
          </w:p>
        </w:tc>
        <w:tc>
          <w:tcPr>
            <w:tcW w:type="dxa" w:w="925"/>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6"/>
                <w:szCs w:val="16"/>
              </w:rPr>
              <w:t xml:space="preserve">21.0%</w:t>
            </w:r>
          </w:p>
        </w:tc>
        <w:tc>
          <w:tcPr>
            <w:tcW w:type="dxa" w:w="925"/>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6"/>
                <w:szCs w:val="16"/>
              </w:rPr>
              <w:t xml:space="preserve">18.1%</w:t>
            </w:r>
          </w:p>
        </w:tc>
      </w:tr>
    </w:tbl>
    <w:p>
      <w:pPr>
        <w:spacing w:after="120" w:before="0" w:line="276" w:lineRule="auto"/>
      </w:pPr>
    </w:p>
    <w:p>
      <w:pPr>
        <w:spacing w:after="110" w:before="0" w:line="276" w:lineRule="auto"/>
      </w:pPr>
      <w:r>
        <w:rPr>
          <w:rFonts w:ascii="Arial" w:cs="Arial" w:eastAsia="Yu Gothic" w:hAnsi="Arial"/>
          <w:b/>
          <w:bCs/>
          <w:color w:val="1F2533"/>
          <w:sz w:val="19"/>
          <w:szCs w:val="19"/>
        </w:rPr>
        <w:t xml:space="preserve">Building is now the profit engine.</w:t>
      </w:r>
    </w:p>
    <w:p>
      <w:pPr>
        <w:pStyle w:val="ListParagraph"/>
        <w:numPr>
          <w:ilvl w:val="0"/>
          <w:numId w:val="2"/>
        </w:numPr>
        <w:spacing w:after="60" w:line="264" w:lineRule="auto"/>
      </w:pPr>
      <w:r>
        <w:rPr>
          <w:rFonts w:ascii="Arial" w:cs="Arial" w:eastAsia="Yu Gothic" w:hAnsi="Arial"/>
          <w:color w:val="1F2533"/>
          <w:sz w:val="19"/>
          <w:szCs w:val="19"/>
        </w:rPr>
        <w:t xml:space="preserve">Revenue rose from ¥155bn (FY2023) to ¥220bn (FY2025), and profit jumped 62% in FY2025.</w:t>
      </w:r>
    </w:p>
    <w:p>
      <w:pPr>
        <w:pStyle w:val="ListParagraph"/>
        <w:numPr>
          <w:ilvl w:val="0"/>
          <w:numId w:val="2"/>
        </w:numPr>
        <w:spacing w:after="60" w:line="264" w:lineRule="auto"/>
      </w:pPr>
      <w:r>
        <w:rPr>
          <w:rFonts w:ascii="Arial" w:cs="Arial" w:eastAsia="Yu Gothic" w:hAnsi="Arial"/>
          <w:color w:val="1F2533"/>
          <w:sz w:val="19"/>
          <w:szCs w:val="19"/>
        </w:rPr>
        <w:t xml:space="preserve">The margin widened from about 24% to 30.5%.</w:t>
      </w:r>
    </w:p>
    <w:p>
      <w:pPr>
        <w:pStyle w:val="ListParagraph"/>
        <w:numPr>
          <w:ilvl w:val="0"/>
          <w:numId w:val="2"/>
        </w:numPr>
        <w:spacing w:after="60" w:line="264" w:lineRule="auto"/>
      </w:pPr>
      <w:r>
        <w:rPr>
          <w:rFonts w:ascii="Arial" w:cs="Arial" w:eastAsia="Yu Gothic" w:hAnsi="Arial"/>
          <w:color w:val="1F2533"/>
          <w:sz w:val="19"/>
          <w:szCs w:val="19"/>
        </w:rPr>
        <w:t xml:space="preserve">Three things drove it: higher rents (including Yaesu), more property sales to investors, and better margins on those sales (</w:t>
      </w:r>
      <w:hyperlink w:history="1" r:id="rIda-u3mzxsxa3et5edx5a57">
        <w:r>
          <w:rPr>
            <w:rFonts w:ascii="Arial" w:cs="Arial" w:eastAsia="Yu Gothic" w:hAnsi="Arial"/>
            <w:color w:val="2F6FD0"/>
            <w:sz w:val="19"/>
            <w:szCs w:val="19"/>
            <w:u w:val="single"/>
          </w:rPr>
          <w:t xml:space="preserve">FY2025 highlights</w:t>
        </w:r>
      </w:hyperlink>
      <w:r>
        <w:rPr>
          <w:rFonts w:ascii="Arial" w:cs="Arial" w:eastAsia="Yu Gothic" w:hAnsi="Arial"/>
          <w:color w:val="1F2533"/>
          <w:sz w:val="19"/>
          <w:szCs w:val="19"/>
        </w:rPr>
        <w:t xml:space="preserve">; </w:t>
      </w:r>
      <w:hyperlink w:history="1" r:id="rIdrjpdxzu9ezpfgk6ghnmnx">
        <w:r>
          <w:rPr>
            <w:rFonts w:ascii="Arial" w:cs="Arial" w:eastAsia="Yu Gothic" w:hAnsi="Arial"/>
            <w:color w:val="2F6FD0"/>
            <w:sz w:val="19"/>
            <w:szCs w:val="19"/>
            <w:u w:val="single"/>
          </w:rPr>
          <w:t xml:space="preserve">Nikkei</w:t>
        </w:r>
      </w:hyperlink>
      <w:r>
        <w:rPr>
          <w:rFonts w:ascii="Arial" w:cs="Arial" w:eastAsia="Yu Gothic" w:hAnsi="Arial"/>
          <w:color w:val="1F2533"/>
          <w:sz w:val="19"/>
          <w:szCs w:val="19"/>
        </w:rPr>
        <w:t xml:space="preserve">).</w:t>
      </w:r>
    </w:p>
    <w:p>
      <w:pPr>
        <w:pStyle w:val="ListParagraph"/>
        <w:numPr>
          <w:ilvl w:val="0"/>
          <w:numId w:val="2"/>
        </w:numPr>
        <w:spacing w:after="60" w:line="264" w:lineRule="auto"/>
      </w:pPr>
      <w:r>
        <w:rPr>
          <w:rFonts w:ascii="Arial" w:cs="Arial" w:eastAsia="Yu Gothic" w:hAnsi="Arial"/>
          <w:color w:val="1F2533"/>
          <w:sz w:val="19"/>
          <w:szCs w:val="19"/>
        </w:rPr>
        <w:t xml:space="preserve">In 1H FY2026, Building operating profit (¥40.1bn) exceeded the whole group's.</w:t>
      </w:r>
    </w:p>
    <w:p>
      <w:pPr>
        <w:pStyle w:val="ListParagraph"/>
        <w:numPr>
          <w:ilvl w:val="0"/>
          <w:numId w:val="2"/>
        </w:numPr>
        <w:spacing w:after="60" w:line="264" w:lineRule="auto"/>
      </w:pPr>
      <w:r>
        <w:rPr>
          <w:rFonts w:ascii="Arial" w:cs="Arial" w:eastAsia="Yu Gothic" w:hAnsi="Arial"/>
          <w:color w:val="1F2533"/>
          <w:sz w:val="19"/>
          <w:szCs w:val="19"/>
        </w:rPr>
        <w:t xml:space="preserve">The rent/sale split inside the segment is not disclosed. This is the single most important missing disclosure.</w:t>
      </w:r>
    </w:p>
    <w:p>
      <w:pPr>
        <w:spacing w:after="40" w:before="0" w:line="276" w:lineRule="auto"/>
      </w:pPr>
    </w:p>
    <w:p>
      <w:pPr>
        <w:spacing w:after="110" w:before="0" w:line="276" w:lineRule="auto"/>
      </w:pPr>
      <w:r>
        <w:rPr>
          <w:rFonts w:ascii="Arial" w:cs="Arial" w:eastAsia="Yu Gothic" w:hAnsi="Arial"/>
          <w:b/>
          <w:bCs/>
          <w:color w:val="1F2533"/>
          <w:sz w:val="19"/>
          <w:szCs w:val="19"/>
        </w:rPr>
        <w:t xml:space="preserve">Residential is cyclical by design.</w:t>
      </w:r>
    </w:p>
    <w:p>
      <w:pPr>
        <w:pStyle w:val="ListParagraph"/>
        <w:numPr>
          <w:ilvl w:val="0"/>
          <w:numId w:val="2"/>
        </w:numPr>
        <w:spacing w:after="60" w:line="264" w:lineRule="auto"/>
      </w:pPr>
      <w:r>
        <w:rPr>
          <w:rFonts w:ascii="Arial" w:cs="Arial" w:eastAsia="Yu Gothic" w:hAnsi="Arial"/>
          <w:color w:val="1F2533"/>
          <w:sz w:val="19"/>
          <w:szCs w:val="19"/>
        </w:rPr>
        <w:t xml:space="preserve">FY2024 was a peak handover year: revenue ¥211.4bn, helped by large deliveries including HARUMI FLAG.</w:t>
      </w:r>
    </w:p>
    <w:p>
      <w:pPr>
        <w:pStyle w:val="ListParagraph"/>
        <w:numPr>
          <w:ilvl w:val="0"/>
          <w:numId w:val="2"/>
        </w:numPr>
        <w:spacing w:after="60" w:line="264" w:lineRule="auto"/>
      </w:pPr>
      <w:r>
        <w:rPr>
          <w:rFonts w:ascii="Arial" w:cs="Arial" w:eastAsia="Yu Gothic" w:hAnsi="Arial"/>
          <w:color w:val="1F2533"/>
          <w:sz w:val="19"/>
          <w:szCs w:val="19"/>
        </w:rPr>
        <w:t xml:space="preserve">FY2025 profit fell 33% on fewer units and a lower average price.</w:t>
      </w:r>
    </w:p>
    <w:p>
      <w:pPr>
        <w:pStyle w:val="ListParagraph"/>
        <w:numPr>
          <w:ilvl w:val="0"/>
          <w:numId w:val="2"/>
        </w:numPr>
        <w:spacing w:after="60" w:line="264" w:lineRule="auto"/>
      </w:pPr>
      <w:r>
        <w:rPr>
          <w:rFonts w:ascii="Arial" w:cs="Arial" w:eastAsia="Yu Gothic" w:hAnsi="Arial"/>
          <w:color w:val="1F2533"/>
          <w:sz w:val="19"/>
          <w:szCs w:val="19"/>
        </w:rPr>
        <w:t xml:space="preserve">1H FY2026 is a deeper trough: 270 units against 969, and gross margin of 27.8% against 30.4%. The company expects deliveries to rise from Q3 (</w:t>
      </w:r>
      <w:hyperlink w:history="1" r:id="rId56ghqpgw25flenfyajj1d">
        <w:r>
          <w:rPr>
            <w:rFonts w:ascii="Arial" w:cs="Arial" w:eastAsia="Yu Gothic" w:hAnsi="Arial"/>
            <w:color w:val="2F6FD0"/>
            <w:sz w:val="19"/>
            <w:szCs w:val="19"/>
            <w:u w:val="single"/>
          </w:rPr>
          <w:t xml:space="preserve">Nikkei</w:t>
        </w:r>
      </w:hyperlink>
      <w:r>
        <w:rPr>
          <w:rFonts w:ascii="Arial" w:cs="Arial" w:eastAsia="Yu Gothic" w:hAnsi="Arial"/>
          <w:color w:val="1F2533"/>
          <w:sz w:val="19"/>
          <w:szCs w:val="19"/>
        </w:rPr>
        <w:t xml:space="preserve">).</w:t>
      </w:r>
    </w:p>
    <w:p>
      <w:pPr>
        <w:pStyle w:val="ListParagraph"/>
        <w:numPr>
          <w:ilvl w:val="0"/>
          <w:numId w:val="2"/>
        </w:numPr>
        <w:spacing w:after="60" w:line="264" w:lineRule="auto"/>
      </w:pPr>
      <w:r>
        <w:rPr>
          <w:rFonts w:ascii="Arial" w:cs="Arial" w:eastAsia="Yu Gothic" w:hAnsi="Arial"/>
          <w:color w:val="1F2533"/>
          <w:sz w:val="19"/>
          <w:szCs w:val="19"/>
        </w:rPr>
        <w:t xml:space="preserve">The steady fall in segment margin, from 20% to 15.5%, is consistent with construction-cost inflation and a lower-priced, suburban mix.</w:t>
      </w:r>
    </w:p>
    <w:p>
      <w:pPr>
        <w:spacing w:after="40" w:before="0" w:line="276" w:lineRule="auto"/>
      </w:pPr>
    </w:p>
    <w:p>
      <w:pPr>
        <w:spacing w:after="110" w:before="0" w:line="276" w:lineRule="auto"/>
      </w:pPr>
      <w:r>
        <w:rPr>
          <w:rFonts w:ascii="Arial" w:cs="Arial" w:eastAsia="Yu Gothic" w:hAnsi="Arial"/>
          <w:b/>
          <w:bCs/>
          <w:color w:val="1F2533"/>
          <w:sz w:val="19"/>
          <w:szCs w:val="19"/>
        </w:rPr>
        <w:t xml:space="preserve">Asset Service has been steady at about ¥11–13bn since FY2023.</w:t>
      </w:r>
      <w:r>
        <w:rPr>
          <w:rFonts w:ascii="Arial" w:cs="Arial" w:eastAsia="Yu Gothic" w:hAnsi="Arial"/>
          <w:color w:val="1F2533"/>
          <w:sz w:val="19"/>
          <w:szCs w:val="19"/>
        </w:rPr>
        <w:t xml:space="preserve"> It combines brokerage, property resales and parking. FY2025 revenue rose 15.9% on resales while profit was flat.</w:t>
      </w:r>
    </w:p>
    <w:p>
      <w:pPr>
        <w:spacing w:after="110" w:before="0" w:line="276" w:lineRule="auto"/>
      </w:pPr>
      <w:r>
        <w:rPr>
          <w:rFonts w:ascii="Arial" w:cs="Arial" w:eastAsia="Yu Gothic" w:hAnsi="Arial"/>
          <w:b/>
          <w:bCs/>
          <w:color w:val="1F2533"/>
          <w:sz w:val="19"/>
          <w:szCs w:val="19"/>
        </w:rPr>
        <w:t xml:space="preserve">Other carries the overseas equity-method losses.</w:t>
      </w:r>
      <w:r>
        <w:rPr>
          <w:rFonts w:ascii="Arial" w:cs="Arial" w:eastAsia="Yu Gothic" w:hAnsi="Arial"/>
          <w:color w:val="1F2533"/>
          <w:sz w:val="19"/>
          <w:szCs w:val="19"/>
        </w:rPr>
        <w:t xml:space="preserve"> Its FY2025 operating profit was +¥4.2bn, but business profit was −¥2.5bn. Corporate costs are rising; the 1H FY2026 residual was about −¥2bn worse year on year.</w:t>
      </w:r>
    </w:p>
    <w:p>
      <w:pPr>
        <w:pStyle w:val="Heading2"/>
        <w:keepNext/>
        <w:keepLines/>
        <w:spacing w:after="90" w:before="260" w:line="252" w:lineRule="auto"/>
      </w:pPr>
      <w:r>
        <w:rPr>
          <w:rFonts w:ascii="Arial" w:cs="Arial" w:eastAsia="Yu Gothic" w:hAnsi="Arial"/>
          <w:b/>
          <w:bCs/>
          <w:color w:val="15233F"/>
          <w:sz w:val="25"/>
          <w:szCs w:val="25"/>
        </w:rPr>
        <w:t xml:space="preserve">Geographic segments</w:t>
      </w:r>
    </w:p>
    <w:p>
      <w:pPr>
        <w:spacing w:after="110" w:before="0" w:line="276" w:lineRule="auto"/>
      </w:pPr>
      <w:r>
        <w:rPr>
          <w:rFonts w:ascii="Arial" w:cs="Arial" w:eastAsia="Yu Gothic" w:hAnsi="Arial"/>
          <w:color w:val="1F2533"/>
          <w:sz w:val="19"/>
          <w:szCs w:val="19"/>
        </w:rPr>
        <w:t xml:space="preserve">Tokyo Tatemono publishes </w:t>
      </w:r>
      <w:r>
        <w:rPr>
          <w:rFonts w:ascii="Arial" w:cs="Arial" w:eastAsia="Yu Gothic" w:hAnsi="Arial"/>
          <w:b/>
          <w:bCs/>
          <w:color w:val="1F2533"/>
          <w:sz w:val="19"/>
          <w:szCs w:val="19"/>
        </w:rPr>
        <w:t xml:space="preserve">no geographic revenue split</w:t>
      </w:r>
      <w:r>
        <w:rPr>
          <w:rFonts w:ascii="Arial" w:cs="Arial" w:eastAsia="Yu Gothic" w:hAnsi="Arial"/>
          <w:color w:val="1F2533"/>
          <w:sz w:val="19"/>
          <w:szCs w:val="19"/>
        </w:rPr>
        <w:t xml:space="preserve">. That is consistent with Japan exceeding 90% of revenue, though we could not verify it.</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1"/>
        <w:gridCol w:w="2246"/>
        <w:gridCol w:w="2268"/>
        <w:gridCol w:w="4231"/>
      </w:tblGrid>
      <w:tr>
        <w:trPr>
          <w:cantSplit/>
          <w:tblHeader/>
        </w:trPr>
        <w:tc>
          <w:tcPr>
            <w:tcW w:type="dxa" w:w="1001"/>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bCs/>
                <w:color w:val="FFFFFF"/>
                <w:sz w:val="16"/>
                <w:szCs w:val="16"/>
              </w:rPr>
              <w:t xml:space="preserve">Period</w:t>
            </w:r>
          </w:p>
        </w:tc>
        <w:tc>
          <w:tcPr>
            <w:tcW w:type="dxa" w:w="2246"/>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6"/>
                <w:szCs w:val="16"/>
              </w:rPr>
              <w:t xml:space="preserve">Overseas reporting status</w:t>
            </w:r>
          </w:p>
        </w:tc>
        <w:tc>
          <w:tcPr>
            <w:tcW w:type="dxa" w:w="2268"/>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6"/>
                <w:szCs w:val="16"/>
              </w:rPr>
              <w:t xml:space="preserve">Equity-method income (mainly overseas)</w:t>
            </w:r>
          </w:p>
        </w:tc>
        <w:tc>
          <w:tcPr>
            <w:tcW w:type="dxa" w:w="4231"/>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6"/>
                <w:szCs w:val="16"/>
              </w:rPr>
              <w:t xml:space="preserve">Comment</w:t>
            </w:r>
          </w:p>
        </w:tc>
      </w:tr>
      <w:tr>
        <w:trPr>
          <w:cantSplit/>
        </w:trPr>
        <w:tc>
          <w:tcPr>
            <w:tcW w:type="dxa" w:w="1001"/>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FY2021</w:t>
            </w:r>
          </w:p>
        </w:tc>
        <w:tc>
          <w:tcPr>
            <w:tcW w:type="dxa" w:w="224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Overseas was a separate reportable segment (</w:t>
            </w:r>
            <w:hyperlink w:history="1" r:id="rIdzbciu5hnc_wgvpjyzi3c3">
              <w:r>
                <w:rPr>
                  <w:rFonts w:ascii="Arial" w:cs="Arial" w:eastAsia="Yu Gothic" w:hAnsi="Arial"/>
                  <w:color w:val="2F6FD0"/>
                  <w:sz w:val="16"/>
                  <w:szCs w:val="16"/>
                  <w:u w:val="single"/>
                </w:rPr>
                <w:t xml:space="preserve">FY2021 Yuho</w:t>
              </w:r>
            </w:hyperlink>
            <w:r>
              <w:rPr>
                <w:rFonts w:ascii="Arial" w:cs="Arial" w:eastAsia="Yu Gothic" w:hAnsi="Arial"/>
                <w:color w:val="1F2533"/>
                <w:sz w:val="16"/>
                <w:szCs w:val="16"/>
              </w:rPr>
              <w:t xml:space="preserve">)</w:t>
            </w:r>
          </w:p>
        </w:tc>
        <w:tc>
          <w:tcPr>
            <w:tcW w:type="dxa" w:w="2268"/>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n/a</w:t>
            </w:r>
          </w:p>
        </w:tc>
        <w:tc>
          <w:tcPr>
            <w:tcW w:type="dxa" w:w="4231"/>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China condo affiliates; Myanmar and Indonesian joint ventures</w:t>
            </w:r>
          </w:p>
        </w:tc>
      </w:tr>
      <w:tr>
        <w:trPr>
          <w:cantSplit/>
        </w:trPr>
        <w:tc>
          <w:tcPr>
            <w:tcW w:type="dxa" w:w="1001"/>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FY2022</w:t>
            </w:r>
          </w:p>
        </w:tc>
        <w:tc>
          <w:tcPr>
            <w:tcW w:type="dxa" w:w="2246"/>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Folded into Other</w:t>
            </w:r>
          </w:p>
        </w:tc>
        <w:tc>
          <w:tcPr>
            <w:tcW w:type="dxa" w:w="2268"/>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≈+1.8 (derived)</w:t>
            </w:r>
          </w:p>
        </w:tc>
        <w:tc>
          <w:tcPr>
            <w:tcW w:type="dxa" w:w="4231"/>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"Equity-method profit from overseas businesses" helped (</w:t>
            </w:r>
            <w:hyperlink w:history="1" r:id="rId9-eyhuksrlnpd_sv4ttiu">
              <w:r>
                <w:rPr>
                  <w:rFonts w:ascii="Arial" w:cs="Arial" w:eastAsia="Yu Gothic" w:hAnsi="Arial"/>
                  <w:color w:val="2F6FD0"/>
                  <w:sz w:val="16"/>
                  <w:szCs w:val="16"/>
                  <w:u w:val="single"/>
                </w:rPr>
                <w:t xml:space="preserve">FY2022 presentation</w:t>
              </w:r>
            </w:hyperlink>
            <w:r>
              <w:rPr>
                <w:rFonts w:ascii="Arial" w:cs="Arial" w:eastAsia="Yu Gothic" w:hAnsi="Arial"/>
                <w:color w:val="1F2533"/>
                <w:sz w:val="16"/>
                <w:szCs w:val="16"/>
              </w:rPr>
              <w:t xml:space="preserve">)</w:t>
            </w:r>
          </w:p>
        </w:tc>
      </w:tr>
      <w:tr>
        <w:trPr>
          <w:cantSplit/>
        </w:trPr>
        <w:tc>
          <w:tcPr>
            <w:tcW w:type="dxa" w:w="1001"/>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FY2023</w:t>
            </w:r>
          </w:p>
        </w:tc>
        <w:tc>
          <w:tcPr>
            <w:tcW w:type="dxa" w:w="224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Other</w:t>
            </w:r>
          </w:p>
        </w:tc>
        <w:tc>
          <w:tcPr>
            <w:tcW w:type="dxa" w:w="2268"/>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≈+3.9 (derived)</w:t>
            </w:r>
          </w:p>
        </w:tc>
        <w:tc>
          <w:tcPr>
            <w:tcW w:type="dxa" w:w="4231"/>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n/a</w:t>
            </w:r>
          </w:p>
        </w:tc>
      </w:tr>
      <w:tr>
        <w:trPr>
          <w:cantSplit/>
        </w:trPr>
        <w:tc>
          <w:tcPr>
            <w:tcW w:type="dxa" w:w="1001"/>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FY2024</w:t>
            </w:r>
          </w:p>
        </w:tc>
        <w:tc>
          <w:tcPr>
            <w:tcW w:type="dxa" w:w="2246"/>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Other</w:t>
            </w:r>
          </w:p>
        </w:tc>
        <w:tc>
          <w:tcPr>
            <w:tcW w:type="dxa" w:w="2268"/>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+0.8</w:t>
            </w:r>
          </w:p>
        </w:tc>
        <w:tc>
          <w:tcPr>
            <w:tcW w:type="dxa" w:w="4231"/>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n/a</w:t>
            </w:r>
          </w:p>
        </w:tc>
      </w:tr>
      <w:tr>
        <w:trPr>
          <w:cantSplit/>
        </w:trPr>
        <w:tc>
          <w:tcPr>
            <w:tcW w:type="dxa" w:w="1001"/>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FY2025</w:t>
            </w:r>
          </w:p>
        </w:tc>
        <w:tc>
          <w:tcPr>
            <w:tcW w:type="dxa" w:w="224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Other</w:t>
            </w:r>
          </w:p>
        </w:tc>
        <w:tc>
          <w:tcPr>
            <w:tcW w:type="dxa" w:w="2268"/>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bCs/>
                <w:color w:val="1F2533"/>
                <w:sz w:val="16"/>
                <w:szCs w:val="16"/>
              </w:rPr>
              <w:t xml:space="preserve">−6.9</w:t>
            </w:r>
          </w:p>
        </w:tc>
        <w:tc>
          <w:tcPr>
            <w:tcW w:type="dxa" w:w="4231"/>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Drove the net-income fall; business profit was redefined partly to reflect "diversification of investment schemes in Overseas business"</w:t>
            </w:r>
          </w:p>
        </w:tc>
      </w:tr>
      <w:tr>
        <w:trPr>
          <w:cantSplit/>
        </w:trPr>
        <w:tc>
          <w:tcPr>
            <w:tcW w:type="dxa" w:w="1001"/>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1H FY2026</w:t>
            </w:r>
          </w:p>
        </w:tc>
        <w:tc>
          <w:tcPr>
            <w:tcW w:type="dxa" w:w="2246"/>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Other</w:t>
            </w:r>
          </w:p>
        </w:tc>
        <w:tc>
          <w:tcPr>
            <w:tcW w:type="dxa" w:w="2268"/>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≈+1.5 (derived)</w:t>
            </w:r>
          </w:p>
        </w:tc>
        <w:tc>
          <w:tcPr>
            <w:tcW w:type="dxa" w:w="4231"/>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FY2026 overseas equity-method guidance was cut in August</w:t>
            </w:r>
          </w:p>
        </w:tc>
      </w:tr>
    </w:tbl>
    <w:p>
      <w:pPr>
        <w:spacing w:after="120" w:before="0" w:line="276" w:lineRule="auto"/>
      </w:pPr>
    </w:p>
    <w:p>
      <w:pPr>
        <w:spacing w:after="110" w:before="0" w:line="276" w:lineRule="auto"/>
      </w:pPr>
      <w:r>
        <w:rPr>
          <w:rFonts w:ascii="Arial" w:cs="Arial" w:eastAsia="Yu Gothic" w:hAnsi="Arial"/>
          <w:b/>
          <w:bCs/>
          <w:color w:val="1F2533"/>
          <w:sz w:val="19"/>
          <w:szCs w:val="19"/>
        </w:rPr>
        <w:t xml:space="preserve">Overseas profit is small and volatile; Japan is the whole story.</w:t>
      </w:r>
      <w:r>
        <w:rPr>
          <w:rFonts w:ascii="Arial" w:cs="Arial" w:eastAsia="Yu Gothic" w:hAnsi="Arial"/>
          <w:color w:val="1F2533"/>
          <w:sz w:val="19"/>
          <w:szCs w:val="19"/>
        </w:rPr>
        <w:t xml:space="preserve"> Revenue from consolidated overseas operations is immaterial, and the economics run through joint ventures. The exposure is shifting from Chinese and South-East Asian condos towards income-producing assets:</w:t>
      </w:r>
    </w:p>
    <w:p>
      <w:pPr>
        <w:pStyle w:val="ListParagraph"/>
        <w:numPr>
          <w:ilvl w:val="0"/>
          <w:numId w:val="2"/>
        </w:numPr>
        <w:spacing w:after="60" w:line="264" w:lineRule="auto"/>
      </w:pPr>
      <w:r>
        <w:rPr>
          <w:rFonts w:ascii="Arial" w:cs="Arial" w:eastAsia="Yu Gothic" w:hAnsi="Arial"/>
          <w:color w:val="1F2533"/>
          <w:sz w:val="19"/>
          <w:szCs w:val="19"/>
        </w:rPr>
        <w:t xml:space="preserve">US rental housing (8 projects in 5 states);</w:t>
      </w:r>
    </w:p>
    <w:p>
      <w:pPr>
        <w:pStyle w:val="ListParagraph"/>
        <w:numPr>
          <w:ilvl w:val="0"/>
          <w:numId w:val="2"/>
        </w:numPr>
        <w:spacing w:after="60" w:line="264" w:lineRule="auto"/>
      </w:pPr>
      <w:r>
        <w:rPr>
          <w:rFonts w:ascii="Arial" w:cs="Arial" w:eastAsia="Yu Gothic" w:hAnsi="Arial"/>
          <w:color w:val="1F2533"/>
          <w:sz w:val="19"/>
          <w:szCs w:val="19"/>
        </w:rPr>
        <w:t xml:space="preserve">Thai logistics and factories;</w:t>
      </w:r>
    </w:p>
    <w:p>
      <w:pPr>
        <w:pStyle w:val="ListParagraph"/>
        <w:numPr>
          <w:ilvl w:val="0"/>
          <w:numId w:val="2"/>
        </w:numPr>
        <w:spacing w:after="60" w:line="264" w:lineRule="auto"/>
      </w:pPr>
      <w:r>
        <w:rPr>
          <w:rFonts w:ascii="Arial" w:cs="Arial" w:eastAsia="Yu Gothic" w:hAnsi="Arial"/>
          <w:color w:val="1F2533"/>
          <w:sz w:val="19"/>
          <w:szCs w:val="19"/>
        </w:rPr>
        <w:t xml:space="preserve">a build-to-rent tower in Melbourne;</w:t>
      </w:r>
    </w:p>
    <w:p>
      <w:pPr>
        <w:pStyle w:val="ListParagraph"/>
        <w:numPr>
          <w:ilvl w:val="0"/>
          <w:numId w:val="2"/>
        </w:numPr>
        <w:spacing w:after="60" w:line="264" w:lineRule="auto"/>
      </w:pPr>
      <w:r>
        <w:rPr>
          <w:rFonts w:ascii="Arial" w:cs="Arial" w:eastAsia="Yu Gothic" w:hAnsi="Arial"/>
          <w:color w:val="1F2533"/>
          <w:sz w:val="19"/>
          <w:szCs w:val="19"/>
        </w:rPr>
        <w:t xml:space="preserve">a London office refurbishment.</w:t>
      </w:r>
    </w:p>
    <w:p>
      <w:pPr>
        <w:spacing w:after="40" w:before="0" w:line="276" w:lineRule="auto"/>
      </w:pPr>
    </w:p>
    <w:p>
      <w:pPr>
        <w:pStyle w:val="Heading2"/>
        <w:keepNext/>
        <w:keepLines/>
        <w:spacing w:after="90" w:before="260" w:line="252" w:lineRule="auto"/>
      </w:pPr>
      <w:r>
        <w:rPr>
          <w:rFonts w:ascii="Arial" w:cs="Arial" w:eastAsia="Yu Gothic" w:hAnsi="Arial"/>
          <w:b/>
          <w:bCs/>
          <w:color w:val="15233F"/>
          <w:sz w:val="25"/>
          <w:szCs w:val="25"/>
        </w:rPr>
        <w:t xml:space="preserve">Returns: DuPont and ROIC check</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25"/>
        <w:gridCol w:w="955"/>
        <w:gridCol w:w="1148"/>
        <w:gridCol w:w="1392"/>
        <w:gridCol w:w="1643"/>
        <w:gridCol w:w="733"/>
        <w:gridCol w:w="1250"/>
      </w:tblGrid>
      <w:tr>
        <w:trPr>
          <w:cantSplit/>
          <w:tblHeader/>
        </w:trPr>
        <w:tc>
          <w:tcPr>
            <w:tcW w:type="dxa" w:w="2625"/>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bCs/>
                <w:color w:val="FFFFFF"/>
                <w:sz w:val="14"/>
                <w:szCs w:val="14"/>
              </w:rPr>
              <w:t xml:space="preserve">FY</w:t>
            </w:r>
          </w:p>
        </w:tc>
        <w:tc>
          <w:tcPr>
            <w:tcW w:type="dxa" w:w="955"/>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4"/>
                <w:szCs w:val="14"/>
              </w:rPr>
              <w:t xml:space="preserve">Net margin</w:t>
            </w:r>
          </w:p>
        </w:tc>
        <w:tc>
          <w:tcPr>
            <w:tcW w:type="dxa" w:w="1148"/>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4"/>
                <w:szCs w:val="14"/>
              </w:rPr>
              <w:t xml:space="preserve">Asset turnover</w:t>
            </w:r>
          </w:p>
        </w:tc>
        <w:tc>
          <w:tcPr>
            <w:tcW w:type="dxa" w:w="1392"/>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4"/>
                <w:szCs w:val="14"/>
              </w:rPr>
              <w:t xml:space="preserve">Equity multiplier (average)</w:t>
            </w:r>
          </w:p>
        </w:tc>
        <w:tc>
          <w:tcPr>
            <w:tcW w:type="dxa" w:w="1643"/>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4"/>
                <w:szCs w:val="14"/>
              </w:rPr>
              <w:t xml:space="preserve">ROE</w:t>
            </w:r>
          </w:p>
        </w:tc>
        <w:tc>
          <w:tcPr>
            <w:tcW w:type="dxa" w:w="733"/>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4"/>
                <w:szCs w:val="14"/>
              </w:rPr>
              <w:t xml:space="preserve">ROA</w:t>
            </w:r>
          </w:p>
        </w:tc>
        <w:tc>
          <w:tcPr>
            <w:tcW w:type="dxa" w:w="1250"/>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4"/>
                <w:szCs w:val="14"/>
              </w:rPr>
              <w:t xml:space="preserve">ROIC (NOPAT ÷ book invested capital)</w:t>
            </w:r>
          </w:p>
        </w:tc>
      </w:tr>
      <w:tr>
        <w:trPr>
          <w:cantSplit/>
        </w:trPr>
        <w:tc>
          <w:tcPr>
            <w:tcW w:type="dxa" w:w="2625"/>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4"/>
                <w:szCs w:val="14"/>
              </w:rPr>
              <w:t xml:space="preserve">FY2021</w:t>
            </w:r>
          </w:p>
        </w:tc>
        <w:tc>
          <w:tcPr>
            <w:tcW w:type="dxa" w:w="955"/>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10.3%</w:t>
            </w:r>
          </w:p>
        </w:tc>
        <w:tc>
          <w:tcPr>
            <w:tcW w:type="dxa" w:w="1148"/>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0.21x</w:t>
            </w:r>
          </w:p>
        </w:tc>
        <w:tc>
          <w:tcPr>
            <w:tcW w:type="dxa" w:w="1392"/>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3.94x</w:t>
            </w:r>
          </w:p>
        </w:tc>
        <w:tc>
          <w:tcPr>
            <w:tcW w:type="dxa" w:w="1643"/>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≈8.4%</w:t>
            </w:r>
          </w:p>
        </w:tc>
        <w:tc>
          <w:tcPr>
            <w:tcW w:type="dxa" w:w="733"/>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2.1%</w:t>
            </w:r>
          </w:p>
        </w:tc>
        <w:tc>
          <w:tcPr>
            <w:tcW w:type="dxa" w:w="1250"/>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3.1%</w:t>
            </w:r>
          </w:p>
        </w:tc>
      </w:tr>
      <w:tr>
        <w:trPr>
          <w:cantSplit/>
        </w:trPr>
        <w:tc>
          <w:tcPr>
            <w:tcW w:type="dxa" w:w="2625"/>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4"/>
                <w:szCs w:val="14"/>
              </w:rPr>
              <w:t xml:space="preserve">FY2022</w:t>
            </w:r>
          </w:p>
        </w:tc>
        <w:tc>
          <w:tcPr>
            <w:tcW w:type="dxa" w:w="955"/>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12.3%</w:t>
            </w:r>
          </w:p>
        </w:tc>
        <w:tc>
          <w:tcPr>
            <w:tcW w:type="dxa" w:w="1148"/>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0.21x</w:t>
            </w:r>
          </w:p>
        </w:tc>
        <w:tc>
          <w:tcPr>
            <w:tcW w:type="dxa" w:w="1392"/>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3.92x</w:t>
            </w:r>
          </w:p>
        </w:tc>
        <w:tc>
          <w:tcPr>
            <w:tcW w:type="dxa" w:w="1643"/>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10.0%</w:t>
            </w:r>
          </w:p>
        </w:tc>
        <w:tc>
          <w:tcPr>
            <w:tcW w:type="dxa" w:w="733"/>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2.6%</w:t>
            </w:r>
          </w:p>
        </w:tc>
        <w:tc>
          <w:tcPr>
            <w:tcW w:type="dxa" w:w="1250"/>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3.3%</w:t>
            </w:r>
          </w:p>
        </w:tc>
      </w:tr>
      <w:tr>
        <w:trPr>
          <w:cantSplit/>
        </w:trPr>
        <w:tc>
          <w:tcPr>
            <w:tcW w:type="dxa" w:w="2625"/>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4"/>
                <w:szCs w:val="14"/>
              </w:rPr>
              <w:t xml:space="preserve">FY2023</w:t>
            </w:r>
          </w:p>
        </w:tc>
        <w:tc>
          <w:tcPr>
            <w:tcW w:type="dxa" w:w="955"/>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12.0%</w:t>
            </w:r>
          </w:p>
        </w:tc>
        <w:tc>
          <w:tcPr>
            <w:tcW w:type="dxa" w:w="1148"/>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0.21x</w:t>
            </w:r>
          </w:p>
        </w:tc>
        <w:tc>
          <w:tcPr>
            <w:tcW w:type="dxa" w:w="1392"/>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3.85x</w:t>
            </w:r>
          </w:p>
        </w:tc>
        <w:tc>
          <w:tcPr>
            <w:tcW w:type="dxa" w:w="1643"/>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9.6%</w:t>
            </w:r>
          </w:p>
        </w:tc>
        <w:tc>
          <w:tcPr>
            <w:tcW w:type="dxa" w:w="733"/>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2.5%</w:t>
            </w:r>
          </w:p>
        </w:tc>
        <w:tc>
          <w:tcPr>
            <w:tcW w:type="dxa" w:w="1250"/>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3.3%</w:t>
            </w:r>
          </w:p>
        </w:tc>
      </w:tr>
      <w:tr>
        <w:trPr>
          <w:cantSplit/>
        </w:trPr>
        <w:tc>
          <w:tcPr>
            <w:tcW w:type="dxa" w:w="2625"/>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4"/>
                <w:szCs w:val="14"/>
              </w:rPr>
              <w:t xml:space="preserve">FY2024</w:t>
            </w:r>
          </w:p>
        </w:tc>
        <w:tc>
          <w:tcPr>
            <w:tcW w:type="dxa" w:w="955"/>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14.2%</w:t>
            </w:r>
          </w:p>
        </w:tc>
        <w:tc>
          <w:tcPr>
            <w:tcW w:type="dxa" w:w="1148"/>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0.23x</w:t>
            </w:r>
          </w:p>
        </w:tc>
        <w:tc>
          <w:tcPr>
            <w:tcW w:type="dxa" w:w="1392"/>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3.86x</w:t>
            </w:r>
          </w:p>
        </w:tc>
        <w:tc>
          <w:tcPr>
            <w:tcW w:type="dxa" w:w="1643"/>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b/>
                <w:bCs/>
                <w:color w:val="1F2533"/>
                <w:sz w:val="14"/>
                <w:szCs w:val="14"/>
              </w:rPr>
              <w:t xml:space="preserve">12.8%</w:t>
            </w:r>
            <w:r>
              <w:rPr>
                <w:rFonts w:ascii="Arial" w:cs="Arial" w:eastAsia="Yu Gothic" w:hAnsi="Arial"/>
                <w:color w:val="1F2533"/>
                <w:sz w:val="14"/>
                <w:szCs w:val="14"/>
              </w:rPr>
              <w:t xml:space="preserve"> (reported)</w:t>
            </w:r>
          </w:p>
        </w:tc>
        <w:tc>
          <w:tcPr>
            <w:tcW w:type="dxa" w:w="733"/>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3.3%</w:t>
            </w:r>
          </w:p>
        </w:tc>
        <w:tc>
          <w:tcPr>
            <w:tcW w:type="dxa" w:w="1250"/>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3.4%</w:t>
            </w:r>
          </w:p>
        </w:tc>
      </w:tr>
      <w:tr>
        <w:trPr>
          <w:cantSplit/>
        </w:trPr>
        <w:tc>
          <w:tcPr>
            <w:tcW w:type="dxa" w:w="2625"/>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4"/>
                <w:szCs w:val="14"/>
              </w:rPr>
              <w:t xml:space="preserve">FY2025</w:t>
            </w:r>
          </w:p>
        </w:tc>
        <w:tc>
          <w:tcPr>
            <w:tcW w:type="dxa" w:w="955"/>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12.4%</w:t>
            </w:r>
          </w:p>
        </w:tc>
        <w:tc>
          <w:tcPr>
            <w:tcW w:type="dxa" w:w="1148"/>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0.22x</w:t>
            </w:r>
          </w:p>
        </w:tc>
        <w:tc>
          <w:tcPr>
            <w:tcW w:type="dxa" w:w="1392"/>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3.87x</w:t>
            </w:r>
          </w:p>
        </w:tc>
        <w:tc>
          <w:tcPr>
            <w:tcW w:type="dxa" w:w="1643"/>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≈10.5%</w:t>
            </w:r>
          </w:p>
        </w:tc>
        <w:tc>
          <w:tcPr>
            <w:tcW w:type="dxa" w:w="733"/>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2.7%</w:t>
            </w:r>
          </w:p>
        </w:tc>
        <w:tc>
          <w:tcPr>
            <w:tcW w:type="dxa" w:w="1250"/>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3.7%</w:t>
            </w:r>
          </w:p>
        </w:tc>
      </w:tr>
      <w:tr>
        <w:trPr>
          <w:cantSplit/>
        </w:trPr>
        <w:tc>
          <w:tcPr>
            <w:tcW w:type="dxa" w:w="2625"/>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4"/>
                <w:szCs w:val="14"/>
              </w:rPr>
              <w:t xml:space="preserve">FY2026E</w:t>
            </w:r>
          </w:p>
        </w:tc>
        <w:tc>
          <w:tcPr>
            <w:tcW w:type="dxa" w:w="955"/>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≈12.5%</w:t>
            </w:r>
          </w:p>
        </w:tc>
        <w:tc>
          <w:tcPr>
            <w:tcW w:type="dxa" w:w="1148"/>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≈0.22x</w:t>
            </w:r>
          </w:p>
        </w:tc>
        <w:tc>
          <w:tcPr>
            <w:tcW w:type="dxa" w:w="1392"/>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≈3.9x</w:t>
            </w:r>
          </w:p>
        </w:tc>
        <w:tc>
          <w:tcPr>
            <w:tcW w:type="dxa" w:w="1643"/>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≈10.7%</w:t>
            </w:r>
          </w:p>
        </w:tc>
        <w:tc>
          <w:tcPr>
            <w:tcW w:type="dxa" w:w="733"/>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≈2.7%</w:t>
            </w:r>
          </w:p>
        </w:tc>
        <w:tc>
          <w:tcPr>
            <w:tcW w:type="dxa" w:w="1250"/>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≈3.8%</w:t>
            </w:r>
          </w:p>
        </w:tc>
      </w:tr>
    </w:tbl>
    <w:p>
      <w:pPr>
        <w:spacing w:after="120" w:before="0" w:line="276" w:lineRule="auto"/>
      </w:pPr>
    </w:p>
    <w:p>
      <w:pPr>
        <w:spacing w:after="110" w:before="0" w:line="276" w:lineRule="auto"/>
      </w:pPr>
      <w:r>
        <w:rPr>
          <w:rFonts w:ascii="Arial" w:cs="Arial" w:eastAsia="Yu Gothic" w:hAnsi="Arial"/>
          <w:color w:val="1F2533"/>
          <w:sz w:val="19"/>
          <w:szCs w:val="19"/>
        </w:rPr>
        <w:t xml:space="preserve">Method:</w:t>
      </w:r>
    </w:p>
    <w:p>
      <w:pPr>
        <w:pStyle w:val="ListParagraph"/>
        <w:numPr>
          <w:ilvl w:val="0"/>
          <w:numId w:val="2"/>
        </w:numPr>
        <w:spacing w:after="60" w:line="264" w:lineRule="auto"/>
      </w:pPr>
      <w:r>
        <w:rPr>
          <w:rFonts w:ascii="Arial" w:cs="Arial" w:eastAsia="Yu Gothic" w:hAnsi="Arial"/>
          <w:color w:val="1F2533"/>
          <w:sz w:val="19"/>
          <w:szCs w:val="19"/>
        </w:rPr>
        <w:t xml:space="preserve">Derived from reported P&amp;L figures and total assets/equity from coordinator balance-sheet data, with non-controlling interests of about ¥12bn.</w:t>
      </w:r>
    </w:p>
    <w:p>
      <w:pPr>
        <w:pStyle w:val="ListParagraph"/>
        <w:numPr>
          <w:ilvl w:val="0"/>
          <w:numId w:val="2"/>
        </w:numPr>
        <w:spacing w:after="60" w:line="264" w:lineRule="auto"/>
      </w:pPr>
      <w:r>
        <w:rPr>
          <w:rFonts w:ascii="Arial" w:cs="Arial" w:eastAsia="Yu Gothic" w:hAnsi="Arial"/>
          <w:color w:val="1F2533"/>
          <w:sz w:val="19"/>
          <w:szCs w:val="19"/>
        </w:rPr>
        <w:t xml:space="preserve">This method reproduces the reported FY2024 ROE (12.8%) and BPS (¥2,568 for FY2024, ¥2,846.85 for FY2025).</w:t>
      </w:r>
    </w:p>
    <w:p>
      <w:pPr>
        <w:pStyle w:val="ListParagraph"/>
        <w:numPr>
          <w:ilvl w:val="0"/>
          <w:numId w:val="2"/>
        </w:numPr>
        <w:spacing w:after="60" w:line="264" w:lineRule="auto"/>
      </w:pPr>
      <w:r>
        <w:rPr>
          <w:rFonts w:ascii="Arial" w:cs="Arial" w:eastAsia="Yu Gothic" w:hAnsi="Arial"/>
          <w:color w:val="1F2533"/>
          <w:sz w:val="19"/>
          <w:szCs w:val="19"/>
        </w:rPr>
        <w:t xml:space="preserve">NOPAT uses a 30.6% tax rate.</w:t>
      </w:r>
    </w:p>
    <w:p>
      <w:pPr>
        <w:spacing w:after="40" w:before="0" w:line="276" w:lineRule="auto"/>
      </w:pPr>
    </w:p>
    <w:p>
      <w:pPr>
        <w:spacing w:after="110" w:before="0" w:line="276" w:lineRule="auto"/>
      </w:pPr>
      <w:r>
        <w:rPr>
          <w:rFonts w:ascii="Arial" w:cs="Arial" w:eastAsia="Yu Gothic" w:hAnsi="Arial"/>
          <w:b/>
          <w:bCs/>
          <w:color w:val="1F2533"/>
          <w:sz w:val="19"/>
          <w:szCs w:val="19"/>
        </w:rPr>
        <w:t xml:space="preserve">ROE is about 10%, and almost four times leverage produces it.</w:t>
      </w:r>
      <w:r>
        <w:rPr>
          <w:rFonts w:ascii="Arial" w:cs="Arial" w:eastAsia="Yu Gothic" w:hAnsi="Arial"/>
          <w:color w:val="1F2533"/>
          <w:sz w:val="19"/>
          <w:szCs w:val="19"/>
        </w:rPr>
        <w:t xml:space="preserve"> The return on assets is only about 2.5–3.3%.</w:t>
      </w:r>
    </w:p>
    <w:p>
      <w:pPr>
        <w:spacing w:after="110" w:before="0" w:line="276" w:lineRule="auto"/>
      </w:pPr>
      <w:r>
        <w:rPr>
          <w:rFonts w:ascii="Arial" w:cs="Arial" w:eastAsia="Yu Gothic" w:hAnsi="Arial"/>
          <w:b/>
          <w:bCs/>
          <w:color w:val="1F2533"/>
          <w:sz w:val="19"/>
          <w:szCs w:val="19"/>
        </w:rPr>
        <w:t xml:space="preserve">ROIC on book capital has crept up from 3.1% to 3.7%</w:t>
      </w:r>
      <w:r>
        <w:rPr>
          <w:rFonts w:ascii="Arial" w:cs="Arial" w:eastAsia="Yu Gothic" w:hAnsi="Arial"/>
          <w:color w:val="1F2533"/>
          <w:sz w:val="19"/>
          <w:szCs w:val="19"/>
        </w:rPr>
        <w:t xml:space="preserve">, which is only slightly above our rough estimate of the weighted cost of capital. On a market-value (NAV) basis it would be lower still.</w:t>
      </w:r>
    </w:p>
    <w:p>
      <w:pPr>
        <w:spacing w:after="110" w:before="0" w:line="276" w:lineRule="auto"/>
      </w:pPr>
      <w:r>
        <w:rPr>
          <w:rFonts w:ascii="Arial" w:cs="Arial" w:eastAsia="Yu Gothic" w:hAnsi="Arial"/>
          <w:b/>
          <w:bCs/>
          <w:color w:val="1F2533"/>
          <w:sz w:val="19"/>
          <w:szCs w:val="19"/>
        </w:rPr>
        <w:t xml:space="preserve">The real driver of FY2024's 12.8% ROE was the net margin, lifted by one-off gains.</w:t>
      </w:r>
      <w:r>
        <w:rPr>
          <w:rFonts w:ascii="Arial" w:cs="Arial" w:eastAsia="Yu Gothic" w:hAnsi="Arial"/>
          <w:color w:val="1F2533"/>
          <w:sz w:val="19"/>
          <w:szCs w:val="19"/>
        </w:rPr>
        <w:t xml:space="preserve"> Normalised, it would have been about 10–11%.</w:t>
      </w:r>
    </w:p>
    <w:p>
      <w:pPr>
        <w:pStyle w:val="Heading2"/>
        <w:keepNext/>
        <w:keepLines/>
        <w:spacing w:after="90" w:before="260" w:line="252" w:lineRule="auto"/>
      </w:pPr>
      <w:r>
        <w:rPr>
          <w:rFonts w:ascii="Arial" w:cs="Arial" w:eastAsia="Yu Gothic" w:hAnsi="Arial"/>
          <w:b/>
          <w:bCs/>
          <w:color w:val="15233F"/>
          <w:sz w:val="25"/>
          <w:szCs w:val="25"/>
        </w:rPr>
        <w:t xml:space="preserve">Key operating KPIs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33"/>
        <w:gridCol w:w="4263"/>
        <w:gridCol w:w="2750"/>
      </w:tblGrid>
      <w:tr>
        <w:trPr>
          <w:cantSplit/>
          <w:tblHeader/>
        </w:trPr>
        <w:tc>
          <w:tcPr>
            <w:tcW w:type="dxa" w:w="2733"/>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bCs/>
                <w:color w:val="FFFFFF"/>
                <w:sz w:val="16"/>
                <w:szCs w:val="16"/>
              </w:rPr>
              <w:t xml:space="preserve">KPI</w:t>
            </w:r>
          </w:p>
        </w:tc>
        <w:tc>
          <w:tcPr>
            <w:tcW w:type="dxa" w:w="4263"/>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6"/>
                <w:szCs w:val="16"/>
              </w:rPr>
              <w:t xml:space="preserve">Latest data point</w:t>
            </w:r>
          </w:p>
        </w:tc>
        <w:tc>
          <w:tcPr>
            <w:tcW w:type="dxa" w:w="2750"/>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6"/>
                <w:szCs w:val="16"/>
              </w:rPr>
              <w:t xml:space="preserve">Trend / comment</w:t>
            </w:r>
          </w:p>
        </w:tc>
      </w:tr>
      <w:tr>
        <w:trPr>
          <w:cantSplit/>
        </w:trPr>
        <w:tc>
          <w:tcPr>
            <w:tcW w:type="dxa" w:w="2733"/>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Condo handovers (≈ backlog conversion)</w:t>
            </w:r>
          </w:p>
        </w:tc>
        <w:tc>
          <w:tcPr>
            <w:tcW w:type="dxa" w:w="4263"/>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Q1 FY2025: 772 units; 1H FY2025: 969 units at 30.4% gross margin; Q1 FY2026: 235; 1H FY2026: 270 units at ¥69.11m average and 27.8% margin</w:t>
            </w:r>
          </w:p>
        </w:tc>
        <w:tc>
          <w:tcPr>
            <w:tcW w:type="dxa" w:w="2750"/>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Deep 1H trough; 2H recovery guided</w:t>
            </w:r>
          </w:p>
        </w:tc>
      </w:tr>
      <w:tr>
        <w:trPr>
          <w:cantSplit/>
        </w:trPr>
        <w:tc>
          <w:tcPr>
            <w:tcW w:type="dxa" w:w="2733"/>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Condo landbank (≈ order backlog)</w:t>
            </w:r>
          </w:p>
        </w:tc>
        <w:tc>
          <w:tcPr>
            <w:tcW w:type="dxa" w:w="4263"/>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≈7,300 units (Feb 2026) → ≈7,600 (Aug 2026); ≈1,200 units added in 2025</w:t>
            </w:r>
          </w:p>
        </w:tc>
        <w:tc>
          <w:tcPr>
            <w:tcW w:type="dxa" w:w="2750"/>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Growing; contract ratio for FY2026–27 deliveries not disclosed</w:t>
            </w:r>
          </w:p>
        </w:tc>
      </w:tr>
      <w:tr>
        <w:trPr>
          <w:cantSplit/>
        </w:trPr>
        <w:tc>
          <w:tcPr>
            <w:tcW w:type="dxa" w:w="2733"/>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Condo market share</w:t>
            </w:r>
          </w:p>
        </w:tc>
        <w:tc>
          <w:tcPr>
            <w:tcW w:type="dxa" w:w="4263"/>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1,054 units supplied in 2025, #19 nationally</w:t>
            </w:r>
          </w:p>
        </w:tc>
        <w:tc>
          <w:tcPr>
            <w:tcW w:type="dxa" w:w="2750"/>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Mid-sized; ≤5% of Greater Tokyo</w:t>
            </w:r>
          </w:p>
        </w:tc>
      </w:tr>
      <w:tr>
        <w:trPr>
          <w:cantSplit/>
        </w:trPr>
        <w:tc>
          <w:tcPr>
            <w:tcW w:type="dxa" w:w="2733"/>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Office utilisation</w:t>
            </w:r>
          </w:p>
        </w:tc>
        <w:tc>
          <w:tcPr>
            <w:tcW w:type="dxa" w:w="4263"/>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Company vacancy not disclosed. Occupancy "has remained at a high level" (</w:t>
            </w:r>
            <w:hyperlink w:history="1" r:id="rIdz1qofaymqnqttwuv4lkvd">
              <w:r>
                <w:rPr>
                  <w:rFonts w:ascii="Arial" w:cs="Arial" w:eastAsia="Yu Gothic" w:hAnsi="Arial"/>
                  <w:color w:val="2F6FD0"/>
                  <w:sz w:val="16"/>
                  <w:szCs w:val="16"/>
                  <w:u w:val="single"/>
                </w:rPr>
                <w:t xml:space="preserve">Integrated Report 2025</w:t>
              </w:r>
            </w:hyperlink>
            <w:r>
              <w:rPr>
                <w:rFonts w:ascii="Arial" w:cs="Arial" w:eastAsia="Yu Gothic" w:hAnsi="Arial"/>
                <w:color w:val="1F2533"/>
                <w:sz w:val="16"/>
                <w:szCs w:val="16"/>
              </w:rPr>
              <w:t xml:space="preserve">); market vacancy 1.87%</w:t>
            </w:r>
          </w:p>
        </w:tc>
        <w:tc>
          <w:tcPr>
            <w:tcW w:type="dxa" w:w="2750"/>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Very tight market</w:t>
            </w:r>
          </w:p>
        </w:tc>
      </w:tr>
      <w:tr>
        <w:trPr>
          <w:cantSplit/>
        </w:trPr>
        <w:tc>
          <w:tcPr>
            <w:tcW w:type="dxa" w:w="2733"/>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Rent / price-mix</w:t>
            </w:r>
          </w:p>
        </w:tc>
        <w:tc>
          <w:tcPr>
            <w:tcW w:type="dxa" w:w="4263"/>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Management cites inflation-driven rent increases, "mainly offices"; market rents +12.5% YoY</w:t>
            </w:r>
          </w:p>
        </w:tc>
        <w:tc>
          <w:tcPr>
            <w:tcW w:type="dxa" w:w="2750"/>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Accelerating</w:t>
            </w:r>
          </w:p>
        </w:tc>
      </w:tr>
      <w:tr>
        <w:trPr>
          <w:cantSplit/>
        </w:trPr>
        <w:tc>
          <w:tcPr>
            <w:tcW w:type="dxa" w:w="2733"/>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Unrealised gains on rental property (≈ installed-base value)</w:t>
            </w:r>
          </w:p>
        </w:tc>
        <w:tc>
          <w:tcPr>
            <w:tcW w:type="dxa" w:w="4263"/>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FY2021 ¥514.6bn → FY2022 ¥526.4bn → FY2023 ¥529.4bn → FY2025 ¥599.9bn (</w:t>
            </w:r>
            <w:hyperlink w:history="1" r:id="rId2ebkajdbsttdipjbqbih8">
              <w:r>
                <w:rPr>
                  <w:rFonts w:ascii="Arial" w:cs="Arial" w:eastAsia="Yu Gothic" w:hAnsi="Arial"/>
                  <w:color w:val="2F6FD0"/>
                  <w:sz w:val="16"/>
                  <w:szCs w:val="16"/>
                  <w:u w:val="single"/>
                </w:rPr>
                <w:t xml:space="preserve">FY2023 presentation</w:t>
              </w:r>
            </w:hyperlink>
            <w:r>
              <w:rPr>
                <w:rFonts w:ascii="Arial" w:cs="Arial" w:eastAsia="Yu Gothic" w:hAnsi="Arial"/>
                <w:color w:val="1F2533"/>
                <w:sz w:val="16"/>
                <w:szCs w:val="16"/>
              </w:rPr>
              <w:t xml:space="preserve">; </w:t>
            </w:r>
            <w:hyperlink w:history="1" r:id="rIduvixittmgpluzxdvlmgha">
              <w:r>
                <w:rPr>
                  <w:rFonts w:ascii="Arial" w:cs="Arial" w:eastAsia="Yu Gothic" w:hAnsi="Arial"/>
                  <w:color w:val="2F6FD0"/>
                  <w:sz w:val="16"/>
                  <w:szCs w:val="16"/>
                  <w:u w:val="single"/>
                </w:rPr>
                <w:t xml:space="preserve">IR Bank</w:t>
              </w:r>
            </w:hyperlink>
            <w:r>
              <w:rPr>
                <w:rFonts w:ascii="Arial" w:cs="Arial" w:eastAsia="Yu Gothic" w:hAnsi="Arial"/>
                <w:color w:val="1F2533"/>
                <w:sz w:val="16"/>
                <w:szCs w:val="16"/>
              </w:rPr>
              <w:t xml:space="preserve">)</w:t>
            </w:r>
          </w:p>
        </w:tc>
        <w:tc>
          <w:tcPr>
            <w:tcW w:type="dxa" w:w="2750"/>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Only +3.9% CAGR: gains are harvested about as fast as they are created</w:t>
            </w:r>
          </w:p>
        </w:tc>
      </w:tr>
      <w:tr>
        <w:trPr>
          <w:cantSplit/>
        </w:trPr>
        <w:tc>
          <w:tcPr>
            <w:tcW w:type="dxa" w:w="2733"/>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Investor sales</w:t>
            </w:r>
          </w:p>
        </w:tc>
        <w:tc>
          <w:tcPr>
            <w:tcW w:type="dxa" w:w="4263"/>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FY2025 proceeds above plan; FY2026 hotel-led and "among the largest" in company history; &gt;¥100bn stock of gains</w:t>
            </w:r>
          </w:p>
        </w:tc>
        <w:tc>
          <w:tcPr>
            <w:tcW w:type="dxa" w:w="2750"/>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Peak activity</w:t>
            </w:r>
          </w:p>
        </w:tc>
      </w:tr>
      <w:tr>
        <w:trPr>
          <w:cantSplit/>
        </w:trPr>
        <w:tc>
          <w:tcPr>
            <w:tcW w:type="dxa" w:w="2733"/>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Parking (installed base)</w:t>
            </w:r>
          </w:p>
        </w:tc>
        <w:tc>
          <w:tcPr>
            <w:tcW w:type="dxa" w:w="4263"/>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75,618 spaces (Mar 2022) → 86,792 (Dec 2024) → ≈90,000 (Dec 2025)</w:t>
            </w:r>
          </w:p>
        </w:tc>
        <w:tc>
          <w:tcPr>
            <w:tcW w:type="dxa" w:w="2750"/>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Steady growth, about 5% a year</w:t>
            </w:r>
          </w:p>
        </w:tc>
      </w:tr>
      <w:tr>
        <w:trPr>
          <w:cantSplit/>
        </w:trPr>
        <w:tc>
          <w:tcPr>
            <w:tcW w:type="dxa" w:w="2733"/>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Asset-management platform</w:t>
            </w:r>
          </w:p>
        </w:tc>
        <w:tc>
          <w:tcPr>
            <w:tcW w:type="dxa" w:w="4263"/>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JPR: 66 properties, total assets ≈¥534bn; target &gt;¥600bn</w:t>
            </w:r>
          </w:p>
        </w:tc>
        <w:tc>
          <w:tcPr>
            <w:tcW w:type="dxa" w:w="2750"/>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Exit channel capacity ≈¥62bn of debt headroom</w:t>
            </w:r>
          </w:p>
        </w:tc>
      </w:tr>
      <w:tr>
        <w:trPr>
          <w:cantSplit/>
        </w:trPr>
        <w:tc>
          <w:tcPr>
            <w:tcW w:type="dxa" w:w="2733"/>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Capex intensity</w:t>
            </w:r>
          </w:p>
        </w:tc>
        <w:tc>
          <w:tcPr>
            <w:tcW w:type="dxa" w:w="4263"/>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FY2024 capex ¥125.7bn = 27% of revenue = 5.6x D&amp;A; ≈¥200bn of large-scale redevelopment planned for FY2025–27</w:t>
            </w:r>
          </w:p>
        </w:tc>
        <w:tc>
          <w:tcPr>
            <w:tcW w:type="dxa" w:w="2750"/>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High</w:t>
            </w:r>
          </w:p>
        </w:tc>
      </w:tr>
      <w:tr>
        <w:trPr>
          <w:cantSplit/>
        </w:trPr>
        <w:tc>
          <w:tcPr>
            <w:tcW w:type="dxa" w:w="2733"/>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Cash conversion (operating cash flow ÷ operating income)</w:t>
            </w:r>
          </w:p>
        </w:tc>
        <w:tc>
          <w:tcPr>
            <w:tcW w:type="dxa" w:w="4263"/>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FY2021 112%; FY2022 −5%; FY2023 29%; FY2024 24%; FY2025 34%</w:t>
            </w:r>
          </w:p>
        </w:tc>
        <w:tc>
          <w:tcPr>
            <w:tcW w:type="dxa" w:w="2750"/>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Structurally low: land and for-sale property flow through operating cash flow</w:t>
            </w:r>
          </w:p>
        </w:tc>
      </w:tr>
      <w:tr>
        <w:trPr>
          <w:cantSplit/>
        </w:trPr>
        <w:tc>
          <w:tcPr>
            <w:tcW w:type="dxa" w:w="2733"/>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Leverage</w:t>
            </w:r>
          </w:p>
        </w:tc>
        <w:tc>
          <w:tcPr>
            <w:tcW w:type="dxa" w:w="4263"/>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Debt/EBITDA 12.6x (FY2021) → 11.2x (FY2025) → ≈12.1x (Jun 2026, LTM)</w:t>
            </w:r>
          </w:p>
        </w:tc>
        <w:tc>
          <w:tcPr>
            <w:tcW w:type="dxa" w:w="2750"/>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Back at the ≈12x guide ceiling</w:t>
            </w:r>
          </w:p>
        </w:tc>
      </w:tr>
      <w:tr>
        <w:trPr>
          <w:cantSplit/>
        </w:trPr>
        <w:tc>
          <w:tcPr>
            <w:tcW w:type="dxa" w:w="2733"/>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Employees</w:t>
            </w:r>
          </w:p>
        </w:tc>
        <w:tc>
          <w:tcPr>
            <w:tcW w:type="dxa" w:w="4263"/>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5,076 consolidated; 840 at the parent (Sep 2025)</w:t>
            </w:r>
          </w:p>
        </w:tc>
        <w:tc>
          <w:tcPr>
            <w:tcW w:type="dxa" w:w="2750"/>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n/a</w:t>
            </w:r>
          </w:p>
        </w:tc>
      </w:tr>
    </w:tbl>
    <w:p>
      <w:pPr>
        <w:spacing w:after="120" w:before="0" w:line="276" w:lineRule="auto"/>
      </w:pPr>
    </w:p>
    <w:p>
      <w:pPr>
        <w:pBdr>
          <w:left w:val="single" w:color="2F6FD0" w:sz="24" w:space="8"/>
        </w:pBdr>
        <w:shd w:fill="EEF3FA" w:color="auto" w:val="clear"/>
        <w:spacing w:after="160" w:before="60" w:line="264" w:lineRule="auto"/>
        <w:ind w:left="200" w:right="200"/>
      </w:pPr>
      <w:r>
        <w:rPr>
          <w:rFonts w:ascii="Arial" w:cs="Arial" w:eastAsia="Yu Gothic" w:hAnsi="Arial"/>
          <w:b/>
          <w:bCs/>
          <w:color w:val="15233F"/>
          <w:sz w:val="18"/>
          <w:szCs w:val="18"/>
        </w:rPr>
        <w:t xml:space="preserve">Key takeaway:</w:t>
      </w:r>
      <w:r>
        <w:rPr>
          <w:rFonts w:ascii="Arial" w:cs="Arial" w:eastAsia="Yu Gothic" w:hAnsi="Arial"/>
          <w:color w:val="15233F"/>
          <w:sz w:val="18"/>
          <w:szCs w:val="18"/>
        </w:rPr>
        <w:t xml:space="preserve"> Operating income compounded 13% a year and margins expanded. But growth has rotated from condos (FY2024) to investor sales (FY2025–26). The recurring rental base is not disclosed separately, net income is distorted by one-off gains and overseas losses, and cash conversion is poor. Together these explain why the market capitalises Tokyo Tatemono's earnings at a discount to peers.</w:t>
      </w:r>
    </w:p>
    <w:p>
      <w:pPr>
        <w:pStyle w:val="Heading1"/>
        <w:keepNext/>
        <w:keepLines/>
        <w:pageBreakBefore/>
        <w:pBdr>
          <w:bottom w:val="single" w:color="2F6FD0" w:sz="12" w:space="6"/>
        </w:pBdr>
        <w:spacing w:after="160" w:before="0" w:line="252" w:lineRule="auto"/>
      </w:pPr>
      <w:r>
        <w:rPr>
          <w:rFonts w:ascii="Arial" w:cs="Arial" w:eastAsia="Yu Gothic" w:hAnsi="Arial"/>
          <w:b/>
          <w:bCs/>
          <w:color w:val="15233F"/>
          <w:sz w:val="32"/>
          <w:szCs w:val="32"/>
        </w:rPr>
        <w:t xml:space="preserve">7. Earnings calls and the latest result: tone has improved, but the quality of the upgrades has declined</w:t>
      </w:r>
    </w:p>
    <w:p>
      <w:pPr>
        <w:pStyle w:val="Heading2"/>
        <w:keepNext/>
        <w:keepLines/>
        <w:spacing w:after="90" w:before="260" w:line="252" w:lineRule="auto"/>
      </w:pPr>
      <w:r>
        <w:rPr>
          <w:rFonts w:ascii="Arial" w:cs="Arial" w:eastAsia="Yu Gothic" w:hAnsi="Arial"/>
          <w:b/>
          <w:bCs/>
          <w:color w:val="15233F"/>
          <w:sz w:val="25"/>
          <w:szCs w:val="25"/>
        </w:rPr>
        <w:t xml:space="preserve">What management has focused on</w:t>
      </w:r>
    </w:p>
    <w:p>
      <w:pPr>
        <w:spacing w:after="110" w:before="0" w:line="276" w:lineRule="auto"/>
      </w:pPr>
      <w:r>
        <w:rPr>
          <w:rFonts w:ascii="Arial" w:cs="Arial" w:eastAsia="Yu Gothic" w:hAnsi="Arial"/>
          <w:color w:val="1F2533"/>
          <w:sz w:val="19"/>
          <w:szCs w:val="19"/>
        </w:rPr>
        <w:t xml:space="preserve">Transcripts and Q&amp;A summaries were not accessible. The table below draws on company headline materials and press coverage.</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18"/>
        <w:gridCol w:w="3749"/>
        <w:gridCol w:w="3595"/>
        <w:gridCol w:w="584"/>
      </w:tblGrid>
      <w:tr>
        <w:trPr>
          <w:cantSplit/>
          <w:tblHeader/>
        </w:trPr>
        <w:tc>
          <w:tcPr>
            <w:tcW w:type="dxa" w:w="1818"/>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bCs/>
                <w:color w:val="FFFFFF"/>
                <w:sz w:val="16"/>
                <w:szCs w:val="16"/>
              </w:rPr>
              <w:t xml:space="preserve">Event (date)</w:t>
            </w:r>
          </w:p>
        </w:tc>
        <w:tc>
          <w:tcPr>
            <w:tcW w:type="dxa" w:w="3749"/>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6"/>
                <w:szCs w:val="16"/>
              </w:rPr>
              <w:t xml:space="preserve">Headline numbers</w:t>
            </w:r>
          </w:p>
        </w:tc>
        <w:tc>
          <w:tcPr>
            <w:tcW w:type="dxa" w:w="3595"/>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6"/>
                <w:szCs w:val="16"/>
              </w:rPr>
              <w:t xml:space="preserve">Management focus</w:t>
            </w:r>
          </w:p>
        </w:tc>
        <w:tc>
          <w:tcPr>
            <w:tcW w:type="dxa" w:w="584"/>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6"/>
                <w:szCs w:val="16"/>
              </w:rPr>
              <w:t xml:space="preserve">Tone (−2 to +2)</w:t>
            </w:r>
          </w:p>
        </w:tc>
      </w:tr>
      <w:tr>
        <w:trPr>
          <w:cantSplit/>
        </w:trPr>
        <w:tc>
          <w:tcPr>
            <w:tcW w:type="dxa" w:w="1818"/>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New 2025–27 plan (16 Jan 2025) and FY2024 results (12 Feb 2025)</w:t>
            </w:r>
          </w:p>
        </w:tc>
        <w:tc>
          <w:tcPr>
            <w:tcW w:type="dxa" w:w="3749"/>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FY2024 record net income ¥65.9bn. FY2025 guidance: operating income ≈¥86.0bn, net income ≈¥55.0bn (≈−17%, derived)</w:t>
            </w:r>
          </w:p>
        </w:tc>
        <w:tc>
          <w:tcPr>
            <w:tcW w:type="dxa" w:w="3595"/>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Capital efficiency: payout to 40% by FY2027, ROE 10%, business profit ¥95bn, cross-shareholding cuts (</w:t>
            </w:r>
            <w:hyperlink w:history="1" r:id="rIdq25r8wuggrhxxlgyfy7ri">
              <w:r>
                <w:rPr>
                  <w:rFonts w:ascii="Arial" w:cs="Arial" w:eastAsia="Yu Gothic" w:hAnsi="Arial"/>
                  <w:color w:val="2F6FD0"/>
                  <w:sz w:val="16"/>
                  <w:szCs w:val="16"/>
                  <w:u w:val="single"/>
                </w:rPr>
                <w:t xml:space="preserve">Nikkei</w:t>
              </w:r>
            </w:hyperlink>
            <w:r>
              <w:rPr>
                <w:rFonts w:ascii="Arial" w:cs="Arial" w:eastAsia="Yu Gothic" w:hAnsi="Arial"/>
                <w:color w:val="1F2533"/>
                <w:sz w:val="16"/>
                <w:szCs w:val="16"/>
              </w:rPr>
              <w:t xml:space="preserve">)</w:t>
            </w:r>
          </w:p>
        </w:tc>
        <w:tc>
          <w:tcPr>
            <w:tcW w:type="dxa" w:w="584"/>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6"/>
                <w:szCs w:val="16"/>
              </w:rPr>
              <w:t xml:space="preserve">+0.5</w:t>
            </w:r>
          </w:p>
        </w:tc>
      </w:tr>
      <w:tr>
        <w:trPr>
          <w:cantSplit/>
        </w:trPr>
        <w:tc>
          <w:tcPr>
            <w:tcW w:type="dxa" w:w="1818"/>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Q1 FY2025 (9 May 2025)</w:t>
            </w:r>
          </w:p>
        </w:tc>
        <w:tc>
          <w:tcPr>
            <w:tcW w:type="dxa" w:w="3749"/>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Revenue ¥126.7bn; operating income ¥23.7bn; net income ¥14.3bn; 772 condo units</w:t>
            </w:r>
          </w:p>
        </w:tc>
        <w:tc>
          <w:tcPr>
            <w:tcW w:type="dxa" w:w="3595"/>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Guidance held</w:t>
            </w:r>
          </w:p>
        </w:tc>
        <w:tc>
          <w:tcPr>
            <w:tcW w:type="dxa" w:w="584"/>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6"/>
                <w:szCs w:val="16"/>
              </w:rPr>
              <w:t xml:space="preserve">0</w:t>
            </w:r>
          </w:p>
        </w:tc>
      </w:tr>
      <w:tr>
        <w:trPr>
          <w:cantSplit/>
        </w:trPr>
        <w:tc>
          <w:tcPr>
            <w:tcW w:type="dxa" w:w="1818"/>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1H FY2025 (8 Aug 2025)</w:t>
            </w:r>
          </w:p>
        </w:tc>
        <w:tc>
          <w:tcPr>
            <w:tcW w:type="dxa" w:w="3749"/>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Operating income −33.6%; net income −35.2%</w:t>
            </w:r>
          </w:p>
        </w:tc>
        <w:tc>
          <w:tcPr>
            <w:tcW w:type="dxa" w:w="3595"/>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Guidance held; reliance on 2H</w:t>
            </w:r>
          </w:p>
        </w:tc>
        <w:tc>
          <w:tcPr>
            <w:tcW w:type="dxa" w:w="584"/>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6"/>
                <w:szCs w:val="16"/>
              </w:rPr>
              <w:t xml:space="preserve">−0.5</w:t>
            </w:r>
          </w:p>
        </w:tc>
      </w:tr>
      <w:tr>
        <w:trPr>
          <w:cantSplit/>
        </w:trPr>
        <w:tc>
          <w:tcPr>
            <w:tcW w:type="dxa" w:w="1818"/>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Q3 FY2025 (13 Nov 2025)</w:t>
            </w:r>
          </w:p>
        </w:tc>
        <w:tc>
          <w:tcPr>
            <w:tcW w:type="dxa" w:w="3749"/>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Operating-income guidance raised to ¥92.5bn; net income to ¥58.0bn; dividend to ¥103. Revenue guidance cut from ¥503bn to ¥470bn under a "partly revised sales policy" (</w:t>
            </w:r>
            <w:hyperlink w:history="1" r:id="rIdxftkr3xlj7rxrnxaytsnx">
              <w:r>
                <w:rPr>
                  <w:rFonts w:ascii="Arial" w:cs="Arial" w:eastAsia="Yu Gothic" w:hAnsi="Arial"/>
                  <w:color w:val="2F6FD0"/>
                  <w:sz w:val="16"/>
                  <w:szCs w:val="16"/>
                  <w:u w:val="single"/>
                </w:rPr>
                <w:t xml:space="preserve">f-p.jp</w:t>
              </w:r>
            </w:hyperlink>
            <w:r>
              <w:rPr>
                <w:rFonts w:ascii="Arial" w:cs="Arial" w:eastAsia="Yu Gothic" w:hAnsi="Arial"/>
                <w:color w:val="1F2533"/>
                <w:sz w:val="16"/>
                <w:szCs w:val="16"/>
              </w:rPr>
              <w:t xml:space="preserve">)</w:t>
            </w:r>
          </w:p>
        </w:tc>
        <w:tc>
          <w:tcPr>
            <w:tcW w:type="dxa" w:w="3595"/>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Rent increases including Yaesu; higher sale gains</w:t>
            </w:r>
          </w:p>
        </w:tc>
        <w:tc>
          <w:tcPr>
            <w:tcW w:type="dxa" w:w="584"/>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6"/>
                <w:szCs w:val="16"/>
              </w:rPr>
              <w:t xml:space="preserve">+1</w:t>
            </w:r>
          </w:p>
        </w:tc>
      </w:tr>
      <w:tr>
        <w:trPr>
          <w:cantSplit/>
        </w:trPr>
        <w:tc>
          <w:tcPr>
            <w:tcW w:type="dxa" w:w="1818"/>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FY2025 results (12 Feb 2026)</w:t>
            </w:r>
          </w:p>
        </w:tc>
        <w:tc>
          <w:tcPr>
            <w:tcW w:type="dxa" w:w="3749"/>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Record operating income ¥95.8bn; dividend ¥105 (12th straight increase). FY2026 guidance: operating income ¥100bn, net income ¥63bn (above the QUICK consensus of ¥61.25bn), dividend ¥122 (40.2% payout)</w:t>
            </w:r>
          </w:p>
        </w:tc>
        <w:tc>
          <w:tcPr>
            <w:tcW w:type="dxa" w:w="3595"/>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Investor property sales; plan targets "a year early"</w:t>
            </w:r>
          </w:p>
        </w:tc>
        <w:tc>
          <w:tcPr>
            <w:tcW w:type="dxa" w:w="584"/>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6"/>
                <w:szCs w:val="16"/>
              </w:rPr>
              <w:t xml:space="preserve">+1.5</w:t>
            </w:r>
          </w:p>
        </w:tc>
      </w:tr>
      <w:tr>
        <w:trPr>
          <w:cantSplit/>
        </w:trPr>
        <w:tc>
          <w:tcPr>
            <w:tcW w:type="dxa" w:w="1818"/>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Q1 FY2026 (13 May 2026)</w:t>
            </w:r>
          </w:p>
        </w:tc>
        <w:tc>
          <w:tcPr>
            <w:tcW w:type="dxa" w:w="3749"/>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Revenue −22.1%; operating income −46.7%; net income −60.2%; 235 condo units</w:t>
            </w:r>
          </w:p>
        </w:tc>
        <w:tc>
          <w:tcPr>
            <w:tcW w:type="dxa" w:w="3595"/>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Timing: deliveries rise from Jul–Sep; guidance and dividend held (</w:t>
            </w:r>
            <w:hyperlink w:history="1" r:id="rIdxn2jzpv7w31ym42kj6rdj">
              <w:r>
                <w:rPr>
                  <w:rFonts w:ascii="Arial" w:cs="Arial" w:eastAsia="Yu Gothic" w:hAnsi="Arial"/>
                  <w:color w:val="2F6FD0"/>
                  <w:sz w:val="16"/>
                  <w:szCs w:val="16"/>
                  <w:u w:val="single"/>
                </w:rPr>
                <w:t xml:space="preserve">TipRanks</w:t>
              </w:r>
            </w:hyperlink>
            <w:r>
              <w:rPr>
                <w:rFonts w:ascii="Arial" w:cs="Arial" w:eastAsia="Yu Gothic" w:hAnsi="Arial"/>
                <w:color w:val="1F2533"/>
                <w:sz w:val="16"/>
                <w:szCs w:val="16"/>
              </w:rPr>
              <w:t xml:space="preserve">)</w:t>
            </w:r>
          </w:p>
        </w:tc>
        <w:tc>
          <w:tcPr>
            <w:tcW w:type="dxa" w:w="584"/>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6"/>
                <w:szCs w:val="16"/>
              </w:rPr>
              <w:t xml:space="preserve">0</w:t>
            </w:r>
          </w:p>
        </w:tc>
      </w:tr>
      <w:tr>
        <w:trPr>
          <w:cantSplit/>
        </w:trPr>
        <w:tc>
          <w:tcPr>
            <w:tcW w:type="dxa" w:w="1818"/>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1H FY2026 (6 Aug 2026; briefing 10 Aug)</w:t>
            </w:r>
          </w:p>
        </w:tc>
        <w:tc>
          <w:tcPr>
            <w:tcW w:type="dxa" w:w="3749"/>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Operating income +17.1%; business profit +20.0%; net income +13.7%. Guidance raised to operating income ¥105.5bn and net income ¥65.0bn; dividend ¥126</w:t>
            </w:r>
          </w:p>
        </w:tc>
        <w:tc>
          <w:tcPr>
            <w:tcW w:type="dxa" w:w="3595"/>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"確かな手応え" (firm confidence) in inflation-driven rent growth; main plan targets one year early; offsets from a lower overseas equity-method outlook and higher corporate costs (</w:t>
            </w:r>
            <w:hyperlink w:history="1" r:id="rIdnz77lorgmrq9klki0m1vb">
              <w:r>
                <w:rPr>
                  <w:rFonts w:ascii="Arial" w:cs="Arial" w:eastAsia="Yu Gothic" w:hAnsi="Arial"/>
                  <w:color w:val="2F6FD0"/>
                  <w:sz w:val="16"/>
                  <w:szCs w:val="16"/>
                  <w:u w:val="single"/>
                </w:rPr>
                <w:t xml:space="preserve">logmi</w:t>
              </w:r>
            </w:hyperlink>
            <w:r>
              <w:rPr>
                <w:rFonts w:ascii="Arial" w:cs="Arial" w:eastAsia="Yu Gothic" w:hAnsi="Arial"/>
                <w:color w:val="1F2533"/>
                <w:sz w:val="16"/>
                <w:szCs w:val="16"/>
              </w:rPr>
              <w:t xml:space="preserve">)</w:t>
            </w:r>
          </w:p>
        </w:tc>
        <w:tc>
          <w:tcPr>
            <w:tcW w:type="dxa" w:w="584"/>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b/>
                <w:bCs/>
                <w:color w:val="1F2533"/>
                <w:sz w:val="16"/>
                <w:szCs w:val="16"/>
              </w:rPr>
              <w:t xml:space="preserve">+2</w:t>
            </w:r>
          </w:p>
        </w:tc>
      </w:tr>
    </w:tbl>
    <w:p>
      <w:pPr>
        <w:spacing w:after="120" w:before="0" w:line="276" w:lineRule="auto"/>
      </w:pPr>
    </w:p>
    <w:p>
      <w:pPr>
        <w:pStyle w:val="Heading2"/>
        <w:keepNext/>
        <w:keepLines/>
        <w:spacing w:after="90" w:before="260" w:line="252" w:lineRule="auto"/>
      </w:pPr>
      <w:r>
        <w:rPr>
          <w:rFonts w:ascii="Arial" w:cs="Arial" w:eastAsia="Yu Gothic" w:hAnsi="Arial"/>
          <w:b/>
          <w:bCs/>
          <w:color w:val="15233F"/>
          <w:sz w:val="25"/>
          <w:szCs w:val="25"/>
        </w:rPr>
        <w:t xml:space="preserve">How sentiment has shifted</w:t>
      </w:r>
    </w:p>
    <w:p>
      <w:pPr>
        <w:spacing w:after="110" w:before="0" w:line="276" w:lineRule="auto"/>
      </w:pPr>
      <w:r>
        <w:rPr>
          <w:rFonts w:ascii="Arial" w:cs="Arial" w:eastAsia="Yu Gothic" w:hAnsi="Arial"/>
          <w:b/>
          <w:bCs/>
          <w:color w:val="1F2533"/>
          <w:sz w:val="19"/>
          <w:szCs w:val="19"/>
        </w:rPr>
        <w:t xml:space="preserve">The tone score moved from +0.5 to −0.5 and then up to +2.</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60"/>
        <w:gridCol w:w="2184"/>
        <w:gridCol w:w="5702"/>
      </w:tblGrid>
      <w:tr>
        <w:trPr>
          <w:cantSplit/>
          <w:tblHeader/>
        </w:trPr>
        <w:tc>
          <w:tcPr>
            <w:tcW w:type="dxa" w:w="1860"/>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bCs/>
                <w:color w:val="FFFFFF"/>
                <w:sz w:val="16"/>
                <w:szCs w:val="16"/>
              </w:rPr>
              <w:t xml:space="preserve">Period</w:t>
            </w:r>
          </w:p>
        </w:tc>
        <w:tc>
          <w:tcPr>
            <w:tcW w:type="dxa" w:w="2184"/>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6"/>
                <w:szCs w:val="16"/>
              </w:rPr>
              <w:t xml:space="preserve">Tone</w:t>
            </w:r>
          </w:p>
        </w:tc>
        <w:tc>
          <w:tcPr>
            <w:tcW w:type="dxa" w:w="5702"/>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6"/>
                <w:szCs w:val="16"/>
              </w:rPr>
              <w:t xml:space="preserve">What drove it</w:t>
            </w:r>
          </w:p>
        </w:tc>
      </w:tr>
      <w:tr>
        <w:trPr>
          <w:cantSplit/>
        </w:trPr>
        <w:tc>
          <w:tcPr>
            <w:tcW w:type="dxa" w:w="1860"/>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Mid-2025</w:t>
            </w:r>
          </w:p>
        </w:tc>
        <w:tc>
          <w:tcPr>
            <w:tcW w:type="dxa" w:w="2184"/>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Cautious</w:t>
            </w:r>
          </w:p>
        </w:tc>
        <w:tc>
          <w:tcPr>
            <w:tcW w:type="dxa" w:w="5702"/>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Large year-on-year declines in 1H FY2025 after the FY2024 condo peak</w:t>
            </w:r>
          </w:p>
        </w:tc>
      </w:tr>
      <w:tr>
        <w:trPr>
          <w:cantSplit/>
        </w:trPr>
        <w:tc>
          <w:tcPr>
            <w:tcW w:type="dxa" w:w="1860"/>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Nov 2025 – Feb 2026</w:t>
            </w:r>
          </w:p>
        </w:tc>
        <w:tc>
          <w:tcPr>
            <w:tcW w:type="dxa" w:w="2184"/>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Positive</w:t>
            </w:r>
          </w:p>
        </w:tc>
        <w:tc>
          <w:tcPr>
            <w:tcW w:type="dxa" w:w="5702"/>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Upgrades and records</w:t>
            </w:r>
          </w:p>
        </w:tc>
      </w:tr>
      <w:tr>
        <w:trPr>
          <w:cantSplit/>
        </w:trPr>
        <w:tc>
          <w:tcPr>
            <w:tcW w:type="dxa" w:w="1860"/>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Q1 FY2026</w:t>
            </w:r>
          </w:p>
        </w:tc>
        <w:tc>
          <w:tcPr>
            <w:tcW w:type="dxa" w:w="2184"/>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Neutral</w:t>
            </w:r>
          </w:p>
        </w:tc>
        <w:tc>
          <w:tcPr>
            <w:tcW w:type="dxa" w:w="5702"/>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A timing-driven miss, with guidance held</w:t>
            </w:r>
          </w:p>
        </w:tc>
      </w:tr>
      <w:tr>
        <w:trPr>
          <w:cantSplit/>
        </w:trPr>
        <w:tc>
          <w:tcPr>
            <w:tcW w:type="dxa" w:w="1860"/>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1H FY2026</w:t>
            </w:r>
          </w:p>
        </w:tc>
        <w:tc>
          <w:tcPr>
            <w:tcW w:type="dxa" w:w="2184"/>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Most positive of the period</w:t>
            </w:r>
          </w:p>
        </w:tc>
        <w:tc>
          <w:tcPr>
            <w:tcW w:type="dxa" w:w="5702"/>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Guidance raised one quarter earlier than in FY2025 (at the half-year rather than Q3)</w:t>
            </w:r>
          </w:p>
        </w:tc>
      </w:tr>
    </w:tbl>
    <w:p>
      <w:pPr>
        <w:spacing w:after="120" w:before="0" w:line="276" w:lineRule="auto"/>
      </w:pPr>
    </w:p>
    <w:p>
      <w:pPr>
        <w:spacing w:after="110" w:before="0" w:line="276" w:lineRule="auto"/>
      </w:pPr>
      <w:r>
        <w:rPr>
          <w:rFonts w:ascii="Arial" w:cs="Arial" w:eastAsia="Yu Gothic" w:hAnsi="Arial"/>
          <w:b/>
          <w:bCs/>
          <w:color w:val="1F2533"/>
          <w:sz w:val="19"/>
          <w:szCs w:val="19"/>
        </w:rPr>
        <w:t xml:space="preserve">The themes have moved with the tone:</w:t>
      </w:r>
    </w:p>
    <w:p>
      <w:pPr>
        <w:pStyle w:val="ListParagraph"/>
        <w:numPr>
          <w:ilvl w:val="0"/>
          <w:numId w:val="7"/>
        </w:numPr>
        <w:spacing w:after="60" w:line="264" w:lineRule="auto"/>
      </w:pPr>
      <w:r>
        <w:rPr>
          <w:rFonts w:ascii="Arial" w:cs="Arial" w:eastAsia="Yu Gothic" w:hAnsi="Arial"/>
          <w:color w:val="1F2533"/>
          <w:sz w:val="19"/>
          <w:szCs w:val="19"/>
        </w:rPr>
        <w:t xml:space="preserve">capital policy (payout, ROE) in early 2025;</w:t>
      </w:r>
    </w:p>
    <w:p>
      <w:pPr>
        <w:pStyle w:val="ListParagraph"/>
        <w:numPr>
          <w:ilvl w:val="0"/>
          <w:numId w:val="7"/>
        </w:numPr>
        <w:spacing w:after="60" w:line="264" w:lineRule="auto"/>
      </w:pPr>
      <w:r>
        <w:rPr>
          <w:rFonts w:ascii="Arial" w:cs="Arial" w:eastAsia="Yu Gothic" w:hAnsi="Arial"/>
          <w:color w:val="1F2533"/>
          <w:sz w:val="19"/>
          <w:szCs w:val="19"/>
        </w:rPr>
        <w:t xml:space="preserve">investor-sale gains and Yaesu rent increases in late 2025 and early 2026;</w:t>
      </w:r>
    </w:p>
    <w:p>
      <w:pPr>
        <w:pStyle w:val="ListParagraph"/>
        <w:numPr>
          <w:ilvl w:val="0"/>
          <w:numId w:val="7"/>
        </w:numPr>
        <w:spacing w:after="60" w:line="264" w:lineRule="auto"/>
      </w:pPr>
      <w:r>
        <w:rPr>
          <w:rFonts w:ascii="Arial" w:cs="Arial" w:eastAsia="Yu Gothic" w:hAnsi="Arial"/>
          <w:color w:val="1F2533"/>
          <w:sz w:val="19"/>
          <w:szCs w:val="19"/>
        </w:rPr>
        <w:t xml:space="preserve">inflation-linked rent growth presented as a structural story in August 2026.</w:t>
      </w:r>
    </w:p>
    <w:p>
      <w:pPr>
        <w:spacing w:after="40" w:before="0" w:line="276" w:lineRule="auto"/>
      </w:pPr>
    </w:p>
    <w:p>
      <w:pPr>
        <w:spacing w:after="110" w:before="0" w:line="276" w:lineRule="auto"/>
      </w:pPr>
      <w:r>
        <w:rPr>
          <w:rFonts w:ascii="Arial" w:cs="Arial" w:eastAsia="Yu Gothic" w:hAnsi="Arial"/>
          <w:b/>
          <w:bCs/>
          <w:color w:val="1F2533"/>
          <w:sz w:val="19"/>
          <w:szCs w:val="19"/>
        </w:rPr>
        <w:t xml:space="preserve">The caveats have grown as the tone improved.</w:t>
      </w:r>
    </w:p>
    <w:p>
      <w:pPr>
        <w:pStyle w:val="ListParagraph"/>
        <w:numPr>
          <w:ilvl w:val="0"/>
          <w:numId w:val="2"/>
        </w:numPr>
        <w:spacing w:after="60" w:line="264" w:lineRule="auto"/>
      </w:pPr>
      <w:r>
        <w:rPr>
          <w:rFonts w:ascii="Arial" w:cs="Arial" w:eastAsia="Yu Gothic" w:hAnsi="Arial"/>
          <w:color w:val="1F2533"/>
          <w:sz w:val="19"/>
          <w:szCs w:val="19"/>
        </w:rPr>
        <w:t xml:space="preserve">Residential timing has worsened.</w:t>
      </w:r>
    </w:p>
    <w:p>
      <w:pPr>
        <w:pStyle w:val="ListParagraph"/>
        <w:numPr>
          <w:ilvl w:val="0"/>
          <w:numId w:val="2"/>
        </w:numPr>
        <w:spacing w:after="60" w:line="264" w:lineRule="auto"/>
      </w:pPr>
      <w:r>
        <w:rPr>
          <w:rFonts w:ascii="Arial" w:cs="Arial" w:eastAsia="Yu Gothic" w:hAnsi="Arial"/>
          <w:color w:val="1F2533"/>
          <w:sz w:val="19"/>
          <w:szCs w:val="19"/>
        </w:rPr>
        <w:t xml:space="preserve">Overseas equity-method income has been cut.</w:t>
      </w:r>
    </w:p>
    <w:p>
      <w:pPr>
        <w:pStyle w:val="ListParagraph"/>
        <w:numPr>
          <w:ilvl w:val="0"/>
          <w:numId w:val="2"/>
        </w:numPr>
        <w:spacing w:after="60" w:line="264" w:lineRule="auto"/>
      </w:pPr>
      <w:r>
        <w:rPr>
          <w:rFonts w:ascii="Arial" w:cs="Arial" w:eastAsia="Yu Gothic" w:hAnsi="Arial"/>
          <w:color w:val="1F2533"/>
          <w:sz w:val="19"/>
          <w:szCs w:val="19"/>
        </w:rPr>
        <w:t xml:space="preserve">Corporate costs are rising.</w:t>
      </w:r>
    </w:p>
    <w:p>
      <w:pPr>
        <w:pStyle w:val="ListParagraph"/>
        <w:numPr>
          <w:ilvl w:val="0"/>
          <w:numId w:val="2"/>
        </w:numPr>
        <w:spacing w:after="60" w:line="264" w:lineRule="auto"/>
      </w:pPr>
      <w:r>
        <w:rPr>
          <w:rFonts w:ascii="Arial" w:cs="Arial" w:eastAsia="Yu Gothic" w:hAnsi="Arial"/>
          <w:color w:val="1F2533"/>
          <w:sz w:val="19"/>
          <w:szCs w:val="19"/>
        </w:rPr>
        <w:t xml:space="preserve">The non-operating gap has widened: from ¥17.6bn in FY2025 to ¥22.0bn implied by revised FY2026 guidance.</w:t>
      </w:r>
    </w:p>
    <w:p>
      <w:pPr>
        <w:spacing w:after="40" w:before="0" w:line="276" w:lineRule="auto"/>
      </w:pPr>
    </w:p>
    <w:p>
      <w:pPr>
        <w:spacing w:after="110" w:before="0" w:line="276" w:lineRule="auto"/>
      </w:pPr>
      <w:r>
        <w:rPr>
          <w:rFonts w:ascii="Arial" w:cs="Arial" w:eastAsia="Yu Gothic" w:hAnsi="Arial"/>
          <w:color w:val="1F2533"/>
          <w:sz w:val="19"/>
          <w:szCs w:val="19"/>
        </w:rPr>
        <w:t xml:space="preserve">The upgrades therefore rest more on property-sale gains, which are cyclical and rate-sensitive, than on recurring income.</w:t>
      </w:r>
    </w:p>
    <w:p>
      <w:pPr>
        <w:spacing w:after="110" w:before="0" w:line="276" w:lineRule="auto"/>
      </w:pPr>
      <w:r>
        <w:rPr>
          <w:rFonts w:ascii="Arial" w:cs="Arial" w:eastAsia="Yu Gothic" w:hAnsi="Arial"/>
          <w:b/>
          <w:bCs/>
          <w:color w:val="1F2533"/>
          <w:sz w:val="19"/>
          <w:szCs w:val="19"/>
        </w:rPr>
        <w:t xml:space="preserve">The sell-side has followed the tone.</w:t>
      </w:r>
      <w:r>
        <w:rPr>
          <w:rFonts w:ascii="Arial" w:cs="Arial" w:eastAsia="Yu Gothic" w:hAnsi="Arial"/>
          <w:color w:val="1F2533"/>
          <w:sz w:val="19"/>
          <w:szCs w:val="19"/>
        </w:rPr>
        <w:t xml:space="preserve"> Nomura upgraded the stock from Neutral to Buy (target ¥4,450) in June 2026, about a month after the weak Q1 (</w:t>
      </w:r>
      <w:hyperlink w:history="1" r:id="rIdozokn0ibyps3fjenqsexb">
        <w:r>
          <w:rPr>
            <w:rFonts w:ascii="Arial" w:cs="Arial" w:eastAsia="Yu Gothic" w:hAnsi="Arial"/>
            <w:color w:val="2F6FD0"/>
            <w:sz w:val="19"/>
            <w:szCs w:val="19"/>
            <w:u w:val="single"/>
          </w:rPr>
          <w:t xml:space="preserve">Yahoo/IFIS</w:t>
        </w:r>
      </w:hyperlink>
      <w:r>
        <w:rPr>
          <w:rFonts w:ascii="Arial" w:cs="Arial" w:eastAsia="Yu Gothic" w:hAnsi="Arial"/>
          <w:color w:val="1F2533"/>
          <w:sz w:val="19"/>
          <w:szCs w:val="19"/>
        </w:rPr>
        <w:t xml:space="preserve">). It raised the target to ¥4,480 after 1H.</w:t>
      </w:r>
    </w:p>
    <w:p>
      <w:pPr>
        <w:pStyle w:val="Heading2"/>
        <w:keepNext/>
        <w:keepLines/>
        <w:spacing w:after="90" w:before="260" w:line="252" w:lineRule="auto"/>
      </w:pPr>
      <w:r>
        <w:rPr>
          <w:rFonts w:ascii="Arial" w:cs="Arial" w:eastAsia="Yu Gothic" w:hAnsi="Arial"/>
          <w:b/>
          <w:bCs/>
          <w:color w:val="15233F"/>
          <w:sz w:val="25"/>
          <w:szCs w:val="25"/>
        </w:rPr>
        <w:t xml:space="preserve">Latest result: 1H FY2026 (released 6 August 2026)</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09"/>
        <w:gridCol w:w="1264"/>
        <w:gridCol w:w="1263"/>
        <w:gridCol w:w="1410"/>
      </w:tblGrid>
      <w:tr>
        <w:trPr>
          <w:cantSplit/>
          <w:tblHeader/>
        </w:trPr>
        <w:tc>
          <w:tcPr>
            <w:tcW w:type="dxa" w:w="5809"/>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bCs/>
                <w:color w:val="FFFFFF"/>
                <w:sz w:val="16"/>
                <w:szCs w:val="16"/>
              </w:rPr>
              <w:t xml:space="preserve">Metric</w:t>
            </w:r>
          </w:p>
        </w:tc>
        <w:tc>
          <w:tcPr>
            <w:tcW w:type="dxa" w:w="1264"/>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6"/>
                <w:szCs w:val="16"/>
              </w:rPr>
              <w:t xml:space="preserve">1H FY2025</w:t>
            </w:r>
          </w:p>
        </w:tc>
        <w:tc>
          <w:tcPr>
            <w:tcW w:type="dxa" w:w="1263"/>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6"/>
                <w:szCs w:val="16"/>
              </w:rPr>
              <w:t xml:space="preserve">1H FY2026</w:t>
            </w:r>
          </w:p>
        </w:tc>
        <w:tc>
          <w:tcPr>
            <w:tcW w:type="dxa" w:w="1410"/>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6"/>
                <w:szCs w:val="16"/>
              </w:rPr>
              <w:t xml:space="preserve">Change</w:t>
            </w:r>
          </w:p>
        </w:tc>
      </w:tr>
      <w:tr>
        <w:trPr>
          <w:cantSplit/>
        </w:trPr>
        <w:tc>
          <w:tcPr>
            <w:tcW w:type="dxa" w:w="5809"/>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Operating revenue</w:t>
            </w:r>
          </w:p>
        </w:tc>
        <w:tc>
          <w:tcPr>
            <w:tcW w:type="dxa" w:w="1264"/>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6"/>
                <w:szCs w:val="16"/>
              </w:rPr>
              <w:t xml:space="preserve">¥208.8bn</w:t>
            </w:r>
          </w:p>
        </w:tc>
        <w:tc>
          <w:tcPr>
            <w:tcW w:type="dxa" w:w="1263"/>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6"/>
                <w:szCs w:val="16"/>
              </w:rPr>
              <w:t xml:space="preserve">¥194.4bn</w:t>
            </w:r>
          </w:p>
        </w:tc>
        <w:tc>
          <w:tcPr>
            <w:tcW w:type="dxa" w:w="1410"/>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6"/>
                <w:szCs w:val="16"/>
              </w:rPr>
              <w:t xml:space="preserve">−6.9%</w:t>
            </w:r>
          </w:p>
        </w:tc>
      </w:tr>
      <w:tr>
        <w:trPr>
          <w:cantSplit/>
        </w:trPr>
        <w:tc>
          <w:tcPr>
            <w:tcW w:type="dxa" w:w="5809"/>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Operating income</w:t>
            </w:r>
          </w:p>
        </w:tc>
        <w:tc>
          <w:tcPr>
            <w:tcW w:type="dxa" w:w="1264"/>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6"/>
                <w:szCs w:val="16"/>
              </w:rPr>
              <w:t xml:space="preserve">¥34.0bn</w:t>
            </w:r>
          </w:p>
        </w:tc>
        <w:tc>
          <w:tcPr>
            <w:tcW w:type="dxa" w:w="1263"/>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6"/>
                <w:szCs w:val="16"/>
              </w:rPr>
              <w:t xml:space="preserve">¥39.9bn</w:t>
            </w:r>
          </w:p>
        </w:tc>
        <w:tc>
          <w:tcPr>
            <w:tcW w:type="dxa" w:w="1410"/>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6"/>
                <w:szCs w:val="16"/>
              </w:rPr>
              <w:t xml:space="preserve">+17.1%</w:t>
            </w:r>
          </w:p>
        </w:tc>
      </w:tr>
      <w:tr>
        <w:trPr>
          <w:cantSplit/>
        </w:trPr>
        <w:tc>
          <w:tcPr>
            <w:tcW w:type="dxa" w:w="5809"/>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Business profit</w:t>
            </w:r>
          </w:p>
        </w:tc>
        <w:tc>
          <w:tcPr>
            <w:tcW w:type="dxa" w:w="1264"/>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6"/>
                <w:szCs w:val="16"/>
              </w:rPr>
              <w:t xml:space="preserve">≈¥34.4bn</w:t>
            </w:r>
          </w:p>
        </w:tc>
        <w:tc>
          <w:tcPr>
            <w:tcW w:type="dxa" w:w="1263"/>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6"/>
                <w:szCs w:val="16"/>
              </w:rPr>
              <w:t xml:space="preserve">¥41.3bn</w:t>
            </w:r>
          </w:p>
        </w:tc>
        <w:tc>
          <w:tcPr>
            <w:tcW w:type="dxa" w:w="1410"/>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6"/>
                <w:szCs w:val="16"/>
              </w:rPr>
              <w:t xml:space="preserve">+20.0%</w:t>
            </w:r>
          </w:p>
        </w:tc>
      </w:tr>
      <w:tr>
        <w:trPr>
          <w:cantSplit/>
        </w:trPr>
        <w:tc>
          <w:tcPr>
            <w:tcW w:type="dxa" w:w="5809"/>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Net income</w:t>
            </w:r>
          </w:p>
        </w:tc>
        <w:tc>
          <w:tcPr>
            <w:tcW w:type="dxa" w:w="1264"/>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6"/>
                <w:szCs w:val="16"/>
              </w:rPr>
              <w:t xml:space="preserve">¥20.5bn</w:t>
            </w:r>
          </w:p>
        </w:tc>
        <w:tc>
          <w:tcPr>
            <w:tcW w:type="dxa" w:w="1263"/>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6"/>
                <w:szCs w:val="16"/>
              </w:rPr>
              <w:t xml:space="preserve">¥23.4bn</w:t>
            </w:r>
          </w:p>
        </w:tc>
        <w:tc>
          <w:tcPr>
            <w:tcW w:type="dxa" w:w="1410"/>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6"/>
                <w:szCs w:val="16"/>
              </w:rPr>
              <w:t xml:space="preserve">+13.7%</w:t>
            </w:r>
          </w:p>
        </w:tc>
      </w:tr>
      <w:tr>
        <w:trPr>
          <w:cantSplit/>
        </w:trPr>
        <w:tc>
          <w:tcPr>
            <w:tcW w:type="dxa" w:w="5809"/>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Operating margin</w:t>
            </w:r>
          </w:p>
        </w:tc>
        <w:tc>
          <w:tcPr>
            <w:tcW w:type="dxa" w:w="1264"/>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6"/>
                <w:szCs w:val="16"/>
              </w:rPr>
              <w:t xml:space="preserve">16.3%</w:t>
            </w:r>
          </w:p>
        </w:tc>
        <w:tc>
          <w:tcPr>
            <w:tcW w:type="dxa" w:w="1263"/>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6"/>
                <w:szCs w:val="16"/>
              </w:rPr>
              <w:t xml:space="preserve">20.5%</w:t>
            </w:r>
          </w:p>
        </w:tc>
        <w:tc>
          <w:tcPr>
            <w:tcW w:type="dxa" w:w="1410"/>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6"/>
                <w:szCs w:val="16"/>
              </w:rPr>
              <w:t xml:space="preserve">+4.2pt</w:t>
            </w:r>
          </w:p>
        </w:tc>
      </w:tr>
      <w:tr>
        <w:trPr>
          <w:cantSplit/>
        </w:trPr>
        <w:tc>
          <w:tcPr>
            <w:tcW w:type="dxa" w:w="5809"/>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Building operating profit</w:t>
            </w:r>
          </w:p>
        </w:tc>
        <w:tc>
          <w:tcPr>
            <w:tcW w:type="dxa" w:w="1264"/>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6"/>
                <w:szCs w:val="16"/>
              </w:rPr>
              <w:t xml:space="preserve">≈¥18.0bn</w:t>
            </w:r>
          </w:p>
        </w:tc>
        <w:tc>
          <w:tcPr>
            <w:tcW w:type="dxa" w:w="1263"/>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6"/>
                <w:szCs w:val="16"/>
              </w:rPr>
              <w:t xml:space="preserve">¥40.1bn</w:t>
            </w:r>
          </w:p>
        </w:tc>
        <w:tc>
          <w:tcPr>
            <w:tcW w:type="dxa" w:w="1410"/>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6"/>
                <w:szCs w:val="16"/>
              </w:rPr>
              <w:t xml:space="preserve">+122.7%</w:t>
            </w:r>
          </w:p>
        </w:tc>
      </w:tr>
      <w:tr>
        <w:trPr>
          <w:cantSplit/>
        </w:trPr>
        <w:tc>
          <w:tcPr>
            <w:tcW w:type="dxa" w:w="5809"/>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Residential operating profit</w:t>
            </w:r>
          </w:p>
        </w:tc>
        <w:tc>
          <w:tcPr>
            <w:tcW w:type="dxa" w:w="1264"/>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6"/>
                <w:szCs w:val="16"/>
              </w:rPr>
              <w:t xml:space="preserve">≈¥17.3bn</w:t>
            </w:r>
          </w:p>
        </w:tc>
        <w:tc>
          <w:tcPr>
            <w:tcW w:type="dxa" w:w="1263"/>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6"/>
                <w:szCs w:val="16"/>
              </w:rPr>
              <w:t xml:space="preserve">¥2.9–3.0bn</w:t>
            </w:r>
          </w:p>
        </w:tc>
        <w:tc>
          <w:tcPr>
            <w:tcW w:type="dxa" w:w="1410"/>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6"/>
                <w:szCs w:val="16"/>
              </w:rPr>
              <w:t xml:space="preserve">−83.2%</w:t>
            </w:r>
          </w:p>
        </w:tc>
      </w:tr>
      <w:tr>
        <w:trPr>
          <w:cantSplit/>
        </w:trPr>
        <w:tc>
          <w:tcPr>
            <w:tcW w:type="dxa" w:w="5809"/>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Condo units / gross margin</w:t>
            </w:r>
          </w:p>
        </w:tc>
        <w:tc>
          <w:tcPr>
            <w:tcW w:type="dxa" w:w="1264"/>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6"/>
                <w:szCs w:val="16"/>
              </w:rPr>
              <w:t xml:space="preserve">969 / 30.4%</w:t>
            </w:r>
          </w:p>
        </w:tc>
        <w:tc>
          <w:tcPr>
            <w:tcW w:type="dxa" w:w="1263"/>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6"/>
                <w:szCs w:val="16"/>
              </w:rPr>
              <w:t xml:space="preserve">270 / 27.8%</w:t>
            </w:r>
          </w:p>
        </w:tc>
        <w:tc>
          <w:tcPr>
            <w:tcW w:type="dxa" w:w="1410"/>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6"/>
                <w:szCs w:val="16"/>
              </w:rPr>
              <w:t xml:space="preserve">−72% / −2.6pt</w:t>
            </w:r>
          </w:p>
        </w:tc>
      </w:tr>
      <w:tr>
        <w:trPr>
          <w:cantSplit/>
        </w:trPr>
        <w:tc>
          <w:tcPr>
            <w:tcW w:type="dxa" w:w="5809"/>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Q2 standalone operating income</w:t>
            </w:r>
          </w:p>
        </w:tc>
        <w:tc>
          <w:tcPr>
            <w:tcW w:type="dxa" w:w="1264"/>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6"/>
                <w:szCs w:val="16"/>
              </w:rPr>
              <w:t xml:space="preserve">¥10.3bn</w:t>
            </w:r>
          </w:p>
        </w:tc>
        <w:tc>
          <w:tcPr>
            <w:tcW w:type="dxa" w:w="1263"/>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6"/>
                <w:szCs w:val="16"/>
              </w:rPr>
              <w:t xml:space="preserve">¥27.2bn</w:t>
            </w:r>
          </w:p>
        </w:tc>
        <w:tc>
          <w:tcPr>
            <w:tcW w:type="dxa" w:w="1410"/>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6"/>
                <w:szCs w:val="16"/>
              </w:rPr>
              <w:t xml:space="preserve">×2.6</w:t>
            </w:r>
          </w:p>
        </w:tc>
      </w:tr>
      <w:tr>
        <w:trPr>
          <w:cantSplit/>
        </w:trPr>
        <w:tc>
          <w:tcPr>
            <w:tcW w:type="dxa" w:w="5809"/>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Interest-bearing debt (vs 31 Dec 2025)</w:t>
            </w:r>
          </w:p>
        </w:tc>
        <w:tc>
          <w:tcPr>
            <w:tcW w:type="dxa" w:w="1264"/>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6"/>
                <w:szCs w:val="16"/>
              </w:rPr>
              <w:t xml:space="preserve">¥1,343.9bn</w:t>
            </w:r>
          </w:p>
        </w:tc>
        <w:tc>
          <w:tcPr>
            <w:tcW w:type="dxa" w:w="1263"/>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6"/>
                <w:szCs w:val="16"/>
              </w:rPr>
              <w:t xml:space="preserve">¥1,536.6bn</w:t>
            </w:r>
          </w:p>
        </w:tc>
        <w:tc>
          <w:tcPr>
            <w:tcW w:type="dxa" w:w="1410"/>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6"/>
                <w:szCs w:val="16"/>
              </w:rPr>
              <w:t xml:space="preserve">+¥191.1bn</w:t>
            </w:r>
          </w:p>
        </w:tc>
      </w:tr>
      <w:tr>
        <w:trPr>
          <w:cantSplit/>
        </w:trPr>
        <w:tc>
          <w:tcPr>
            <w:tcW w:type="dxa" w:w="5809"/>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Cash (vs 31 Dec 2025)</w:t>
            </w:r>
          </w:p>
        </w:tc>
        <w:tc>
          <w:tcPr>
            <w:tcW w:type="dxa" w:w="1264"/>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6"/>
                <w:szCs w:val="16"/>
              </w:rPr>
              <w:t xml:space="preserve">¥152.3bn</w:t>
            </w:r>
          </w:p>
        </w:tc>
        <w:tc>
          <w:tcPr>
            <w:tcW w:type="dxa" w:w="1263"/>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6"/>
                <w:szCs w:val="16"/>
              </w:rPr>
              <w:t xml:space="preserve">¥94.2bn</w:t>
            </w:r>
          </w:p>
        </w:tc>
        <w:tc>
          <w:tcPr>
            <w:tcW w:type="dxa" w:w="1410"/>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6"/>
                <w:szCs w:val="16"/>
              </w:rPr>
              <w:t xml:space="preserve">−¥58.1bn</w:t>
            </w:r>
          </w:p>
        </w:tc>
      </w:tr>
      <w:tr>
        <w:trPr>
          <w:cantSplit/>
        </w:trPr>
        <w:tc>
          <w:tcPr>
            <w:tcW w:type="dxa" w:w="5809"/>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Equity ratio (vs 31 Dec 2025)</w:t>
            </w:r>
          </w:p>
        </w:tc>
        <w:tc>
          <w:tcPr>
            <w:tcW w:type="dxa" w:w="1264"/>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6"/>
                <w:szCs w:val="16"/>
              </w:rPr>
              <w:t xml:space="preserve">26.0%</w:t>
            </w:r>
          </w:p>
        </w:tc>
        <w:tc>
          <w:tcPr>
            <w:tcW w:type="dxa" w:w="1263"/>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6"/>
                <w:szCs w:val="16"/>
              </w:rPr>
              <w:t xml:space="preserve">24.5%</w:t>
            </w:r>
          </w:p>
        </w:tc>
        <w:tc>
          <w:tcPr>
            <w:tcW w:type="dxa" w:w="1410"/>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6"/>
                <w:szCs w:val="16"/>
              </w:rPr>
              <w:t xml:space="preserve">−1.5pt</w:t>
            </w:r>
          </w:p>
        </w:tc>
      </w:tr>
    </w:tbl>
    <w:p>
      <w:pPr>
        <w:spacing w:after="120" w:before="0" w:line="276" w:lineRule="auto"/>
      </w:pPr>
    </w:p>
    <w:p>
      <w:pPr>
        <w:spacing w:after="110" w:before="0" w:line="276" w:lineRule="auto"/>
      </w:pPr>
      <w:r>
        <w:rPr>
          <w:rFonts w:ascii="Arial" w:cs="Arial" w:eastAsia="Yu Gothic" w:hAnsi="Arial"/>
          <w:color w:val="1F2533"/>
          <w:sz w:val="19"/>
          <w:szCs w:val="19"/>
        </w:rPr>
        <w:t xml:space="preserve">Sources: </w:t>
      </w:r>
      <w:hyperlink w:history="1" r:id="rIdpmdx9qpts7ne72szdtrbz">
        <w:r>
          <w:rPr>
            <w:rFonts w:ascii="Arial" w:cs="Arial" w:eastAsia="Yu Gothic" w:hAnsi="Arial"/>
            <w:color w:val="2F6FD0"/>
            <w:sz w:val="19"/>
            <w:szCs w:val="19"/>
            <w:u w:val="single"/>
          </w:rPr>
          <w:t xml:space="preserve">1H FY2026 highlights</w:t>
        </w:r>
      </w:hyperlink>
      <w:r>
        <w:rPr>
          <w:rFonts w:ascii="Arial" w:cs="Arial" w:eastAsia="Yu Gothic" w:hAnsi="Arial"/>
          <w:color w:val="1F2533"/>
          <w:sz w:val="19"/>
          <w:szCs w:val="19"/>
        </w:rPr>
        <w:t xml:space="preserve">; </w:t>
      </w:r>
      <w:hyperlink w:history="1" r:id="rIdd7fce3g6rxzl8j4yvhg1w">
        <w:r>
          <w:rPr>
            <w:rFonts w:ascii="Arial" w:cs="Arial" w:eastAsia="Yu Gothic" w:hAnsi="Arial"/>
            <w:color w:val="2F6FD0"/>
            <w:sz w:val="19"/>
            <w:szCs w:val="19"/>
            <w:u w:val="single"/>
          </w:rPr>
          <w:t xml:space="preserve">BigGo</w:t>
        </w:r>
      </w:hyperlink>
      <w:r>
        <w:rPr>
          <w:rFonts w:ascii="Arial" w:cs="Arial" w:eastAsia="Yu Gothic" w:hAnsi="Arial"/>
          <w:color w:val="1F2533"/>
          <w:sz w:val="19"/>
          <w:szCs w:val="19"/>
        </w:rPr>
        <w:t xml:space="preserve">; </w:t>
      </w:r>
      <w:hyperlink w:history="1" r:id="rId0whesyusyema7f2phw6sw">
        <w:r>
          <w:rPr>
            <w:rFonts w:ascii="Arial" w:cs="Arial" w:eastAsia="Yu Gothic" w:hAnsi="Arial"/>
            <w:color w:val="2F6FD0"/>
            <w:sz w:val="19"/>
            <w:szCs w:val="19"/>
            <w:u w:val="single"/>
          </w:rPr>
          <w:t xml:space="preserve">logmi</w:t>
        </w:r>
      </w:hyperlink>
      <w:r>
        <w:rPr>
          <w:rFonts w:ascii="Arial" w:cs="Arial" w:eastAsia="Yu Gothic" w:hAnsi="Arial"/>
          <w:color w:val="1F2533"/>
          <w:sz w:val="19"/>
          <w:szCs w:val="19"/>
        </w:rPr>
        <w:t xml:space="preserve">; </w:t>
      </w:r>
      <w:hyperlink w:history="1" r:id="rIdshvaws_-l2kfqqsiuh8pb">
        <w:r>
          <w:rPr>
            <w:rFonts w:ascii="Arial" w:cs="Arial" w:eastAsia="Yu Gothic" w:hAnsi="Arial"/>
            <w:color w:val="2F6FD0"/>
            <w:sz w:val="19"/>
            <w:szCs w:val="19"/>
            <w:u w:val="single"/>
          </w:rPr>
          <w:t xml:space="preserve">Nikkei</w:t>
        </w:r>
      </w:hyperlink>
      <w:r>
        <w:rPr>
          <w:rFonts w:ascii="Arial" w:cs="Arial" w:eastAsia="Yu Gothic" w:hAnsi="Arial"/>
          <w:color w:val="1F2533"/>
          <w:sz w:val="19"/>
          <w:szCs w:val="19"/>
        </w:rPr>
        <w:t xml:space="preserve">.</w:t>
      </w:r>
    </w:p>
    <w:p>
      <w:pPr>
        <w:spacing w:after="110" w:before="0" w:line="276" w:lineRule="auto"/>
      </w:pPr>
      <w:r>
        <w:rPr>
          <w:rFonts w:ascii="Arial" w:cs="Arial" w:eastAsia="Yu Gothic" w:hAnsi="Arial"/>
          <w:b/>
          <w:bCs/>
          <w:color w:val="1F2533"/>
          <w:sz w:val="19"/>
          <w:szCs w:val="19"/>
        </w:rPr>
        <w:t xml:space="preserve">Against expectations.</w:t>
      </w:r>
      <w:r>
        <w:rPr>
          <w:rFonts w:ascii="Arial" w:cs="Arial" w:eastAsia="Yu Gothic" w:hAnsi="Arial"/>
          <w:color w:val="1F2533"/>
          <w:sz w:val="19"/>
          <w:szCs w:val="19"/>
        </w:rPr>
        <w:t xml:space="preserve"> No first-half consensus was published, so a precise beat or miss cannot be measured. Two comparisons are possible:</w:t>
      </w:r>
    </w:p>
    <w:p>
      <w:pPr>
        <w:pStyle w:val="ListParagraph"/>
        <w:numPr>
          <w:ilvl w:val="0"/>
          <w:numId w:val="2"/>
        </w:numPr>
        <w:spacing w:after="60" w:line="264" w:lineRule="auto"/>
      </w:pPr>
      <w:r>
        <w:rPr>
          <w:rFonts w:ascii="Arial" w:cs="Arial" w:eastAsia="Yu Gothic" w:hAnsi="Arial"/>
          <w:b/>
          <w:bCs/>
          <w:color w:val="1F2533"/>
          <w:sz w:val="19"/>
          <w:szCs w:val="19"/>
        </w:rPr>
        <w:t xml:space="preserve">Against the company's own pace.</w:t>
      </w:r>
      <w:r>
        <w:rPr>
          <w:rFonts w:ascii="Arial" w:cs="Arial" w:eastAsia="Yu Gothic" w:hAnsi="Arial"/>
          <w:color w:val="1F2533"/>
          <w:sz w:val="19"/>
          <w:szCs w:val="19"/>
        </w:rPr>
        <w:t xml:space="preserve"> First-half operating income was 37.7% of revised full-year guidance, against 35.5% at the same stage of FY2025. Net income was 35.9%, against 34.9%. That is ahead of the usual seasonal pattern.</w:t>
      </w:r>
    </w:p>
    <w:p>
      <w:pPr>
        <w:pStyle w:val="ListParagraph"/>
        <w:numPr>
          <w:ilvl w:val="0"/>
          <w:numId w:val="2"/>
        </w:numPr>
        <w:spacing w:after="60" w:line="264" w:lineRule="auto"/>
      </w:pPr>
      <w:r>
        <w:rPr>
          <w:rFonts w:ascii="Arial" w:cs="Arial" w:eastAsia="Yu Gothic" w:hAnsi="Arial"/>
          <w:b/>
          <w:bCs/>
          <w:color w:val="1F2533"/>
          <w:sz w:val="19"/>
          <w:szCs w:val="19"/>
        </w:rPr>
        <w:t xml:space="preserve">Against full-year consensus.</w:t>
      </w:r>
      <w:r>
        <w:rPr>
          <w:rFonts w:ascii="Arial" w:cs="Arial" w:eastAsia="Yu Gothic" w:hAnsi="Arial"/>
          <w:color w:val="1F2533"/>
          <w:sz w:val="19"/>
          <w:szCs w:val="19"/>
        </w:rPr>
        <w:t xml:space="preserve"> The raised ordinary-income guidance of ¥83.5bn simply matched the pre-revision IFIS consensus of ¥83.4bn (</w:t>
      </w:r>
      <w:hyperlink w:history="1" r:id="rIdlfomc3nnb3bsgnfkcx3o7">
        <w:r>
          <w:rPr>
            <w:rFonts w:ascii="Arial" w:cs="Arial" w:eastAsia="Yu Gothic" w:hAnsi="Arial"/>
            <w:color w:val="2F6FD0"/>
            <w:sz w:val="19"/>
            <w:szCs w:val="19"/>
            <w:u w:val="single"/>
          </w:rPr>
          <w:t xml:space="preserve">Yahoo/IFIS</w:t>
        </w:r>
      </w:hyperlink>
      <w:r>
        <w:rPr>
          <w:rFonts w:ascii="Arial" w:cs="Arial" w:eastAsia="Yu Gothic" w:hAnsi="Arial"/>
          <w:color w:val="1F2533"/>
          <w:sz w:val="19"/>
          <w:szCs w:val="19"/>
        </w:rPr>
        <w:t xml:space="preserve">). Consensus has since moved about 1–2% above guidance: ordinary income ¥84.5bn and net income ¥66.5bn (</w:t>
      </w:r>
      <w:hyperlink w:history="1" r:id="rIdejwwwqcct-tfzj_8gtglr">
        <w:r>
          <w:rPr>
            <w:rFonts w:ascii="Arial" w:cs="Arial" w:eastAsia="Yu Gothic" w:hAnsi="Arial"/>
            <w:color w:val="2F6FD0"/>
            <w:sz w:val="19"/>
            <w:szCs w:val="19"/>
            <w:u w:val="single"/>
          </w:rPr>
          <w:t xml:space="preserve">IFIS</w:t>
        </w:r>
      </w:hyperlink>
      <w:r>
        <w:rPr>
          <w:rFonts w:ascii="Arial" w:cs="Arial" w:eastAsia="Yu Gothic" w:hAnsi="Arial"/>
          <w:color w:val="1F2533"/>
          <w:sz w:val="19"/>
          <w:szCs w:val="19"/>
        </w:rPr>
        <w:t xml:space="preserve">; </w:t>
      </w:r>
      <w:hyperlink w:history="1" r:id="rIdgitwt0langhlwtqglc8id">
        <w:r>
          <w:rPr>
            <w:rFonts w:ascii="Arial" w:cs="Arial" w:eastAsia="Yu Gothic" w:hAnsi="Arial"/>
            <w:color w:val="2F6FD0"/>
            <w:sz w:val="19"/>
            <w:szCs w:val="19"/>
            <w:u w:val="single"/>
          </w:rPr>
          <w:t xml:space="preserve">Minkabu</w:t>
        </w:r>
      </w:hyperlink>
      <w:r>
        <w:rPr>
          <w:rFonts w:ascii="Arial" w:cs="Arial" w:eastAsia="Yu Gothic" w:hAnsi="Arial"/>
          <w:color w:val="1F2533"/>
          <w:sz w:val="19"/>
          <w:szCs w:val="19"/>
        </w:rPr>
        <w:t xml:space="preserve">).</w:t>
      </w:r>
    </w:p>
    <w:p>
      <w:pPr>
        <w:spacing w:after="40" w:before="0" w:line="276" w:lineRule="auto"/>
      </w:pPr>
    </w:p>
    <w:p>
      <w:pPr>
        <w:spacing w:after="110" w:before="0" w:line="276" w:lineRule="auto"/>
      </w:pPr>
      <w:r>
        <w:rPr>
          <w:rFonts w:ascii="Arial" w:cs="Arial" w:eastAsia="Yu Gothic" w:hAnsi="Arial"/>
          <w:b/>
          <w:bCs/>
          <w:color w:val="1F2533"/>
          <w:sz w:val="19"/>
          <w:szCs w:val="19"/>
        </w:rPr>
        <w:t xml:space="preserve">Segment drivers.</w:t>
      </w:r>
    </w:p>
    <w:p>
      <w:pPr>
        <w:pStyle w:val="ListParagraph"/>
        <w:numPr>
          <w:ilvl w:val="0"/>
          <w:numId w:val="2"/>
        </w:numPr>
        <w:spacing w:after="60" w:line="264" w:lineRule="auto"/>
      </w:pPr>
      <w:r>
        <w:rPr>
          <w:rFonts w:ascii="Arial" w:cs="Arial" w:eastAsia="Yu Gothic" w:hAnsi="Arial"/>
          <w:b/>
          <w:bCs/>
          <w:color w:val="1F2533"/>
          <w:sz w:val="19"/>
          <w:szCs w:val="19"/>
        </w:rPr>
        <w:t xml:space="preserve">Building</w:t>
      </w:r>
      <w:r>
        <w:rPr>
          <w:rFonts w:ascii="Arial" w:cs="Arial" w:eastAsia="Yu Gothic" w:hAnsi="Arial"/>
          <w:color w:val="1F2533"/>
          <w:sz w:val="19"/>
          <w:szCs w:val="19"/>
        </w:rPr>
        <w:t xml:space="preserve"> doubled its operating profit on investor property sales, which were concentrated in Q2.</w:t>
      </w:r>
    </w:p>
    <w:p>
      <w:pPr>
        <w:pStyle w:val="ListParagraph"/>
        <w:numPr>
          <w:ilvl w:val="0"/>
          <w:numId w:val="2"/>
        </w:numPr>
        <w:spacing w:after="60" w:line="264" w:lineRule="auto"/>
      </w:pPr>
      <w:r>
        <w:rPr>
          <w:rFonts w:ascii="Arial" w:cs="Arial" w:eastAsia="Yu Gothic" w:hAnsi="Arial"/>
          <w:b/>
          <w:bCs/>
          <w:color w:val="1F2533"/>
          <w:sz w:val="19"/>
          <w:szCs w:val="19"/>
        </w:rPr>
        <w:t xml:space="preserve">Residential</w:t>
      </w:r>
      <w:r>
        <w:rPr>
          <w:rFonts w:ascii="Arial" w:cs="Arial" w:eastAsia="Yu Gothic" w:hAnsi="Arial"/>
          <w:color w:val="1F2533"/>
          <w:sz w:val="19"/>
          <w:szCs w:val="19"/>
        </w:rPr>
        <w:t xml:space="preserve"> collapsed on handover timing.</w:t>
      </w:r>
    </w:p>
    <w:p>
      <w:pPr>
        <w:pStyle w:val="ListParagraph"/>
        <w:numPr>
          <w:ilvl w:val="0"/>
          <w:numId w:val="2"/>
        </w:numPr>
        <w:spacing w:after="60" w:line="264" w:lineRule="auto"/>
      </w:pPr>
      <w:r>
        <w:rPr>
          <w:rFonts w:ascii="Arial" w:cs="Arial" w:eastAsia="Yu Gothic" w:hAnsi="Arial"/>
          <w:b/>
          <w:bCs/>
          <w:color w:val="1F2533"/>
          <w:sz w:val="19"/>
          <w:szCs w:val="19"/>
        </w:rPr>
        <w:t xml:space="preserve">Asset Service</w:t>
      </w:r>
      <w:r>
        <w:rPr>
          <w:rFonts w:ascii="Arial" w:cs="Arial" w:eastAsia="Yu Gothic" w:hAnsi="Arial"/>
          <w:color w:val="1F2533"/>
          <w:sz w:val="19"/>
          <w:szCs w:val="19"/>
        </w:rPr>
        <w:t xml:space="preserve"> rose on property resales.</w:t>
      </w:r>
    </w:p>
    <w:p>
      <w:pPr>
        <w:pStyle w:val="ListParagraph"/>
        <w:numPr>
          <w:ilvl w:val="0"/>
          <w:numId w:val="2"/>
        </w:numPr>
        <w:spacing w:after="60" w:line="264" w:lineRule="auto"/>
      </w:pPr>
      <w:r>
        <w:rPr>
          <w:rFonts w:ascii="Arial" w:cs="Arial" w:eastAsia="Yu Gothic" w:hAnsi="Arial"/>
          <w:b/>
          <w:bCs/>
          <w:color w:val="1F2533"/>
          <w:sz w:val="19"/>
          <w:szCs w:val="19"/>
        </w:rPr>
        <w:t xml:space="preserve">Corporate costs</w:t>
      </w:r>
      <w:r>
        <w:rPr>
          <w:rFonts w:ascii="Arial" w:cs="Arial" w:eastAsia="Yu Gothic" w:hAnsi="Arial"/>
          <w:color w:val="1F2533"/>
          <w:sz w:val="19"/>
          <w:szCs w:val="19"/>
        </w:rPr>
        <w:t xml:space="preserve"> rose.</w:t>
      </w:r>
    </w:p>
    <w:p>
      <w:pPr>
        <w:spacing w:after="40" w:before="0" w:line="276" w:lineRule="auto"/>
      </w:pPr>
    </w:p>
    <w:p>
      <w:pPr>
        <w:spacing w:after="110" w:before="0" w:line="276" w:lineRule="auto"/>
      </w:pPr>
      <w:r>
        <w:rPr>
          <w:rFonts w:ascii="Arial" w:cs="Arial" w:eastAsia="Yu Gothic" w:hAnsi="Arial"/>
          <w:b/>
          <w:bCs/>
          <w:color w:val="1F2533"/>
          <w:sz w:val="19"/>
          <w:szCs w:val="19"/>
        </w:rPr>
        <w:t xml:space="preserve">Margins.</w:t>
      </w:r>
      <w:r>
        <w:rPr>
          <w:rFonts w:ascii="Arial" w:cs="Arial" w:eastAsia="Yu Gothic" w:hAnsi="Arial"/>
          <w:color w:val="1F2533"/>
          <w:sz w:val="19"/>
          <w:szCs w:val="19"/>
        </w:rPr>
        <w:t xml:space="preserve"> The group operating margin rose 4.2 points to 20.5% because of the mix shift.</w:t>
      </w:r>
    </w:p>
    <w:p>
      <w:pPr>
        <w:pStyle w:val="ListParagraph"/>
        <w:numPr>
          <w:ilvl w:val="0"/>
          <w:numId w:val="2"/>
        </w:numPr>
        <w:spacing w:after="60" w:line="264" w:lineRule="auto"/>
      </w:pPr>
      <w:r>
        <w:rPr>
          <w:rFonts w:ascii="Arial" w:cs="Arial" w:eastAsia="Yu Gothic" w:hAnsi="Arial"/>
          <w:color w:val="1F2533"/>
          <w:sz w:val="19"/>
          <w:szCs w:val="19"/>
        </w:rPr>
        <w:t xml:space="preserve">Q1 was 12.8%, against 18.7% a year earlier.</w:t>
      </w:r>
    </w:p>
    <w:p>
      <w:pPr>
        <w:pStyle w:val="ListParagraph"/>
        <w:numPr>
          <w:ilvl w:val="0"/>
          <w:numId w:val="2"/>
        </w:numPr>
        <w:spacing w:after="60" w:line="264" w:lineRule="auto"/>
      </w:pPr>
      <w:r>
        <w:rPr>
          <w:rFonts w:ascii="Arial" w:cs="Arial" w:eastAsia="Yu Gothic" w:hAnsi="Arial"/>
          <w:color w:val="1F2533"/>
          <w:sz w:val="19"/>
          <w:szCs w:val="19"/>
        </w:rPr>
        <w:t xml:space="preserve">Q2 was 28.4%, against 12.6% a year earlier.</w:t>
      </w:r>
    </w:p>
    <w:p>
      <w:pPr>
        <w:pStyle w:val="ListParagraph"/>
        <w:numPr>
          <w:ilvl w:val="0"/>
          <w:numId w:val="2"/>
        </w:numPr>
        <w:spacing w:after="60" w:line="264" w:lineRule="auto"/>
      </w:pPr>
      <w:r>
        <w:rPr>
          <w:rFonts w:ascii="Arial" w:cs="Arial" w:eastAsia="Yu Gothic" w:hAnsi="Arial"/>
          <w:color w:val="1F2533"/>
          <w:sz w:val="19"/>
          <w:szCs w:val="19"/>
        </w:rPr>
        <w:t xml:space="preserve">The Q1 gross margin was 24.3% (</w:t>
      </w:r>
      <w:hyperlink w:history="1" r:id="rIdsebws-xnu_l8l8eu1xhmo">
        <w:r>
          <w:rPr>
            <w:rFonts w:ascii="Arial" w:cs="Arial" w:eastAsia="Yu Gothic" w:hAnsi="Arial"/>
            <w:color w:val="2F6FD0"/>
            <w:sz w:val="19"/>
            <w:szCs w:val="19"/>
            <w:u w:val="single"/>
          </w:rPr>
          <w:t xml:space="preserve">Globe and Mail</w:t>
        </w:r>
      </w:hyperlink>
      <w:r>
        <w:rPr>
          <w:rFonts w:ascii="Arial" w:cs="Arial" w:eastAsia="Yu Gothic" w:hAnsi="Arial"/>
          <w:color w:val="1F2533"/>
          <w:sz w:val="19"/>
          <w:szCs w:val="19"/>
        </w:rPr>
        <w:t xml:space="preserve">).</w:t>
      </w:r>
    </w:p>
    <w:p>
      <w:pPr>
        <w:pStyle w:val="ListParagraph"/>
        <w:numPr>
          <w:ilvl w:val="0"/>
          <w:numId w:val="2"/>
        </w:numPr>
        <w:spacing w:after="60" w:line="264" w:lineRule="auto"/>
      </w:pPr>
      <w:r>
        <w:rPr>
          <w:rFonts w:ascii="Arial" w:cs="Arial" w:eastAsia="Yu Gothic" w:hAnsi="Arial"/>
          <w:color w:val="1F2533"/>
          <w:sz w:val="19"/>
          <w:szCs w:val="19"/>
        </w:rPr>
        <w:t xml:space="preserve">The 2.6-point fall in the condo gross margin is the clearest sign of cost pressure.</w:t>
      </w:r>
    </w:p>
    <w:p>
      <w:pPr>
        <w:spacing w:after="40" w:before="0" w:line="276" w:lineRule="auto"/>
      </w:pPr>
    </w:p>
    <w:p>
      <w:pPr>
        <w:spacing w:after="110" w:before="0" w:line="276" w:lineRule="auto"/>
      </w:pPr>
      <w:r>
        <w:rPr>
          <w:rFonts w:ascii="Arial" w:cs="Arial" w:eastAsia="Yu Gothic" w:hAnsi="Arial"/>
          <w:b/>
          <w:bCs/>
          <w:color w:val="1F2533"/>
          <w:sz w:val="19"/>
          <w:szCs w:val="19"/>
        </w:rPr>
        <w:t xml:space="preserve">Guidance and outlook.</w:t>
      </w:r>
      <w:r>
        <w:rPr>
          <w:rFonts w:ascii="Arial" w:cs="Arial" w:eastAsia="Yu Gothic" w:hAnsi="Arial"/>
          <w:color w:val="1F2533"/>
          <w:sz w:val="19"/>
          <w:szCs w:val="19"/>
        </w:rPr>
        <w:t xml:space="preserve"> Revised FY2026 guidance: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146"/>
        <w:gridCol w:w="1379"/>
        <w:gridCol w:w="2221"/>
      </w:tblGrid>
      <w:tr>
        <w:trPr>
          <w:cantSplit/>
          <w:tblHeader/>
        </w:trPr>
        <w:tc>
          <w:tcPr>
            <w:tcW w:type="dxa" w:w="6146"/>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bCs/>
                <w:color w:val="FFFFFF"/>
                <w:sz w:val="16"/>
                <w:szCs w:val="16"/>
              </w:rPr>
              <w:t xml:space="preserve">Item</w:t>
            </w:r>
          </w:p>
        </w:tc>
        <w:tc>
          <w:tcPr>
            <w:tcW w:type="dxa" w:w="1379"/>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6"/>
                <w:szCs w:val="16"/>
              </w:rPr>
              <w:t xml:space="preserve">Original guidance</w:t>
            </w:r>
          </w:p>
        </w:tc>
        <w:tc>
          <w:tcPr>
            <w:tcW w:type="dxa" w:w="2221"/>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6"/>
                <w:szCs w:val="16"/>
              </w:rPr>
              <w:t xml:space="preserve">Revised guidance</w:t>
            </w:r>
          </w:p>
        </w:tc>
      </w:tr>
      <w:tr>
        <w:trPr>
          <w:cantSplit/>
        </w:trPr>
        <w:tc>
          <w:tcPr>
            <w:tcW w:type="dxa" w:w="614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Operating income</w:t>
            </w:r>
          </w:p>
        </w:tc>
        <w:tc>
          <w:tcPr>
            <w:tcW w:type="dxa" w:w="1379"/>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6"/>
                <w:szCs w:val="16"/>
              </w:rPr>
              <w:t xml:space="preserve">¥100.0bn</w:t>
            </w:r>
          </w:p>
        </w:tc>
        <w:tc>
          <w:tcPr>
            <w:tcW w:type="dxa" w:w="2221"/>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6"/>
                <w:szCs w:val="16"/>
              </w:rPr>
              <w:t xml:space="preserve">¥105.5bn</w:t>
            </w:r>
          </w:p>
        </w:tc>
      </w:tr>
      <w:tr>
        <w:trPr>
          <w:cantSplit/>
        </w:trPr>
        <w:tc>
          <w:tcPr>
            <w:tcW w:type="dxa" w:w="6146"/>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Ordinary income</w:t>
            </w:r>
          </w:p>
        </w:tc>
        <w:tc>
          <w:tcPr>
            <w:tcW w:type="dxa" w:w="1379"/>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6"/>
                <w:szCs w:val="16"/>
              </w:rPr>
              <w:t xml:space="preserve">¥80.5bn</w:t>
            </w:r>
          </w:p>
        </w:tc>
        <w:tc>
          <w:tcPr>
            <w:tcW w:type="dxa" w:w="2221"/>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6"/>
                <w:szCs w:val="16"/>
              </w:rPr>
              <w:t xml:space="preserve">¥83.5bn</w:t>
            </w:r>
          </w:p>
        </w:tc>
      </w:tr>
      <w:tr>
        <w:trPr>
          <w:cantSplit/>
        </w:trPr>
        <w:tc>
          <w:tcPr>
            <w:tcW w:type="dxa" w:w="614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Net income</w:t>
            </w:r>
          </w:p>
        </w:tc>
        <w:tc>
          <w:tcPr>
            <w:tcW w:type="dxa" w:w="1379"/>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6"/>
                <w:szCs w:val="16"/>
              </w:rPr>
              <w:t xml:space="preserve">¥63.0bn</w:t>
            </w:r>
          </w:p>
        </w:tc>
        <w:tc>
          <w:tcPr>
            <w:tcW w:type="dxa" w:w="2221"/>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6"/>
                <w:szCs w:val="16"/>
              </w:rPr>
              <w:t xml:space="preserve">¥65.0bn</w:t>
            </w:r>
          </w:p>
        </w:tc>
      </w:tr>
      <w:tr>
        <w:trPr>
          <w:cantSplit/>
        </w:trPr>
        <w:tc>
          <w:tcPr>
            <w:tcW w:type="dxa" w:w="6146"/>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Dividend per share</w:t>
            </w:r>
          </w:p>
        </w:tc>
        <w:tc>
          <w:tcPr>
            <w:tcW w:type="dxa" w:w="1379"/>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6"/>
                <w:szCs w:val="16"/>
              </w:rPr>
              <w:t xml:space="preserve">¥122</w:t>
            </w:r>
          </w:p>
        </w:tc>
        <w:tc>
          <w:tcPr>
            <w:tcW w:type="dxa" w:w="2221"/>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6"/>
                <w:szCs w:val="16"/>
              </w:rPr>
              <w:t xml:space="preserve">¥126 (¥61 interim + ¥65 year-end)</w:t>
            </w:r>
          </w:p>
        </w:tc>
      </w:tr>
    </w:tbl>
    <w:p>
      <w:pPr>
        <w:spacing w:after="120" w:before="0" w:line="276" w:lineRule="auto"/>
      </w:pPr>
    </w:p>
    <w:p>
      <w:pPr>
        <w:spacing w:after="110" w:before="0" w:line="276" w:lineRule="auto"/>
      </w:pPr>
      <w:r>
        <w:rPr>
          <w:rFonts w:ascii="Arial" w:cs="Arial" w:eastAsia="Yu Gothic" w:hAnsi="Arial"/>
          <w:color w:val="1F2533"/>
          <w:sz w:val="19"/>
          <w:szCs w:val="19"/>
        </w:rPr>
        <w:t xml:space="preserve">Revenue guidance appears unchanged at ¥524.0bn, although only one source confirms this. Management says the main plan targets will be reached a year early. The tone was the most confident of the period. The two offsets were the overseas equity-method review and higher corporate costs (</w:t>
      </w:r>
      <w:hyperlink w:history="1" r:id="rIdx9bn2ffvae3bynb902xqz">
        <w:r>
          <w:rPr>
            <w:rFonts w:ascii="Arial" w:cs="Arial" w:eastAsia="Yu Gothic" w:hAnsi="Arial"/>
            <w:color w:val="2F6FD0"/>
            <w:sz w:val="19"/>
            <w:szCs w:val="19"/>
            <w:u w:val="single"/>
          </w:rPr>
          <w:t xml:space="preserve">Minkabu</w:t>
        </w:r>
      </w:hyperlink>
      <w:r>
        <w:rPr>
          <w:rFonts w:ascii="Arial" w:cs="Arial" w:eastAsia="Yu Gothic" w:hAnsi="Arial"/>
          <w:color w:val="1F2533"/>
          <w:sz w:val="19"/>
          <w:szCs w:val="19"/>
        </w:rPr>
        <w:t xml:space="preserve">).</w:t>
      </w:r>
    </w:p>
    <w:p>
      <w:pPr>
        <w:spacing w:after="110" w:before="0" w:line="276" w:lineRule="auto"/>
      </w:pPr>
      <w:r>
        <w:rPr>
          <w:rFonts w:ascii="Arial" w:cs="Arial" w:eastAsia="Yu Gothic" w:hAnsi="Arial"/>
          <w:b/>
          <w:bCs/>
          <w:color w:val="1F2533"/>
          <w:sz w:val="19"/>
          <w:szCs w:val="19"/>
        </w:rPr>
        <w:t xml:space="preserve">Balance-sheet flags.</w:t>
      </w:r>
    </w:p>
    <w:p>
      <w:pPr>
        <w:pStyle w:val="ListParagraph"/>
        <w:numPr>
          <w:ilvl w:val="0"/>
          <w:numId w:val="2"/>
        </w:numPr>
        <w:spacing w:after="60" w:line="264" w:lineRule="auto"/>
      </w:pPr>
      <w:r>
        <w:rPr>
          <w:rFonts w:ascii="Arial" w:cs="Arial" w:eastAsia="Yu Gothic" w:hAnsi="Arial"/>
          <w:color w:val="1F2533"/>
          <w:sz w:val="19"/>
          <w:szCs w:val="19"/>
        </w:rPr>
        <w:t xml:space="preserve">Interest-bearing debt jumped ¥191bn in six months, while cash fell ¥58bn.</w:t>
      </w:r>
    </w:p>
    <w:p>
      <w:pPr>
        <w:pStyle w:val="ListParagraph"/>
        <w:numPr>
          <w:ilvl w:val="0"/>
          <w:numId w:val="2"/>
        </w:numPr>
        <w:spacing w:after="60" w:line="264" w:lineRule="auto"/>
      </w:pPr>
      <w:r>
        <w:rPr>
          <w:rFonts w:ascii="Arial" w:cs="Arial" w:eastAsia="Yu Gothic" w:hAnsi="Arial"/>
          <w:color w:val="1F2533"/>
          <w:sz w:val="19"/>
          <w:szCs w:val="19"/>
        </w:rPr>
        <w:t xml:space="preserve">The equity ratio slipped to 24.5%. Interest-bearing debt/equity reached about 2.53x, above the ≈2.4x guide.</w:t>
      </w:r>
    </w:p>
    <w:p>
      <w:pPr>
        <w:pStyle w:val="ListParagraph"/>
        <w:numPr>
          <w:ilvl w:val="0"/>
          <w:numId w:val="2"/>
        </w:numPr>
        <w:spacing w:after="60" w:line="264" w:lineRule="auto"/>
      </w:pPr>
      <w:r>
        <w:rPr>
          <w:rFonts w:ascii="Arial" w:cs="Arial" w:eastAsia="Yu Gothic" w:hAnsi="Arial"/>
          <w:color w:val="1F2533"/>
          <w:sz w:val="19"/>
          <w:szCs w:val="19"/>
        </w:rPr>
        <w:t xml:space="preserve">Inventory and receivables lines were not retrievable.</w:t>
      </w:r>
    </w:p>
    <w:p>
      <w:pPr>
        <w:pStyle w:val="ListParagraph"/>
        <w:numPr>
          <w:ilvl w:val="0"/>
          <w:numId w:val="2"/>
        </w:numPr>
        <w:spacing w:after="60" w:line="264" w:lineRule="auto"/>
      </w:pPr>
      <w:r>
        <w:rPr>
          <w:rFonts w:ascii="Arial" w:cs="Arial" w:eastAsia="Yu Gothic" w:hAnsi="Arial"/>
          <w:color w:val="1F2533"/>
          <w:sz w:val="19"/>
          <w:szCs w:val="19"/>
        </w:rPr>
        <w:t xml:space="preserve">The debt build most likely reflects three things:</w:t>
      </w:r>
    </w:p>
    <w:p>
      <w:pPr>
        <w:pStyle w:val="ListParagraph"/>
        <w:numPr>
          <w:ilvl w:val="1"/>
          <w:numId w:val="2"/>
        </w:numPr>
        <w:spacing w:after="60" w:line="264" w:lineRule="auto"/>
      </w:pPr>
      <w:r>
        <w:rPr>
          <w:rFonts w:ascii="Arial" w:cs="Arial" w:eastAsia="Yu Gothic" w:hAnsi="Arial"/>
          <w:color w:val="1F2533"/>
          <w:sz w:val="19"/>
          <w:szCs w:val="19"/>
        </w:rPr>
        <w:t xml:space="preserve">for-sale property bought or built ahead of second-half disposals;</w:t>
      </w:r>
    </w:p>
    <w:p>
      <w:pPr>
        <w:pStyle w:val="ListParagraph"/>
        <w:numPr>
          <w:ilvl w:val="1"/>
          <w:numId w:val="2"/>
        </w:numPr>
        <w:spacing w:after="60" w:line="264" w:lineRule="auto"/>
      </w:pPr>
      <w:r>
        <w:rPr>
          <w:rFonts w:ascii="Arial" w:cs="Arial" w:eastAsia="Yu Gothic" w:hAnsi="Arial"/>
          <w:color w:val="1F2533"/>
          <w:sz w:val="19"/>
          <w:szCs w:val="19"/>
        </w:rPr>
        <w:t xml:space="preserve">acquisitions of existing buildings (from Blackstone and Yellow Hat);</w:t>
      </w:r>
    </w:p>
    <w:p>
      <w:pPr>
        <w:pStyle w:val="ListParagraph"/>
        <w:numPr>
          <w:ilvl w:val="1"/>
          <w:numId w:val="2"/>
        </w:numPr>
        <w:spacing w:after="60" w:line="264" w:lineRule="auto"/>
      </w:pPr>
      <w:r>
        <w:rPr>
          <w:rFonts w:ascii="Arial" w:cs="Arial" w:eastAsia="Yu Gothic" w:hAnsi="Arial"/>
          <w:color w:val="1F2533"/>
          <w:sz w:val="19"/>
          <w:szCs w:val="19"/>
        </w:rPr>
        <w:t xml:space="preserve">the Star Mica stake.</w:t>
      </w:r>
    </w:p>
    <w:p>
      <w:pPr>
        <w:pStyle w:val="ListParagraph"/>
        <w:numPr>
          <w:ilvl w:val="0"/>
          <w:numId w:val="2"/>
        </w:numPr>
        <w:spacing w:after="60" w:line="264" w:lineRule="auto"/>
      </w:pPr>
      <w:r>
        <w:rPr>
          <w:rFonts w:ascii="Arial" w:cs="Arial" w:eastAsia="Yu Gothic" w:hAnsi="Arial"/>
          <w:color w:val="1F2533"/>
          <w:sz w:val="19"/>
          <w:szCs w:val="19"/>
        </w:rPr>
        <w:t xml:space="preserve">Year-end debt is therefore the key test of whether the sale programme converts to cash.</w:t>
      </w:r>
    </w:p>
    <w:p>
      <w:pPr>
        <w:spacing w:after="40" w:before="0" w:line="276" w:lineRule="auto"/>
      </w:pPr>
    </w:p>
    <w:p>
      <w:pPr>
        <w:spacing w:after="110" w:before="0" w:line="276" w:lineRule="auto"/>
      </w:pPr>
      <w:r>
        <w:rPr>
          <w:rFonts w:ascii="Arial" w:cs="Arial" w:eastAsia="Yu Gothic" w:hAnsi="Arial"/>
          <w:b/>
          <w:bCs/>
          <w:color w:val="1F2533"/>
          <w:sz w:val="19"/>
          <w:szCs w:val="19"/>
        </w:rPr>
        <w:t xml:space="preserve">Market reaction.</w:t>
      </w:r>
      <w:r>
        <w:rPr>
          <w:rFonts w:ascii="Arial" w:cs="Arial" w:eastAsia="Yu Gothic" w:hAnsi="Arial"/>
          <w:color w:val="1F2533"/>
          <w:sz w:val="19"/>
          <w:szCs w:val="19"/>
        </w:rPr>
        <w:t xml:space="preserve"> The shares rose for a third straight session on 7 August (</w:t>
      </w:r>
      <w:hyperlink w:history="1" r:id="rId8pwkpwak4gkhk_das2fbd">
        <w:r>
          <w:rPr>
            <w:rFonts w:ascii="Arial" w:cs="Arial" w:eastAsia="Yu Gothic" w:hAnsi="Arial"/>
            <w:color w:val="2F6FD0"/>
            <w:sz w:val="19"/>
            <w:szCs w:val="19"/>
            <w:u w:val="single"/>
          </w:rPr>
          <w:t xml:space="preserve">Minkabu</w:t>
        </w:r>
      </w:hyperlink>
      <w:r>
        <w:rPr>
          <w:rFonts w:ascii="Arial" w:cs="Arial" w:eastAsia="Yu Gothic" w:hAnsi="Arial"/>
          <w:color w:val="1F2533"/>
          <w:sz w:val="19"/>
          <w:szCs w:val="19"/>
        </w:rPr>
        <w:t xml:space="preserve">) and ended August only +1.7%.</w:t>
      </w:r>
    </w:p>
    <w:p>
      <w:pPr>
        <w:pStyle w:val="ListParagraph"/>
        <w:numPr>
          <w:ilvl w:val="0"/>
          <w:numId w:val="2"/>
        </w:numPr>
        <w:spacing w:after="60" w:line="264" w:lineRule="auto"/>
      </w:pPr>
      <w:r>
        <w:rPr>
          <w:rFonts w:ascii="Arial" w:cs="Arial" w:eastAsia="Yu Gothic" w:hAnsi="Arial"/>
          <w:color w:val="1F2533"/>
          <w:sz w:val="19"/>
          <w:szCs w:val="19"/>
        </w:rPr>
        <w:t xml:space="preserve">Broker targets went to ¥4,480 (Nomura, Buy), ¥3,700 (a US broker) and ¥3,680 (a Japanese broker, Neutral).</w:t>
      </w:r>
    </w:p>
    <w:p>
      <w:pPr>
        <w:pStyle w:val="ListParagraph"/>
        <w:numPr>
          <w:ilvl w:val="0"/>
          <w:numId w:val="2"/>
        </w:numPr>
        <w:spacing w:after="60" w:line="264" w:lineRule="auto"/>
      </w:pPr>
      <w:r>
        <w:rPr>
          <w:rFonts w:ascii="Arial" w:cs="Arial" w:eastAsia="Yu Gothic" w:hAnsi="Arial"/>
          <w:color w:val="1F2533"/>
          <w:sz w:val="19"/>
          <w:szCs w:val="19"/>
        </w:rPr>
        <w:t xml:space="preserve">The stock then fell 9.3% from its July high to ¥3,211 as the BOJ hiked.</w:t>
      </w:r>
    </w:p>
    <w:p>
      <w:pPr>
        <w:pStyle w:val="ListParagraph"/>
        <w:numPr>
          <w:ilvl w:val="0"/>
          <w:numId w:val="2"/>
        </w:numPr>
        <w:spacing w:after="60" w:line="264" w:lineRule="auto"/>
      </w:pPr>
      <w:r>
        <w:rPr>
          <w:rFonts w:ascii="Arial" w:cs="Arial" w:eastAsia="Yu Gothic" w:hAnsi="Arial"/>
          <w:color w:val="1F2533"/>
          <w:sz w:val="19"/>
          <w:szCs w:val="19"/>
        </w:rPr>
        <w:t xml:space="preserve">The muted reaction says the upgrade was largely priced in. Consensus had already sat above guidance, and the market discounts sale-driven upgrades.</w:t>
      </w:r>
    </w:p>
    <w:p>
      <w:pPr>
        <w:spacing w:after="40" w:before="0" w:line="276" w:lineRule="auto"/>
      </w:pPr>
    </w:p>
    <w:p>
      <w:pPr>
        <w:spacing w:after="110" w:before="0" w:line="276" w:lineRule="auto"/>
      </w:pPr>
      <w:r>
        <w:rPr>
          <w:rFonts w:ascii="Arial" w:cs="Arial" w:eastAsia="Yu Gothic" w:hAnsi="Arial"/>
          <w:b/>
          <w:bCs/>
          <w:color w:val="1F2533"/>
          <w:sz w:val="19"/>
          <w:szCs w:val="19"/>
        </w:rPr>
        <w:t xml:space="preserve">What is unusual compared with recent history:</w:t>
      </w:r>
    </w:p>
    <w:p>
      <w:pPr>
        <w:pStyle w:val="ListParagraph"/>
        <w:numPr>
          <w:ilvl w:val="0"/>
          <w:numId w:val="8"/>
        </w:numPr>
        <w:spacing w:after="60" w:line="264" w:lineRule="auto"/>
      </w:pPr>
      <w:r>
        <w:rPr>
          <w:rFonts w:ascii="Arial" w:cs="Arial" w:eastAsia="Yu Gothic" w:hAnsi="Arial"/>
          <w:color w:val="1F2533"/>
          <w:sz w:val="19"/>
          <w:szCs w:val="19"/>
        </w:rPr>
        <w:t xml:space="preserve">Guidance was raised at the half-year rather than at Q3.</w:t>
      </w:r>
    </w:p>
    <w:p>
      <w:pPr>
        <w:pStyle w:val="ListParagraph"/>
        <w:numPr>
          <w:ilvl w:val="0"/>
          <w:numId w:val="8"/>
        </w:numPr>
        <w:spacing w:after="60" w:line="264" w:lineRule="auto"/>
      </w:pPr>
      <w:r>
        <w:rPr>
          <w:rFonts w:ascii="Arial" w:cs="Arial" w:eastAsia="Yu Gothic" w:hAnsi="Arial"/>
          <w:color w:val="1F2533"/>
          <w:sz w:val="19"/>
          <w:szCs w:val="19"/>
        </w:rPr>
        <w:t xml:space="preserve">Profit rose sharply while revenue fell.</w:t>
      </w:r>
    </w:p>
    <w:p>
      <w:pPr>
        <w:pStyle w:val="ListParagraph"/>
        <w:numPr>
          <w:ilvl w:val="0"/>
          <w:numId w:val="8"/>
        </w:numPr>
        <w:spacing w:after="60" w:line="264" w:lineRule="auto"/>
      </w:pPr>
      <w:r>
        <w:rPr>
          <w:rFonts w:ascii="Arial" w:cs="Arial" w:eastAsia="Yu Gothic" w:hAnsi="Arial"/>
          <w:color w:val="1F2533"/>
          <w:sz w:val="19"/>
          <w:szCs w:val="19"/>
        </w:rPr>
        <w:t xml:space="preserve">Q2 operating income was 2.6 times the prior year's.</w:t>
      </w:r>
    </w:p>
    <w:p>
      <w:pPr>
        <w:pStyle w:val="ListParagraph"/>
        <w:numPr>
          <w:ilvl w:val="0"/>
          <w:numId w:val="8"/>
        </w:numPr>
        <w:spacing w:after="60" w:line="264" w:lineRule="auto"/>
      </w:pPr>
      <w:r>
        <w:rPr>
          <w:rFonts w:ascii="Arial" w:cs="Arial" w:eastAsia="Yu Gothic" w:hAnsi="Arial"/>
          <w:color w:val="1F2533"/>
          <w:sz w:val="19"/>
          <w:szCs w:val="19"/>
        </w:rPr>
        <w:t xml:space="preserve">The residential trough is deeper than in prior years.</w:t>
      </w:r>
    </w:p>
    <w:p>
      <w:pPr>
        <w:pStyle w:val="ListParagraph"/>
        <w:numPr>
          <w:ilvl w:val="0"/>
          <w:numId w:val="8"/>
        </w:numPr>
        <w:spacing w:after="60" w:line="264" w:lineRule="auto"/>
      </w:pPr>
      <w:r>
        <w:rPr>
          <w:rFonts w:ascii="Arial" w:cs="Arial" w:eastAsia="Yu Gothic" w:hAnsi="Arial"/>
          <w:color w:val="1F2533"/>
          <w:sz w:val="19"/>
          <w:szCs w:val="19"/>
        </w:rPr>
        <w:t xml:space="preserve">Debt expanded by ¥191bn in a single half.</w:t>
      </w:r>
    </w:p>
    <w:p>
      <w:pPr>
        <w:pStyle w:val="ListParagraph"/>
        <w:numPr>
          <w:ilvl w:val="0"/>
          <w:numId w:val="8"/>
        </w:numPr>
        <w:spacing w:after="60" w:line="264" w:lineRule="auto"/>
      </w:pPr>
      <w:r>
        <w:rPr>
          <w:rFonts w:ascii="Arial" w:cs="Arial" w:eastAsia="Yu Gothic" w:hAnsi="Arial"/>
          <w:color w:val="1F2533"/>
          <w:sz w:val="19"/>
          <w:szCs w:val="19"/>
        </w:rPr>
        <w:t xml:space="preserve">Revenue progress was only 37% of the ¥524bn guidance, against 44% a year earlier. The second half needs about ¥330bn of revenue, against ¥266bn in 2H FY2025, so the revenue line looks at risk even if profit guidance holds.</w:t>
      </w:r>
    </w:p>
    <w:p>
      <w:pPr>
        <w:spacing w:after="40" w:before="0" w:line="276" w:lineRule="auto"/>
      </w:pPr>
    </w:p>
    <w:p>
      <w:pPr>
        <w:pBdr>
          <w:left w:val="single" w:color="2F6FD0" w:sz="24" w:space="8"/>
        </w:pBdr>
        <w:shd w:fill="EEF3FA" w:color="auto" w:val="clear"/>
        <w:spacing w:after="160" w:before="60" w:line="264" w:lineRule="auto"/>
        <w:ind w:left="200" w:right="200"/>
      </w:pPr>
      <w:r>
        <w:rPr>
          <w:rFonts w:ascii="Arial" w:cs="Arial" w:eastAsia="Yu Gothic" w:hAnsi="Arial"/>
          <w:b/>
          <w:bCs/>
          <w:color w:val="15233F"/>
          <w:sz w:val="18"/>
          <w:szCs w:val="18"/>
        </w:rPr>
        <w:t xml:space="preserve">Key takeaway:</w:t>
      </w:r>
      <w:r>
        <w:rPr>
          <w:rFonts w:ascii="Arial" w:cs="Arial" w:eastAsia="Yu Gothic" w:hAnsi="Arial"/>
          <w:color w:val="15233F"/>
          <w:sz w:val="18"/>
          <w:szCs w:val="18"/>
        </w:rPr>
        <w:t xml:space="preserve"> The latest result was a clean profit beat against the company's own plan. But it was driven by sales and accompanied by balance-sheet expansion. Sentiment is at its most positive just as the drivers become more cyclical. The next proof points are the Q3 release (mid-November) and year-end debt.</w:t>
      </w:r>
    </w:p>
    <w:p>
      <w:pPr>
        <w:pStyle w:val="Heading1"/>
        <w:keepNext/>
        <w:keepLines/>
        <w:pageBreakBefore/>
        <w:pBdr>
          <w:bottom w:val="single" w:color="2F6FD0" w:sz="12" w:space="6"/>
        </w:pBdr>
        <w:spacing w:after="160" w:before="0" w:line="252" w:lineRule="auto"/>
      </w:pPr>
      <w:r>
        <w:rPr>
          <w:rFonts w:ascii="Arial" w:cs="Arial" w:eastAsia="Yu Gothic" w:hAnsi="Arial"/>
          <w:b/>
          <w:bCs/>
          <w:color w:val="15233F"/>
          <w:sz w:val="32"/>
          <w:szCs w:val="32"/>
        </w:rPr>
        <w:t xml:space="preserve">8. EPS estimates FY2026E–FY2028E: ¥315, ¥323 and ¥330, with financing costs absorbing most of the operating growth</w:t>
      </w:r>
    </w:p>
    <w:p>
      <w:pPr>
        <w:pStyle w:val="Heading2"/>
        <w:keepNext/>
        <w:keepLines/>
        <w:spacing w:after="90" w:before="260" w:line="252" w:lineRule="auto"/>
      </w:pPr>
      <w:r>
        <w:rPr>
          <w:rFonts w:ascii="Arial" w:cs="Arial" w:eastAsia="Yu Gothic" w:hAnsi="Arial"/>
          <w:b/>
          <w:bCs/>
          <w:color w:val="15233F"/>
          <w:sz w:val="25"/>
          <w:szCs w:val="25"/>
        </w:rPr>
        <w:t xml:space="preserve">Our build</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5"/>
        <w:gridCol w:w="1269"/>
        <w:gridCol w:w="882"/>
        <w:gridCol w:w="880"/>
        <w:gridCol w:w="880"/>
      </w:tblGrid>
      <w:tr>
        <w:trPr>
          <w:cantSplit/>
          <w:tblHeader/>
        </w:trPr>
        <w:tc>
          <w:tcPr>
            <w:tcW w:type="dxa" w:w="5835"/>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bCs/>
                <w:color w:val="FFFFFF"/>
                <w:sz w:val="15"/>
                <w:szCs w:val="15"/>
              </w:rPr>
              <w:t xml:space="preserve">¥bn</w:t>
            </w:r>
          </w:p>
        </w:tc>
        <w:tc>
          <w:tcPr>
            <w:tcW w:type="dxa" w:w="1269"/>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5"/>
                <w:szCs w:val="15"/>
              </w:rPr>
              <w:t xml:space="preserve">FY2025A</w:t>
            </w:r>
          </w:p>
        </w:tc>
        <w:tc>
          <w:tcPr>
            <w:tcW w:type="dxa" w:w="882"/>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5"/>
                <w:szCs w:val="15"/>
              </w:rPr>
              <w:t xml:space="preserve">FY2026E</w:t>
            </w:r>
          </w:p>
        </w:tc>
        <w:tc>
          <w:tcPr>
            <w:tcW w:type="dxa" w:w="880"/>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5"/>
                <w:szCs w:val="15"/>
              </w:rPr>
              <w:t xml:space="preserve">FY2027E</w:t>
            </w:r>
          </w:p>
        </w:tc>
        <w:tc>
          <w:tcPr>
            <w:tcW w:type="dxa" w:w="880"/>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5"/>
                <w:szCs w:val="15"/>
              </w:rPr>
              <w:t xml:space="preserve">FY2028E</w:t>
            </w:r>
          </w:p>
        </w:tc>
      </w:tr>
      <w:tr>
        <w:trPr>
          <w:cantSplit/>
        </w:trPr>
        <w:tc>
          <w:tcPr>
            <w:tcW w:type="dxa" w:w="5835"/>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5"/>
                <w:szCs w:val="15"/>
              </w:rPr>
              <w:t xml:space="preserve">Building segment operating profit</w:t>
            </w:r>
          </w:p>
        </w:tc>
        <w:tc>
          <w:tcPr>
            <w:tcW w:type="dxa" w:w="1269"/>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5"/>
                <w:szCs w:val="15"/>
              </w:rPr>
              <w:t xml:space="preserve">67.1</w:t>
            </w:r>
          </w:p>
        </w:tc>
        <w:tc>
          <w:tcPr>
            <w:tcW w:type="dxa" w:w="882"/>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5"/>
                <w:szCs w:val="15"/>
              </w:rPr>
              <w:t xml:space="preserve">84.5</w:t>
            </w:r>
          </w:p>
        </w:tc>
        <w:tc>
          <w:tcPr>
            <w:tcW w:type="dxa" w:w="880"/>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5"/>
                <w:szCs w:val="15"/>
              </w:rPr>
              <w:t xml:space="preserve">86.0</w:t>
            </w:r>
          </w:p>
        </w:tc>
        <w:tc>
          <w:tcPr>
            <w:tcW w:type="dxa" w:w="880"/>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5"/>
                <w:szCs w:val="15"/>
              </w:rPr>
              <w:t xml:space="preserve">90.5</w:t>
            </w:r>
          </w:p>
        </w:tc>
      </w:tr>
      <w:tr>
        <w:trPr>
          <w:cantSplit/>
        </w:trPr>
        <w:tc>
          <w:tcPr>
            <w:tcW w:type="dxa" w:w="5835"/>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5"/>
                <w:szCs w:val="15"/>
              </w:rPr>
              <w:t xml:space="preserve">of which: change in leasing and operations profit</w:t>
            </w:r>
          </w:p>
        </w:tc>
        <w:tc>
          <w:tcPr>
            <w:tcW w:type="dxa" w:w="1269"/>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5"/>
                <w:szCs w:val="15"/>
              </w:rPr>
              <w:t xml:space="preserve">—</w:t>
            </w:r>
          </w:p>
        </w:tc>
        <w:tc>
          <w:tcPr>
            <w:tcW w:type="dxa" w:w="882"/>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5"/>
                <w:szCs w:val="15"/>
              </w:rPr>
              <w:t xml:space="preserve">+3.5</w:t>
            </w:r>
          </w:p>
        </w:tc>
        <w:tc>
          <w:tcPr>
            <w:tcW w:type="dxa" w:w="880"/>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5"/>
                <w:szCs w:val="15"/>
              </w:rPr>
              <w:t xml:space="preserve">+5.5</w:t>
            </w:r>
          </w:p>
        </w:tc>
        <w:tc>
          <w:tcPr>
            <w:tcW w:type="dxa" w:w="880"/>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5"/>
                <w:szCs w:val="15"/>
              </w:rPr>
              <w:t xml:space="preserve">+4.5</w:t>
            </w:r>
          </w:p>
        </w:tc>
      </w:tr>
      <w:tr>
        <w:trPr>
          <w:cantSplit/>
        </w:trPr>
        <w:tc>
          <w:tcPr>
            <w:tcW w:type="dxa" w:w="5835"/>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5"/>
                <w:szCs w:val="15"/>
              </w:rPr>
              <w:t xml:space="preserve">of which: change in investor-sale profit</w:t>
            </w:r>
          </w:p>
        </w:tc>
        <w:tc>
          <w:tcPr>
            <w:tcW w:type="dxa" w:w="1269"/>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5"/>
                <w:szCs w:val="15"/>
              </w:rPr>
              <w:t xml:space="preserve">—</w:t>
            </w:r>
          </w:p>
        </w:tc>
        <w:tc>
          <w:tcPr>
            <w:tcW w:type="dxa" w:w="882"/>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5"/>
                <w:szCs w:val="15"/>
              </w:rPr>
              <w:t xml:space="preserve">+14.0</w:t>
            </w:r>
          </w:p>
        </w:tc>
        <w:tc>
          <w:tcPr>
            <w:tcW w:type="dxa" w:w="880"/>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5"/>
                <w:szCs w:val="15"/>
              </w:rPr>
              <w:t xml:space="preserve">−4.0</w:t>
            </w:r>
          </w:p>
        </w:tc>
        <w:tc>
          <w:tcPr>
            <w:tcW w:type="dxa" w:w="880"/>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5"/>
                <w:szCs w:val="15"/>
              </w:rPr>
              <w:t xml:space="preserve">0.0</w:t>
            </w:r>
          </w:p>
        </w:tc>
      </w:tr>
      <w:tr>
        <w:trPr>
          <w:cantSplit/>
        </w:trPr>
        <w:tc>
          <w:tcPr>
            <w:tcW w:type="dxa" w:w="5835"/>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5"/>
                <w:szCs w:val="15"/>
              </w:rPr>
              <w:t xml:space="preserve">Residential segment operating profit</w:t>
            </w:r>
          </w:p>
        </w:tc>
        <w:tc>
          <w:tcPr>
            <w:tcW w:type="dxa" w:w="1269"/>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5"/>
                <w:szCs w:val="15"/>
              </w:rPr>
              <w:t xml:space="preserve">25.6</w:t>
            </w:r>
          </w:p>
        </w:tc>
        <w:tc>
          <w:tcPr>
            <w:tcW w:type="dxa" w:w="882"/>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5"/>
                <w:szCs w:val="15"/>
              </w:rPr>
              <w:t xml:space="preserve">22.0</w:t>
            </w:r>
          </w:p>
        </w:tc>
        <w:tc>
          <w:tcPr>
            <w:tcW w:type="dxa" w:w="880"/>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5"/>
                <w:szCs w:val="15"/>
              </w:rPr>
              <w:t xml:space="preserve">27.0</w:t>
            </w:r>
          </w:p>
        </w:tc>
        <w:tc>
          <w:tcPr>
            <w:tcW w:type="dxa" w:w="880"/>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5"/>
                <w:szCs w:val="15"/>
              </w:rPr>
              <w:t xml:space="preserve">28.0</w:t>
            </w:r>
          </w:p>
        </w:tc>
      </w:tr>
      <w:tr>
        <w:trPr>
          <w:cantSplit/>
        </w:trPr>
        <w:tc>
          <w:tcPr>
            <w:tcW w:type="dxa" w:w="5835"/>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5"/>
                <w:szCs w:val="15"/>
              </w:rPr>
              <w:t xml:space="preserve">Asset Service + Other − corporate costs</w:t>
            </w:r>
          </w:p>
        </w:tc>
        <w:tc>
          <w:tcPr>
            <w:tcW w:type="dxa" w:w="1269"/>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5"/>
                <w:szCs w:val="15"/>
              </w:rPr>
              <w:t xml:space="preserve">3.2</w:t>
            </w:r>
          </w:p>
        </w:tc>
        <w:tc>
          <w:tcPr>
            <w:tcW w:type="dxa" w:w="882"/>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5"/>
                <w:szCs w:val="15"/>
              </w:rPr>
              <w:t xml:space="preserve">0.5</w:t>
            </w:r>
          </w:p>
        </w:tc>
        <w:tc>
          <w:tcPr>
            <w:tcW w:type="dxa" w:w="880"/>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5"/>
                <w:szCs w:val="15"/>
              </w:rPr>
              <w:t xml:space="preserve">0.0</w:t>
            </w:r>
          </w:p>
        </w:tc>
        <w:tc>
          <w:tcPr>
            <w:tcW w:type="dxa" w:w="880"/>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5"/>
                <w:szCs w:val="15"/>
              </w:rPr>
              <w:t xml:space="preserve">−0.5</w:t>
            </w:r>
          </w:p>
        </w:tc>
      </w:tr>
      <w:tr>
        <w:trPr>
          <w:cantSplit/>
        </w:trPr>
        <w:tc>
          <w:tcPr>
            <w:tcW w:type="dxa" w:w="5835"/>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bCs/>
                <w:color w:val="1F2533"/>
                <w:sz w:val="15"/>
                <w:szCs w:val="15"/>
              </w:rPr>
              <w:t xml:space="preserve">Operating income</w:t>
            </w:r>
          </w:p>
        </w:tc>
        <w:tc>
          <w:tcPr>
            <w:tcW w:type="dxa" w:w="1269"/>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b/>
                <w:bCs/>
                <w:color w:val="1F2533"/>
                <w:sz w:val="15"/>
                <w:szCs w:val="15"/>
              </w:rPr>
              <w:t xml:space="preserve">95.8</w:t>
            </w:r>
          </w:p>
        </w:tc>
        <w:tc>
          <w:tcPr>
            <w:tcW w:type="dxa" w:w="882"/>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b/>
                <w:bCs/>
                <w:color w:val="1F2533"/>
                <w:sz w:val="15"/>
                <w:szCs w:val="15"/>
              </w:rPr>
              <w:t xml:space="preserve">107.0</w:t>
            </w:r>
          </w:p>
        </w:tc>
        <w:tc>
          <w:tcPr>
            <w:tcW w:type="dxa" w:w="880"/>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b/>
                <w:bCs/>
                <w:color w:val="1F2533"/>
                <w:sz w:val="15"/>
                <w:szCs w:val="15"/>
              </w:rPr>
              <w:t xml:space="preserve">113.0</w:t>
            </w:r>
          </w:p>
        </w:tc>
        <w:tc>
          <w:tcPr>
            <w:tcW w:type="dxa" w:w="880"/>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b/>
                <w:bCs/>
                <w:color w:val="1F2533"/>
                <w:sz w:val="15"/>
                <w:szCs w:val="15"/>
              </w:rPr>
              <w:t xml:space="preserve">118.0</w:t>
            </w:r>
          </w:p>
        </w:tc>
      </w:tr>
      <w:tr>
        <w:trPr>
          <w:cantSplit/>
        </w:trPr>
        <w:tc>
          <w:tcPr>
            <w:tcW w:type="dxa" w:w="5835"/>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5"/>
                <w:szCs w:val="15"/>
              </w:rPr>
              <w:t xml:space="preserve">Net non-operating cost (interest, equity-method, other)</w:t>
            </w:r>
          </w:p>
        </w:tc>
        <w:tc>
          <w:tcPr>
            <w:tcW w:type="dxa" w:w="1269"/>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5"/>
                <w:szCs w:val="15"/>
              </w:rPr>
              <w:t xml:space="preserve">17.6</w:t>
            </w:r>
          </w:p>
        </w:tc>
        <w:tc>
          <w:tcPr>
            <w:tcW w:type="dxa" w:w="882"/>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5"/>
                <w:szCs w:val="15"/>
              </w:rPr>
              <w:t xml:space="preserve">22.0</w:t>
            </w:r>
          </w:p>
        </w:tc>
        <w:tc>
          <w:tcPr>
            <w:tcW w:type="dxa" w:w="880"/>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5"/>
                <w:szCs w:val="15"/>
              </w:rPr>
              <w:t xml:space="preserve">24.0</w:t>
            </w:r>
          </w:p>
        </w:tc>
        <w:tc>
          <w:tcPr>
            <w:tcW w:type="dxa" w:w="880"/>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5"/>
                <w:szCs w:val="15"/>
              </w:rPr>
              <w:t xml:space="preserve">26.5</w:t>
            </w:r>
          </w:p>
        </w:tc>
      </w:tr>
      <w:tr>
        <w:trPr>
          <w:cantSplit/>
        </w:trPr>
        <w:tc>
          <w:tcPr>
            <w:tcW w:type="dxa" w:w="5835"/>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bCs/>
                <w:color w:val="1F2533"/>
                <w:sz w:val="15"/>
                <w:szCs w:val="15"/>
              </w:rPr>
              <w:t xml:space="preserve">Ordinary income</w:t>
            </w:r>
          </w:p>
        </w:tc>
        <w:tc>
          <w:tcPr>
            <w:tcW w:type="dxa" w:w="1269"/>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b/>
                <w:bCs/>
                <w:color w:val="1F2533"/>
                <w:sz w:val="15"/>
                <w:szCs w:val="15"/>
              </w:rPr>
              <w:t xml:space="preserve">78.2</w:t>
            </w:r>
          </w:p>
        </w:tc>
        <w:tc>
          <w:tcPr>
            <w:tcW w:type="dxa" w:w="882"/>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b/>
                <w:bCs/>
                <w:color w:val="1F2533"/>
                <w:sz w:val="15"/>
                <w:szCs w:val="15"/>
              </w:rPr>
              <w:t xml:space="preserve">85.0</w:t>
            </w:r>
          </w:p>
        </w:tc>
        <w:tc>
          <w:tcPr>
            <w:tcW w:type="dxa" w:w="880"/>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b/>
                <w:bCs/>
                <w:color w:val="1F2533"/>
                <w:sz w:val="15"/>
                <w:szCs w:val="15"/>
              </w:rPr>
              <w:t xml:space="preserve">89.0</w:t>
            </w:r>
          </w:p>
        </w:tc>
        <w:tc>
          <w:tcPr>
            <w:tcW w:type="dxa" w:w="880"/>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b/>
                <w:bCs/>
                <w:color w:val="1F2533"/>
                <w:sz w:val="15"/>
                <w:szCs w:val="15"/>
              </w:rPr>
              <w:t xml:space="preserve">91.5</w:t>
            </w:r>
          </w:p>
        </w:tc>
      </w:tr>
      <w:tr>
        <w:trPr>
          <w:cantSplit/>
        </w:trPr>
        <w:tc>
          <w:tcPr>
            <w:tcW w:type="dxa" w:w="5835"/>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5"/>
                <w:szCs w:val="15"/>
              </w:rPr>
              <w:t xml:space="preserve">Net extraordinary gains</w:t>
            </w:r>
          </w:p>
        </w:tc>
        <w:tc>
          <w:tcPr>
            <w:tcW w:type="dxa" w:w="1269"/>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5"/>
                <w:szCs w:val="15"/>
              </w:rPr>
              <w:t xml:space="preserve">7.4 (implied)</w:t>
            </w:r>
          </w:p>
        </w:tc>
        <w:tc>
          <w:tcPr>
            <w:tcW w:type="dxa" w:w="882"/>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5"/>
                <w:szCs w:val="15"/>
              </w:rPr>
              <w:t xml:space="preserve">10.0</w:t>
            </w:r>
          </w:p>
        </w:tc>
        <w:tc>
          <w:tcPr>
            <w:tcW w:type="dxa" w:w="880"/>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5"/>
                <w:szCs w:val="15"/>
              </w:rPr>
              <w:t xml:space="preserve">8.0</w:t>
            </w:r>
          </w:p>
        </w:tc>
        <w:tc>
          <w:tcPr>
            <w:tcW w:type="dxa" w:w="880"/>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5"/>
                <w:szCs w:val="15"/>
              </w:rPr>
              <w:t xml:space="preserve">7.0</w:t>
            </w:r>
          </w:p>
        </w:tc>
      </w:tr>
      <w:tr>
        <w:trPr>
          <w:cantSplit/>
        </w:trPr>
        <w:tc>
          <w:tcPr>
            <w:tcW w:type="dxa" w:w="5835"/>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5"/>
                <w:szCs w:val="15"/>
              </w:rPr>
              <w:t xml:space="preserve">Pre-tax income</w:t>
            </w:r>
          </w:p>
        </w:tc>
        <w:tc>
          <w:tcPr>
            <w:tcW w:type="dxa" w:w="1269"/>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5"/>
                <w:szCs w:val="15"/>
              </w:rPr>
              <w:t xml:space="preserve">85.6</w:t>
            </w:r>
          </w:p>
        </w:tc>
        <w:tc>
          <w:tcPr>
            <w:tcW w:type="dxa" w:w="882"/>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5"/>
                <w:szCs w:val="15"/>
              </w:rPr>
              <w:t xml:space="preserve">95.0</w:t>
            </w:r>
          </w:p>
        </w:tc>
        <w:tc>
          <w:tcPr>
            <w:tcW w:type="dxa" w:w="880"/>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5"/>
                <w:szCs w:val="15"/>
              </w:rPr>
              <w:t xml:space="preserve">97.0</w:t>
            </w:r>
          </w:p>
        </w:tc>
        <w:tc>
          <w:tcPr>
            <w:tcW w:type="dxa" w:w="880"/>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5"/>
                <w:szCs w:val="15"/>
              </w:rPr>
              <w:t xml:space="preserve">98.5</w:t>
            </w:r>
          </w:p>
        </w:tc>
      </w:tr>
      <w:tr>
        <w:trPr>
          <w:cantSplit/>
        </w:trPr>
        <w:tc>
          <w:tcPr>
            <w:tcW w:type="dxa" w:w="5835"/>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bCs/>
                <w:color w:val="1F2533"/>
                <w:sz w:val="15"/>
                <w:szCs w:val="15"/>
              </w:rPr>
              <w:t xml:space="preserve">Net income</w:t>
            </w:r>
            <w:r>
              <w:rPr>
                <w:rFonts w:ascii="Arial" w:cs="Arial" w:eastAsia="Yu Gothic" w:hAnsi="Arial"/>
                <w:b w:val="false"/>
                <w:bCs w:val="false"/>
                <w:color w:val="1F2533"/>
                <w:sz w:val="15"/>
                <w:szCs w:val="15"/>
              </w:rPr>
              <w:t xml:space="preserve"> (30.6% tax; ¥0.5bn non-controlling interests)</w:t>
            </w:r>
          </w:p>
        </w:tc>
        <w:tc>
          <w:tcPr>
            <w:tcW w:type="dxa" w:w="1269"/>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b/>
                <w:bCs/>
                <w:color w:val="1F2533"/>
                <w:sz w:val="15"/>
                <w:szCs w:val="15"/>
              </w:rPr>
              <w:t xml:space="preserve">58.9</w:t>
            </w:r>
          </w:p>
        </w:tc>
        <w:tc>
          <w:tcPr>
            <w:tcW w:type="dxa" w:w="882"/>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b/>
                <w:bCs/>
                <w:color w:val="1F2533"/>
                <w:sz w:val="15"/>
                <w:szCs w:val="15"/>
              </w:rPr>
              <w:t xml:space="preserve">65.4</w:t>
            </w:r>
          </w:p>
        </w:tc>
        <w:tc>
          <w:tcPr>
            <w:tcW w:type="dxa" w:w="880"/>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b/>
                <w:bCs/>
                <w:color w:val="1F2533"/>
                <w:sz w:val="15"/>
                <w:szCs w:val="15"/>
              </w:rPr>
              <w:t xml:space="preserve">66.8</w:t>
            </w:r>
          </w:p>
        </w:tc>
        <w:tc>
          <w:tcPr>
            <w:tcW w:type="dxa" w:w="880"/>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b/>
                <w:bCs/>
                <w:color w:val="1F2533"/>
                <w:sz w:val="15"/>
                <w:szCs w:val="15"/>
              </w:rPr>
              <w:t xml:space="preserve">67.9</w:t>
            </w:r>
          </w:p>
        </w:tc>
      </w:tr>
      <w:tr>
        <w:trPr>
          <w:cantSplit/>
        </w:trPr>
        <w:tc>
          <w:tcPr>
            <w:tcW w:type="dxa" w:w="5835"/>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5"/>
                <w:szCs w:val="15"/>
              </w:rPr>
              <w:t xml:space="preserve">Average shares (m)</w:t>
            </w:r>
          </w:p>
        </w:tc>
        <w:tc>
          <w:tcPr>
            <w:tcW w:type="dxa" w:w="1269"/>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5"/>
                <w:szCs w:val="15"/>
              </w:rPr>
              <w:t xml:space="preserve">208.0</w:t>
            </w:r>
          </w:p>
        </w:tc>
        <w:tc>
          <w:tcPr>
            <w:tcW w:type="dxa" w:w="882"/>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5"/>
                <w:szCs w:val="15"/>
              </w:rPr>
              <w:t xml:space="preserve">207.5</w:t>
            </w:r>
          </w:p>
        </w:tc>
        <w:tc>
          <w:tcPr>
            <w:tcW w:type="dxa" w:w="880"/>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5"/>
                <w:szCs w:val="15"/>
              </w:rPr>
              <w:t xml:space="preserve">206.6</w:t>
            </w:r>
          </w:p>
        </w:tc>
        <w:tc>
          <w:tcPr>
            <w:tcW w:type="dxa" w:w="880"/>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5"/>
                <w:szCs w:val="15"/>
              </w:rPr>
              <w:t xml:space="preserve">205.7</w:t>
            </w:r>
          </w:p>
        </w:tc>
      </w:tr>
      <w:tr>
        <w:trPr>
          <w:cantSplit/>
        </w:trPr>
        <w:tc>
          <w:tcPr>
            <w:tcW w:type="dxa" w:w="5835"/>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bCs/>
                <w:color w:val="1F2533"/>
                <w:sz w:val="15"/>
                <w:szCs w:val="15"/>
              </w:rPr>
              <w:t xml:space="preserve">EPS (¥)</w:t>
            </w:r>
          </w:p>
        </w:tc>
        <w:tc>
          <w:tcPr>
            <w:tcW w:type="dxa" w:w="1269"/>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b/>
                <w:bCs/>
                <w:color w:val="1F2533"/>
                <w:sz w:val="15"/>
                <w:szCs w:val="15"/>
              </w:rPr>
              <w:t xml:space="preserve">283</w:t>
            </w:r>
          </w:p>
        </w:tc>
        <w:tc>
          <w:tcPr>
            <w:tcW w:type="dxa" w:w="882"/>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b/>
                <w:bCs/>
                <w:color w:val="1F2533"/>
                <w:sz w:val="15"/>
                <w:szCs w:val="15"/>
              </w:rPr>
              <w:t xml:space="preserve">315</w:t>
            </w:r>
          </w:p>
        </w:tc>
        <w:tc>
          <w:tcPr>
            <w:tcW w:type="dxa" w:w="880"/>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b/>
                <w:bCs/>
                <w:color w:val="1F2533"/>
                <w:sz w:val="15"/>
                <w:szCs w:val="15"/>
              </w:rPr>
              <w:t xml:space="preserve">323</w:t>
            </w:r>
          </w:p>
        </w:tc>
        <w:tc>
          <w:tcPr>
            <w:tcW w:type="dxa" w:w="880"/>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b/>
                <w:bCs/>
                <w:color w:val="1F2533"/>
                <w:sz w:val="15"/>
                <w:szCs w:val="15"/>
              </w:rPr>
              <w:t xml:space="preserve">330</w:t>
            </w:r>
          </w:p>
        </w:tc>
      </w:tr>
      <w:tr>
        <w:trPr>
          <w:cantSplit/>
        </w:trPr>
        <w:tc>
          <w:tcPr>
            <w:tcW w:type="dxa" w:w="5835"/>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5"/>
                <w:szCs w:val="15"/>
              </w:rPr>
              <w:t xml:space="preserve">EPS growth</w:t>
            </w:r>
          </w:p>
        </w:tc>
        <w:tc>
          <w:tcPr>
            <w:tcW w:type="dxa" w:w="1269"/>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5"/>
                <w:szCs w:val="15"/>
              </w:rPr>
              <w:t xml:space="preserve">−10.3%</w:t>
            </w:r>
          </w:p>
        </w:tc>
        <w:tc>
          <w:tcPr>
            <w:tcW w:type="dxa" w:w="882"/>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5"/>
                <w:szCs w:val="15"/>
              </w:rPr>
              <w:t xml:space="preserve">+11.4%</w:t>
            </w:r>
          </w:p>
        </w:tc>
        <w:tc>
          <w:tcPr>
            <w:tcW w:type="dxa" w:w="880"/>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5"/>
                <w:szCs w:val="15"/>
              </w:rPr>
              <w:t xml:space="preserve">+2.6%</w:t>
            </w:r>
          </w:p>
        </w:tc>
        <w:tc>
          <w:tcPr>
            <w:tcW w:type="dxa" w:w="880"/>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5"/>
                <w:szCs w:val="15"/>
              </w:rPr>
              <w:t xml:space="preserve">+2.0%</w:t>
            </w:r>
          </w:p>
        </w:tc>
      </w:tr>
      <w:tr>
        <w:trPr>
          <w:cantSplit/>
        </w:trPr>
        <w:tc>
          <w:tcPr>
            <w:tcW w:type="dxa" w:w="5835"/>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5"/>
                <w:szCs w:val="15"/>
              </w:rPr>
              <w:t xml:space="preserve">DPS at 40% payout (¥)</w:t>
            </w:r>
          </w:p>
        </w:tc>
        <w:tc>
          <w:tcPr>
            <w:tcW w:type="dxa" w:w="1269"/>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5"/>
                <w:szCs w:val="15"/>
              </w:rPr>
              <w:t xml:space="preserve">105</w:t>
            </w:r>
          </w:p>
        </w:tc>
        <w:tc>
          <w:tcPr>
            <w:tcW w:type="dxa" w:w="882"/>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5"/>
                <w:szCs w:val="15"/>
              </w:rPr>
              <w:t xml:space="preserve">126</w:t>
            </w:r>
          </w:p>
        </w:tc>
        <w:tc>
          <w:tcPr>
            <w:tcW w:type="dxa" w:w="880"/>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5"/>
                <w:szCs w:val="15"/>
              </w:rPr>
              <w:t xml:space="preserve">129</w:t>
            </w:r>
          </w:p>
        </w:tc>
        <w:tc>
          <w:tcPr>
            <w:tcW w:type="dxa" w:w="880"/>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5"/>
                <w:szCs w:val="15"/>
              </w:rPr>
              <w:t xml:space="preserve">132</w:t>
            </w:r>
          </w:p>
        </w:tc>
      </w:tr>
    </w:tbl>
    <w:p>
      <w:pPr>
        <w:spacing w:after="120" w:before="0" w:line="276" w:lineRule="auto"/>
      </w:pPr>
    </w:p>
    <w:p>
      <w:pPr>
        <w:spacing w:after="110" w:before="0" w:line="276" w:lineRule="auto"/>
      </w:pPr>
      <w:r>
        <w:rPr>
          <w:rFonts w:ascii="Arial" w:cs="Arial" w:eastAsia="Yu Gothic" w:hAnsi="Arial"/>
          <w:color w:val="1F2533"/>
          <w:sz w:val="19"/>
          <w:szCs w:val="19"/>
        </w:rPr>
        <w:t xml:space="preserve">How the model works:</w:t>
      </w:r>
    </w:p>
    <w:p>
      <w:pPr>
        <w:pStyle w:val="ListParagraph"/>
        <w:numPr>
          <w:ilvl w:val="0"/>
          <w:numId w:val="2"/>
        </w:numPr>
        <w:spacing w:after="60" w:line="264" w:lineRule="auto"/>
      </w:pPr>
      <w:r>
        <w:rPr>
          <w:rFonts w:ascii="Arial" w:cs="Arial" w:eastAsia="Yu Gothic" w:hAnsi="Arial"/>
          <w:b/>
          <w:bCs/>
          <w:color w:val="1F2533"/>
          <w:sz w:val="19"/>
          <w:szCs w:val="19"/>
        </w:rPr>
        <w:t xml:space="preserve">Anchors.</w:t>
      </w:r>
      <w:r>
        <w:rPr>
          <w:rFonts w:ascii="Arial" w:cs="Arial" w:eastAsia="Yu Gothic" w:hAnsi="Arial"/>
          <w:color w:val="1F2533"/>
          <w:sz w:val="19"/>
          <w:szCs w:val="19"/>
        </w:rPr>
        <w:t xml:space="preserve"> FY2025 actuals and the 1H FY2026 segment results.</w:t>
      </w:r>
    </w:p>
    <w:p>
      <w:pPr>
        <w:pStyle w:val="ListParagraph"/>
        <w:numPr>
          <w:ilvl w:val="0"/>
          <w:numId w:val="2"/>
        </w:numPr>
        <w:spacing w:after="60" w:line="264" w:lineRule="auto"/>
      </w:pPr>
      <w:r>
        <w:rPr>
          <w:rFonts w:ascii="Arial" w:cs="Arial" w:eastAsia="Yu Gothic" w:hAnsi="Arial"/>
          <w:b/>
          <w:bCs/>
          <w:color w:val="1F2533"/>
          <w:sz w:val="19"/>
          <w:szCs w:val="19"/>
        </w:rPr>
        <w:t xml:space="preserve">Method.</w:t>
      </w:r>
      <w:r>
        <w:rPr>
          <w:rFonts w:ascii="Arial" w:cs="Arial" w:eastAsia="Yu Gothic" w:hAnsi="Arial"/>
          <w:color w:val="1F2533"/>
          <w:sz w:val="19"/>
          <w:szCs w:val="19"/>
        </w:rPr>
        <w:t xml:space="preserve"> Each segment is built from the FY2025 base plus explicit changes, so the model does not depend on the undisclosed rent/sale split.</w:t>
      </w:r>
    </w:p>
    <w:p>
      <w:pPr>
        <w:pStyle w:val="ListParagraph"/>
        <w:numPr>
          <w:ilvl w:val="0"/>
          <w:numId w:val="2"/>
        </w:numPr>
        <w:spacing w:after="60" w:line="264" w:lineRule="auto"/>
      </w:pPr>
      <w:r>
        <w:rPr>
          <w:rFonts w:ascii="Arial" w:cs="Arial" w:eastAsia="Yu Gothic" w:hAnsi="Arial"/>
          <w:b/>
          <w:bCs/>
          <w:color w:val="1F2533"/>
          <w:sz w:val="19"/>
          <w:szCs w:val="19"/>
        </w:rPr>
        <w:t xml:space="preserve">FY2026E second half.</w:t>
      </w:r>
      <w:r>
        <w:rPr>
          <w:rFonts w:ascii="Arial" w:cs="Arial" w:eastAsia="Yu Gothic" w:hAnsi="Arial"/>
          <w:color w:val="1F2533"/>
          <w:sz w:val="19"/>
          <w:szCs w:val="19"/>
        </w:rPr>
        <w:t xml:space="preserve"> The build implies Building operating profit of ¥44.4bn and Residential of ¥19.1bn in 2H FY2026E, given the heavy Q3/Q4 handovers.</w:t>
      </w:r>
    </w:p>
    <w:p>
      <w:pPr>
        <w:pStyle w:val="ListParagraph"/>
        <w:numPr>
          <w:ilvl w:val="0"/>
          <w:numId w:val="2"/>
        </w:numPr>
        <w:spacing w:after="60" w:line="264" w:lineRule="auto"/>
      </w:pPr>
      <w:r>
        <w:rPr>
          <w:rFonts w:ascii="Arial" w:cs="Arial" w:eastAsia="Yu Gothic" w:hAnsi="Arial"/>
          <w:b/>
          <w:bCs/>
          <w:color w:val="1F2533"/>
          <w:sz w:val="19"/>
          <w:szCs w:val="19"/>
        </w:rPr>
        <w:t xml:space="preserve">Reproducibility.</w:t>
      </w:r>
      <w:r>
        <w:rPr>
          <w:rFonts w:ascii="Arial" w:cs="Arial" w:eastAsia="Yu Gothic" w:hAnsi="Arial"/>
          <w:color w:val="1F2533"/>
          <w:sz w:val="19"/>
          <w:szCs w:val="19"/>
        </w:rPr>
        <w:t xml:space="preserve"> The model is kept in </w:t>
      </w:r>
      <w:r>
        <w:rPr>
          <w:rFonts w:ascii="Arial" w:cs="Arial" w:eastAsia="Yu Gothic" w:hAnsi="Arial"/>
          <w:color w:val="1F2533"/>
          <w:sz w:val="19"/>
          <w:szCs w:val="19"/>
        </w:rPr>
        <w:t xml:space="preserve">tt_model.py</w:t>
      </w:r>
      <w:r>
        <w:rPr>
          <w:rFonts w:ascii="Arial" w:cs="Arial" w:eastAsia="Yu Gothic" w:hAnsi="Arial"/>
          <w:color w:val="1F2533"/>
          <w:sz w:val="19"/>
          <w:szCs w:val="19"/>
        </w:rPr>
        <w:t xml:space="preserve"> in the research notes.</w:t>
      </w:r>
    </w:p>
    <w:p>
      <w:pPr>
        <w:spacing w:after="40" w:before="0" w:line="276" w:lineRule="auto"/>
      </w:pPr>
    </w:p>
    <w:p>
      <w:pPr>
        <w:keepNext/>
        <w:spacing w:after="40" w:before="80" w:line="240" w:lineRule="auto"/>
        <w:jc w:val="center"/>
      </w:pPr>
      <w:r>
        <w:drawing>
          <wp:inline distT="0" distB="0" distL="0" distR="0">
            <wp:extent cx="6191250" cy="2914650"/>
            <wp:effectExtent t="0" r="0" b="0" l="0"/>
            <wp:docPr id="1" name="fig09_eps_path.png" descr="Figure 5: EPS actuals FY2021–FY2025 and our FY2026E–FY2028E estimates, against guidance, consensus and Toyo Keizai." title="Figure 5: EPS actuals FY2021–FY2025 and our FY2026E–FY2028E estimates, against guidance, consensus and Toyo Keiz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191250" cy="2914650"/>
                    </a:xfrm>
                    <a:prstGeom prst="rect">
                      <a:avLst/>
                    </a:prstGeom>
                  </pic:spPr>
                </pic:pic>
              </a:graphicData>
            </a:graphic>
          </wp:inline>
        </w:drawing>
      </w:r>
    </w:p>
    <w:p>
      <w:pPr>
        <w:spacing w:after="160" w:before="0" w:line="276" w:lineRule="auto"/>
        <w:jc w:val="left"/>
      </w:pPr>
      <w:r>
        <w:rPr>
          <w:rFonts w:ascii="Arial" w:cs="Arial" w:eastAsia="Yu Gothic" w:hAnsi="Arial"/>
          <w:i/>
          <w:iCs/>
          <w:color w:val="5B6577"/>
          <w:sz w:val="16"/>
          <w:szCs w:val="16"/>
        </w:rPr>
        <w:t xml:space="preserve">Figure 5: EPS actuals FY2021–FY2025 and our FY2026E–FY2028E estimates, against guidance, consensus and Toyo Keizai.</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43"/>
        <w:gridCol w:w="1577"/>
        <w:gridCol w:w="1775"/>
        <w:gridCol w:w="1506"/>
        <w:gridCol w:w="2245"/>
      </w:tblGrid>
      <w:tr>
        <w:trPr>
          <w:cantSplit/>
          <w:tblHeader/>
        </w:trPr>
        <w:tc>
          <w:tcPr>
            <w:tcW w:type="dxa" w:w="2643"/>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
            </w:r>
          </w:p>
        </w:tc>
        <w:tc>
          <w:tcPr>
            <w:tcW w:type="dxa" w:w="1577"/>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5"/>
                <w:szCs w:val="15"/>
              </w:rPr>
              <w:t xml:space="preserve">Company guidance</w:t>
            </w:r>
          </w:p>
        </w:tc>
        <w:tc>
          <w:tcPr>
            <w:tcW w:type="dxa" w:w="1775"/>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5"/>
                <w:szCs w:val="15"/>
              </w:rPr>
              <w:t xml:space="preserve">Consensus</w:t>
            </w:r>
          </w:p>
        </w:tc>
        <w:tc>
          <w:tcPr>
            <w:tcW w:type="dxa" w:w="1506"/>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5"/>
                <w:szCs w:val="15"/>
              </w:rPr>
              <w:t xml:space="preserve">Toyo Keizai estimate</w:t>
            </w:r>
          </w:p>
        </w:tc>
        <w:tc>
          <w:tcPr>
            <w:tcW w:type="dxa" w:w="2245"/>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5"/>
                <w:szCs w:val="15"/>
              </w:rPr>
              <w:t xml:space="preserve">Our estimate</w:t>
            </w:r>
          </w:p>
        </w:tc>
      </w:tr>
      <w:tr>
        <w:trPr>
          <w:cantSplit/>
        </w:trPr>
        <w:tc>
          <w:tcPr>
            <w:tcW w:type="dxa" w:w="2643"/>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5"/>
                <w:szCs w:val="15"/>
              </w:rPr>
              <w:t xml:space="preserve">FY2026 operating income</w:t>
            </w:r>
          </w:p>
        </w:tc>
        <w:tc>
          <w:tcPr>
            <w:tcW w:type="dxa" w:w="1577"/>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5"/>
                <w:szCs w:val="15"/>
              </w:rPr>
              <w:t xml:space="preserve">¥105.5bn</w:t>
            </w:r>
          </w:p>
        </w:tc>
        <w:tc>
          <w:tcPr>
            <w:tcW w:type="dxa" w:w="1775"/>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n/a</w:t>
            </w:r>
          </w:p>
        </w:tc>
        <w:tc>
          <w:tcPr>
            <w:tcW w:type="dxa" w:w="150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5"/>
                <w:szCs w:val="15"/>
              </w:rPr>
              <w:t xml:space="preserve">—</w:t>
            </w:r>
          </w:p>
        </w:tc>
        <w:tc>
          <w:tcPr>
            <w:tcW w:type="dxa" w:w="2245"/>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¥107.0bn (+1.4% vs guidance)</w:t>
            </w:r>
          </w:p>
        </w:tc>
      </w:tr>
      <w:tr>
        <w:trPr>
          <w:cantSplit/>
        </w:trPr>
        <w:tc>
          <w:tcPr>
            <w:tcW w:type="dxa" w:w="2643"/>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5"/>
                <w:szCs w:val="15"/>
              </w:rPr>
              <w:t xml:space="preserve">FY2026 ordinary income</w:t>
            </w:r>
          </w:p>
        </w:tc>
        <w:tc>
          <w:tcPr>
            <w:tcW w:type="dxa" w:w="1577"/>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5"/>
                <w:szCs w:val="15"/>
              </w:rPr>
              <w:t xml:space="preserve">¥83.5bn</w:t>
            </w:r>
          </w:p>
        </w:tc>
        <w:tc>
          <w:tcPr>
            <w:tcW w:type="dxa" w:w="1775"/>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¥84.5bn</w:t>
            </w:r>
          </w:p>
        </w:tc>
        <w:tc>
          <w:tcPr>
            <w:tcW w:type="dxa" w:w="1506"/>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5"/>
                <w:szCs w:val="15"/>
              </w:rPr>
              <w:t xml:space="preserve">—</w:t>
            </w:r>
          </w:p>
        </w:tc>
        <w:tc>
          <w:tcPr>
            <w:tcW w:type="dxa" w:w="2245"/>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¥85.0bn</w:t>
            </w:r>
          </w:p>
        </w:tc>
      </w:tr>
      <w:tr>
        <w:trPr>
          <w:cantSplit/>
        </w:trPr>
        <w:tc>
          <w:tcPr>
            <w:tcW w:type="dxa" w:w="2643"/>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5"/>
                <w:szCs w:val="15"/>
              </w:rPr>
              <w:t xml:space="preserve">FY2026 net income / EPS</w:t>
            </w:r>
          </w:p>
        </w:tc>
        <w:tc>
          <w:tcPr>
            <w:tcW w:type="dxa" w:w="1577"/>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5"/>
                <w:szCs w:val="15"/>
              </w:rPr>
              <w:t xml:space="preserve">¥65.0bn / ≈¥313</w:t>
            </w:r>
          </w:p>
        </w:tc>
        <w:tc>
          <w:tcPr>
            <w:tcW w:type="dxa" w:w="1775"/>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¥66.5bn / ≈¥320</w:t>
            </w:r>
          </w:p>
        </w:tc>
        <w:tc>
          <w:tcPr>
            <w:tcW w:type="dxa" w:w="150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5"/>
                <w:szCs w:val="15"/>
              </w:rPr>
              <w:t xml:space="preserve">—</w:t>
            </w:r>
          </w:p>
        </w:tc>
        <w:tc>
          <w:tcPr>
            <w:tcW w:type="dxa" w:w="2245"/>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¥65.4bn / ¥315</w:t>
            </w:r>
          </w:p>
        </w:tc>
      </w:tr>
      <w:tr>
        <w:trPr>
          <w:cantSplit/>
        </w:trPr>
        <w:tc>
          <w:tcPr>
            <w:tcW w:type="dxa" w:w="2643"/>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5"/>
                <w:szCs w:val="15"/>
              </w:rPr>
              <w:t xml:space="preserve">FY2027 operating income / net income</w:t>
            </w:r>
          </w:p>
        </w:tc>
        <w:tc>
          <w:tcPr>
            <w:tcW w:type="dxa" w:w="1577"/>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5"/>
                <w:szCs w:val="15"/>
              </w:rPr>
              <w:t xml:space="preserve">Plan: business profit ¥95bn (already exceeded)</w:t>
            </w:r>
          </w:p>
        </w:tc>
        <w:tc>
          <w:tcPr>
            <w:tcW w:type="dxa" w:w="1775"/>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Not available</w:t>
            </w:r>
          </w:p>
        </w:tc>
        <w:tc>
          <w:tcPr>
            <w:tcW w:type="dxa" w:w="1506"/>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5"/>
                <w:szCs w:val="15"/>
              </w:rPr>
              <w:t xml:space="preserve">¥105.0bn / ¥64.6bn</w:t>
            </w:r>
          </w:p>
        </w:tc>
        <w:tc>
          <w:tcPr>
            <w:tcW w:type="dxa" w:w="2245"/>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¥113.0bn / ¥66.8bn</w:t>
            </w:r>
          </w:p>
        </w:tc>
      </w:tr>
      <w:tr>
        <w:trPr>
          <w:cantSplit/>
        </w:trPr>
        <w:tc>
          <w:tcPr>
            <w:tcW w:type="dxa" w:w="2643"/>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5"/>
                <w:szCs w:val="15"/>
              </w:rPr>
              <w:t xml:space="preserve">FY2027 EPS</w:t>
            </w:r>
          </w:p>
        </w:tc>
        <w:tc>
          <w:tcPr>
            <w:tcW w:type="dxa" w:w="1577"/>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5"/>
                <w:szCs w:val="15"/>
              </w:rPr>
              <w:t xml:space="preserve">—</w:t>
            </w:r>
          </w:p>
        </w:tc>
        <w:tc>
          <w:tcPr>
            <w:tcW w:type="dxa" w:w="1775"/>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Not available</w:t>
            </w:r>
          </w:p>
        </w:tc>
        <w:tc>
          <w:tcPr>
            <w:tcW w:type="dxa" w:w="150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5"/>
                <w:szCs w:val="15"/>
              </w:rPr>
              <w:t xml:space="preserve">≈¥311</w:t>
            </w:r>
          </w:p>
        </w:tc>
        <w:tc>
          <w:tcPr>
            <w:tcW w:type="dxa" w:w="2245"/>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¥323</w:t>
            </w:r>
          </w:p>
        </w:tc>
      </w:tr>
    </w:tbl>
    <w:p>
      <w:pPr>
        <w:spacing w:after="120" w:before="0" w:line="276" w:lineRule="auto"/>
      </w:pPr>
    </w:p>
    <w:p>
      <w:pPr>
        <w:spacing w:after="110" w:before="0" w:line="276" w:lineRule="auto"/>
      </w:pPr>
      <w:r>
        <w:rPr>
          <w:rFonts w:ascii="Arial" w:cs="Arial" w:eastAsia="Yu Gothic" w:hAnsi="Arial"/>
          <w:color w:val="1F2533"/>
          <w:sz w:val="19"/>
          <w:szCs w:val="19"/>
        </w:rPr>
        <w:t xml:space="preserve">Sources: guidance from </w:t>
      </w:r>
      <w:hyperlink w:history="1" r:id="rIdhie8bxb96yzihkbtxdol6">
        <w:r>
          <w:rPr>
            <w:rFonts w:ascii="Arial" w:cs="Arial" w:eastAsia="Yu Gothic" w:hAnsi="Arial"/>
            <w:color w:val="2F6FD0"/>
            <w:sz w:val="19"/>
            <w:szCs w:val="19"/>
            <w:u w:val="single"/>
          </w:rPr>
          <w:t xml:space="preserve">Minkabu</w:t>
        </w:r>
      </w:hyperlink>
      <w:r>
        <w:rPr>
          <w:rFonts w:ascii="Arial" w:cs="Arial" w:eastAsia="Yu Gothic" w:hAnsi="Arial"/>
          <w:color w:val="1F2533"/>
          <w:sz w:val="19"/>
          <w:szCs w:val="19"/>
        </w:rPr>
        <w:t xml:space="preserve">; consensus from </w:t>
      </w:r>
      <w:hyperlink w:history="1" r:id="rIdl33qtpfbnatqsw71ipznq">
        <w:r>
          <w:rPr>
            <w:rFonts w:ascii="Arial" w:cs="Arial" w:eastAsia="Yu Gothic" w:hAnsi="Arial"/>
            <w:color w:val="2F6FD0"/>
            <w:sz w:val="19"/>
            <w:szCs w:val="19"/>
            <w:u w:val="single"/>
          </w:rPr>
          <w:t xml:space="preserve">IFIS</w:t>
        </w:r>
      </w:hyperlink>
      <w:r>
        <w:rPr>
          <w:rFonts w:ascii="Arial" w:cs="Arial" w:eastAsia="Yu Gothic" w:hAnsi="Arial"/>
          <w:color w:val="1F2533"/>
          <w:sz w:val="19"/>
          <w:szCs w:val="19"/>
        </w:rPr>
        <w:t xml:space="preserve"> and </w:t>
      </w:r>
      <w:hyperlink w:history="1" r:id="rIdq-xgodfps41g7fqqixg_-">
        <w:r>
          <w:rPr>
            <w:rFonts w:ascii="Arial" w:cs="Arial" w:eastAsia="Yu Gothic" w:hAnsi="Arial"/>
            <w:color w:val="2F6FD0"/>
            <w:sz w:val="19"/>
            <w:szCs w:val="19"/>
            <w:u w:val="single"/>
          </w:rPr>
          <w:t xml:space="preserve">Minkabu</w:t>
        </w:r>
      </w:hyperlink>
      <w:r>
        <w:rPr>
          <w:rFonts w:ascii="Arial" w:cs="Arial" w:eastAsia="Yu Gothic" w:hAnsi="Arial"/>
          <w:color w:val="1F2533"/>
          <w:sz w:val="19"/>
          <w:szCs w:val="19"/>
        </w:rPr>
        <w:t xml:space="preserve">; Toyo Keizai's own estimate from </w:t>
      </w:r>
      <w:hyperlink w:history="1" r:id="rId6tkeje-erdqscr0fzox7n">
        <w:r>
          <w:rPr>
            <w:rFonts w:ascii="Arial" w:cs="Arial" w:eastAsia="Yu Gothic" w:hAnsi="Arial"/>
            <w:color w:val="2F6FD0"/>
            <w:sz w:val="19"/>
            <w:szCs w:val="19"/>
            <w:u w:val="single"/>
          </w:rPr>
          <w:t xml:space="preserve">Shikiho</w:t>
        </w:r>
      </w:hyperlink>
      <w:r>
        <w:rPr>
          <w:rFonts w:ascii="Arial" w:cs="Arial" w:eastAsia="Yu Gothic" w:hAnsi="Arial"/>
          <w:color w:val="1F2533"/>
          <w:sz w:val="19"/>
          <w:szCs w:val="19"/>
        </w:rPr>
        <w:t xml:space="preserve">. FY2027–FY2028 consensus could not be obtained.</w:t>
      </w:r>
    </w:p>
    <w:p>
      <w:pPr>
        <w:pStyle w:val="Heading2"/>
        <w:keepNext/>
        <w:keepLines/>
        <w:spacing w:after="90" w:before="260" w:line="252" w:lineRule="auto"/>
      </w:pPr>
      <w:r>
        <w:rPr>
          <w:rFonts w:ascii="Arial" w:cs="Arial" w:eastAsia="Yu Gothic" w:hAnsi="Arial"/>
          <w:b/>
          <w:bCs/>
          <w:color w:val="15233F"/>
          <w:sz w:val="25"/>
          <w:szCs w:val="25"/>
        </w:rPr>
        <w:t xml:space="preserve">How each factor enters the estimate</w:t>
      </w:r>
    </w:p>
    <w:p>
      <w:pPr>
        <w:spacing w:after="110" w:before="0" w:line="276" w:lineRule="auto"/>
      </w:pPr>
      <w:r>
        <w:rPr>
          <w:rFonts w:ascii="Arial" w:cs="Arial" w:eastAsia="Yu Gothic" w:hAnsi="Arial"/>
          <w:b/>
          <w:bCs/>
          <w:color w:val="1F2533"/>
          <w:sz w:val="19"/>
          <w:szCs w:val="19"/>
        </w:rPr>
        <w:t xml:space="preserve">Industry growth.</w:t>
      </w:r>
      <w:r>
        <w:rPr>
          <w:rFonts w:ascii="Arial" w:cs="Arial" w:eastAsia="Yu Gothic" w:hAnsi="Arial"/>
          <w:color w:val="1F2533"/>
          <w:sz w:val="19"/>
          <w:szCs w:val="19"/>
        </w:rPr>
        <w:t xml:space="preserve"> Tokyo office rents are up 12.5% year on year and 23-ward condo prices 9–22%, and all five majors are guiding to records. We assume </w:t>
      </w:r>
      <w:r>
        <w:rPr>
          <w:rFonts w:ascii="Arial" w:cs="Arial" w:eastAsia="Yu Gothic" w:hAnsi="Arial"/>
          <w:b/>
          <w:bCs/>
          <w:color w:val="1F2533"/>
          <w:sz w:val="19"/>
          <w:szCs w:val="19"/>
        </w:rPr>
        <w:t xml:space="preserve">like-for-like rent reversion of about 3% a year</w:t>
      </w:r>
      <w:r>
        <w:rPr>
          <w:rFonts w:ascii="Arial" w:cs="Arial" w:eastAsia="Yu Gothic" w:hAnsi="Arial"/>
          <w:color w:val="1F2533"/>
          <w:sz w:val="19"/>
          <w:szCs w:val="19"/>
        </w:rPr>
        <w:t xml:space="preserve">, well below market asking-rent growth, because leases reprice only at renewal. This is the main source of recurring growth: +¥3.5bn, +¥5.5bn and +¥4.5bn of leasing profit in FY2026E–FY2028E, including TOFROM YAESU's first full year in FY2027.</w:t>
      </w:r>
    </w:p>
    <w:p>
      <w:pPr>
        <w:spacing w:after="110" w:before="0" w:line="276" w:lineRule="auto"/>
      </w:pPr>
      <w:r>
        <w:rPr>
          <w:rFonts w:ascii="Arial" w:cs="Arial" w:eastAsia="Yu Gothic" w:hAnsi="Arial"/>
          <w:b/>
          <w:bCs/>
          <w:color w:val="1F2533"/>
          <w:sz w:val="19"/>
          <w:szCs w:val="19"/>
        </w:rPr>
        <w:t xml:space="preserve">Market share.</w:t>
      </w:r>
      <w:r>
        <w:rPr>
          <w:rFonts w:ascii="Arial" w:cs="Arial" w:eastAsia="Yu Gothic" w:hAnsi="Arial"/>
          <w:color w:val="1F2533"/>
          <w:sz w:val="19"/>
          <w:szCs w:val="19"/>
        </w:rPr>
        <w:t xml:space="preserve"> We assume none is gained in condos, where Tokyo Tatemono supplies about 1,000–1,200 units a year and holds ≤5% share. Office "share" grows only through new floor space: TOFROM YAESU now, Kyobashi 3-chome East from FY2029.</w:t>
      </w:r>
    </w:p>
    <w:p>
      <w:pPr>
        <w:spacing w:after="110" w:before="0" w:line="276" w:lineRule="auto"/>
      </w:pPr>
      <w:r>
        <w:rPr>
          <w:rFonts w:ascii="Arial" w:cs="Arial" w:eastAsia="Yu Gothic" w:hAnsi="Arial"/>
          <w:b/>
          <w:bCs/>
          <w:color w:val="1F2533"/>
          <w:sz w:val="19"/>
          <w:szCs w:val="19"/>
        </w:rPr>
        <w:t xml:space="preserve">Price increases and mix.</w:t>
      </w:r>
      <w:r>
        <w:rPr>
          <w:rFonts w:ascii="Arial" w:cs="Arial" w:eastAsia="Yu Gothic" w:hAnsi="Arial"/>
          <w:color w:val="1F2533"/>
          <w:sz w:val="19"/>
          <w:szCs w:val="19"/>
        </w:rPr>
        <w:t xml:space="preserve"> Condo prices rise ("deliveries flat, prices up", per Shikiho), but we hold the gross margin at about 25–27%, against 30.4% in 1H FY2025, because construction costs are up 5% a year. Residential profit recovers to ¥27–28bn as the ≈7,600-unit landbank converts.</w:t>
      </w:r>
    </w:p>
    <w:p>
      <w:pPr>
        <w:spacing w:after="110" w:before="0" w:line="276" w:lineRule="auto"/>
      </w:pPr>
      <w:r>
        <w:rPr>
          <w:rFonts w:ascii="Arial" w:cs="Arial" w:eastAsia="Yu Gothic" w:hAnsi="Arial"/>
          <w:b/>
          <w:bCs/>
          <w:color w:val="1F2533"/>
          <w:sz w:val="19"/>
          <w:szCs w:val="19"/>
        </w:rPr>
        <w:t xml:space="preserve">Investor-sale normalisation.</w:t>
      </w:r>
      <w:r>
        <w:rPr>
          <w:rFonts w:ascii="Arial" w:cs="Arial" w:eastAsia="Yu Gothic" w:hAnsi="Arial"/>
          <w:color w:val="1F2533"/>
          <w:sz w:val="19"/>
          <w:szCs w:val="19"/>
        </w:rPr>
        <w:t xml:space="preserve"> FY2026E includes a +¥14.0bn sale-profit step-up, which more than fully explains the year's operating growth. We then assume −¥4.0bn in FY2027E as higher cap rates temper buyer demand, and flat in FY2028E. We deliberately do not extrapolate FY2026's record sale programme.</w:t>
      </w:r>
    </w:p>
    <w:p>
      <w:pPr>
        <w:spacing w:after="110" w:before="0" w:line="276" w:lineRule="auto"/>
      </w:pPr>
      <w:r>
        <w:rPr>
          <w:rFonts w:ascii="Arial" w:cs="Arial" w:eastAsia="Yu Gothic" w:hAnsi="Arial"/>
          <w:b/>
          <w:bCs/>
          <w:color w:val="1F2533"/>
          <w:sz w:val="19"/>
          <w:szCs w:val="19"/>
        </w:rPr>
        <w:t xml:space="preserve">Cost pressures.</w:t>
      </w:r>
      <w:r>
        <w:rPr>
          <w:rFonts w:ascii="Arial" w:cs="Arial" w:eastAsia="Yu Gothic" w:hAnsi="Arial"/>
          <w:color w:val="1F2533"/>
          <w:sz w:val="19"/>
          <w:szCs w:val="19"/>
        </w:rPr>
        <w:t xml:space="preserve"> Corporate costs are rising (about −¥2bn year on year in 1H). Wage and IT inflation and construction costs push "Asset Service + Other − corporate" from +¥3.2bn to −¥0.5bn.</w:t>
      </w:r>
    </w:p>
    <w:p>
      <w:pPr>
        <w:spacing w:after="110" w:before="0" w:line="276" w:lineRule="auto"/>
      </w:pPr>
      <w:r>
        <w:rPr>
          <w:rFonts w:ascii="Arial" w:cs="Arial" w:eastAsia="Yu Gothic" w:hAnsi="Arial"/>
          <w:b/>
          <w:bCs/>
          <w:color w:val="1F2533"/>
          <w:sz w:val="19"/>
          <w:szCs w:val="19"/>
        </w:rPr>
        <w:t xml:space="preserve">Operating leverage.</w:t>
      </w:r>
      <w:r>
        <w:rPr>
          <w:rFonts w:ascii="Arial" w:cs="Arial" w:eastAsia="Yu Gothic" w:hAnsi="Arial"/>
          <w:color w:val="1F2533"/>
          <w:sz w:val="19"/>
          <w:szCs w:val="19"/>
        </w:rPr>
        <w:t xml:space="preserve"> Leasing income has close to full drop-through. A 1% change in leasing revenue (on an assumed base of about ¥150bn) is worth about ¥5 of EPS.</w:t>
      </w:r>
    </w:p>
    <w:p>
      <w:pPr>
        <w:spacing w:after="110" w:before="0" w:line="276" w:lineRule="auto"/>
      </w:pPr>
      <w:r>
        <w:rPr>
          <w:rFonts w:ascii="Arial" w:cs="Arial" w:eastAsia="Yu Gothic" w:hAnsi="Arial"/>
          <w:b/>
          <w:bCs/>
          <w:color w:val="1F2533"/>
          <w:sz w:val="19"/>
          <w:szCs w:val="19"/>
        </w:rPr>
        <w:t xml:space="preserve">Financing costs.</w:t>
      </w:r>
      <w:r>
        <w:rPr>
          <w:rFonts w:ascii="Arial" w:cs="Arial" w:eastAsia="Yu Gothic" w:hAnsi="Arial"/>
          <w:color w:val="1F2533"/>
          <w:sz w:val="19"/>
          <w:szCs w:val="19"/>
        </w:rPr>
        <w:t xml:space="preserve"> Net non-operating cost rises from ¥17.6bn to ¥26.5bn by FY2028E. That reflects BOJ normalisation, refinancing of maturing fixed-rate debt and higher debt. The implied net funding cost was about 0.8% in FY2024–25. FY2026 guidance implies roughly 1.2–1.5%, depending on the equity-method assumption. </w:t>
      </w:r>
      <w:r>
        <w:rPr>
          <w:rFonts w:ascii="Arial" w:cs="Arial" w:eastAsia="Yu Gothic" w:hAnsi="Arial"/>
          <w:b/>
          <w:bCs/>
          <w:color w:val="1F2533"/>
          <w:sz w:val="19"/>
          <w:szCs w:val="19"/>
        </w:rPr>
        <w:t xml:space="preserve">Higher financing costs and fading one-off gains absorb about two-thirds of FY2026E–FY2028E operating-income growth.</w:t>
      </w:r>
      <w:r>
        <w:rPr>
          <w:rFonts w:ascii="Arial" w:cs="Arial" w:eastAsia="Yu Gothic" w:hAnsi="Arial"/>
          <w:color w:val="1F2533"/>
          <w:sz w:val="19"/>
          <w:szCs w:val="19"/>
        </w:rPr>
        <w:t xml:space="preserve"> Operating income rises ¥11.0bn over the two years, but pre-tax profit rises only ¥3.5bn.</w:t>
      </w:r>
    </w:p>
    <w:p>
      <w:pPr>
        <w:spacing w:after="110" w:before="0" w:line="276" w:lineRule="auto"/>
      </w:pPr>
      <w:r>
        <w:rPr>
          <w:rFonts w:ascii="Arial" w:cs="Arial" w:eastAsia="Yu Gothic" w:hAnsi="Arial"/>
          <w:b/>
          <w:bCs/>
          <w:color w:val="1F2533"/>
          <w:sz w:val="19"/>
          <w:szCs w:val="19"/>
        </w:rPr>
        <w:t xml:space="preserve">Share count.</w:t>
      </w:r>
      <w:r>
        <w:rPr>
          <w:rFonts w:ascii="Arial" w:cs="Arial" w:eastAsia="Yu Gothic" w:hAnsi="Arial"/>
          <w:color w:val="1F2533"/>
          <w:sz w:val="19"/>
          <w:szCs w:val="19"/>
        </w:rPr>
        <w:t xml:space="preserve"> We assume buybacks of about ¥3bn a year, cutting average shares by about 1% to 205.7m by FY2028E. There is no dilution: the stock-compensation trust buys existing shares, and no convertibles were found.</w:t>
      </w:r>
    </w:p>
    <w:p>
      <w:pPr>
        <w:spacing w:after="110" w:before="0" w:line="276" w:lineRule="auto"/>
      </w:pPr>
      <w:r>
        <w:rPr>
          <w:rFonts w:ascii="Arial" w:cs="Arial" w:eastAsia="Yu Gothic" w:hAnsi="Arial"/>
          <w:b/>
          <w:bCs/>
          <w:color w:val="1F2533"/>
          <w:sz w:val="19"/>
          <w:szCs w:val="19"/>
        </w:rPr>
        <w:t xml:space="preserve">Extraordinary items.</w:t>
      </w:r>
      <w:r>
        <w:rPr>
          <w:rFonts w:ascii="Arial" w:cs="Arial" w:eastAsia="Yu Gothic" w:hAnsi="Arial"/>
          <w:color w:val="1F2533"/>
          <w:sz w:val="19"/>
          <w:szCs w:val="19"/>
        </w:rPr>
        <w:t xml:space="preserve"> Cross-shareholding and fixed-asset gains fade from ¥10bn to ¥7bn as the stock of holdings shrinks.</w:t>
      </w:r>
    </w:p>
    <w:p>
      <w:pPr>
        <w:spacing w:after="110" w:before="0" w:line="276" w:lineRule="auto"/>
      </w:pPr>
      <w:r>
        <w:rPr>
          <w:rFonts w:ascii="Arial" w:cs="Arial" w:eastAsia="Yu Gothic" w:hAnsi="Arial"/>
          <w:b/>
          <w:bCs/>
          <w:color w:val="1F2533"/>
          <w:sz w:val="19"/>
          <w:szCs w:val="19"/>
        </w:rPr>
        <w:t xml:space="preserve">Result: EPS CAGR of 5.2% from FY2025A to FY2028E, but only about 2–3% a year after FY2026.</w:t>
      </w:r>
    </w:p>
    <w:p>
      <w:pPr>
        <w:pStyle w:val="Heading2"/>
        <w:keepNext/>
        <w:keepLines/>
        <w:spacing w:after="90" w:before="260" w:line="252" w:lineRule="auto"/>
      </w:pPr>
      <w:r>
        <w:rPr>
          <w:rFonts w:ascii="Arial" w:cs="Arial" w:eastAsia="Yu Gothic" w:hAnsi="Arial"/>
          <w:b/>
          <w:bCs/>
          <w:color w:val="15233F"/>
          <w:sz w:val="25"/>
          <w:szCs w:val="25"/>
        </w:rPr>
        <w:t xml:space="preserve">Sensitivities (FY2027E, after tax)</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522"/>
        <w:gridCol w:w="3224"/>
      </w:tblGrid>
      <w:tr>
        <w:trPr>
          <w:cantSplit/>
          <w:tblHeader/>
        </w:trPr>
        <w:tc>
          <w:tcPr>
            <w:tcW w:type="dxa" w:w="6522"/>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bCs/>
                <w:color w:val="FFFFFF"/>
                <w:sz w:val="16"/>
                <w:szCs w:val="16"/>
              </w:rPr>
              <w:t xml:space="preserve">Change</w:t>
            </w:r>
          </w:p>
        </w:tc>
        <w:tc>
          <w:tcPr>
            <w:tcW w:type="dxa" w:w="3224"/>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6"/>
                <w:szCs w:val="16"/>
              </w:rPr>
              <w:t xml:space="preserve">EPS impact</w:t>
            </w:r>
          </w:p>
        </w:tc>
      </w:tr>
      <w:tr>
        <w:trPr>
          <w:cantSplit/>
        </w:trPr>
        <w:tc>
          <w:tcPr>
            <w:tcW w:type="dxa" w:w="6522"/>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±¥5bn of investor-sale profit</w:t>
            </w:r>
          </w:p>
        </w:tc>
        <w:tc>
          <w:tcPr>
            <w:tcW w:type="dxa" w:w="3224"/>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±¥17</w:t>
            </w:r>
          </w:p>
        </w:tc>
      </w:tr>
      <w:tr>
        <w:trPr>
          <w:cantSplit/>
        </w:trPr>
        <w:tc>
          <w:tcPr>
            <w:tcW w:type="dxa" w:w="6522"/>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±¥1bn of pre-tax profit</w:t>
            </w:r>
          </w:p>
        </w:tc>
        <w:tc>
          <w:tcPr>
            <w:tcW w:type="dxa" w:w="3224"/>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±¥3.4</w:t>
            </w:r>
          </w:p>
        </w:tc>
      </w:tr>
      <w:tr>
        <w:trPr>
          <w:cantSplit/>
        </w:trPr>
        <w:tc>
          <w:tcPr>
            <w:tcW w:type="dxa" w:w="6522"/>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+25bp on current debt of ¥1.54tn, if fully repriced</w:t>
            </w:r>
          </w:p>
        </w:tc>
        <w:tc>
          <w:tcPr>
            <w:tcW w:type="dxa" w:w="3224"/>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−¥13</w:t>
            </w:r>
          </w:p>
        </w:tc>
      </w:tr>
      <w:tr>
        <w:trPr>
          <w:cantSplit/>
        </w:trPr>
        <w:tc>
          <w:tcPr>
            <w:tcW w:type="dxa" w:w="6522"/>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±1pt of condo gross margin</w:t>
            </w:r>
          </w:p>
        </w:tc>
        <w:tc>
          <w:tcPr>
            <w:tcW w:type="dxa" w:w="3224"/>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±¥5</w:t>
            </w:r>
          </w:p>
        </w:tc>
      </w:tr>
      <w:tr>
        <w:trPr>
          <w:cantSplit/>
        </w:trPr>
        <w:tc>
          <w:tcPr>
            <w:tcW w:type="dxa" w:w="6522"/>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±1% of leasing revenue</w:t>
            </w:r>
          </w:p>
        </w:tc>
        <w:tc>
          <w:tcPr>
            <w:tcW w:type="dxa" w:w="3224"/>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±¥5</w:t>
            </w:r>
          </w:p>
        </w:tc>
      </w:tr>
      <w:tr>
        <w:trPr>
          <w:cantSplit/>
        </w:trPr>
        <w:tc>
          <w:tcPr>
            <w:tcW w:type="dxa" w:w="6522"/>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±¥2bn of extraordinary gains</w:t>
            </w:r>
          </w:p>
        </w:tc>
        <w:tc>
          <w:tcPr>
            <w:tcW w:type="dxa" w:w="3224"/>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±¥7</w:t>
            </w:r>
          </w:p>
        </w:tc>
      </w:tr>
      <w:tr>
        <w:trPr>
          <w:cantSplit/>
        </w:trPr>
        <w:tc>
          <w:tcPr>
            <w:tcW w:type="dxa" w:w="6522"/>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bCs/>
                <w:color w:val="1F2533"/>
                <w:sz w:val="16"/>
                <w:szCs w:val="16"/>
              </w:rPr>
              <w:t xml:space="preserve">Bull</w:t>
            </w:r>
            <w:r>
              <w:rPr>
                <w:rFonts w:ascii="Arial" w:cs="Arial" w:eastAsia="Yu Gothic" w:hAnsi="Arial"/>
                <w:b w:val="false"/>
                <w:bCs w:val="false"/>
                <w:color w:val="1F2533"/>
                <w:sz w:val="16"/>
                <w:szCs w:val="16"/>
              </w:rPr>
              <w:t xml:space="preserve"> scenario: sales +¥4bn, residential +¥2bn, interest −¥1bn</w:t>
            </w:r>
          </w:p>
        </w:tc>
        <w:tc>
          <w:tcPr>
            <w:tcW w:type="dxa" w:w="3224"/>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FY2027E EPS ≈¥347; FY2028E ≈¥354</w:t>
            </w:r>
          </w:p>
        </w:tc>
      </w:tr>
      <w:tr>
        <w:trPr>
          <w:cantSplit/>
        </w:trPr>
        <w:tc>
          <w:tcPr>
            <w:tcW w:type="dxa" w:w="6522"/>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bCs/>
                <w:color w:val="1F2533"/>
                <w:sz w:val="16"/>
                <w:szCs w:val="16"/>
              </w:rPr>
              <w:t xml:space="preserve">Bear</w:t>
            </w:r>
            <w:r>
              <w:rPr>
                <w:rFonts w:ascii="Arial" w:cs="Arial" w:eastAsia="Yu Gothic" w:hAnsi="Arial"/>
                <w:b w:val="false"/>
                <w:bCs w:val="false"/>
                <w:color w:val="1F2533"/>
                <w:sz w:val="16"/>
                <w:szCs w:val="16"/>
              </w:rPr>
              <w:t xml:space="preserve"> scenario: sales −¥8bn, residential −¥3bn, interest +¥2bn</w:t>
            </w:r>
          </w:p>
        </w:tc>
        <w:tc>
          <w:tcPr>
            <w:tcW w:type="dxa" w:w="3224"/>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FY2027E EPS ≈¥280; FY2028E ≈¥286</w:t>
            </w:r>
          </w:p>
        </w:tc>
      </w:tr>
    </w:tbl>
    <w:p>
      <w:pPr>
        <w:spacing w:after="120" w:before="0" w:line="276" w:lineRule="auto"/>
      </w:pPr>
    </w:p>
    <w:p>
      <w:pPr>
        <w:pBdr>
          <w:left w:val="single" w:color="2F6FD0" w:sz="24" w:space="8"/>
        </w:pBdr>
        <w:shd w:fill="EEF3FA" w:color="auto" w:val="clear"/>
        <w:spacing w:after="160" w:before="60" w:line="264" w:lineRule="auto"/>
        <w:ind w:left="200" w:right="200"/>
      </w:pPr>
      <w:r>
        <w:rPr>
          <w:rFonts w:ascii="Arial" w:cs="Arial" w:eastAsia="Yu Gothic" w:hAnsi="Arial"/>
          <w:b/>
          <w:bCs/>
          <w:color w:val="15233F"/>
          <w:sz w:val="18"/>
          <w:szCs w:val="18"/>
        </w:rPr>
        <w:t xml:space="preserve">Key takeaway:</w:t>
      </w:r>
      <w:r>
        <w:rPr>
          <w:rFonts w:ascii="Arial" w:cs="Arial" w:eastAsia="Yu Gothic" w:hAnsi="Arial"/>
          <w:color w:val="15233F"/>
          <w:sz w:val="18"/>
          <w:szCs w:val="18"/>
        </w:rPr>
        <w:t xml:space="preserve"> We sit in line with company guidance for FY2026 (EPS ¥315 against ≈¥313 guided and ≈¥320 consensus). We are more cautious beyond it: EPS of ¥323 in FY2027E and ¥330 in FY2028E, because rising financing costs and normalising sale gains offset rent growth. Upside depends on rent reversion running faster than our ≈3%.</w:t>
      </w:r>
    </w:p>
    <w:p>
      <w:pPr>
        <w:pStyle w:val="Heading1"/>
        <w:keepNext/>
        <w:keepLines/>
        <w:pageBreakBefore/>
        <w:pBdr>
          <w:bottom w:val="single" w:color="2F6FD0" w:sz="12" w:space="6"/>
        </w:pBdr>
        <w:spacing w:after="160" w:before="0" w:line="252" w:lineRule="auto"/>
      </w:pPr>
      <w:r>
        <w:rPr>
          <w:rFonts w:ascii="Arial" w:cs="Arial" w:eastAsia="Yu Gothic" w:hAnsi="Arial"/>
          <w:b/>
          <w:bCs/>
          <w:color w:val="15233F"/>
          <w:sz w:val="32"/>
          <w:szCs w:val="32"/>
        </w:rPr>
        <w:t xml:space="preserve">9. Capital structure: ¥1.54tn of mostly fixed-rate debt, leverage back at the guide ceiling</w:t>
      </w:r>
    </w:p>
    <w:p>
      <w:pPr>
        <w:pStyle w:val="Heading2"/>
        <w:keepNext/>
        <w:keepLines/>
        <w:spacing w:after="90" w:before="260" w:line="252" w:lineRule="auto"/>
      </w:pPr>
      <w:r>
        <w:rPr>
          <w:rFonts w:ascii="Arial" w:cs="Arial" w:eastAsia="Yu Gothic" w:hAnsi="Arial"/>
          <w:b/>
          <w:bCs/>
          <w:color w:val="15233F"/>
          <w:sz w:val="25"/>
          <w:szCs w:val="25"/>
        </w:rPr>
        <w:t xml:space="preserve">Balance sheet and leverage history</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19"/>
        <w:gridCol w:w="781"/>
        <w:gridCol w:w="781"/>
        <w:gridCol w:w="786"/>
        <w:gridCol w:w="787"/>
        <w:gridCol w:w="786"/>
        <w:gridCol w:w="1506"/>
      </w:tblGrid>
      <w:tr>
        <w:trPr>
          <w:cantSplit/>
          <w:tblHeader/>
        </w:trPr>
        <w:tc>
          <w:tcPr>
            <w:tcW w:type="dxa" w:w="4319"/>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bCs/>
                <w:color w:val="FFFFFF"/>
                <w:sz w:val="14"/>
                <w:szCs w:val="14"/>
              </w:rPr>
              <w:t xml:space="preserve">¥bn (period-end)</w:t>
            </w:r>
          </w:p>
        </w:tc>
        <w:tc>
          <w:tcPr>
            <w:tcW w:type="dxa" w:w="781"/>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4"/>
                <w:szCs w:val="14"/>
              </w:rPr>
              <w:t xml:space="preserve">FY2021</w:t>
            </w:r>
          </w:p>
        </w:tc>
        <w:tc>
          <w:tcPr>
            <w:tcW w:type="dxa" w:w="781"/>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4"/>
                <w:szCs w:val="14"/>
              </w:rPr>
              <w:t xml:space="preserve">FY2022</w:t>
            </w:r>
          </w:p>
        </w:tc>
        <w:tc>
          <w:tcPr>
            <w:tcW w:type="dxa" w:w="786"/>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4"/>
                <w:szCs w:val="14"/>
              </w:rPr>
              <w:t xml:space="preserve">FY2023</w:t>
            </w:r>
          </w:p>
        </w:tc>
        <w:tc>
          <w:tcPr>
            <w:tcW w:type="dxa" w:w="787"/>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4"/>
                <w:szCs w:val="14"/>
              </w:rPr>
              <w:t xml:space="preserve">FY2024</w:t>
            </w:r>
          </w:p>
        </w:tc>
        <w:tc>
          <w:tcPr>
            <w:tcW w:type="dxa" w:w="786"/>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4"/>
                <w:szCs w:val="14"/>
              </w:rPr>
              <w:t xml:space="preserve">FY2025</w:t>
            </w:r>
          </w:p>
        </w:tc>
        <w:tc>
          <w:tcPr>
            <w:tcW w:type="dxa" w:w="1506"/>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4"/>
                <w:szCs w:val="14"/>
              </w:rPr>
              <w:t xml:space="preserve">30 Jun 2026</w:t>
            </w:r>
          </w:p>
        </w:tc>
      </w:tr>
      <w:tr>
        <w:trPr>
          <w:cantSplit/>
        </w:trPr>
        <w:tc>
          <w:tcPr>
            <w:tcW w:type="dxa" w:w="4319"/>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4"/>
                <w:szCs w:val="14"/>
              </w:rPr>
              <w:t xml:space="preserve">Total assets</w:t>
            </w:r>
          </w:p>
        </w:tc>
        <w:tc>
          <w:tcPr>
            <w:tcW w:type="dxa" w:w="781"/>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1,650.8</w:t>
            </w:r>
          </w:p>
        </w:tc>
        <w:tc>
          <w:tcPr>
            <w:tcW w:type="dxa" w:w="781"/>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1,720.1</w:t>
            </w:r>
          </w:p>
        </w:tc>
        <w:tc>
          <w:tcPr>
            <w:tcW w:type="dxa" w:w="78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1,905.3</w:t>
            </w:r>
          </w:p>
        </w:tc>
        <w:tc>
          <w:tcPr>
            <w:tcW w:type="dxa" w:w="787"/>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2,081.2</w:t>
            </w:r>
          </w:p>
        </w:tc>
        <w:tc>
          <w:tcPr>
            <w:tcW w:type="dxa" w:w="78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2,272.7</w:t>
            </w:r>
          </w:p>
        </w:tc>
        <w:tc>
          <w:tcPr>
            <w:tcW w:type="dxa" w:w="150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2,476.2</w:t>
            </w:r>
          </w:p>
        </w:tc>
      </w:tr>
      <w:tr>
        <w:trPr>
          <w:cantSplit/>
        </w:trPr>
        <w:tc>
          <w:tcPr>
            <w:tcW w:type="dxa" w:w="4319"/>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4"/>
                <w:szCs w:val="14"/>
              </w:rPr>
              <w:t xml:space="preserve">Shareholders' equity (≈)</w:t>
            </w:r>
          </w:p>
        </w:tc>
        <w:tc>
          <w:tcPr>
            <w:tcW w:type="dxa" w:w="781"/>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415.7</w:t>
            </w:r>
          </w:p>
        </w:tc>
        <w:tc>
          <w:tcPr>
            <w:tcW w:type="dxa" w:w="781"/>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444.8</w:t>
            </w:r>
          </w:p>
        </w:tc>
        <w:tc>
          <w:tcPr>
            <w:tcW w:type="dxa" w:w="786"/>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496.0</w:t>
            </w:r>
          </w:p>
        </w:tc>
        <w:tc>
          <w:tcPr>
            <w:tcW w:type="dxa" w:w="787"/>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535.5</w:t>
            </w:r>
          </w:p>
        </w:tc>
        <w:tc>
          <w:tcPr>
            <w:tcW w:type="dxa" w:w="786"/>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590.8</w:t>
            </w:r>
          </w:p>
        </w:tc>
        <w:tc>
          <w:tcPr>
            <w:tcW w:type="dxa" w:w="1506"/>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606.7</w:t>
            </w:r>
          </w:p>
        </w:tc>
      </w:tr>
      <w:tr>
        <w:trPr>
          <w:cantSplit/>
        </w:trPr>
        <w:tc>
          <w:tcPr>
            <w:tcW w:type="dxa" w:w="4319"/>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4"/>
                <w:szCs w:val="14"/>
              </w:rPr>
              <w:t xml:space="preserve">Interest-bearing debt</w:t>
            </w:r>
          </w:p>
        </w:tc>
        <w:tc>
          <w:tcPr>
            <w:tcW w:type="dxa" w:w="781"/>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976.9</w:t>
            </w:r>
          </w:p>
        </w:tc>
        <w:tc>
          <w:tcPr>
            <w:tcW w:type="dxa" w:w="781"/>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989.8</w:t>
            </w:r>
          </w:p>
        </w:tc>
        <w:tc>
          <w:tcPr>
            <w:tcW w:type="dxa" w:w="78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1,089.0</w:t>
            </w:r>
          </w:p>
        </w:tc>
        <w:tc>
          <w:tcPr>
            <w:tcW w:type="dxa" w:w="787"/>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1,191.6</w:t>
            </w:r>
          </w:p>
        </w:tc>
        <w:tc>
          <w:tcPr>
            <w:tcW w:type="dxa" w:w="78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1,343.9</w:t>
            </w:r>
          </w:p>
        </w:tc>
        <w:tc>
          <w:tcPr>
            <w:tcW w:type="dxa" w:w="150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b/>
                <w:bCs/>
                <w:color w:val="1F2533"/>
                <w:sz w:val="14"/>
                <w:szCs w:val="14"/>
              </w:rPr>
              <w:t xml:space="preserve">1,536.6</w:t>
            </w:r>
          </w:p>
        </w:tc>
      </w:tr>
      <w:tr>
        <w:trPr>
          <w:cantSplit/>
        </w:trPr>
        <w:tc>
          <w:tcPr>
            <w:tcW w:type="dxa" w:w="4319"/>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4"/>
                <w:szCs w:val="14"/>
              </w:rPr>
              <w:t xml:space="preserve">Cash and equivalents</w:t>
            </w:r>
          </w:p>
        </w:tc>
        <w:tc>
          <w:tcPr>
            <w:tcW w:type="dxa" w:w="781"/>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87.0</w:t>
            </w:r>
          </w:p>
        </w:tc>
        <w:tc>
          <w:tcPr>
            <w:tcW w:type="dxa" w:w="781"/>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82.4</w:t>
            </w:r>
          </w:p>
        </w:tc>
        <w:tc>
          <w:tcPr>
            <w:tcW w:type="dxa" w:w="786"/>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127.3</w:t>
            </w:r>
          </w:p>
        </w:tc>
        <w:tc>
          <w:tcPr>
            <w:tcW w:type="dxa" w:w="787"/>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111.1</w:t>
            </w:r>
          </w:p>
        </w:tc>
        <w:tc>
          <w:tcPr>
            <w:tcW w:type="dxa" w:w="786"/>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152.3</w:t>
            </w:r>
          </w:p>
        </w:tc>
        <w:tc>
          <w:tcPr>
            <w:tcW w:type="dxa" w:w="1506"/>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94.2</w:t>
            </w:r>
          </w:p>
        </w:tc>
      </w:tr>
      <w:tr>
        <w:trPr>
          <w:cantSplit/>
        </w:trPr>
        <w:tc>
          <w:tcPr>
            <w:tcW w:type="dxa" w:w="4319"/>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4"/>
                <w:szCs w:val="14"/>
              </w:rPr>
              <w:t xml:space="preserve">Net debt</w:t>
            </w:r>
          </w:p>
        </w:tc>
        <w:tc>
          <w:tcPr>
            <w:tcW w:type="dxa" w:w="781"/>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889.9</w:t>
            </w:r>
          </w:p>
        </w:tc>
        <w:tc>
          <w:tcPr>
            <w:tcW w:type="dxa" w:w="781"/>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907.4</w:t>
            </w:r>
          </w:p>
        </w:tc>
        <w:tc>
          <w:tcPr>
            <w:tcW w:type="dxa" w:w="78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961.7</w:t>
            </w:r>
          </w:p>
        </w:tc>
        <w:tc>
          <w:tcPr>
            <w:tcW w:type="dxa" w:w="787"/>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1,080.4</w:t>
            </w:r>
          </w:p>
        </w:tc>
        <w:tc>
          <w:tcPr>
            <w:tcW w:type="dxa" w:w="78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1,191.6</w:t>
            </w:r>
          </w:p>
        </w:tc>
        <w:tc>
          <w:tcPr>
            <w:tcW w:type="dxa" w:w="150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b/>
                <w:bCs/>
                <w:color w:val="1F2533"/>
                <w:sz w:val="14"/>
                <w:szCs w:val="14"/>
              </w:rPr>
              <w:t xml:space="preserve">1,442.4</w:t>
            </w:r>
          </w:p>
        </w:tc>
      </w:tr>
      <w:tr>
        <w:trPr>
          <w:cantSplit/>
        </w:trPr>
        <w:tc>
          <w:tcPr>
            <w:tcW w:type="dxa" w:w="4319"/>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4"/>
                <w:szCs w:val="14"/>
              </w:rPr>
              <w:t xml:space="preserve">Debt / equity</w:t>
            </w:r>
          </w:p>
        </w:tc>
        <w:tc>
          <w:tcPr>
            <w:tcW w:type="dxa" w:w="781"/>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2.35x</w:t>
            </w:r>
          </w:p>
        </w:tc>
        <w:tc>
          <w:tcPr>
            <w:tcW w:type="dxa" w:w="781"/>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2.23x</w:t>
            </w:r>
          </w:p>
        </w:tc>
        <w:tc>
          <w:tcPr>
            <w:tcW w:type="dxa" w:w="786"/>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2.20x</w:t>
            </w:r>
          </w:p>
        </w:tc>
        <w:tc>
          <w:tcPr>
            <w:tcW w:type="dxa" w:w="787"/>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2.23x</w:t>
            </w:r>
          </w:p>
        </w:tc>
        <w:tc>
          <w:tcPr>
            <w:tcW w:type="dxa" w:w="786"/>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2.27x</w:t>
            </w:r>
          </w:p>
        </w:tc>
        <w:tc>
          <w:tcPr>
            <w:tcW w:type="dxa" w:w="1506"/>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b/>
                <w:bCs/>
                <w:color w:val="1F2533"/>
                <w:sz w:val="14"/>
                <w:szCs w:val="14"/>
              </w:rPr>
              <w:t xml:space="preserve">2.53x</w:t>
            </w:r>
          </w:p>
        </w:tc>
      </w:tr>
      <w:tr>
        <w:trPr>
          <w:cantSplit/>
        </w:trPr>
        <w:tc>
          <w:tcPr>
            <w:tcW w:type="dxa" w:w="4319"/>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4"/>
                <w:szCs w:val="14"/>
              </w:rPr>
              <w:t xml:space="preserve">Equity ratio</w:t>
            </w:r>
          </w:p>
        </w:tc>
        <w:tc>
          <w:tcPr>
            <w:tcW w:type="dxa" w:w="781"/>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≈25.2%</w:t>
            </w:r>
          </w:p>
        </w:tc>
        <w:tc>
          <w:tcPr>
            <w:tcW w:type="dxa" w:w="781"/>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≈25.9%</w:t>
            </w:r>
          </w:p>
        </w:tc>
        <w:tc>
          <w:tcPr>
            <w:tcW w:type="dxa" w:w="78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≈26.0%</w:t>
            </w:r>
          </w:p>
        </w:tc>
        <w:tc>
          <w:tcPr>
            <w:tcW w:type="dxa" w:w="787"/>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26.0%</w:t>
            </w:r>
          </w:p>
        </w:tc>
        <w:tc>
          <w:tcPr>
            <w:tcW w:type="dxa" w:w="78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26.0%</w:t>
            </w:r>
          </w:p>
        </w:tc>
        <w:tc>
          <w:tcPr>
            <w:tcW w:type="dxa" w:w="150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24.5%</w:t>
            </w:r>
          </w:p>
        </w:tc>
      </w:tr>
      <w:tr>
        <w:trPr>
          <w:cantSplit/>
        </w:trPr>
        <w:tc>
          <w:tcPr>
            <w:tcW w:type="dxa" w:w="4319"/>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4"/>
                <w:szCs w:val="14"/>
              </w:rPr>
              <w:t xml:space="preserve">Net debt / EBITDA</w:t>
            </w:r>
          </w:p>
        </w:tc>
        <w:tc>
          <w:tcPr>
            <w:tcW w:type="dxa" w:w="781"/>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11.5x</w:t>
            </w:r>
          </w:p>
        </w:tc>
        <w:tc>
          <w:tcPr>
            <w:tcW w:type="dxa" w:w="781"/>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10.9x</w:t>
            </w:r>
          </w:p>
        </w:tc>
        <w:tc>
          <w:tcPr>
            <w:tcW w:type="dxa" w:w="786"/>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10.6x</w:t>
            </w:r>
          </w:p>
        </w:tc>
        <w:tc>
          <w:tcPr>
            <w:tcW w:type="dxa" w:w="787"/>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10.6x</w:t>
            </w:r>
          </w:p>
        </w:tc>
        <w:tc>
          <w:tcPr>
            <w:tcW w:type="dxa" w:w="786"/>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9.9x</w:t>
            </w:r>
          </w:p>
        </w:tc>
        <w:tc>
          <w:tcPr>
            <w:tcW w:type="dxa" w:w="1506"/>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12.0x (FY2025 EBITDA) / 11.4x (LTM)</w:t>
            </w:r>
          </w:p>
        </w:tc>
      </w:tr>
      <w:tr>
        <w:trPr>
          <w:cantSplit/>
        </w:trPr>
        <w:tc>
          <w:tcPr>
            <w:tcW w:type="dxa" w:w="4319"/>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4"/>
                <w:szCs w:val="14"/>
              </w:rPr>
              <w:t xml:space="preserve">Debt / EBITDA (company's guide ≈12x)</w:t>
            </w:r>
          </w:p>
        </w:tc>
        <w:tc>
          <w:tcPr>
            <w:tcW w:type="dxa" w:w="781"/>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12.6x</w:t>
            </w:r>
          </w:p>
        </w:tc>
        <w:tc>
          <w:tcPr>
            <w:tcW w:type="dxa" w:w="781"/>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11.9x</w:t>
            </w:r>
          </w:p>
        </w:tc>
        <w:tc>
          <w:tcPr>
            <w:tcW w:type="dxa" w:w="78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12.0x</w:t>
            </w:r>
          </w:p>
        </w:tc>
        <w:tc>
          <w:tcPr>
            <w:tcW w:type="dxa" w:w="787"/>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11.7x</w:t>
            </w:r>
          </w:p>
        </w:tc>
        <w:tc>
          <w:tcPr>
            <w:tcW w:type="dxa" w:w="78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11.2x</w:t>
            </w:r>
          </w:p>
        </w:tc>
        <w:tc>
          <w:tcPr>
            <w:tcW w:type="dxa" w:w="150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≈12.1x (LTM)</w:t>
            </w:r>
          </w:p>
        </w:tc>
      </w:tr>
    </w:tbl>
    <w:p>
      <w:pPr>
        <w:spacing w:after="120" w:before="0" w:line="276" w:lineRule="auto"/>
      </w:pPr>
    </w:p>
    <w:p>
      <w:pPr>
        <w:spacing w:after="110" w:before="0" w:line="276" w:lineRule="auto"/>
      </w:pPr>
      <w:r>
        <w:rPr>
          <w:rFonts w:ascii="Arial" w:cs="Arial" w:eastAsia="Yu Gothic" w:hAnsi="Arial"/>
          <w:color w:val="1F2533"/>
          <w:sz w:val="19"/>
          <w:szCs w:val="19"/>
        </w:rPr>
        <w:t xml:space="preserve">Sources:</w:t>
      </w:r>
    </w:p>
    <w:p>
      <w:pPr>
        <w:pStyle w:val="ListParagraph"/>
        <w:numPr>
          <w:ilvl w:val="0"/>
          <w:numId w:val="2"/>
        </w:numPr>
        <w:spacing w:after="60" w:line="264" w:lineRule="auto"/>
      </w:pPr>
      <w:r>
        <w:rPr>
          <w:rFonts w:ascii="Arial" w:cs="Arial" w:eastAsia="Yu Gothic" w:hAnsi="Arial"/>
          <w:color w:val="1F2533"/>
          <w:sz w:val="19"/>
          <w:szCs w:val="19"/>
        </w:rPr>
        <w:t xml:space="preserve">Interest-bearing debt at FY2025: </w:t>
      </w:r>
      <w:hyperlink w:history="1" r:id="rIdkiz5ksztrgz4u-y-4v2ht">
        <w:r>
          <w:rPr>
            <w:rFonts w:ascii="Arial" w:cs="Arial" w:eastAsia="Yu Gothic" w:hAnsi="Arial"/>
            <w:color w:val="2F6FD0"/>
            <w:sz w:val="19"/>
            <w:szCs w:val="19"/>
            <w:u w:val="single"/>
          </w:rPr>
          <w:t xml:space="preserve">edinetdb</w:t>
        </w:r>
      </w:hyperlink>
      <w:r>
        <w:rPr>
          <w:rFonts w:ascii="Arial" w:cs="Arial" w:eastAsia="Yu Gothic" w:hAnsi="Arial"/>
          <w:color w:val="1F2533"/>
          <w:sz w:val="19"/>
          <w:szCs w:val="19"/>
        </w:rPr>
        <w:t xml:space="preserve">.</w:t>
      </w:r>
    </w:p>
    <w:p>
      <w:pPr>
        <w:pStyle w:val="ListParagraph"/>
        <w:numPr>
          <w:ilvl w:val="0"/>
          <w:numId w:val="2"/>
        </w:numPr>
        <w:spacing w:after="60" w:line="264" w:lineRule="auto"/>
      </w:pPr>
      <w:r>
        <w:rPr>
          <w:rFonts w:ascii="Arial" w:cs="Arial" w:eastAsia="Yu Gothic" w:hAnsi="Arial"/>
          <w:color w:val="1F2533"/>
          <w:sz w:val="19"/>
          <w:szCs w:val="19"/>
        </w:rPr>
        <w:t xml:space="preserve">30 Jun 2026 balance sheet: 1H disclosures via </w:t>
      </w:r>
      <w:hyperlink w:history="1" r:id="rIdzam5luc2equ4962pqzdpp">
        <w:r>
          <w:rPr>
            <w:rFonts w:ascii="Arial" w:cs="Arial" w:eastAsia="Yu Gothic" w:hAnsi="Arial"/>
            <w:color w:val="2F6FD0"/>
            <w:sz w:val="19"/>
            <w:szCs w:val="19"/>
            <w:u w:val="single"/>
          </w:rPr>
          <w:t xml:space="preserve">logmi</w:t>
        </w:r>
      </w:hyperlink>
      <w:r>
        <w:rPr>
          <w:rFonts w:ascii="Arial" w:cs="Arial" w:eastAsia="Yu Gothic" w:hAnsi="Arial"/>
          <w:color w:val="1F2533"/>
          <w:sz w:val="19"/>
          <w:szCs w:val="19"/>
        </w:rPr>
        <w:t xml:space="preserve">.</w:t>
      </w:r>
    </w:p>
    <w:p>
      <w:pPr>
        <w:pStyle w:val="ListParagraph"/>
        <w:numPr>
          <w:ilvl w:val="0"/>
          <w:numId w:val="2"/>
        </w:numPr>
        <w:spacing w:after="60" w:line="264" w:lineRule="auto"/>
      </w:pPr>
      <w:r>
        <w:rPr>
          <w:rFonts w:ascii="Arial" w:cs="Arial" w:eastAsia="Yu Gothic" w:hAnsi="Arial"/>
          <w:color w:val="1F2533"/>
          <w:sz w:val="19"/>
          <w:szCs w:val="19"/>
        </w:rPr>
        <w:t xml:space="preserve">Earlier years: coordinator data from stockanalysis, Simply Wall St and edinetdb extracts.</w:t>
      </w:r>
    </w:p>
    <w:p>
      <w:pPr>
        <w:pStyle w:val="ListParagraph"/>
        <w:numPr>
          <w:ilvl w:val="0"/>
          <w:numId w:val="2"/>
        </w:numPr>
        <w:spacing w:after="60" w:line="264" w:lineRule="auto"/>
      </w:pPr>
      <w:r>
        <w:rPr>
          <w:rFonts w:ascii="Arial" w:cs="Arial" w:eastAsia="Yu Gothic" w:hAnsi="Arial"/>
          <w:color w:val="1F2533"/>
          <w:sz w:val="19"/>
          <w:szCs w:val="19"/>
        </w:rPr>
        <w:t xml:space="preserve">Shareholders' equity is total equity less about ¥12bn of non-controlling interests. This reproduces the reported BPS for FY2024 and FY2025.</w:t>
      </w:r>
    </w:p>
    <w:p>
      <w:pPr>
        <w:spacing w:after="40" w:before="0" w:line="276" w:lineRule="auto"/>
      </w:pPr>
    </w:p>
    <w:p>
      <w:pPr>
        <w:keepNext/>
        <w:spacing w:after="40" w:before="80" w:line="240" w:lineRule="auto"/>
        <w:jc w:val="center"/>
      </w:pPr>
      <w:r>
        <w:drawing>
          <wp:inline distT="0" distB="0" distL="0" distR="0">
            <wp:extent cx="6191250" cy="2800350"/>
            <wp:effectExtent t="0" r="0" b="0" l="0"/>
            <wp:docPr id="1" name="fig04_leverage.png" descr="Figure 6: Interest-bearing debt, cash and net debt/EBITDA, FY2021 to 30 June 2026." title="Figure 6: Interest-bearing debt, cash and net debt/EBITDA, FY2021 to 30 June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191250" cy="2800350"/>
                    </a:xfrm>
                    <a:prstGeom prst="rect">
                      <a:avLst/>
                    </a:prstGeom>
                  </pic:spPr>
                </pic:pic>
              </a:graphicData>
            </a:graphic>
          </wp:inline>
        </w:drawing>
      </w:r>
    </w:p>
    <w:p>
      <w:pPr>
        <w:spacing w:after="160" w:before="0" w:line="276" w:lineRule="auto"/>
        <w:jc w:val="left"/>
      </w:pPr>
      <w:r>
        <w:rPr>
          <w:rFonts w:ascii="Arial" w:cs="Arial" w:eastAsia="Yu Gothic" w:hAnsi="Arial"/>
          <w:i/>
          <w:iCs/>
          <w:color w:val="5B6577"/>
          <w:sz w:val="16"/>
          <w:szCs w:val="16"/>
        </w:rPr>
        <w:t xml:space="preserve">Figure 6: Interest-bearing debt, cash and net debt/EBITDA, FY2021 to 30 June 2026.</w:t>
      </w:r>
    </w:p>
    <w:p>
      <w:pPr>
        <w:spacing w:after="110" w:before="0" w:line="276" w:lineRule="auto"/>
      </w:pPr>
      <w:r>
        <w:rPr>
          <w:rFonts w:ascii="Arial" w:cs="Arial" w:eastAsia="Yu Gothic" w:hAnsi="Arial"/>
          <w:b/>
          <w:bCs/>
          <w:color w:val="1F2533"/>
          <w:sz w:val="19"/>
          <w:szCs w:val="19"/>
        </w:rPr>
        <w:t xml:space="preserve">The balance sheet grew 50% in four and a half years.</w:t>
      </w:r>
      <w:r>
        <w:rPr>
          <w:rFonts w:ascii="Arial" w:cs="Arial" w:eastAsia="Yu Gothic" w:hAnsi="Arial"/>
          <w:color w:val="1F2533"/>
          <w:sz w:val="19"/>
          <w:szCs w:val="19"/>
        </w:rPr>
        <w:t xml:space="preserve"> Total assets rose from ¥1.65tn to ¥2.48tn, and debt rose from ¥977bn to ¥1,537bn.</w:t>
      </w:r>
    </w:p>
    <w:p>
      <w:pPr>
        <w:spacing w:after="110" w:before="0" w:line="276" w:lineRule="auto"/>
      </w:pPr>
      <w:r>
        <w:rPr>
          <w:rFonts w:ascii="Arial" w:cs="Arial" w:eastAsia="Yu Gothic" w:hAnsi="Arial"/>
          <w:b/>
          <w:bCs/>
          <w:color w:val="1F2533"/>
          <w:sz w:val="19"/>
          <w:szCs w:val="19"/>
        </w:rPr>
        <w:t xml:space="preserve">Leverage drifted down until FY2025, then rose sharply.</w:t>
      </w:r>
      <w:r>
        <w:rPr>
          <w:rFonts w:ascii="Arial" w:cs="Arial" w:eastAsia="Yu Gothic" w:hAnsi="Arial"/>
          <w:color w:val="1F2533"/>
          <w:sz w:val="19"/>
          <w:szCs w:val="19"/>
        </w:rPr>
        <w:t xml:space="preserve"> Net debt/EBITDA fell from 11.5x to 9.9x as EBITDA grew 55%. It then jumped in 1H FY2026.</w:t>
      </w:r>
    </w:p>
    <w:p>
      <w:pPr>
        <w:spacing w:after="110" w:before="0" w:line="276" w:lineRule="auto"/>
      </w:pPr>
      <w:r>
        <w:rPr>
          <w:rFonts w:ascii="Arial" w:cs="Arial" w:eastAsia="Yu Gothic" w:hAnsi="Arial"/>
          <w:b/>
          <w:bCs/>
          <w:color w:val="1F2533"/>
          <w:sz w:val="19"/>
          <w:szCs w:val="19"/>
        </w:rPr>
        <w:t xml:space="preserve">The leverage guide is now binding.</w:t>
      </w:r>
      <w:r>
        <w:rPr>
          <w:rFonts w:ascii="Arial" w:cs="Arial" w:eastAsia="Yu Gothic" w:hAnsi="Arial"/>
          <w:color w:val="1F2533"/>
          <w:sz w:val="19"/>
          <w:szCs w:val="19"/>
        </w:rPr>
        <w:t xml:space="preserve"> The 2020–24 plan set debt/equity of "about 2.4x" and debt/EBITDA of "about 12x" (verbatim, </w:t>
      </w:r>
      <w:hyperlink w:history="1" r:id="rIdbk1ww8g4lrufh4erppyn2">
        <w:r>
          <w:rPr>
            <w:rFonts w:ascii="Arial" w:cs="Arial" w:eastAsia="Yu Gothic" w:hAnsi="Arial"/>
            <w:color w:val="2F6FD0"/>
            <w:sz w:val="19"/>
            <w:szCs w:val="19"/>
            <w:u w:val="single"/>
          </w:rPr>
          <w:t xml:space="preserve">FY2022 Yuho</w:t>
        </w:r>
      </w:hyperlink>
      <w:r>
        <w:rPr>
          <w:rFonts w:ascii="Arial" w:cs="Arial" w:eastAsia="Yu Gothic" w:hAnsi="Arial"/>
          <w:color w:val="1F2533"/>
          <w:sz w:val="19"/>
          <w:szCs w:val="19"/>
        </w:rPr>
        <w:t xml:space="preserve">). A search extract indicates the 2025–27 plan keeps the same guideposts. At June 2026 the company was </w:t>
      </w:r>
      <w:r>
        <w:rPr>
          <w:rFonts w:ascii="Arial" w:cs="Arial" w:eastAsia="Yu Gothic" w:hAnsi="Arial"/>
          <w:b/>
          <w:bCs/>
          <w:color w:val="1F2533"/>
          <w:sz w:val="19"/>
          <w:szCs w:val="19"/>
        </w:rPr>
        <w:t xml:space="preserve">above the debt/equity guide (2.53x)</w:t>
      </w:r>
      <w:r>
        <w:rPr>
          <w:rFonts w:ascii="Arial" w:cs="Arial" w:eastAsia="Yu Gothic" w:hAnsi="Arial"/>
          <w:color w:val="1F2533"/>
          <w:sz w:val="19"/>
          <w:szCs w:val="19"/>
        </w:rPr>
        <w:t xml:space="preserve"> and </w:t>
      </w:r>
      <w:r>
        <w:rPr>
          <w:rFonts w:ascii="Arial" w:cs="Arial" w:eastAsia="Yu Gothic" w:hAnsi="Arial"/>
          <w:b/>
          <w:bCs/>
          <w:color w:val="1F2533"/>
          <w:sz w:val="19"/>
          <w:szCs w:val="19"/>
        </w:rPr>
        <w:t xml:space="preserve">at the debt/EBITDA ceiling</w:t>
      </w:r>
      <w:r>
        <w:rPr>
          <w:rFonts w:ascii="Arial" w:cs="Arial" w:eastAsia="Yu Gothic" w:hAnsi="Arial"/>
          <w:color w:val="1F2533"/>
          <w:sz w:val="19"/>
          <w:szCs w:val="19"/>
        </w:rPr>
        <w:t xml:space="preserve">. Mid-year figures are seasonally inflated: inventory is built ahead of second-half disposals and condo handovers. The December 2026 balance sheet is therefore the real test.</w:t>
      </w:r>
    </w:p>
    <w:p>
      <w:pPr>
        <w:pStyle w:val="Heading2"/>
        <w:keepNext/>
        <w:keepLines/>
        <w:spacing w:after="90" w:before="260" w:line="252" w:lineRule="auto"/>
      </w:pPr>
      <w:r>
        <w:rPr>
          <w:rFonts w:ascii="Arial" w:cs="Arial" w:eastAsia="Yu Gothic" w:hAnsi="Arial"/>
          <w:b/>
          <w:bCs/>
          <w:color w:val="15233F"/>
          <w:sz w:val="25"/>
          <w:szCs w:val="25"/>
        </w:rPr>
        <w:t xml:space="preserve">Debt mix, cost and maturities</w:t>
      </w:r>
    </w:p>
    <w:p>
      <w:pPr>
        <w:spacing w:after="110" w:before="0" w:line="276" w:lineRule="auto"/>
      </w:pPr>
      <w:r>
        <w:rPr>
          <w:rFonts w:ascii="Arial" w:cs="Arial" w:eastAsia="Yu Gothic" w:hAnsi="Arial"/>
          <w:b/>
          <w:bCs/>
          <w:color w:val="1F2533"/>
          <w:sz w:val="19"/>
          <w:szCs w:val="19"/>
        </w:rPr>
        <w:t xml:space="preserve">Funding policy.</w:t>
      </w:r>
      <w:r>
        <w:rPr>
          <w:rFonts w:ascii="Arial" w:cs="Arial" w:eastAsia="Yu Gothic" w:hAnsi="Arial"/>
          <w:color w:val="1F2533"/>
          <w:sz w:val="19"/>
          <w:szCs w:val="19"/>
        </w:rPr>
        <w:t xml:space="preserve"> Each Yuho repeats the same policy. Most debt is long-term, and "almost all long-term borrowings" carry fixed rates to minimise interest-rate exposure. The same section warns that rising rates could hurt both earnings and asset values (</w:t>
      </w:r>
      <w:hyperlink w:history="1" r:id="rIdyx0mid8de4i5adfxl_8_m">
        <w:r>
          <w:rPr>
            <w:rFonts w:ascii="Arial" w:cs="Arial" w:eastAsia="Yu Gothic" w:hAnsi="Arial"/>
            <w:color w:val="2F6FD0"/>
            <w:sz w:val="19"/>
            <w:szCs w:val="19"/>
            <w:u w:val="single"/>
          </w:rPr>
          <w:t xml:space="preserve">FY2022 Yuho risk section</w:t>
        </w:r>
      </w:hyperlink>
      <w:r>
        <w:rPr>
          <w:rFonts w:ascii="Arial" w:cs="Arial" w:eastAsia="Yu Gothic" w:hAnsi="Arial"/>
          <w:color w:val="1F2533"/>
          <w:sz w:val="19"/>
          <w:szCs w:val="19"/>
        </w:rPr>
        <w:t xml:space="preserve">).</w:t>
      </w:r>
    </w:p>
    <w:p>
      <w:pPr>
        <w:spacing w:after="110" w:before="0" w:line="276" w:lineRule="auto"/>
      </w:pPr>
      <w:r>
        <w:rPr>
          <w:rFonts w:ascii="Arial" w:cs="Arial" w:eastAsia="Yu Gothic" w:hAnsi="Arial"/>
          <w:b/>
          <w:bCs/>
          <w:color w:val="1F2533"/>
          <w:sz w:val="19"/>
          <w:szCs w:val="19"/>
        </w:rPr>
        <w:t xml:space="preserve">Lenders and bonds.</w:t>
      </w:r>
      <w:r>
        <w:rPr>
          <w:rFonts w:ascii="Arial" w:cs="Arial" w:eastAsia="Yu Gothic" w:hAnsi="Arial"/>
          <w:color w:val="1F2533"/>
          <w:sz w:val="19"/>
          <w:szCs w:val="19"/>
        </w:rPr>
        <w:t xml:space="preserve"> Funding comes mainly from relationship banks: Mizuho, SMBC and MUFG. Bonds are issued under shelf registrations, with supplements in April 2024, May 2025, June 2025 and February 2026, and a fresh shelf registration on 17 August 2026 (</w:t>
      </w:r>
      <w:hyperlink w:history="1" r:id="rIdm1hcoyrfrhb4l4cfjjj_l">
        <w:r>
          <w:rPr>
            <w:rFonts w:ascii="Arial" w:cs="Arial" w:eastAsia="Yu Gothic" w:hAnsi="Arial"/>
            <w:color w:val="2F6FD0"/>
            <w:sz w:val="19"/>
            <w:szCs w:val="19"/>
            <w:u w:val="single"/>
          </w:rPr>
          <w:t xml:space="preserve">EDINET index</w:t>
        </w:r>
      </w:hyperlink>
      <w:r>
        <w:rPr>
          <w:rFonts w:ascii="Arial" w:cs="Arial" w:eastAsia="Yu Gothic" w:hAnsi="Arial"/>
          <w:color w:val="1F2533"/>
          <w:sz w:val="19"/>
          <w:szCs w:val="19"/>
        </w:rPr>
        <w:t xml:space="preserve">). Recent issues include:</w:t>
      </w:r>
    </w:p>
    <w:p>
      <w:pPr>
        <w:pStyle w:val="ListParagraph"/>
        <w:numPr>
          <w:ilvl w:val="0"/>
          <w:numId w:val="2"/>
        </w:numPr>
        <w:spacing w:after="60" w:line="264" w:lineRule="auto"/>
      </w:pPr>
      <w:r>
        <w:rPr>
          <w:rFonts w:ascii="Arial" w:cs="Arial" w:eastAsia="Yu Gothic" w:hAnsi="Arial"/>
          <w:color w:val="1F2533"/>
          <w:sz w:val="19"/>
          <w:szCs w:val="19"/>
        </w:rPr>
        <w:t xml:space="preserve">the 36th unsecured bond, a Sustainability Bond rated A by JCR, sold to retail investors in June–July 2025 (</w:t>
      </w:r>
      <w:hyperlink w:history="1" r:id="rIdzt6mnl4sunekla-bkezvw">
        <w:r>
          <w:rPr>
            <w:rFonts w:ascii="Arial" w:cs="Arial" w:eastAsia="Yu Gothic" w:hAnsi="Arial"/>
            <w:color w:val="2F6FD0"/>
            <w:sz w:val="19"/>
            <w:szCs w:val="19"/>
            <w:u w:val="single"/>
          </w:rPr>
          <w:t xml:space="preserve">Rakuten Securities</w:t>
        </w:r>
      </w:hyperlink>
      <w:r>
        <w:rPr>
          <w:rFonts w:ascii="Arial" w:cs="Arial" w:eastAsia="Yu Gothic" w:hAnsi="Arial"/>
          <w:color w:val="1F2533"/>
          <w:sz w:val="19"/>
          <w:szCs w:val="19"/>
        </w:rPr>
        <w:t xml:space="preserve">);</w:t>
      </w:r>
    </w:p>
    <w:p>
      <w:pPr>
        <w:pStyle w:val="ListParagraph"/>
        <w:numPr>
          <w:ilvl w:val="0"/>
          <w:numId w:val="2"/>
        </w:numPr>
        <w:spacing w:after="60" w:line="264" w:lineRule="auto"/>
      </w:pPr>
      <w:r>
        <w:rPr>
          <w:rFonts w:ascii="Arial" w:cs="Arial" w:eastAsia="Yu Gothic" w:hAnsi="Arial"/>
          <w:color w:val="1F2533"/>
          <w:sz w:val="19"/>
          <w:szCs w:val="19"/>
        </w:rPr>
        <w:t xml:space="preserve">dated subordinated hybrid bonds, rated BBB+ by JCR on 30 May 2025. They have a 37-year maturity, are callable after 7 years, and can be redeemed early on tax or rating-agency equity-credit events (</w:t>
      </w:r>
      <w:hyperlink w:history="1" r:id="rIdprqcptyomnlqr2r45utod">
        <w:r>
          <w:rPr>
            <w:rFonts w:ascii="Arial" w:cs="Arial" w:eastAsia="Yu Gothic" w:hAnsi="Arial"/>
            <w:color w:val="2F6FD0"/>
            <w:sz w:val="19"/>
            <w:szCs w:val="19"/>
            <w:u w:val="single"/>
          </w:rPr>
          <w:t xml:space="preserve">matsunosuke</w:t>
        </w:r>
      </w:hyperlink>
      <w:r>
        <w:rPr>
          <w:rFonts w:ascii="Arial" w:cs="Arial" w:eastAsia="Yu Gothic" w:hAnsi="Arial"/>
          <w:color w:val="1F2533"/>
          <w:sz w:val="19"/>
          <w:szCs w:val="19"/>
        </w:rPr>
        <w:t xml:space="preserve">).</w:t>
      </w:r>
    </w:p>
    <w:p>
      <w:pPr>
        <w:spacing w:after="40" w:before="0" w:line="276" w:lineRule="auto"/>
      </w:pPr>
    </w:p>
    <w:p>
      <w:pPr>
        <w:spacing w:after="110" w:before="0" w:line="276" w:lineRule="auto"/>
      </w:pPr>
      <w:r>
        <w:rPr>
          <w:rFonts w:ascii="Arial" w:cs="Arial" w:eastAsia="Yu Gothic" w:hAnsi="Arial"/>
          <w:color w:val="1F2533"/>
          <w:sz w:val="19"/>
          <w:szCs w:val="19"/>
        </w:rPr>
        <w:t xml:space="preserve">The hybrid amount and its equity credit were not retrievable. If the company quotes a hybrid-adjusted debt/equity ratio, reported leverage looks better than our table, which counts hybrids 100% as debt.</w:t>
      </w:r>
    </w:p>
    <w:p>
      <w:pPr>
        <w:spacing w:after="110" w:before="0" w:line="276" w:lineRule="auto"/>
      </w:pPr>
      <w:r>
        <w:rPr>
          <w:rFonts w:ascii="Arial" w:cs="Arial" w:eastAsia="Yu Gothic" w:hAnsi="Arial"/>
          <w:b/>
          <w:bCs/>
          <w:color w:val="1F2533"/>
          <w:sz w:val="19"/>
          <w:szCs w:val="19"/>
        </w:rPr>
        <w:t xml:space="preserve">Credit ratings.</w:t>
      </w:r>
      <w:r>
        <w:rPr>
          <w:rFonts w:ascii="Arial" w:cs="Arial" w:eastAsia="Yu Gothic" w:hAnsi="Arial"/>
          <w:color w:val="1F2533"/>
          <w:sz w:val="19"/>
          <w:szCs w:val="19"/>
        </w:rPr>
        <w:t xml:space="preserve"> JCR rates the issuer A, an upgrade from A− (</w:t>
      </w:r>
      <w:hyperlink w:history="1" r:id="rIdxdcjl0ipoilvao41qgzea">
        <w:r>
          <w:rPr>
            <w:rFonts w:ascii="Arial" w:cs="Arial" w:eastAsia="Yu Gothic" w:hAnsi="Arial"/>
            <w:color w:val="2F6FD0"/>
            <w:sz w:val="19"/>
            <w:szCs w:val="19"/>
            <w:u w:val="single"/>
          </w:rPr>
          <w:t xml:space="preserve">JCR</w:t>
        </w:r>
      </w:hyperlink>
      <w:r>
        <w:rPr>
          <w:rFonts w:ascii="Arial" w:cs="Arial" w:eastAsia="Yu Gothic" w:hAnsi="Arial"/>
          <w:color w:val="1F2533"/>
          <w:sz w:val="19"/>
          <w:szCs w:val="19"/>
        </w:rPr>
        <w:t xml:space="preserve">); the upgrade date was not retrieved. The R&amp;I rating was not retrieved.</w:t>
      </w:r>
    </w:p>
    <w:p>
      <w:pPr>
        <w:spacing w:after="110" w:before="0" w:line="276" w:lineRule="auto"/>
      </w:pPr>
      <w:r>
        <w:rPr>
          <w:rFonts w:ascii="Arial" w:cs="Arial" w:eastAsia="Yu Gothic" w:hAnsi="Arial"/>
          <w:b/>
          <w:bCs/>
          <w:color w:val="1F2533"/>
          <w:sz w:val="19"/>
          <w:szCs w:val="19"/>
        </w:rPr>
        <w:t xml:space="preserve">Interest cost.</w:t>
      </w:r>
      <w:r>
        <w:rPr>
          <w:rFonts w:ascii="Arial" w:cs="Arial" w:eastAsia="Yu Gothic" w:hAnsi="Arial"/>
          <w:color w:val="1F2533"/>
          <w:sz w:val="19"/>
          <w:szCs w:val="19"/>
        </w:rPr>
        <w:t xml:space="preserve"> The interest-expense line could not be retrieved, so we infer it.</w:t>
      </w:r>
    </w:p>
    <w:p>
      <w:pPr>
        <w:pStyle w:val="ListParagraph"/>
        <w:numPr>
          <w:ilvl w:val="0"/>
          <w:numId w:val="2"/>
        </w:numPr>
        <w:spacing w:after="60" w:line="264" w:lineRule="auto"/>
      </w:pPr>
      <w:r>
        <w:rPr>
          <w:rFonts w:ascii="Arial" w:cs="Arial" w:eastAsia="Yu Gothic" w:hAnsi="Arial"/>
          <w:color w:val="1F2533"/>
          <w:sz w:val="19"/>
          <w:szCs w:val="19"/>
        </w:rPr>
        <w:t xml:space="preserve">Net non-operating cost excluding equity-method results was about ¥8.8bn in FY2024 and ¥10.7bn in FY2025. That implies a net funding cost of about </w:t>
      </w:r>
      <w:r>
        <w:rPr>
          <w:rFonts w:ascii="Arial" w:cs="Arial" w:eastAsia="Yu Gothic" w:hAnsi="Arial"/>
          <w:b/>
          <w:bCs/>
          <w:color w:val="1F2533"/>
          <w:sz w:val="19"/>
          <w:szCs w:val="19"/>
        </w:rPr>
        <w:t xml:space="preserve">0.8%</w:t>
      </w:r>
      <w:r>
        <w:rPr>
          <w:rFonts w:ascii="Arial" w:cs="Arial" w:eastAsia="Yu Gothic" w:hAnsi="Arial"/>
          <w:color w:val="1F2533"/>
          <w:sz w:val="19"/>
          <w:szCs w:val="19"/>
        </w:rPr>
        <w:t xml:space="preserve"> of average debt, after dividend income from cross-shareholdings.</w:t>
      </w:r>
    </w:p>
    <w:p>
      <w:pPr>
        <w:pStyle w:val="ListParagraph"/>
        <w:numPr>
          <w:ilvl w:val="0"/>
          <w:numId w:val="2"/>
        </w:numPr>
        <w:spacing w:after="60" w:line="264" w:lineRule="auto"/>
      </w:pPr>
      <w:r>
        <w:rPr>
          <w:rFonts w:ascii="Arial" w:cs="Arial" w:eastAsia="Yu Gothic" w:hAnsi="Arial"/>
          <w:color w:val="1F2533"/>
          <w:sz w:val="19"/>
          <w:szCs w:val="19"/>
        </w:rPr>
        <w:t xml:space="preserve">Revised FY2026 guidance implies a ¥22.0bn gap between operating and ordinary profit, i.e. about </w:t>
      </w:r>
      <w:r>
        <w:rPr>
          <w:rFonts w:ascii="Arial" w:cs="Arial" w:eastAsia="Yu Gothic" w:hAnsi="Arial"/>
          <w:b/>
          <w:bCs/>
          <w:color w:val="1F2533"/>
          <w:sz w:val="19"/>
          <w:szCs w:val="19"/>
        </w:rPr>
        <w:t xml:space="preserve">1.2–1.5%</w:t>
      </w:r>
      <w:r>
        <w:rPr>
          <w:rFonts w:ascii="Arial" w:cs="Arial" w:eastAsia="Yu Gothic" w:hAnsi="Arial"/>
          <w:color w:val="1F2533"/>
          <w:sz w:val="19"/>
          <w:szCs w:val="19"/>
        </w:rPr>
        <w:t xml:space="preserve">, depending on how much of it is overseas equity-method loss.</w:t>
      </w:r>
    </w:p>
    <w:p>
      <w:pPr>
        <w:pStyle w:val="ListParagraph"/>
        <w:numPr>
          <w:ilvl w:val="0"/>
          <w:numId w:val="2"/>
        </w:numPr>
        <w:spacing w:after="60" w:line="264" w:lineRule="auto"/>
      </w:pPr>
      <w:r>
        <w:rPr>
          <w:rFonts w:ascii="Arial" w:cs="Arial" w:eastAsia="Yu Gothic" w:hAnsi="Arial"/>
          <w:color w:val="1F2533"/>
          <w:sz w:val="19"/>
          <w:szCs w:val="19"/>
        </w:rPr>
        <w:t xml:space="preserve">The direction is unambiguous: maturing fixed-rate debt is being refinanced at rates set after the BOJ's successive hikes to 1.25%.</w:t>
      </w:r>
    </w:p>
    <w:p>
      <w:pPr>
        <w:spacing w:after="40" w:before="0" w:line="276" w:lineRule="auto"/>
      </w:pPr>
    </w:p>
    <w:p>
      <w:pPr>
        <w:spacing w:after="110" w:before="0" w:line="276" w:lineRule="auto"/>
      </w:pPr>
      <w:r>
        <w:rPr>
          <w:rFonts w:ascii="Arial" w:cs="Arial" w:eastAsia="Yu Gothic" w:hAnsi="Arial"/>
          <w:b/>
          <w:bCs/>
          <w:color w:val="1F2533"/>
          <w:sz w:val="19"/>
          <w:szCs w:val="19"/>
        </w:rPr>
        <w:t xml:space="preserve">Maturities and covenants: not retrieved.</w:t>
      </w:r>
      <w:r>
        <w:rPr>
          <w:rFonts w:ascii="Arial" w:cs="Arial" w:eastAsia="Yu Gothic" w:hAnsi="Arial"/>
          <w:color w:val="1F2533"/>
          <w:sz w:val="19"/>
          <w:szCs w:val="19"/>
        </w:rPr>
        <w:t xml:space="preserve"> The maturity ladder, average remaining tenor, fixed/floating split, commitment lines and covenants were not in the materials accessible to us. We found no evidence of covenant stress. The A rating, access to unsecured retail bond markets and relationship-bank funding all point to adequate headroom, but this needs verification in the FY2025 Yuho (EDINET S100XSKF).</w:t>
      </w:r>
    </w:p>
    <w:p>
      <w:pPr>
        <w:spacing w:after="110" w:before="0" w:line="276" w:lineRule="auto"/>
      </w:pPr>
      <w:r>
        <w:rPr>
          <w:rFonts w:ascii="Arial" w:cs="Arial" w:eastAsia="Yu Gothic" w:hAnsi="Arial"/>
          <w:b/>
          <w:bCs/>
          <w:color w:val="1F2533"/>
          <w:sz w:val="19"/>
          <w:szCs w:val="19"/>
        </w:rPr>
        <w:t xml:space="preserve">Liquidity.</w:t>
      </w:r>
      <w:r>
        <w:rPr>
          <w:rFonts w:ascii="Arial" w:cs="Arial" w:eastAsia="Yu Gothic" w:hAnsi="Arial"/>
          <w:color w:val="1F2533"/>
          <w:sz w:val="19"/>
          <w:szCs w:val="19"/>
        </w:rPr>
        <w:t xml:space="preserve"> Cash was ¥94.2bn at June 2026. Further liquidity comes from:</w:t>
      </w:r>
    </w:p>
    <w:p>
      <w:pPr>
        <w:pStyle w:val="ListParagraph"/>
        <w:numPr>
          <w:ilvl w:val="0"/>
          <w:numId w:val="2"/>
        </w:numPr>
        <w:spacing w:after="60" w:line="264" w:lineRule="auto"/>
      </w:pPr>
      <w:r>
        <w:rPr>
          <w:rFonts w:ascii="Arial" w:cs="Arial" w:eastAsia="Yu Gothic" w:hAnsi="Arial"/>
          <w:color w:val="1F2533"/>
          <w:sz w:val="19"/>
          <w:szCs w:val="19"/>
        </w:rPr>
        <w:t xml:space="preserve">the company's stated stock of more than ¥100bn of embedded gains on sale;</w:t>
      </w:r>
    </w:p>
    <w:p>
      <w:pPr>
        <w:pStyle w:val="ListParagraph"/>
        <w:numPr>
          <w:ilvl w:val="0"/>
          <w:numId w:val="2"/>
        </w:numPr>
        <w:spacing w:after="60" w:line="264" w:lineRule="auto"/>
      </w:pPr>
      <w:r>
        <w:rPr>
          <w:rFonts w:ascii="Arial" w:cs="Arial" w:eastAsia="Yu Gothic" w:hAnsi="Arial"/>
          <w:color w:val="1F2533"/>
          <w:sz w:val="19"/>
          <w:szCs w:val="19"/>
        </w:rPr>
        <w:t xml:space="preserve">a policy-shareholding portfolio (listed stakes worth about ¥56–61bn at recent prices; Section 16);</w:t>
      </w:r>
    </w:p>
    <w:p>
      <w:pPr>
        <w:pStyle w:val="ListParagraph"/>
        <w:numPr>
          <w:ilvl w:val="0"/>
          <w:numId w:val="2"/>
        </w:numPr>
        <w:spacing w:after="60" w:line="264" w:lineRule="auto"/>
      </w:pPr>
      <w:r>
        <w:rPr>
          <w:rFonts w:ascii="Arial" w:cs="Arial" w:eastAsia="Yu Gothic" w:hAnsi="Arial"/>
          <w:color w:val="1F2533"/>
          <w:sz w:val="19"/>
          <w:szCs w:val="19"/>
        </w:rPr>
        <w:t xml:space="preserve">the ≥¥130bn programme of asset and cross-shareholding sales.</w:t>
      </w:r>
    </w:p>
    <w:p>
      <w:pPr>
        <w:spacing w:after="40" w:before="0" w:line="276" w:lineRule="auto"/>
      </w:pPr>
    </w:p>
    <w:p>
      <w:pPr>
        <w:spacing w:after="110" w:before="0" w:line="276" w:lineRule="auto"/>
      </w:pPr>
      <w:r>
        <w:rPr>
          <w:rFonts w:ascii="Arial" w:cs="Arial" w:eastAsia="Yu Gothic" w:hAnsi="Arial"/>
          <w:color w:val="1F2533"/>
          <w:sz w:val="19"/>
          <w:szCs w:val="19"/>
        </w:rPr>
        <w:t xml:space="preserve">The liquidity risk is not insolvency. It is being forced to sell into a weak market if the exit channel closes.</w:t>
      </w:r>
    </w:p>
    <w:p>
      <w:pPr>
        <w:pStyle w:val="Heading2"/>
        <w:keepNext/>
        <w:keepLines/>
        <w:spacing w:after="90" w:before="260" w:line="252" w:lineRule="auto"/>
      </w:pPr>
      <w:r>
        <w:rPr>
          <w:rFonts w:ascii="Arial" w:cs="Arial" w:eastAsia="Yu Gothic" w:hAnsi="Arial"/>
          <w:b/>
          <w:bCs/>
          <w:color w:val="15233F"/>
          <w:sz w:val="25"/>
          <w:szCs w:val="25"/>
        </w:rPr>
        <w:t xml:space="preserve">Interest-rate sensitivity (+100bp on current debt of ¥1,536.6bn)</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20"/>
        <w:gridCol w:w="957"/>
        <w:gridCol w:w="1145"/>
        <w:gridCol w:w="997"/>
        <w:gridCol w:w="827"/>
      </w:tblGrid>
      <w:tr>
        <w:trPr>
          <w:cantSplit/>
          <w:tblHeader/>
        </w:trPr>
        <w:tc>
          <w:tcPr>
            <w:tcW w:type="dxa" w:w="5820"/>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bCs/>
                <w:color w:val="FFFFFF"/>
                <w:sz w:val="15"/>
                <w:szCs w:val="15"/>
              </w:rPr>
              <w:t xml:space="preserve">Share of debt repriced</w:t>
            </w:r>
          </w:p>
        </w:tc>
        <w:tc>
          <w:tcPr>
            <w:tcW w:type="dxa" w:w="957"/>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5"/>
                <w:szCs w:val="15"/>
              </w:rPr>
              <w:t xml:space="preserve">Pre-tax cost</w:t>
            </w:r>
          </w:p>
        </w:tc>
        <w:tc>
          <w:tcPr>
            <w:tcW w:type="dxa" w:w="1145"/>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5"/>
                <w:szCs w:val="15"/>
              </w:rPr>
              <w:t xml:space="preserve">After-tax cost</w:t>
            </w:r>
          </w:p>
        </w:tc>
        <w:tc>
          <w:tcPr>
            <w:tcW w:type="dxa" w:w="997"/>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5"/>
                <w:szCs w:val="15"/>
              </w:rPr>
              <w:t xml:space="preserve">Share of FY2026E net income</w:t>
            </w:r>
          </w:p>
        </w:tc>
        <w:tc>
          <w:tcPr>
            <w:tcW w:type="dxa" w:w="827"/>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5"/>
                <w:szCs w:val="15"/>
              </w:rPr>
              <w:t xml:space="preserve">EPS impact</w:t>
            </w:r>
          </w:p>
        </w:tc>
      </w:tr>
      <w:tr>
        <w:trPr>
          <w:cantSplit/>
        </w:trPr>
        <w:tc>
          <w:tcPr>
            <w:tcW w:type="dxa" w:w="5820"/>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5"/>
                <w:szCs w:val="15"/>
              </w:rPr>
              <w:t xml:space="preserve">30% (near-term floating and maturing)</w:t>
            </w:r>
          </w:p>
        </w:tc>
        <w:tc>
          <w:tcPr>
            <w:tcW w:type="dxa" w:w="957"/>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5"/>
                <w:szCs w:val="15"/>
              </w:rPr>
              <w:t xml:space="preserve">¥4.6bn</w:t>
            </w:r>
          </w:p>
        </w:tc>
        <w:tc>
          <w:tcPr>
            <w:tcW w:type="dxa" w:w="1145"/>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5"/>
                <w:szCs w:val="15"/>
              </w:rPr>
              <w:t xml:space="preserve">¥3.2bn</w:t>
            </w:r>
          </w:p>
        </w:tc>
        <w:tc>
          <w:tcPr>
            <w:tcW w:type="dxa" w:w="997"/>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5"/>
                <w:szCs w:val="15"/>
              </w:rPr>
              <w:t xml:space="preserve">4.9%</w:t>
            </w:r>
          </w:p>
        </w:tc>
        <w:tc>
          <w:tcPr>
            <w:tcW w:type="dxa" w:w="827"/>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5"/>
                <w:szCs w:val="15"/>
              </w:rPr>
              <w:t xml:space="preserve">−¥15</w:t>
            </w:r>
          </w:p>
        </w:tc>
      </w:tr>
      <w:tr>
        <w:trPr>
          <w:cantSplit/>
        </w:trPr>
        <w:tc>
          <w:tcPr>
            <w:tcW w:type="dxa" w:w="5820"/>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5"/>
                <w:szCs w:val="15"/>
              </w:rPr>
              <w:t xml:space="preserve">50%</w:t>
            </w:r>
          </w:p>
        </w:tc>
        <w:tc>
          <w:tcPr>
            <w:tcW w:type="dxa" w:w="957"/>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5"/>
                <w:szCs w:val="15"/>
              </w:rPr>
              <w:t xml:space="preserve">¥7.7bn</w:t>
            </w:r>
          </w:p>
        </w:tc>
        <w:tc>
          <w:tcPr>
            <w:tcW w:type="dxa" w:w="1145"/>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5"/>
                <w:szCs w:val="15"/>
              </w:rPr>
              <w:t xml:space="preserve">¥5.3bn</w:t>
            </w:r>
          </w:p>
        </w:tc>
        <w:tc>
          <w:tcPr>
            <w:tcW w:type="dxa" w:w="997"/>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5"/>
                <w:szCs w:val="15"/>
              </w:rPr>
              <w:t xml:space="preserve">8.2%</w:t>
            </w:r>
          </w:p>
        </w:tc>
        <w:tc>
          <w:tcPr>
            <w:tcW w:type="dxa" w:w="827"/>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5"/>
                <w:szCs w:val="15"/>
              </w:rPr>
              <w:t xml:space="preserve">−¥26</w:t>
            </w:r>
          </w:p>
        </w:tc>
      </w:tr>
      <w:tr>
        <w:trPr>
          <w:cantSplit/>
        </w:trPr>
        <w:tc>
          <w:tcPr>
            <w:tcW w:type="dxa" w:w="5820"/>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5"/>
                <w:szCs w:val="15"/>
              </w:rPr>
              <w:t xml:space="preserve">100% (fully repriced over the refinancing cycle)</w:t>
            </w:r>
          </w:p>
        </w:tc>
        <w:tc>
          <w:tcPr>
            <w:tcW w:type="dxa" w:w="957"/>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5"/>
                <w:szCs w:val="15"/>
              </w:rPr>
              <w:t xml:space="preserve">¥15.4bn</w:t>
            </w:r>
          </w:p>
        </w:tc>
        <w:tc>
          <w:tcPr>
            <w:tcW w:type="dxa" w:w="1145"/>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5"/>
                <w:szCs w:val="15"/>
              </w:rPr>
              <w:t xml:space="preserve">¥10.7bn</w:t>
            </w:r>
          </w:p>
        </w:tc>
        <w:tc>
          <w:tcPr>
            <w:tcW w:type="dxa" w:w="997"/>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5"/>
                <w:szCs w:val="15"/>
              </w:rPr>
              <w:t xml:space="preserve">16.3%</w:t>
            </w:r>
          </w:p>
        </w:tc>
        <w:tc>
          <w:tcPr>
            <w:tcW w:type="dxa" w:w="827"/>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5"/>
                <w:szCs w:val="15"/>
              </w:rPr>
              <w:t xml:space="preserve">−¥51</w:t>
            </w:r>
          </w:p>
        </w:tc>
      </w:tr>
    </w:tbl>
    <w:p>
      <w:pPr>
        <w:spacing w:after="120" w:before="0" w:line="276" w:lineRule="auto"/>
      </w:pPr>
    </w:p>
    <w:p>
      <w:pPr>
        <w:pBdr>
          <w:left w:val="single" w:color="2F6FD0" w:sz="24" w:space="8"/>
        </w:pBdr>
        <w:shd w:fill="EEF3FA" w:color="auto" w:val="clear"/>
        <w:spacing w:after="160" w:before="60" w:line="264" w:lineRule="auto"/>
        <w:ind w:left="200" w:right="200"/>
      </w:pPr>
      <w:r>
        <w:rPr>
          <w:rFonts w:ascii="Arial" w:cs="Arial" w:eastAsia="Yu Gothic" w:hAnsi="Arial"/>
          <w:b/>
          <w:bCs/>
          <w:color w:val="15233F"/>
          <w:sz w:val="18"/>
          <w:szCs w:val="18"/>
        </w:rPr>
        <w:t xml:space="preserve">Key takeaway:</w:t>
      </w:r>
      <w:r>
        <w:rPr>
          <w:rFonts w:ascii="Arial" w:cs="Arial" w:eastAsia="Yu Gothic" w:hAnsi="Arial"/>
          <w:color w:val="15233F"/>
          <w:sz w:val="18"/>
          <w:szCs w:val="18"/>
        </w:rPr>
        <w:t xml:space="preserve"> The capital structure is conservative in form (long-dated, fixed-rate, A-rated, relationship banks) but aggressive in quantity: debt is about 2.5 times equity and about 12 times EBITDA. Repricing is gradual but relentless. Every 100bp, once fully repriced, removes about 16% of net income.</w:t>
      </w:r>
    </w:p>
    <w:p>
      <w:pPr>
        <w:pStyle w:val="Heading1"/>
        <w:keepNext/>
        <w:keepLines/>
        <w:pageBreakBefore/>
        <w:pBdr>
          <w:bottom w:val="single" w:color="2F6FD0" w:sz="12" w:space="6"/>
        </w:pBdr>
        <w:spacing w:after="160" w:before="0" w:line="252" w:lineRule="auto"/>
      </w:pPr>
      <w:r>
        <w:rPr>
          <w:rFonts w:ascii="Arial" w:cs="Arial" w:eastAsia="Yu Gothic" w:hAnsi="Arial"/>
          <w:b/>
          <w:bCs/>
          <w:color w:val="15233F"/>
          <w:sz w:val="32"/>
          <w:szCs w:val="32"/>
        </w:rPr>
        <w:t xml:space="preserve">10. Valuation: cheap on equity multiples, fair on enterprise value, full against its own history</w:t>
      </w:r>
    </w:p>
    <w:p>
      <w:pPr>
        <w:pStyle w:val="Heading2"/>
        <w:keepNext/>
        <w:keepLines/>
        <w:spacing w:after="90" w:before="260" w:line="252" w:lineRule="auto"/>
      </w:pPr>
      <w:r>
        <w:rPr>
          <w:rFonts w:ascii="Arial" w:cs="Arial" w:eastAsia="Yu Gothic" w:hAnsi="Arial"/>
          <w:b/>
          <w:bCs/>
          <w:color w:val="15233F"/>
          <w:sz w:val="25"/>
          <w:szCs w:val="25"/>
        </w:rPr>
        <w:t xml:space="preserve">Competitor universe: public and private</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64"/>
        <w:gridCol w:w="1537"/>
        <w:gridCol w:w="2170"/>
        <w:gridCol w:w="2975"/>
      </w:tblGrid>
      <w:tr>
        <w:trPr>
          <w:cantSplit/>
          <w:tblHeader/>
        </w:trPr>
        <w:tc>
          <w:tcPr>
            <w:tcW w:type="dxa" w:w="3064"/>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bCs/>
                <w:color w:val="FFFFFF"/>
                <w:sz w:val="16"/>
                <w:szCs w:val="16"/>
              </w:rPr>
              <w:t xml:space="preserve">Company</w:t>
            </w:r>
          </w:p>
        </w:tc>
        <w:tc>
          <w:tcPr>
            <w:tcW w:type="dxa" w:w="1537"/>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6"/>
                <w:szCs w:val="16"/>
              </w:rPr>
              <w:t xml:space="preserve">Ticker</w:t>
            </w:r>
          </w:p>
        </w:tc>
        <w:tc>
          <w:tcPr>
            <w:tcW w:type="dxa" w:w="2170"/>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6"/>
                <w:szCs w:val="16"/>
              </w:rPr>
              <w:t xml:space="preserve">Listed?</w:t>
            </w:r>
          </w:p>
        </w:tc>
        <w:tc>
          <w:tcPr>
            <w:tcW w:type="dxa" w:w="2975"/>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6"/>
                <w:szCs w:val="16"/>
              </w:rPr>
              <w:t xml:space="preserve">Relevance to Tokyo Tatemono</w:t>
            </w:r>
          </w:p>
        </w:tc>
      </w:tr>
      <w:tr>
        <w:trPr>
          <w:cantSplit/>
        </w:trPr>
        <w:tc>
          <w:tcPr>
            <w:tcW w:type="dxa" w:w="3064"/>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Mitsui Fudosan</w:t>
            </w:r>
          </w:p>
        </w:tc>
        <w:tc>
          <w:tcPr>
            <w:tcW w:type="dxa" w:w="1537"/>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6"/>
                <w:szCs w:val="16"/>
              </w:rPr>
              <w:t xml:space="preserve">8801</w:t>
            </w:r>
          </w:p>
        </w:tc>
        <w:tc>
          <w:tcPr>
            <w:tcW w:type="dxa" w:w="2170"/>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Yes, TSE Prime</w:t>
            </w:r>
          </w:p>
        </w:tc>
        <w:tc>
          <w:tcPr>
            <w:tcW w:type="dxa" w:w="2975"/>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#1 integrated developer; neighbour in Nihonbashi/Yaesu</w:t>
            </w:r>
          </w:p>
        </w:tc>
      </w:tr>
      <w:tr>
        <w:trPr>
          <w:cantSplit/>
        </w:trPr>
        <w:tc>
          <w:tcPr>
            <w:tcW w:type="dxa" w:w="3064"/>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Mitsubishi Estate</w:t>
            </w:r>
          </w:p>
        </w:tc>
        <w:tc>
          <w:tcPr>
            <w:tcW w:type="dxa" w:w="1537"/>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6"/>
                <w:szCs w:val="16"/>
              </w:rPr>
              <w:t xml:space="preserve">8802</w:t>
            </w:r>
          </w:p>
        </w:tc>
        <w:tc>
          <w:tcPr>
            <w:tcW w:type="dxa" w:w="2170"/>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Yes, TSE Prime</w:t>
            </w:r>
          </w:p>
        </w:tc>
        <w:tc>
          <w:tcPr>
            <w:tcW w:type="dxa" w:w="2975"/>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Marunouchi landlord; surrounds the Otemachi/Tokyo Station core</w:t>
            </w:r>
          </w:p>
        </w:tc>
      </w:tr>
      <w:tr>
        <w:trPr>
          <w:cantSplit/>
        </w:trPr>
        <w:tc>
          <w:tcPr>
            <w:tcW w:type="dxa" w:w="3064"/>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Sumitomo Realty &amp; Development</w:t>
            </w:r>
          </w:p>
        </w:tc>
        <w:tc>
          <w:tcPr>
            <w:tcW w:type="dxa" w:w="1537"/>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6"/>
                <w:szCs w:val="16"/>
              </w:rPr>
              <w:t xml:space="preserve">8830</w:t>
            </w:r>
          </w:p>
        </w:tc>
        <w:tc>
          <w:tcPr>
            <w:tcW w:type="dxa" w:w="2170"/>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Yes, TSE Prime</w:t>
            </w:r>
          </w:p>
        </w:tc>
        <w:tc>
          <w:tcPr>
            <w:tcW w:type="dxa" w:w="2975"/>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Tokyo offices and condos; highest margin among the majors; Elliott holds 3.5%</w:t>
            </w:r>
          </w:p>
        </w:tc>
      </w:tr>
      <w:tr>
        <w:trPr>
          <w:cantSplit/>
        </w:trPr>
        <w:tc>
          <w:tcPr>
            <w:tcW w:type="dxa" w:w="3064"/>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Tokyu Fudosan HD</w:t>
            </w:r>
          </w:p>
        </w:tc>
        <w:tc>
          <w:tcPr>
            <w:tcW w:type="dxa" w:w="1537"/>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6"/>
                <w:szCs w:val="16"/>
              </w:rPr>
              <w:t xml:space="preserve">3289</w:t>
            </w:r>
          </w:p>
        </w:tc>
        <w:tc>
          <w:tcPr>
            <w:tcW w:type="dxa" w:w="2170"/>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Yes, TSE Prime (Tokyu Corp holds 15.9%)</w:t>
            </w:r>
          </w:p>
        </w:tc>
        <w:tc>
          <w:tcPr>
            <w:tcW w:type="dxa" w:w="2975"/>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Similar scale; condos and brokerage</w:t>
            </w:r>
          </w:p>
        </w:tc>
      </w:tr>
      <w:tr>
        <w:trPr>
          <w:cantSplit/>
        </w:trPr>
        <w:tc>
          <w:tcPr>
            <w:tcW w:type="dxa" w:w="3064"/>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Nomura Real Estate HD</w:t>
            </w:r>
          </w:p>
        </w:tc>
        <w:tc>
          <w:tcPr>
            <w:tcW w:type="dxa" w:w="1537"/>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6"/>
                <w:szCs w:val="16"/>
              </w:rPr>
              <w:t xml:space="preserve">3231</w:t>
            </w:r>
          </w:p>
        </w:tc>
        <w:tc>
          <w:tcPr>
            <w:tcW w:type="dxa" w:w="2170"/>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Yes, TSE Prime (Nomura HD holds 35.2%)</w:t>
            </w:r>
          </w:p>
        </w:tc>
        <w:tc>
          <w:tcPr>
            <w:tcW w:type="dxa" w:w="2975"/>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Closest comparable on condo mix and size; Proud brand</w:t>
            </w:r>
          </w:p>
        </w:tc>
      </w:tr>
      <w:tr>
        <w:trPr>
          <w:cantSplit/>
        </w:trPr>
        <w:tc>
          <w:tcPr>
            <w:tcW w:type="dxa" w:w="3064"/>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Hulic</w:t>
            </w:r>
          </w:p>
        </w:tc>
        <w:tc>
          <w:tcPr>
            <w:tcW w:type="dxa" w:w="1537"/>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6"/>
                <w:szCs w:val="16"/>
              </w:rPr>
              <w:t xml:space="preserve">3003</w:t>
            </w:r>
          </w:p>
        </w:tc>
        <w:tc>
          <w:tcPr>
            <w:tcW w:type="dxa" w:w="2170"/>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Yes, TSE Prime</w:t>
            </w:r>
          </w:p>
        </w:tc>
        <w:tc>
          <w:tcPr>
            <w:tcW w:type="dxa" w:w="2975"/>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Central-Tokyo landlord; Fuyo/Yasuda-lineage register; cross-holding with Tokyo Tatemono</w:t>
            </w:r>
          </w:p>
        </w:tc>
      </w:tr>
      <w:tr>
        <w:trPr>
          <w:cantSplit/>
        </w:trPr>
        <w:tc>
          <w:tcPr>
            <w:tcW w:type="dxa" w:w="3064"/>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Heiwa Real Estate</w:t>
            </w:r>
          </w:p>
        </w:tc>
        <w:tc>
          <w:tcPr>
            <w:tcW w:type="dxa" w:w="1537"/>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6"/>
                <w:szCs w:val="16"/>
              </w:rPr>
              <w:t xml:space="preserve">8803</w:t>
            </w:r>
          </w:p>
        </w:tc>
        <w:tc>
          <w:tcPr>
            <w:tcW w:type="dxa" w:w="2170"/>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Yes, TSE Prime (Taisei holds 17.3%)</w:t>
            </w:r>
          </w:p>
        </w:tc>
        <w:tc>
          <w:tcPr>
            <w:tcW w:type="dxa" w:w="2975"/>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Small office landlord (Kabutocho)</w:t>
            </w:r>
          </w:p>
        </w:tc>
      </w:tr>
      <w:tr>
        <w:trPr>
          <w:cantSplit/>
        </w:trPr>
        <w:tc>
          <w:tcPr>
            <w:tcW w:type="dxa" w:w="3064"/>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Keihanshin Building</w:t>
            </w:r>
          </w:p>
        </w:tc>
        <w:tc>
          <w:tcPr>
            <w:tcW w:type="dxa" w:w="1537"/>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6"/>
                <w:szCs w:val="16"/>
              </w:rPr>
              <w:t xml:space="preserve">8818</w:t>
            </w:r>
          </w:p>
        </w:tc>
        <w:tc>
          <w:tcPr>
            <w:tcW w:type="dxa" w:w="2170"/>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Yes, TSE Prime</w:t>
            </w:r>
          </w:p>
        </w:tc>
        <w:tc>
          <w:tcPr>
            <w:tcW w:type="dxa" w:w="2975"/>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Small Osaka landlord</w:t>
            </w:r>
          </w:p>
        </w:tc>
      </w:tr>
      <w:tr>
        <w:trPr>
          <w:cantSplit/>
        </w:trPr>
        <w:tc>
          <w:tcPr>
            <w:tcW w:type="dxa" w:w="3064"/>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Sekisui House / Daito Trust / Open House</w:t>
            </w:r>
          </w:p>
        </w:tc>
        <w:tc>
          <w:tcPr>
            <w:tcW w:type="dxa" w:w="1537"/>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6"/>
                <w:szCs w:val="16"/>
              </w:rPr>
              <w:t xml:space="preserve">1928 / 1878 / 3288</w:t>
            </w:r>
          </w:p>
        </w:tc>
        <w:tc>
          <w:tcPr>
            <w:tcW w:type="dxa" w:w="2170"/>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Yes, TSE Prime</w:t>
            </w:r>
          </w:p>
        </w:tc>
        <w:tc>
          <w:tcPr>
            <w:tcW w:type="dxa" w:w="2975"/>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Housing comparables; Open House is the #1 condo supplier</w:t>
            </w:r>
          </w:p>
        </w:tc>
      </w:tr>
      <w:tr>
        <w:trPr>
          <w:cantSplit/>
        </w:trPr>
        <w:tc>
          <w:tcPr>
            <w:tcW w:type="dxa" w:w="3064"/>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Japan Prime Realty / Mori Hills REIT / NTT UD REIT</w:t>
            </w:r>
          </w:p>
        </w:tc>
        <w:tc>
          <w:tcPr>
            <w:tcW w:type="dxa" w:w="1537"/>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6"/>
                <w:szCs w:val="16"/>
              </w:rPr>
              <w:t xml:space="preserve">8955 / 3234 / 8956</w:t>
            </w:r>
          </w:p>
        </w:tc>
        <w:tc>
          <w:tcPr>
            <w:tcW w:type="dxa" w:w="2170"/>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Yes, J-REITs</w:t>
            </w:r>
          </w:p>
        </w:tc>
        <w:tc>
          <w:tcPr>
            <w:tcW w:type="dxa" w:w="2975"/>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Sponsor vehicles; excluded from EV/Sales comparisons</w:t>
            </w:r>
          </w:p>
        </w:tc>
      </w:tr>
      <w:tr>
        <w:trPr>
          <w:cantSplit/>
        </w:trPr>
        <w:tc>
          <w:tcPr>
            <w:tcW w:type="dxa" w:w="3064"/>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Star Mica HD</w:t>
            </w:r>
          </w:p>
        </w:tc>
        <w:tc>
          <w:tcPr>
            <w:tcW w:type="dxa" w:w="1537"/>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6"/>
                <w:szCs w:val="16"/>
              </w:rPr>
              <w:t xml:space="preserve">2975</w:t>
            </w:r>
          </w:p>
        </w:tc>
        <w:tc>
          <w:tcPr>
            <w:tcW w:type="dxa" w:w="2170"/>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Yes, TSE Prime</w:t>
            </w:r>
          </w:p>
        </w:tc>
        <w:tc>
          <w:tcPr>
            <w:tcW w:type="dxa" w:w="2975"/>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Pre-owned condo renovation; Tokyo Tatemono holds 13.74%</w:t>
            </w:r>
          </w:p>
        </w:tc>
      </w:tr>
      <w:tr>
        <w:trPr>
          <w:cantSplit/>
        </w:trPr>
        <w:tc>
          <w:tcPr>
            <w:tcW w:type="dxa" w:w="3064"/>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Mori Building</w:t>
            </w:r>
          </w:p>
        </w:tc>
        <w:tc>
          <w:tcPr>
            <w:tcW w:type="dxa" w:w="1537"/>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6"/>
                <w:szCs w:val="16"/>
              </w:rPr>
              <w:t xml:space="preserve">—</w:t>
            </w:r>
          </w:p>
        </w:tc>
        <w:tc>
          <w:tcPr>
            <w:tcW w:type="dxa" w:w="2170"/>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No (sponsors Mori Hills REIT, 19.3%)</w:t>
            </w:r>
          </w:p>
        </w:tc>
        <w:tc>
          <w:tcPr>
            <w:tcW w:type="dxa" w:w="2975"/>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Roppongi, Toranomon and Azabudai mega-projects</w:t>
            </w:r>
          </w:p>
        </w:tc>
      </w:tr>
      <w:tr>
        <w:trPr>
          <w:cantSplit/>
        </w:trPr>
        <w:tc>
          <w:tcPr>
            <w:tcW w:type="dxa" w:w="3064"/>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Mori Trust</w:t>
            </w:r>
          </w:p>
        </w:tc>
        <w:tc>
          <w:tcPr>
            <w:tcW w:type="dxa" w:w="1537"/>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6"/>
                <w:szCs w:val="16"/>
              </w:rPr>
              <w:t xml:space="preserve">—</w:t>
            </w:r>
          </w:p>
        </w:tc>
        <w:tc>
          <w:tcPr>
            <w:tcW w:type="dxa" w:w="2170"/>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No</w:t>
            </w:r>
          </w:p>
        </w:tc>
        <w:tc>
          <w:tcPr>
            <w:tcW w:type="dxa" w:w="2975"/>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Offices and hotels</w:t>
            </w:r>
          </w:p>
        </w:tc>
      </w:tr>
      <w:tr>
        <w:trPr>
          <w:cantSplit/>
        </w:trPr>
        <w:tc>
          <w:tcPr>
            <w:tcW w:type="dxa" w:w="3064"/>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Nippon Steel Kowa Real Estate</w:t>
            </w:r>
          </w:p>
        </w:tc>
        <w:tc>
          <w:tcPr>
            <w:tcW w:type="dxa" w:w="1537"/>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6"/>
                <w:szCs w:val="16"/>
              </w:rPr>
              <w:t xml:space="preserve">—</w:t>
            </w:r>
          </w:p>
        </w:tc>
        <w:tc>
          <w:tcPr>
            <w:tcW w:type="dxa" w:w="2170"/>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No</w:t>
            </w:r>
          </w:p>
        </w:tc>
        <w:tc>
          <w:tcPr>
            <w:tcW w:type="dxa" w:w="2975"/>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Office developer; Tokyo Tatemono's partner in Melbourne</w:t>
            </w:r>
          </w:p>
        </w:tc>
      </w:tr>
      <w:tr>
        <w:trPr>
          <w:cantSplit/>
        </w:trPr>
        <w:tc>
          <w:tcPr>
            <w:tcW w:type="dxa" w:w="3064"/>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NTT Urban Development</w:t>
            </w:r>
          </w:p>
        </w:tc>
        <w:tc>
          <w:tcPr>
            <w:tcW w:type="dxa" w:w="1537"/>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6"/>
                <w:szCs w:val="16"/>
              </w:rPr>
              <w:t xml:space="preserve">—</w:t>
            </w:r>
          </w:p>
        </w:tc>
        <w:tc>
          <w:tcPr>
            <w:tcW w:type="dxa" w:w="2170"/>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No (delisted Jan 2019 after NTT's tender offer)</w:t>
            </w:r>
          </w:p>
        </w:tc>
        <w:tc>
          <w:tcPr>
            <w:tcW w:type="dxa" w:w="2975"/>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Offices and condos</w:t>
            </w:r>
          </w:p>
        </w:tc>
      </w:tr>
      <w:tr>
        <w:trPr>
          <w:cantSplit/>
        </w:trPr>
        <w:tc>
          <w:tcPr>
            <w:tcW w:type="dxa" w:w="3064"/>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Condo arms of the majors: Mitsubishi Jisho Residence, Mitsui Fudosan Residential, Sumitomo Fudosan Hanbai, Tokyu Land, Nomura RE Development</w:t>
            </w:r>
          </w:p>
        </w:tc>
        <w:tc>
          <w:tcPr>
            <w:tcW w:type="dxa" w:w="1537"/>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6"/>
                <w:szCs w:val="16"/>
              </w:rPr>
              <w:t xml:space="preserve">—</w:t>
            </w:r>
          </w:p>
        </w:tc>
        <w:tc>
          <w:tcPr>
            <w:tcW w:type="dxa" w:w="2170"/>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No (subsidiaries)</w:t>
            </w:r>
          </w:p>
        </w:tc>
        <w:tc>
          <w:tcPr>
            <w:tcW w:type="dxa" w:w="2975"/>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Direct condo competitors (The Parkhouse, Park Homes, City House, Branz, Proud)</w:t>
            </w:r>
          </w:p>
        </w:tc>
      </w:tr>
    </w:tbl>
    <w:p>
      <w:pPr>
        <w:spacing w:after="120" w:before="0" w:line="276" w:lineRule="auto"/>
      </w:pPr>
    </w:p>
    <w:p>
      <w:pPr>
        <w:spacing w:after="110" w:before="0" w:line="276" w:lineRule="auto"/>
      </w:pPr>
      <w:r>
        <w:rPr>
          <w:rFonts w:ascii="Arial" w:cs="Arial" w:eastAsia="Yu Gothic" w:hAnsi="Arial"/>
          <w:color w:val="1F2533"/>
          <w:sz w:val="19"/>
          <w:szCs w:val="19"/>
        </w:rPr>
        <w:t xml:space="preserve">Sources: </w:t>
      </w:r>
      <w:hyperlink w:history="1" r:id="rIdqsno0r9hij1-svimz3rvi">
        <w:r>
          <w:rPr>
            <w:rFonts w:ascii="Arial" w:cs="Arial" w:eastAsia="Yu Gothic" w:hAnsi="Arial"/>
            <w:color w:val="2F6FD0"/>
            <w:sz w:val="19"/>
            <w:szCs w:val="19"/>
            <w:u w:val="single"/>
          </w:rPr>
          <w:t xml:space="preserve">Shikiho mirror pages for each company</w:t>
        </w:r>
      </w:hyperlink>
      <w:r>
        <w:rPr>
          <w:rFonts w:ascii="Arial" w:cs="Arial" w:eastAsia="Yu Gothic" w:hAnsi="Arial"/>
          <w:color w:val="1F2533"/>
          <w:sz w:val="19"/>
          <w:szCs w:val="19"/>
        </w:rPr>
        <w:t xml:space="preserve">; </w:t>
      </w:r>
      <w:hyperlink w:history="1" r:id="rIdqk0oti_nmewqtxmlr3lvs">
        <w:r>
          <w:rPr>
            <w:rFonts w:ascii="Arial" w:cs="Arial" w:eastAsia="Yu Gothic" w:hAnsi="Arial"/>
            <w:color w:val="2F6FD0"/>
            <w:sz w:val="19"/>
            <w:szCs w:val="19"/>
            <w:u w:val="single"/>
          </w:rPr>
          <w:t xml:space="preserve">NTT UD delisting</w:t>
        </w:r>
      </w:hyperlink>
      <w:r>
        <w:rPr>
          <w:rFonts w:ascii="Arial" w:cs="Arial" w:eastAsia="Yu Gothic" w:hAnsi="Arial"/>
          <w:color w:val="1F2533"/>
          <w:sz w:val="19"/>
          <w:szCs w:val="19"/>
        </w:rPr>
        <w:t xml:space="preserve">.</w:t>
      </w:r>
    </w:p>
    <w:p>
      <w:pPr>
        <w:pStyle w:val="Heading2"/>
        <w:keepNext/>
        <w:keepLines/>
        <w:spacing w:after="90" w:before="260" w:line="252" w:lineRule="auto"/>
      </w:pPr>
      <w:r>
        <w:rPr>
          <w:rFonts w:ascii="Arial" w:cs="Arial" w:eastAsia="Yu Gothic" w:hAnsi="Arial"/>
          <w:b/>
          <w:bCs/>
          <w:color w:val="15233F"/>
          <w:sz w:val="25"/>
          <w:szCs w:val="25"/>
        </w:rPr>
        <w:t xml:space="preserve">Current multiples vs listed peers</w:t>
      </w:r>
    </w:p>
    <w:p>
      <w:pPr>
        <w:spacing w:after="110" w:before="0" w:line="276" w:lineRule="auto"/>
      </w:pPr>
      <w:r>
        <w:rPr>
          <w:rFonts w:ascii="Arial" w:cs="Arial" w:eastAsia="Yu Gothic" w:hAnsi="Arial"/>
          <w:color w:val="1F2533"/>
          <w:sz w:val="19"/>
          <w:szCs w:val="19"/>
        </w:rPr>
        <w:t xml:space="preserve">Valuation multiples: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94"/>
        <w:gridCol w:w="2249"/>
        <w:gridCol w:w="788"/>
        <w:gridCol w:w="788"/>
        <w:gridCol w:w="684"/>
        <w:gridCol w:w="766"/>
        <w:gridCol w:w="626"/>
        <w:gridCol w:w="851"/>
      </w:tblGrid>
      <w:tr>
        <w:trPr>
          <w:cantSplit/>
          <w:tblHeader/>
        </w:trPr>
        <w:tc>
          <w:tcPr>
            <w:tcW w:type="dxa" w:w="2994"/>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bCs/>
                <w:color w:val="FFFFFF"/>
                <w:sz w:val="14"/>
                <w:szCs w:val="14"/>
              </w:rPr>
              <w:t xml:space="preserve">Company</w:t>
            </w:r>
          </w:p>
        </w:tc>
        <w:tc>
          <w:tcPr>
            <w:tcW w:type="dxa" w:w="2249"/>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4"/>
                <w:szCs w:val="14"/>
              </w:rPr>
              <w:t xml:space="preserve">Price (date, 2026)</w:t>
            </w:r>
          </w:p>
        </w:tc>
        <w:tc>
          <w:tcPr>
            <w:tcW w:type="dxa" w:w="788"/>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4"/>
                <w:szCs w:val="14"/>
              </w:rPr>
              <w:t xml:space="preserve">Market cap ¥bn</w:t>
            </w:r>
          </w:p>
        </w:tc>
        <w:tc>
          <w:tcPr>
            <w:tcW w:type="dxa" w:w="788"/>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4"/>
                <w:szCs w:val="14"/>
              </w:rPr>
              <w:t xml:space="preserve">EV ¥bn</w:t>
            </w:r>
          </w:p>
        </w:tc>
        <w:tc>
          <w:tcPr>
            <w:tcW w:type="dxa" w:w="684"/>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4"/>
                <w:szCs w:val="14"/>
              </w:rPr>
              <w:t xml:space="preserve">EV/Sales</w:t>
            </w:r>
          </w:p>
        </w:tc>
        <w:tc>
          <w:tcPr>
            <w:tcW w:type="dxa" w:w="766"/>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4"/>
                <w:szCs w:val="14"/>
              </w:rPr>
              <w:t xml:space="preserve">EV/EBITDA</w:t>
            </w:r>
          </w:p>
        </w:tc>
        <w:tc>
          <w:tcPr>
            <w:tcW w:type="dxa" w:w="626"/>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4"/>
                <w:szCs w:val="14"/>
              </w:rPr>
              <w:t xml:space="preserve">EV/EBIT</w:t>
            </w:r>
          </w:p>
        </w:tc>
        <w:tc>
          <w:tcPr>
            <w:tcW w:type="dxa" w:w="851"/>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4"/>
                <w:szCs w:val="14"/>
              </w:rPr>
              <w:t xml:space="preserve">Forward P/E</w:t>
            </w:r>
          </w:p>
        </w:tc>
      </w:tr>
      <w:tr>
        <w:trPr>
          <w:cantSplit/>
        </w:trPr>
        <w:tc>
          <w:tcPr>
            <w:tcW w:type="dxa" w:w="2994"/>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bCs/>
                <w:color w:val="1F2533"/>
                <w:sz w:val="14"/>
                <w:szCs w:val="14"/>
              </w:rPr>
              <w:t xml:space="preserve">Tokyo Tatemono</w:t>
            </w:r>
          </w:p>
        </w:tc>
        <w:tc>
          <w:tcPr>
            <w:tcW w:type="dxa" w:w="2249"/>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bCs/>
                <w:color w:val="1F2533"/>
                <w:sz w:val="14"/>
                <w:szCs w:val="14"/>
              </w:rPr>
              <w:t xml:space="preserve">3,211 (2 Oct)</w:t>
            </w:r>
          </w:p>
        </w:tc>
        <w:tc>
          <w:tcPr>
            <w:tcW w:type="dxa" w:w="788"/>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b/>
                <w:bCs/>
                <w:color w:val="1F2533"/>
                <w:sz w:val="14"/>
                <w:szCs w:val="14"/>
              </w:rPr>
              <w:t xml:space="preserve">667.8</w:t>
            </w:r>
          </w:p>
        </w:tc>
        <w:tc>
          <w:tcPr>
            <w:tcW w:type="dxa" w:w="788"/>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b/>
                <w:bCs/>
                <w:color w:val="1F2533"/>
                <w:sz w:val="14"/>
                <w:szCs w:val="14"/>
              </w:rPr>
              <w:t xml:space="preserve">2,122.5</w:t>
            </w:r>
          </w:p>
        </w:tc>
        <w:tc>
          <w:tcPr>
            <w:tcW w:type="dxa" w:w="684"/>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b/>
                <w:bCs/>
                <w:color w:val="1F2533"/>
                <w:sz w:val="14"/>
                <w:szCs w:val="14"/>
              </w:rPr>
              <w:t xml:space="preserve">4.47x</w:t>
            </w:r>
          </w:p>
        </w:tc>
        <w:tc>
          <w:tcPr>
            <w:tcW w:type="dxa" w:w="76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b/>
                <w:bCs/>
                <w:color w:val="1F2533"/>
                <w:sz w:val="14"/>
                <w:szCs w:val="14"/>
              </w:rPr>
              <w:t xml:space="preserve">17.7x</w:t>
            </w:r>
          </w:p>
        </w:tc>
        <w:tc>
          <w:tcPr>
            <w:tcW w:type="dxa" w:w="62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b/>
                <w:bCs/>
                <w:color w:val="1F2533"/>
                <w:sz w:val="14"/>
                <w:szCs w:val="14"/>
              </w:rPr>
              <w:t xml:space="preserve">22.2x</w:t>
            </w:r>
          </w:p>
        </w:tc>
        <w:tc>
          <w:tcPr>
            <w:tcW w:type="dxa" w:w="851"/>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b/>
                <w:bCs/>
                <w:color w:val="1F2533"/>
                <w:sz w:val="14"/>
                <w:szCs w:val="14"/>
              </w:rPr>
              <w:t xml:space="preserve">10.3x</w:t>
            </w:r>
          </w:p>
        </w:tc>
      </w:tr>
      <w:tr>
        <w:trPr>
          <w:cantSplit/>
        </w:trPr>
        <w:tc>
          <w:tcPr>
            <w:tcW w:type="dxa" w:w="2994"/>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4"/>
                <w:szCs w:val="14"/>
              </w:rPr>
              <w:t xml:space="preserve">Mitsui Fudosan</w:t>
            </w:r>
          </w:p>
        </w:tc>
        <w:tc>
          <w:tcPr>
            <w:tcW w:type="dxa" w:w="2249"/>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4"/>
                <w:szCs w:val="14"/>
              </w:rPr>
              <w:t xml:space="preserve">1,507.5 (7 Sep)</w:t>
            </w:r>
          </w:p>
        </w:tc>
        <w:tc>
          <w:tcPr>
            <w:tcW w:type="dxa" w:w="788"/>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4,060.0</w:t>
            </w:r>
          </w:p>
        </w:tc>
        <w:tc>
          <w:tcPr>
            <w:tcW w:type="dxa" w:w="788"/>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8,529.4</w:t>
            </w:r>
          </w:p>
        </w:tc>
        <w:tc>
          <w:tcPr>
            <w:tcW w:type="dxa" w:w="684"/>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3.15x</w:t>
            </w:r>
          </w:p>
        </w:tc>
        <w:tc>
          <w:tcPr>
            <w:tcW w:type="dxa" w:w="766"/>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15.9x</w:t>
            </w:r>
          </w:p>
        </w:tc>
        <w:tc>
          <w:tcPr>
            <w:tcW w:type="dxa" w:w="626"/>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21.4x</w:t>
            </w:r>
          </w:p>
        </w:tc>
        <w:tc>
          <w:tcPr>
            <w:tcW w:type="dxa" w:w="851"/>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14.3x</w:t>
            </w:r>
          </w:p>
        </w:tc>
      </w:tr>
      <w:tr>
        <w:trPr>
          <w:cantSplit/>
        </w:trPr>
        <w:tc>
          <w:tcPr>
            <w:tcW w:type="dxa" w:w="2994"/>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4"/>
                <w:szCs w:val="14"/>
              </w:rPr>
              <w:t xml:space="preserve">Mitsubishi Estate</w:t>
            </w:r>
          </w:p>
        </w:tc>
        <w:tc>
          <w:tcPr>
            <w:tcW w:type="dxa" w:w="2249"/>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4"/>
                <w:szCs w:val="14"/>
              </w:rPr>
              <w:t xml:space="preserve">3,630 (28 Sep)</w:t>
            </w:r>
          </w:p>
        </w:tc>
        <w:tc>
          <w:tcPr>
            <w:tcW w:type="dxa" w:w="788"/>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4,396.3</w:t>
            </w:r>
          </w:p>
        </w:tc>
        <w:tc>
          <w:tcPr>
            <w:tcW w:type="dxa" w:w="788"/>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7,608.8</w:t>
            </w:r>
          </w:p>
        </w:tc>
        <w:tc>
          <w:tcPr>
            <w:tcW w:type="dxa" w:w="684"/>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4.36x</w:t>
            </w:r>
          </w:p>
        </w:tc>
        <w:tc>
          <w:tcPr>
            <w:tcW w:type="dxa" w:w="76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17.4x</w:t>
            </w:r>
          </w:p>
        </w:tc>
        <w:tc>
          <w:tcPr>
            <w:tcW w:type="dxa" w:w="62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23.1x</w:t>
            </w:r>
          </w:p>
        </w:tc>
        <w:tc>
          <w:tcPr>
            <w:tcW w:type="dxa" w:w="851"/>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18.6x</w:t>
            </w:r>
          </w:p>
        </w:tc>
      </w:tr>
      <w:tr>
        <w:trPr>
          <w:cantSplit/>
        </w:trPr>
        <w:tc>
          <w:tcPr>
            <w:tcW w:type="dxa" w:w="2994"/>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4"/>
                <w:szCs w:val="14"/>
              </w:rPr>
              <w:t xml:space="preserve">Sumitomo Realty</w:t>
            </w:r>
          </w:p>
        </w:tc>
        <w:tc>
          <w:tcPr>
            <w:tcW w:type="dxa" w:w="2249"/>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4"/>
                <w:szCs w:val="14"/>
              </w:rPr>
              <w:t xml:space="preserve">3,226 (14 Sep)</w:t>
            </w:r>
          </w:p>
        </w:tc>
        <w:tc>
          <w:tcPr>
            <w:tcW w:type="dxa" w:w="788"/>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3,019.5</w:t>
            </w:r>
          </w:p>
        </w:tc>
        <w:tc>
          <w:tcPr>
            <w:tcW w:type="dxa" w:w="788"/>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6,760.9</w:t>
            </w:r>
          </w:p>
        </w:tc>
        <w:tc>
          <w:tcPr>
            <w:tcW w:type="dxa" w:w="684"/>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6.39x</w:t>
            </w:r>
          </w:p>
        </w:tc>
        <w:tc>
          <w:tcPr>
            <w:tcW w:type="dxa" w:w="766"/>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18.1x</w:t>
            </w:r>
          </w:p>
        </w:tc>
        <w:tc>
          <w:tcPr>
            <w:tcW w:type="dxa" w:w="626"/>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22.6x</w:t>
            </w:r>
          </w:p>
        </w:tc>
        <w:tc>
          <w:tcPr>
            <w:tcW w:type="dxa" w:w="851"/>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13.4x</w:t>
            </w:r>
          </w:p>
        </w:tc>
      </w:tr>
      <w:tr>
        <w:trPr>
          <w:cantSplit/>
        </w:trPr>
        <w:tc>
          <w:tcPr>
            <w:tcW w:type="dxa" w:w="2994"/>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4"/>
                <w:szCs w:val="14"/>
              </w:rPr>
              <w:t xml:space="preserve">Tokyu Fudosan HD</w:t>
            </w:r>
          </w:p>
        </w:tc>
        <w:tc>
          <w:tcPr>
            <w:tcW w:type="dxa" w:w="2249"/>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4"/>
                <w:szCs w:val="14"/>
              </w:rPr>
              <w:t xml:space="preserve">1,312.5 (7 Aug)</w:t>
            </w:r>
          </w:p>
        </w:tc>
        <w:tc>
          <w:tcPr>
            <w:tcW w:type="dxa" w:w="788"/>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944.8</w:t>
            </w:r>
          </w:p>
        </w:tc>
        <w:tc>
          <w:tcPr>
            <w:tcW w:type="dxa" w:w="788"/>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2,614.3</w:t>
            </w:r>
          </w:p>
        </w:tc>
        <w:tc>
          <w:tcPr>
            <w:tcW w:type="dxa" w:w="684"/>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2.10x</w:t>
            </w:r>
          </w:p>
        </w:tc>
        <w:tc>
          <w:tcPr>
            <w:tcW w:type="dxa" w:w="76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11.2x</w:t>
            </w:r>
          </w:p>
        </w:tc>
        <w:tc>
          <w:tcPr>
            <w:tcW w:type="dxa" w:w="62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15.7x</w:t>
            </w:r>
          </w:p>
        </w:tc>
        <w:tc>
          <w:tcPr>
            <w:tcW w:type="dxa" w:w="851"/>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9.4x</w:t>
            </w:r>
          </w:p>
        </w:tc>
      </w:tr>
      <w:tr>
        <w:trPr>
          <w:cantSplit/>
        </w:trPr>
        <w:tc>
          <w:tcPr>
            <w:tcW w:type="dxa" w:w="2994"/>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4"/>
                <w:szCs w:val="14"/>
              </w:rPr>
              <w:t xml:space="preserve">Nomura RE HD</w:t>
            </w:r>
          </w:p>
        </w:tc>
        <w:tc>
          <w:tcPr>
            <w:tcW w:type="dxa" w:w="2249"/>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4"/>
                <w:szCs w:val="14"/>
              </w:rPr>
              <w:t xml:space="preserve">926 (4 Sep)</w:t>
            </w:r>
          </w:p>
        </w:tc>
        <w:tc>
          <w:tcPr>
            <w:tcW w:type="dxa" w:w="788"/>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850.0</w:t>
            </w:r>
          </w:p>
        </w:tc>
        <w:tc>
          <w:tcPr>
            <w:tcW w:type="dxa" w:w="788"/>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2,510.7</w:t>
            </w:r>
          </w:p>
        </w:tc>
        <w:tc>
          <w:tcPr>
            <w:tcW w:type="dxa" w:w="684"/>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2.66x</w:t>
            </w:r>
          </w:p>
        </w:tc>
        <w:tc>
          <w:tcPr>
            <w:tcW w:type="dxa" w:w="766"/>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15.8x</w:t>
            </w:r>
          </w:p>
        </w:tc>
        <w:tc>
          <w:tcPr>
            <w:tcW w:type="dxa" w:w="626"/>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18.2x</w:t>
            </w:r>
          </w:p>
        </w:tc>
        <w:tc>
          <w:tcPr>
            <w:tcW w:type="dxa" w:w="851"/>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9.2x</w:t>
            </w:r>
          </w:p>
        </w:tc>
      </w:tr>
      <w:tr>
        <w:trPr>
          <w:cantSplit/>
        </w:trPr>
        <w:tc>
          <w:tcPr>
            <w:tcW w:type="dxa" w:w="2994"/>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4"/>
                <w:szCs w:val="14"/>
              </w:rPr>
              <w:t xml:space="preserve">Hulic</w:t>
            </w:r>
          </w:p>
        </w:tc>
        <w:tc>
          <w:tcPr>
            <w:tcW w:type="dxa" w:w="2249"/>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4"/>
                <w:szCs w:val="14"/>
              </w:rPr>
              <w:t xml:space="preserve">1,734 (25 Sep)</w:t>
            </w:r>
          </w:p>
        </w:tc>
        <w:tc>
          <w:tcPr>
            <w:tcW w:type="dxa" w:w="788"/>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1,331.6</w:t>
            </w:r>
          </w:p>
        </w:tc>
        <w:tc>
          <w:tcPr>
            <w:tcW w:type="dxa" w:w="788"/>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3,408.1</w:t>
            </w:r>
          </w:p>
        </w:tc>
        <w:tc>
          <w:tcPr>
            <w:tcW w:type="dxa" w:w="684"/>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4.68x</w:t>
            </w:r>
          </w:p>
        </w:tc>
        <w:tc>
          <w:tcPr>
            <w:tcW w:type="dxa" w:w="76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16.7x</w:t>
            </w:r>
          </w:p>
        </w:tc>
        <w:tc>
          <w:tcPr>
            <w:tcW w:type="dxa" w:w="62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18.2x</w:t>
            </w:r>
          </w:p>
        </w:tc>
        <w:tc>
          <w:tcPr>
            <w:tcW w:type="dxa" w:w="851"/>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10.9x</w:t>
            </w:r>
          </w:p>
        </w:tc>
      </w:tr>
      <w:tr>
        <w:trPr>
          <w:cantSplit/>
        </w:trPr>
        <w:tc>
          <w:tcPr>
            <w:tcW w:type="dxa" w:w="2994"/>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4"/>
                <w:szCs w:val="14"/>
              </w:rPr>
              <w:t xml:space="preserve">Heiwa Real Estate</w:t>
            </w:r>
          </w:p>
        </w:tc>
        <w:tc>
          <w:tcPr>
            <w:tcW w:type="dxa" w:w="2249"/>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4"/>
                <w:szCs w:val="14"/>
              </w:rPr>
              <w:t xml:space="preserve">2,320 (30 Sep)</w:t>
            </w:r>
          </w:p>
        </w:tc>
        <w:tc>
          <w:tcPr>
            <w:tcW w:type="dxa" w:w="788"/>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164.8</w:t>
            </w:r>
          </w:p>
        </w:tc>
        <w:tc>
          <w:tcPr>
            <w:tcW w:type="dxa" w:w="788"/>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400.9</w:t>
            </w:r>
          </w:p>
        </w:tc>
        <w:tc>
          <w:tcPr>
            <w:tcW w:type="dxa" w:w="684"/>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7.88x</w:t>
            </w:r>
          </w:p>
        </w:tc>
        <w:tc>
          <w:tcPr>
            <w:tcW w:type="dxa" w:w="766"/>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19.4x</w:t>
            </w:r>
          </w:p>
        </w:tc>
        <w:tc>
          <w:tcPr>
            <w:tcW w:type="dxa" w:w="626"/>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26.5x</w:t>
            </w:r>
          </w:p>
        </w:tc>
        <w:tc>
          <w:tcPr>
            <w:tcW w:type="dxa" w:w="851"/>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13.3x</w:t>
            </w:r>
          </w:p>
        </w:tc>
      </w:tr>
      <w:tr>
        <w:trPr>
          <w:cantSplit/>
        </w:trPr>
        <w:tc>
          <w:tcPr>
            <w:tcW w:type="dxa" w:w="2994"/>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4"/>
                <w:szCs w:val="14"/>
              </w:rPr>
              <w:t xml:space="preserve">Keihanshin Building</w:t>
            </w:r>
          </w:p>
        </w:tc>
        <w:tc>
          <w:tcPr>
            <w:tcW w:type="dxa" w:w="2249"/>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4"/>
                <w:szCs w:val="14"/>
              </w:rPr>
              <w:t xml:space="preserve">1,118 (11 Sep)</w:t>
            </w:r>
          </w:p>
        </w:tc>
        <w:tc>
          <w:tcPr>
            <w:tcW w:type="dxa" w:w="788"/>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109.1</w:t>
            </w:r>
          </w:p>
        </w:tc>
        <w:tc>
          <w:tcPr>
            <w:tcW w:type="dxa" w:w="788"/>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172.8</w:t>
            </w:r>
          </w:p>
        </w:tc>
        <w:tc>
          <w:tcPr>
            <w:tcW w:type="dxa" w:w="684"/>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8.53x</w:t>
            </w:r>
          </w:p>
        </w:tc>
        <w:tc>
          <w:tcPr>
            <w:tcW w:type="dxa" w:w="76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18.1x</w:t>
            </w:r>
          </w:p>
        </w:tc>
        <w:tc>
          <w:tcPr>
            <w:tcW w:type="dxa" w:w="62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30.6x</w:t>
            </w:r>
          </w:p>
        </w:tc>
        <w:tc>
          <w:tcPr>
            <w:tcW w:type="dxa" w:w="851"/>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15.2x</w:t>
            </w:r>
          </w:p>
        </w:tc>
      </w:tr>
      <w:tr>
        <w:trPr>
          <w:cantSplit/>
        </w:trPr>
        <w:tc>
          <w:tcPr>
            <w:tcW w:type="dxa" w:w="2994"/>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bCs/>
                <w:color w:val="1F2533"/>
                <w:sz w:val="14"/>
                <w:szCs w:val="14"/>
              </w:rPr>
              <w:t xml:space="preserve">Peer median (8 companies)</w:t>
            </w:r>
          </w:p>
        </w:tc>
        <w:tc>
          <w:tcPr>
            <w:tcW w:type="dxa" w:w="2249"/>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4"/>
                <w:szCs w:val="14"/>
              </w:rPr>
              <w:t xml:space="preserve"/>
            </w:r>
          </w:p>
        </w:tc>
        <w:tc>
          <w:tcPr>
            <w:tcW w:type="dxa" w:w="788"/>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
            </w:r>
          </w:p>
        </w:tc>
        <w:tc>
          <w:tcPr>
            <w:tcW w:type="dxa" w:w="788"/>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
            </w:r>
          </w:p>
        </w:tc>
        <w:tc>
          <w:tcPr>
            <w:tcW w:type="dxa" w:w="684"/>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b/>
                <w:bCs/>
                <w:color w:val="1F2533"/>
                <w:sz w:val="14"/>
                <w:szCs w:val="14"/>
              </w:rPr>
              <w:t xml:space="preserve">4.52x</w:t>
            </w:r>
          </w:p>
        </w:tc>
        <w:tc>
          <w:tcPr>
            <w:tcW w:type="dxa" w:w="766"/>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b/>
                <w:bCs/>
                <w:color w:val="1F2533"/>
                <w:sz w:val="14"/>
                <w:szCs w:val="14"/>
              </w:rPr>
              <w:t xml:space="preserve">17.0x</w:t>
            </w:r>
          </w:p>
        </w:tc>
        <w:tc>
          <w:tcPr>
            <w:tcW w:type="dxa" w:w="626"/>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b/>
                <w:bCs/>
                <w:color w:val="1F2533"/>
                <w:sz w:val="14"/>
                <w:szCs w:val="14"/>
              </w:rPr>
              <w:t xml:space="preserve">22.0x</w:t>
            </w:r>
          </w:p>
        </w:tc>
        <w:tc>
          <w:tcPr>
            <w:tcW w:type="dxa" w:w="851"/>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b/>
                <w:bCs/>
                <w:color w:val="1F2533"/>
                <w:sz w:val="14"/>
                <w:szCs w:val="14"/>
              </w:rPr>
              <w:t xml:space="preserve">13.35x</w:t>
            </w:r>
          </w:p>
        </w:tc>
      </w:tr>
      <w:tr>
        <w:trPr>
          <w:cantSplit/>
        </w:trPr>
        <w:tc>
          <w:tcPr>
            <w:tcW w:type="dxa" w:w="2994"/>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4"/>
                <w:szCs w:val="14"/>
              </w:rPr>
              <w:t xml:space="preserve">Sekisui House (housing)</w:t>
            </w:r>
          </w:p>
        </w:tc>
        <w:tc>
          <w:tcPr>
            <w:tcW w:type="dxa" w:w="2249"/>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4"/>
                <w:szCs w:val="14"/>
              </w:rPr>
              <w:t xml:space="preserve">3,415 (6 Aug)</w:t>
            </w:r>
          </w:p>
        </w:tc>
        <w:tc>
          <w:tcPr>
            <w:tcW w:type="dxa" w:w="788"/>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2,225.2</w:t>
            </w:r>
          </w:p>
        </w:tc>
        <w:tc>
          <w:tcPr>
            <w:tcW w:type="dxa" w:w="788"/>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3,779.4</w:t>
            </w:r>
          </w:p>
        </w:tc>
        <w:tc>
          <w:tcPr>
            <w:tcW w:type="dxa" w:w="684"/>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0.90x</w:t>
            </w:r>
          </w:p>
        </w:tc>
        <w:tc>
          <w:tcPr>
            <w:tcW w:type="dxa" w:w="76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10.0x</w:t>
            </w:r>
          </w:p>
        </w:tc>
        <w:tc>
          <w:tcPr>
            <w:tcW w:type="dxa" w:w="62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11.1x</w:t>
            </w:r>
          </w:p>
        </w:tc>
        <w:tc>
          <w:tcPr>
            <w:tcW w:type="dxa" w:w="851"/>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10.2x</w:t>
            </w:r>
          </w:p>
        </w:tc>
      </w:tr>
      <w:tr>
        <w:trPr>
          <w:cantSplit/>
        </w:trPr>
        <w:tc>
          <w:tcPr>
            <w:tcW w:type="dxa" w:w="2994"/>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4"/>
                <w:szCs w:val="14"/>
              </w:rPr>
              <w:t xml:space="preserve">Daito Trust (housing)</w:t>
            </w:r>
          </w:p>
        </w:tc>
        <w:tc>
          <w:tcPr>
            <w:tcW w:type="dxa" w:w="2249"/>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4"/>
                <w:szCs w:val="14"/>
              </w:rPr>
              <w:t xml:space="preserve">3,143 (29 Sep)</w:t>
            </w:r>
          </w:p>
        </w:tc>
        <w:tc>
          <w:tcPr>
            <w:tcW w:type="dxa" w:w="788"/>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1,083.1</w:t>
            </w:r>
          </w:p>
        </w:tc>
        <w:tc>
          <w:tcPr>
            <w:tcW w:type="dxa" w:w="788"/>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1,092.7</w:t>
            </w:r>
          </w:p>
        </w:tc>
        <w:tc>
          <w:tcPr>
            <w:tcW w:type="dxa" w:w="684"/>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0.55x</w:t>
            </w:r>
          </w:p>
        </w:tc>
        <w:tc>
          <w:tcPr>
            <w:tcW w:type="dxa" w:w="766"/>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7.2x</w:t>
            </w:r>
          </w:p>
        </w:tc>
        <w:tc>
          <w:tcPr>
            <w:tcW w:type="dxa" w:w="626"/>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8.1x</w:t>
            </w:r>
          </w:p>
        </w:tc>
        <w:tc>
          <w:tcPr>
            <w:tcW w:type="dxa" w:w="851"/>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9.5x</w:t>
            </w:r>
          </w:p>
        </w:tc>
      </w:tr>
      <w:tr>
        <w:trPr>
          <w:cantSplit/>
        </w:trPr>
        <w:tc>
          <w:tcPr>
            <w:tcW w:type="dxa" w:w="2994"/>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4"/>
                <w:szCs w:val="14"/>
              </w:rPr>
              <w:t xml:space="preserve">Open House (housing)</w:t>
            </w:r>
          </w:p>
        </w:tc>
        <w:tc>
          <w:tcPr>
            <w:tcW w:type="dxa" w:w="2249"/>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4"/>
                <w:szCs w:val="14"/>
              </w:rPr>
              <w:t xml:space="preserve">7,362 (29 Sep)</w:t>
            </w:r>
          </w:p>
        </w:tc>
        <w:tc>
          <w:tcPr>
            <w:tcW w:type="dxa" w:w="788"/>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859.7</w:t>
            </w:r>
          </w:p>
        </w:tc>
        <w:tc>
          <w:tcPr>
            <w:tcW w:type="dxa" w:w="788"/>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1,172.2</w:t>
            </w:r>
          </w:p>
        </w:tc>
        <w:tc>
          <w:tcPr>
            <w:tcW w:type="dxa" w:w="684"/>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0.88x</w:t>
            </w:r>
          </w:p>
        </w:tc>
        <w:tc>
          <w:tcPr>
            <w:tcW w:type="dxa" w:w="76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7.9x</w:t>
            </w:r>
          </w:p>
        </w:tc>
        <w:tc>
          <w:tcPr>
            <w:tcW w:type="dxa" w:w="62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8.0x</w:t>
            </w:r>
          </w:p>
        </w:tc>
        <w:tc>
          <w:tcPr>
            <w:tcW w:type="dxa" w:w="851"/>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6.9x</w:t>
            </w:r>
          </w:p>
        </w:tc>
      </w:tr>
    </w:tbl>
    <w:p>
      <w:pPr>
        <w:spacing w:after="120" w:before="0" w:line="276" w:lineRule="auto"/>
      </w:pPr>
    </w:p>
    <w:p>
      <w:pPr>
        <w:spacing w:after="110" w:before="0" w:line="276" w:lineRule="auto"/>
      </w:pPr>
      <w:r>
        <w:rPr>
          <w:rFonts w:ascii="Arial" w:cs="Arial" w:eastAsia="Yu Gothic" w:hAnsi="Arial"/>
          <w:color w:val="1F2533"/>
          <w:sz w:val="19"/>
          <w:szCs w:val="19"/>
        </w:rPr>
        <w:t xml:space="preserve">Fundamentals and balance-sheet metrics: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66"/>
        <w:gridCol w:w="756"/>
        <w:gridCol w:w="1013"/>
        <w:gridCol w:w="666"/>
        <w:gridCol w:w="838"/>
        <w:gridCol w:w="843"/>
        <w:gridCol w:w="924"/>
        <w:gridCol w:w="840"/>
      </w:tblGrid>
      <w:tr>
        <w:trPr>
          <w:cantSplit/>
          <w:tblHeader/>
        </w:trPr>
        <w:tc>
          <w:tcPr>
            <w:tcW w:type="dxa" w:w="3866"/>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bCs/>
                <w:color w:val="FFFFFF"/>
                <w:sz w:val="14"/>
                <w:szCs w:val="14"/>
              </w:rPr>
              <w:t xml:space="preserve">Company</w:t>
            </w:r>
          </w:p>
        </w:tc>
        <w:tc>
          <w:tcPr>
            <w:tcW w:type="dxa" w:w="756"/>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4"/>
                <w:szCs w:val="14"/>
              </w:rPr>
              <w:t xml:space="preserve">P/B</w:t>
            </w:r>
          </w:p>
        </w:tc>
        <w:tc>
          <w:tcPr>
            <w:tcW w:type="dxa" w:w="1013"/>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4"/>
                <w:szCs w:val="14"/>
              </w:rPr>
              <w:t xml:space="preserve">Dividend yield</w:t>
            </w:r>
          </w:p>
        </w:tc>
        <w:tc>
          <w:tcPr>
            <w:tcW w:type="dxa" w:w="666"/>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4"/>
                <w:szCs w:val="14"/>
              </w:rPr>
              <w:t xml:space="preserve">ROE</w:t>
            </w:r>
          </w:p>
        </w:tc>
        <w:tc>
          <w:tcPr>
            <w:tcW w:type="dxa" w:w="838"/>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4"/>
                <w:szCs w:val="14"/>
              </w:rPr>
              <w:t xml:space="preserve">EBIT margin</w:t>
            </w:r>
          </w:p>
        </w:tc>
        <w:tc>
          <w:tcPr>
            <w:tcW w:type="dxa" w:w="843"/>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4"/>
                <w:szCs w:val="14"/>
              </w:rPr>
              <w:t xml:space="preserve">EBITDA margin</w:t>
            </w:r>
          </w:p>
        </w:tc>
        <w:tc>
          <w:tcPr>
            <w:tcW w:type="dxa" w:w="924"/>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4"/>
                <w:szCs w:val="14"/>
              </w:rPr>
              <w:t xml:space="preserve">3-year revenue CAGR</w:t>
            </w:r>
          </w:p>
        </w:tc>
        <w:tc>
          <w:tcPr>
            <w:tcW w:type="dxa" w:w="840"/>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4"/>
                <w:szCs w:val="14"/>
              </w:rPr>
              <w:t xml:space="preserve">Net debt / EBITDA</w:t>
            </w:r>
          </w:p>
        </w:tc>
      </w:tr>
      <w:tr>
        <w:trPr>
          <w:cantSplit/>
        </w:trPr>
        <w:tc>
          <w:tcPr>
            <w:tcW w:type="dxa" w:w="386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bCs/>
                <w:color w:val="1F2533"/>
                <w:sz w:val="14"/>
                <w:szCs w:val="14"/>
              </w:rPr>
              <w:t xml:space="preserve">Tokyo Tatemono</w:t>
            </w:r>
          </w:p>
        </w:tc>
        <w:tc>
          <w:tcPr>
            <w:tcW w:type="dxa" w:w="75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b/>
                <w:bCs/>
                <w:color w:val="1F2533"/>
                <w:sz w:val="14"/>
                <w:szCs w:val="14"/>
              </w:rPr>
              <w:t xml:space="preserve">1.10x</w:t>
            </w:r>
          </w:p>
        </w:tc>
        <w:tc>
          <w:tcPr>
            <w:tcW w:type="dxa" w:w="1013"/>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b/>
                <w:bCs/>
                <w:color w:val="1F2533"/>
                <w:sz w:val="14"/>
                <w:szCs w:val="14"/>
              </w:rPr>
              <w:t xml:space="preserve">3.92%</w:t>
            </w:r>
          </w:p>
        </w:tc>
        <w:tc>
          <w:tcPr>
            <w:tcW w:type="dxa" w:w="66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b/>
                <w:bCs/>
                <w:color w:val="1F2533"/>
                <w:sz w:val="14"/>
                <w:szCs w:val="14"/>
              </w:rPr>
              <w:t xml:space="preserve">10.5%</w:t>
            </w:r>
          </w:p>
        </w:tc>
        <w:tc>
          <w:tcPr>
            <w:tcW w:type="dxa" w:w="838"/>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b/>
                <w:bCs/>
                <w:color w:val="1F2533"/>
                <w:sz w:val="14"/>
                <w:szCs w:val="14"/>
              </w:rPr>
              <w:t xml:space="preserve">20.2%</w:t>
            </w:r>
          </w:p>
        </w:tc>
        <w:tc>
          <w:tcPr>
            <w:tcW w:type="dxa" w:w="843"/>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b/>
                <w:bCs/>
                <w:color w:val="1F2533"/>
                <w:sz w:val="14"/>
                <w:szCs w:val="14"/>
              </w:rPr>
              <w:t xml:space="preserve">25.3%</w:t>
            </w:r>
          </w:p>
        </w:tc>
        <w:tc>
          <w:tcPr>
            <w:tcW w:type="dxa" w:w="924"/>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b/>
                <w:bCs/>
                <w:color w:val="1F2533"/>
                <w:sz w:val="14"/>
                <w:szCs w:val="14"/>
              </w:rPr>
              <w:t xml:space="preserve">10.7%</w:t>
            </w:r>
          </w:p>
        </w:tc>
        <w:tc>
          <w:tcPr>
            <w:tcW w:type="dxa" w:w="840"/>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b/>
                <w:bCs/>
                <w:color w:val="1F2533"/>
                <w:sz w:val="14"/>
                <w:szCs w:val="14"/>
              </w:rPr>
              <w:t xml:space="preserve">12.0x</w:t>
            </w:r>
          </w:p>
        </w:tc>
      </w:tr>
      <w:tr>
        <w:trPr>
          <w:cantSplit/>
        </w:trPr>
        <w:tc>
          <w:tcPr>
            <w:tcW w:type="dxa" w:w="3866"/>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4"/>
                <w:szCs w:val="14"/>
              </w:rPr>
              <w:t xml:space="preserve">Mitsui Fudosan</w:t>
            </w:r>
          </w:p>
        </w:tc>
        <w:tc>
          <w:tcPr>
            <w:tcW w:type="dxa" w:w="756"/>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1.25x</w:t>
            </w:r>
          </w:p>
        </w:tc>
        <w:tc>
          <w:tcPr>
            <w:tcW w:type="dxa" w:w="1013"/>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2.45%</w:t>
            </w:r>
          </w:p>
        </w:tc>
        <w:tc>
          <w:tcPr>
            <w:tcW w:type="dxa" w:w="666"/>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8.7%</w:t>
            </w:r>
          </w:p>
        </w:tc>
        <w:tc>
          <w:tcPr>
            <w:tcW w:type="dxa" w:w="838"/>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14.7%</w:t>
            </w:r>
          </w:p>
        </w:tc>
        <w:tc>
          <w:tcPr>
            <w:tcW w:type="dxa" w:w="843"/>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19.8%</w:t>
            </w:r>
          </w:p>
        </w:tc>
        <w:tc>
          <w:tcPr>
            <w:tcW w:type="dxa" w:w="924"/>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6.1%</w:t>
            </w:r>
          </w:p>
        </w:tc>
        <w:tc>
          <w:tcPr>
            <w:tcW w:type="dxa" w:w="840"/>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8.3x</w:t>
            </w:r>
          </w:p>
        </w:tc>
      </w:tr>
      <w:tr>
        <w:trPr>
          <w:cantSplit/>
        </w:trPr>
        <w:tc>
          <w:tcPr>
            <w:tcW w:type="dxa" w:w="386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4"/>
                <w:szCs w:val="14"/>
              </w:rPr>
              <w:t xml:space="preserve">Mitsubishi Estate</w:t>
            </w:r>
          </w:p>
        </w:tc>
        <w:tc>
          <w:tcPr>
            <w:tcW w:type="dxa" w:w="75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1.61x</w:t>
            </w:r>
          </w:p>
        </w:tc>
        <w:tc>
          <w:tcPr>
            <w:tcW w:type="dxa" w:w="1013"/>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1.35%</w:t>
            </w:r>
          </w:p>
        </w:tc>
        <w:tc>
          <w:tcPr>
            <w:tcW w:type="dxa" w:w="66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8.5%</w:t>
            </w:r>
          </w:p>
        </w:tc>
        <w:tc>
          <w:tcPr>
            <w:tcW w:type="dxa" w:w="838"/>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18.9%</w:t>
            </w:r>
          </w:p>
        </w:tc>
        <w:tc>
          <w:tcPr>
            <w:tcW w:type="dxa" w:w="843"/>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25.0%</w:t>
            </w:r>
          </w:p>
        </w:tc>
        <w:tc>
          <w:tcPr>
            <w:tcW w:type="dxa" w:w="924"/>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8.2%</w:t>
            </w:r>
          </w:p>
        </w:tc>
        <w:tc>
          <w:tcPr>
            <w:tcW w:type="dxa" w:w="840"/>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7.4x</w:t>
            </w:r>
          </w:p>
        </w:tc>
      </w:tr>
      <w:tr>
        <w:trPr>
          <w:cantSplit/>
        </w:trPr>
        <w:tc>
          <w:tcPr>
            <w:tcW w:type="dxa" w:w="3866"/>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4"/>
                <w:szCs w:val="14"/>
              </w:rPr>
              <w:t xml:space="preserve">Sumitomo Realty</w:t>
            </w:r>
          </w:p>
        </w:tc>
        <w:tc>
          <w:tcPr>
            <w:tcW w:type="dxa" w:w="756"/>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1.16x</w:t>
            </w:r>
          </w:p>
        </w:tc>
        <w:tc>
          <w:tcPr>
            <w:tcW w:type="dxa" w:w="1013"/>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1.61%</w:t>
            </w:r>
          </w:p>
        </w:tc>
        <w:tc>
          <w:tcPr>
            <w:tcW w:type="dxa" w:w="666"/>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9.2%</w:t>
            </w:r>
          </w:p>
        </w:tc>
        <w:tc>
          <w:tcPr>
            <w:tcW w:type="dxa" w:w="838"/>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28.3%</w:t>
            </w:r>
          </w:p>
        </w:tc>
        <w:tc>
          <w:tcPr>
            <w:tcW w:type="dxa" w:w="843"/>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35.4%</w:t>
            </w:r>
          </w:p>
        </w:tc>
        <w:tc>
          <w:tcPr>
            <w:tcW w:type="dxa" w:w="924"/>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4.0%</w:t>
            </w:r>
          </w:p>
        </w:tc>
        <w:tc>
          <w:tcPr>
            <w:tcW w:type="dxa" w:w="840"/>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10.0x</w:t>
            </w:r>
          </w:p>
        </w:tc>
      </w:tr>
      <w:tr>
        <w:trPr>
          <w:cantSplit/>
        </w:trPr>
        <w:tc>
          <w:tcPr>
            <w:tcW w:type="dxa" w:w="386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4"/>
                <w:szCs w:val="14"/>
              </w:rPr>
              <w:t xml:space="preserve">Tokyu Fudosan HD</w:t>
            </w:r>
          </w:p>
        </w:tc>
        <w:tc>
          <w:tcPr>
            <w:tcW w:type="dxa" w:w="75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1.03x</w:t>
            </w:r>
          </w:p>
        </w:tc>
        <w:tc>
          <w:tcPr>
            <w:tcW w:type="dxa" w:w="1013"/>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3.81%</w:t>
            </w:r>
          </w:p>
        </w:tc>
        <w:tc>
          <w:tcPr>
            <w:tcW w:type="dxa" w:w="66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11.2%</w:t>
            </w:r>
          </w:p>
        </w:tc>
        <w:tc>
          <w:tcPr>
            <w:tcW w:type="dxa" w:w="838"/>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13.4%</w:t>
            </w:r>
          </w:p>
        </w:tc>
        <w:tc>
          <w:tcPr>
            <w:tcW w:type="dxa" w:w="843"/>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18.8%</w:t>
            </w:r>
          </w:p>
        </w:tc>
        <w:tc>
          <w:tcPr>
            <w:tcW w:type="dxa" w:w="924"/>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7.4%</w:t>
            </w:r>
          </w:p>
        </w:tc>
        <w:tc>
          <w:tcPr>
            <w:tcW w:type="dxa" w:w="840"/>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7.1x</w:t>
            </w:r>
          </w:p>
        </w:tc>
      </w:tr>
      <w:tr>
        <w:trPr>
          <w:cantSplit/>
        </w:trPr>
        <w:tc>
          <w:tcPr>
            <w:tcW w:type="dxa" w:w="3866"/>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4"/>
                <w:szCs w:val="14"/>
              </w:rPr>
              <w:t xml:space="preserve">Nomura RE HD</w:t>
            </w:r>
          </w:p>
        </w:tc>
        <w:tc>
          <w:tcPr>
            <w:tcW w:type="dxa" w:w="756"/>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0.99x</w:t>
            </w:r>
          </w:p>
        </w:tc>
        <w:tc>
          <w:tcPr>
            <w:tcW w:type="dxa" w:w="1013"/>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4.75%</w:t>
            </w:r>
          </w:p>
        </w:tc>
        <w:tc>
          <w:tcPr>
            <w:tcW w:type="dxa" w:w="666"/>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10.7%</w:t>
            </w:r>
          </w:p>
        </w:tc>
        <w:tc>
          <w:tcPr>
            <w:tcW w:type="dxa" w:w="838"/>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14.7%</w:t>
            </w:r>
          </w:p>
        </w:tc>
        <w:tc>
          <w:tcPr>
            <w:tcW w:type="dxa" w:w="843"/>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16.9%</w:t>
            </w:r>
          </w:p>
        </w:tc>
        <w:tc>
          <w:tcPr>
            <w:tcW w:type="dxa" w:w="924"/>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12.9%</w:t>
            </w:r>
          </w:p>
        </w:tc>
        <w:tc>
          <w:tcPr>
            <w:tcW w:type="dxa" w:w="840"/>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10.4x</w:t>
            </w:r>
          </w:p>
        </w:tc>
      </w:tr>
      <w:tr>
        <w:trPr>
          <w:cantSplit/>
        </w:trPr>
        <w:tc>
          <w:tcPr>
            <w:tcW w:type="dxa" w:w="386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4"/>
                <w:szCs w:val="14"/>
              </w:rPr>
              <w:t xml:space="preserve">Hulic</w:t>
            </w:r>
          </w:p>
        </w:tc>
        <w:tc>
          <w:tcPr>
            <w:tcW w:type="dxa" w:w="75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1.39x</w:t>
            </w:r>
          </w:p>
        </w:tc>
        <w:tc>
          <w:tcPr>
            <w:tcW w:type="dxa" w:w="1013"/>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3.86%</w:t>
            </w:r>
          </w:p>
        </w:tc>
        <w:tc>
          <w:tcPr>
            <w:tcW w:type="dxa" w:w="66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13.1%</w:t>
            </w:r>
          </w:p>
        </w:tc>
        <w:tc>
          <w:tcPr>
            <w:tcW w:type="dxa" w:w="838"/>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25.7%</w:t>
            </w:r>
          </w:p>
        </w:tc>
        <w:tc>
          <w:tcPr>
            <w:tcW w:type="dxa" w:w="843"/>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28.1%</w:t>
            </w:r>
          </w:p>
        </w:tc>
        <w:tc>
          <w:tcPr>
            <w:tcW w:type="dxa" w:w="924"/>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11.6%</w:t>
            </w:r>
          </w:p>
        </w:tc>
        <w:tc>
          <w:tcPr>
            <w:tcW w:type="dxa" w:w="840"/>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10.1x</w:t>
            </w:r>
          </w:p>
        </w:tc>
      </w:tr>
      <w:tr>
        <w:trPr>
          <w:cantSplit/>
        </w:trPr>
        <w:tc>
          <w:tcPr>
            <w:tcW w:type="dxa" w:w="3866"/>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4"/>
                <w:szCs w:val="14"/>
              </w:rPr>
              <w:t xml:space="preserve">Heiwa Real Estate</w:t>
            </w:r>
          </w:p>
        </w:tc>
        <w:tc>
          <w:tcPr>
            <w:tcW w:type="dxa" w:w="756"/>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1.24x</w:t>
            </w:r>
          </w:p>
        </w:tc>
        <w:tc>
          <w:tcPr>
            <w:tcW w:type="dxa" w:w="1013"/>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4.44%</w:t>
            </w:r>
          </w:p>
        </w:tc>
        <w:tc>
          <w:tcPr>
            <w:tcW w:type="dxa" w:w="666"/>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9.0%</w:t>
            </w:r>
          </w:p>
        </w:tc>
        <w:tc>
          <w:tcPr>
            <w:tcW w:type="dxa" w:w="838"/>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29.7%</w:t>
            </w:r>
          </w:p>
        </w:tc>
        <w:tc>
          <w:tcPr>
            <w:tcW w:type="dxa" w:w="843"/>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40.7%</w:t>
            </w:r>
          </w:p>
        </w:tc>
        <w:tc>
          <w:tcPr>
            <w:tcW w:type="dxa" w:w="924"/>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4.5%</w:t>
            </w:r>
          </w:p>
        </w:tc>
        <w:tc>
          <w:tcPr>
            <w:tcW w:type="dxa" w:w="840"/>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11.4x</w:t>
            </w:r>
          </w:p>
        </w:tc>
      </w:tr>
      <w:tr>
        <w:trPr>
          <w:cantSplit/>
        </w:trPr>
        <w:tc>
          <w:tcPr>
            <w:tcW w:type="dxa" w:w="386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4"/>
                <w:szCs w:val="14"/>
              </w:rPr>
              <w:t xml:space="preserve">Keihanshin Building</w:t>
            </w:r>
          </w:p>
        </w:tc>
        <w:tc>
          <w:tcPr>
            <w:tcW w:type="dxa" w:w="75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1.26x</w:t>
            </w:r>
          </w:p>
        </w:tc>
        <w:tc>
          <w:tcPr>
            <w:tcW w:type="dxa" w:w="1013"/>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2.68%</w:t>
            </w:r>
          </w:p>
        </w:tc>
        <w:tc>
          <w:tcPr>
            <w:tcW w:type="dxa" w:w="66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5.9%</w:t>
            </w:r>
          </w:p>
        </w:tc>
        <w:tc>
          <w:tcPr>
            <w:tcW w:type="dxa" w:w="838"/>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27.9%</w:t>
            </w:r>
          </w:p>
        </w:tc>
        <w:tc>
          <w:tcPr>
            <w:tcW w:type="dxa" w:w="843"/>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47.1%</w:t>
            </w:r>
          </w:p>
        </w:tc>
        <w:tc>
          <w:tcPr>
            <w:tcW w:type="dxa" w:w="924"/>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2.4%</w:t>
            </w:r>
          </w:p>
        </w:tc>
        <w:tc>
          <w:tcPr>
            <w:tcW w:type="dxa" w:w="840"/>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6.7x</w:t>
            </w:r>
          </w:p>
        </w:tc>
      </w:tr>
      <w:tr>
        <w:trPr>
          <w:cantSplit/>
        </w:trPr>
        <w:tc>
          <w:tcPr>
            <w:tcW w:type="dxa" w:w="3866"/>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bCs/>
                <w:color w:val="1F2533"/>
                <w:sz w:val="14"/>
                <w:szCs w:val="14"/>
              </w:rPr>
              <w:t xml:space="preserve">Peer median</w:t>
            </w:r>
          </w:p>
        </w:tc>
        <w:tc>
          <w:tcPr>
            <w:tcW w:type="dxa" w:w="756"/>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b/>
                <w:bCs/>
                <w:color w:val="1F2533"/>
                <w:sz w:val="14"/>
                <w:szCs w:val="14"/>
              </w:rPr>
              <w:t xml:space="preserve">1.245x</w:t>
            </w:r>
          </w:p>
        </w:tc>
        <w:tc>
          <w:tcPr>
            <w:tcW w:type="dxa" w:w="1013"/>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b/>
                <w:bCs/>
                <w:color w:val="1F2533"/>
                <w:sz w:val="14"/>
                <w:szCs w:val="14"/>
              </w:rPr>
              <w:t xml:space="preserve">3.25%</w:t>
            </w:r>
          </w:p>
        </w:tc>
        <w:tc>
          <w:tcPr>
            <w:tcW w:type="dxa" w:w="666"/>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b/>
                <w:bCs/>
                <w:color w:val="1F2533"/>
                <w:sz w:val="14"/>
                <w:szCs w:val="14"/>
              </w:rPr>
              <w:t xml:space="preserve">9.1%</w:t>
            </w:r>
          </w:p>
        </w:tc>
        <w:tc>
          <w:tcPr>
            <w:tcW w:type="dxa" w:w="838"/>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b/>
                <w:bCs/>
                <w:color w:val="1F2533"/>
                <w:sz w:val="14"/>
                <w:szCs w:val="14"/>
              </w:rPr>
              <w:t xml:space="preserve">22.3%</w:t>
            </w:r>
          </w:p>
        </w:tc>
        <w:tc>
          <w:tcPr>
            <w:tcW w:type="dxa" w:w="843"/>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b/>
                <w:bCs/>
                <w:color w:val="1F2533"/>
                <w:sz w:val="14"/>
                <w:szCs w:val="14"/>
              </w:rPr>
              <w:t xml:space="preserve">26.6%</w:t>
            </w:r>
          </w:p>
        </w:tc>
        <w:tc>
          <w:tcPr>
            <w:tcW w:type="dxa" w:w="924"/>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b/>
                <w:bCs/>
                <w:color w:val="1F2533"/>
                <w:sz w:val="14"/>
                <w:szCs w:val="14"/>
              </w:rPr>
              <w:t xml:space="preserve">6.7%</w:t>
            </w:r>
          </w:p>
        </w:tc>
        <w:tc>
          <w:tcPr>
            <w:tcW w:type="dxa" w:w="840"/>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b/>
                <w:bCs/>
                <w:color w:val="1F2533"/>
                <w:sz w:val="14"/>
                <w:szCs w:val="14"/>
              </w:rPr>
              <w:t xml:space="preserve">9.2x</w:t>
            </w:r>
          </w:p>
        </w:tc>
      </w:tr>
    </w:tbl>
    <w:p>
      <w:pPr>
        <w:spacing w:after="120" w:before="0" w:line="276" w:lineRule="auto"/>
      </w:pPr>
    </w:p>
    <w:p>
      <w:pPr>
        <w:spacing w:after="110" w:before="0" w:line="276" w:lineRule="auto"/>
      </w:pPr>
      <w:r>
        <w:rPr>
          <w:rFonts w:ascii="Arial" w:cs="Arial" w:eastAsia="Yu Gothic" w:hAnsi="Arial"/>
          <w:color w:val="1F2533"/>
          <w:sz w:val="19"/>
          <w:szCs w:val="19"/>
        </w:rPr>
        <w:t xml:space="preserve">How the tables were built:</w:t>
      </w:r>
    </w:p>
    <w:p>
      <w:pPr>
        <w:pStyle w:val="ListParagraph"/>
        <w:numPr>
          <w:ilvl w:val="0"/>
          <w:numId w:val="2"/>
        </w:numPr>
        <w:spacing w:after="60" w:line="264" w:lineRule="auto"/>
      </w:pPr>
      <w:r>
        <w:rPr>
          <w:rFonts w:ascii="Arial" w:cs="Arial" w:eastAsia="Yu Gothic" w:hAnsi="Arial"/>
          <w:b/>
          <w:bCs/>
          <w:color w:val="1F2533"/>
          <w:sz w:val="19"/>
          <w:szCs w:val="19"/>
        </w:rPr>
        <w:t xml:space="preserve">Data.</w:t>
      </w:r>
      <w:r>
        <w:rPr>
          <w:rFonts w:ascii="Arial" w:cs="Arial" w:eastAsia="Yu Gothic" w:hAnsi="Arial"/>
          <w:color w:val="1F2533"/>
          <w:sz w:val="19"/>
          <w:szCs w:val="19"/>
        </w:rPr>
        <w:t xml:space="preserve"> Market data come from kabuyoho, Monex and traders.co.jp extracts. Fundamentals come from company results and the Shikiho mirror. The full dataset, with source URLs, is </w:t>
      </w:r>
      <w:r>
        <w:rPr>
          <w:rFonts w:ascii="Arial" w:cs="Arial" w:eastAsia="Yu Gothic" w:hAnsi="Arial"/>
          <w:color w:val="1F2533"/>
          <w:sz w:val="19"/>
          <w:szCs w:val="19"/>
        </w:rPr>
        <w:t xml:space="preserve">peer_valuation_8804.csv</w:t>
      </w:r>
      <w:r>
        <w:rPr>
          <w:rFonts w:ascii="Arial" w:cs="Arial" w:eastAsia="Yu Gothic" w:hAnsi="Arial"/>
          <w:color w:val="1F2533"/>
          <w:sz w:val="19"/>
          <w:szCs w:val="19"/>
        </w:rPr>
        <w:t xml:space="preserve"> in the research notes.</w:t>
      </w:r>
    </w:p>
    <w:p>
      <w:pPr>
        <w:pStyle w:val="ListParagraph"/>
        <w:numPr>
          <w:ilvl w:val="0"/>
          <w:numId w:val="2"/>
        </w:numPr>
        <w:spacing w:after="60" w:line="264" w:lineRule="auto"/>
      </w:pPr>
      <w:r>
        <w:rPr>
          <w:rFonts w:ascii="Arial" w:cs="Arial" w:eastAsia="Yu Gothic" w:hAnsi="Arial"/>
          <w:b/>
          <w:bCs/>
          <w:color w:val="1F2533"/>
          <w:sz w:val="19"/>
          <w:szCs w:val="19"/>
        </w:rPr>
        <w:t xml:space="preserve">EV definition.</w:t>
      </w:r>
      <w:r>
        <w:rPr>
          <w:rFonts w:ascii="Arial" w:cs="Arial" w:eastAsia="Yu Gothic" w:hAnsi="Arial"/>
          <w:color w:val="1F2533"/>
          <w:sz w:val="19"/>
          <w:szCs w:val="19"/>
        </w:rPr>
        <w:t xml:space="preserve"> EV = market cap + latest interest-bearing debt − cash + non-controlling interests. Non-controlling interests are taken as zero for peers. Hybrids are counted 100% as debt.</w:t>
      </w:r>
    </w:p>
    <w:p>
      <w:pPr>
        <w:pStyle w:val="ListParagraph"/>
        <w:numPr>
          <w:ilvl w:val="0"/>
          <w:numId w:val="2"/>
        </w:numPr>
        <w:spacing w:after="60" w:line="264" w:lineRule="auto"/>
      </w:pPr>
      <w:r>
        <w:rPr>
          <w:rFonts w:ascii="Arial" w:cs="Arial" w:eastAsia="Yu Gothic" w:hAnsi="Arial"/>
          <w:b/>
          <w:bCs/>
          <w:color w:val="1F2533"/>
          <w:sz w:val="19"/>
          <w:szCs w:val="19"/>
        </w:rPr>
        <w:t xml:space="preserve">EBITDA.</w:t>
      </w:r>
      <w:r>
        <w:rPr>
          <w:rFonts w:ascii="Arial" w:cs="Arial" w:eastAsia="Yu Gothic" w:hAnsi="Arial"/>
          <w:color w:val="1F2533"/>
          <w:sz w:val="19"/>
          <w:szCs w:val="19"/>
        </w:rPr>
        <w:t xml:space="preserve"> Tokyo Tatemono uses FY2025 D&amp;A of ¥24.3bn. Peers use Shikiho D&amp;A figures.</w:t>
      </w:r>
    </w:p>
    <w:p>
      <w:pPr>
        <w:pStyle w:val="ListParagraph"/>
        <w:numPr>
          <w:ilvl w:val="0"/>
          <w:numId w:val="2"/>
        </w:numPr>
        <w:spacing w:after="60" w:line="264" w:lineRule="auto"/>
      </w:pPr>
      <w:r>
        <w:rPr>
          <w:rFonts w:ascii="Arial" w:cs="Arial" w:eastAsia="Yu Gothic" w:hAnsi="Arial"/>
          <w:b/>
          <w:bCs/>
          <w:color w:val="1F2533"/>
          <w:sz w:val="19"/>
          <w:szCs w:val="19"/>
        </w:rPr>
        <w:t xml:space="preserve">Stale data.</w:t>
      </w:r>
      <w:r>
        <w:rPr>
          <w:rFonts w:ascii="Arial" w:cs="Arial" w:eastAsia="Yu Gothic" w:hAnsi="Arial"/>
          <w:color w:val="1F2533"/>
          <w:sz w:val="19"/>
          <w:szCs w:val="19"/>
        </w:rPr>
        <w:t xml:space="preserve"> Several peer prices and balance sheets are weeks or months old (dates shown).</w:t>
      </w:r>
    </w:p>
    <w:p>
      <w:pPr>
        <w:spacing w:after="40" w:before="0" w:line="276" w:lineRule="auto"/>
      </w:pPr>
    </w:p>
    <w:p>
      <w:pPr>
        <w:keepNext/>
        <w:spacing w:after="40" w:before="80" w:line="240" w:lineRule="auto"/>
        <w:jc w:val="center"/>
      </w:pPr>
      <w:r>
        <w:drawing>
          <wp:inline distT="0" distB="0" distL="0" distR="0">
            <wp:extent cx="6191250" cy="4295775"/>
            <wp:effectExtent t="0" r="0" b="0" l="0"/>
            <wp:docPr id="1" name="fig08_peer_multiples.png" descr="Figure 7: Forward P/E, P/B, EV/EBITDA and net debt/EBITDA — Tokyo Tatemono vs listed developer peers." title="Figure 7: Forward P/E, P/B, EV/EBITDA and net debt/EBITDA — Tokyo Tatemono vs listed developer pe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191250" cy="4295775"/>
                    </a:xfrm>
                    <a:prstGeom prst="rect">
                      <a:avLst/>
                    </a:prstGeom>
                  </pic:spPr>
                </pic:pic>
              </a:graphicData>
            </a:graphic>
          </wp:inline>
        </w:drawing>
      </w:r>
    </w:p>
    <w:p>
      <w:pPr>
        <w:spacing w:after="160" w:before="0" w:line="276" w:lineRule="auto"/>
        <w:jc w:val="left"/>
      </w:pPr>
      <w:r>
        <w:rPr>
          <w:rFonts w:ascii="Arial" w:cs="Arial" w:eastAsia="Yu Gothic" w:hAnsi="Arial"/>
          <w:i/>
          <w:iCs/>
          <w:color w:val="5B6577"/>
          <w:sz w:val="16"/>
          <w:szCs w:val="16"/>
        </w:rPr>
        <w:t xml:space="preserve">Figure 7: Forward P/E, P/B, EV/EBITDA and net debt/EBITDA — Tokyo Tatemono vs listed developer peers.</w:t>
      </w:r>
    </w:p>
    <w:p>
      <w:pPr>
        <w:spacing w:after="110" w:before="0" w:line="276" w:lineRule="auto"/>
      </w:pPr>
      <w:r>
        <w:rPr>
          <w:rFonts w:ascii="Arial" w:cs="Arial" w:eastAsia="Yu Gothic" w:hAnsi="Arial"/>
          <w:b/>
          <w:bCs/>
          <w:color w:val="1F2533"/>
          <w:sz w:val="19"/>
          <w:szCs w:val="19"/>
        </w:rPr>
        <w:t xml:space="preserve">Cash-flow metrics are Tokyo Tatemono's weakest point.</w:t>
      </w:r>
      <w:r>
        <w:rPr>
          <w:rFonts w:ascii="Arial" w:cs="Arial" w:eastAsia="Yu Gothic" w:hAnsi="Arial"/>
          <w:color w:val="1F2533"/>
          <w:sz w:val="19"/>
          <w:szCs w:val="19"/>
        </w:rPr>
        <w:t xml:space="preserve"> Operating cash flow/EV is 1.5%, against a 4.1% peer median, and free cash flow was negative (−¥123bn in FY2024). The develop-to-sell model runs land and for-sale property through operating cash flow. On one-year revenue growth Tokyo Tatemono lags: +2.3% against a ≈9.4% peer median. On three-year growth it leads: 10.7% against 6.7%.</w:t>
      </w:r>
    </w:p>
    <w:p>
      <w:pPr>
        <w:pStyle w:val="Heading2"/>
        <w:keepNext/>
        <w:keepLines/>
        <w:spacing w:after="90" w:before="260" w:line="252" w:lineRule="auto"/>
      </w:pPr>
      <w:r>
        <w:rPr>
          <w:rFonts w:ascii="Arial" w:cs="Arial" w:eastAsia="Yu Gothic" w:hAnsi="Arial"/>
          <w:b/>
          <w:bCs/>
          <w:color w:val="15233F"/>
          <w:sz w:val="25"/>
          <w:szCs w:val="25"/>
        </w:rPr>
        <w:t xml:space="preserve">Cheap, fair or expensive?</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17"/>
        <w:gridCol w:w="1478"/>
        <w:gridCol w:w="2450"/>
        <w:gridCol w:w="2768"/>
        <w:gridCol w:w="1633"/>
      </w:tblGrid>
      <w:tr>
        <w:trPr>
          <w:cantSplit/>
          <w:tblHeader/>
        </w:trPr>
        <w:tc>
          <w:tcPr>
            <w:tcW w:type="dxa" w:w="1417"/>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bCs/>
                <w:color w:val="FFFFFF"/>
                <w:sz w:val="15"/>
                <w:szCs w:val="15"/>
              </w:rPr>
              <w:t xml:space="preserve">Metric</w:t>
            </w:r>
          </w:p>
        </w:tc>
        <w:tc>
          <w:tcPr>
            <w:tcW w:type="dxa" w:w="1478"/>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5"/>
                <w:szCs w:val="15"/>
              </w:rPr>
              <w:t xml:space="preserve">Tokyo Tatemono</w:t>
            </w:r>
          </w:p>
        </w:tc>
        <w:tc>
          <w:tcPr>
            <w:tcW w:type="dxa" w:w="2450"/>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5"/>
                <w:szCs w:val="15"/>
              </w:rPr>
              <w:t xml:space="preserve">vs peers</w:t>
            </w:r>
          </w:p>
        </w:tc>
        <w:tc>
          <w:tcPr>
            <w:tcW w:type="dxa" w:w="2768"/>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5"/>
                <w:szCs w:val="15"/>
              </w:rPr>
              <w:t xml:space="preserve">vs own history</w:t>
            </w:r>
          </w:p>
        </w:tc>
        <w:tc>
          <w:tcPr>
            <w:tcW w:type="dxa" w:w="1633"/>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5"/>
                <w:szCs w:val="15"/>
              </w:rPr>
              <w:t xml:space="preserve">Screens</w:t>
            </w:r>
          </w:p>
        </w:tc>
      </w:tr>
      <w:tr>
        <w:trPr>
          <w:cantSplit/>
        </w:trPr>
        <w:tc>
          <w:tcPr>
            <w:tcW w:type="dxa" w:w="1417"/>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5"/>
                <w:szCs w:val="15"/>
              </w:rPr>
              <w:t xml:space="preserve">Forward P/E</w:t>
            </w:r>
          </w:p>
        </w:tc>
        <w:tc>
          <w:tcPr>
            <w:tcW w:type="dxa" w:w="1478"/>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5"/>
                <w:szCs w:val="15"/>
              </w:rPr>
              <w:t xml:space="preserve">10.3x</w:t>
            </w:r>
          </w:p>
        </w:tc>
        <w:tc>
          <w:tcPr>
            <w:tcW w:type="dxa" w:w="2450"/>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−23% vs 13.35x</w:t>
            </w:r>
          </w:p>
        </w:tc>
        <w:tc>
          <w:tcPr>
            <w:tcW w:type="dxa" w:w="2768"/>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Above its 3-year band (7.0–9.9x); within the year-end range of 7.8–12.5x</w:t>
            </w:r>
          </w:p>
        </w:tc>
        <w:tc>
          <w:tcPr>
            <w:tcW w:type="dxa" w:w="1633"/>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bCs/>
                <w:color w:val="1F2533"/>
                <w:sz w:val="15"/>
                <w:szCs w:val="15"/>
              </w:rPr>
              <w:t xml:space="preserve">Cheap vs peers; full vs history</w:t>
            </w:r>
          </w:p>
        </w:tc>
      </w:tr>
      <w:tr>
        <w:trPr>
          <w:cantSplit/>
        </w:trPr>
        <w:tc>
          <w:tcPr>
            <w:tcW w:type="dxa" w:w="1417"/>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5"/>
                <w:szCs w:val="15"/>
              </w:rPr>
              <w:t xml:space="preserve">P/B</w:t>
            </w:r>
          </w:p>
        </w:tc>
        <w:tc>
          <w:tcPr>
            <w:tcW w:type="dxa" w:w="1478"/>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5"/>
                <w:szCs w:val="15"/>
              </w:rPr>
              <w:t xml:space="preserve">1.10x</w:t>
            </w:r>
          </w:p>
        </w:tc>
        <w:tc>
          <w:tcPr>
            <w:tcW w:type="dxa" w:w="2450"/>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−12% vs 1.245x</w:t>
            </w:r>
          </w:p>
        </w:tc>
        <w:tc>
          <w:tcPr>
            <w:tcW w:type="dxa" w:w="2768"/>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Upper half of 0.75–1.25x</w:t>
            </w:r>
          </w:p>
        </w:tc>
        <w:tc>
          <w:tcPr>
            <w:tcW w:type="dxa" w:w="1633"/>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Modestly cheap vs peers</w:t>
            </w:r>
          </w:p>
        </w:tc>
      </w:tr>
      <w:tr>
        <w:trPr>
          <w:cantSplit/>
        </w:trPr>
        <w:tc>
          <w:tcPr>
            <w:tcW w:type="dxa" w:w="1417"/>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5"/>
                <w:szCs w:val="15"/>
              </w:rPr>
              <w:t xml:space="preserve">P/NAV</w:t>
            </w:r>
          </w:p>
        </w:tc>
        <w:tc>
          <w:tcPr>
            <w:tcW w:type="dxa" w:w="1478"/>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5"/>
                <w:szCs w:val="15"/>
              </w:rPr>
              <w:t xml:space="preserve">0.65x</w:t>
            </w:r>
          </w:p>
        </w:tc>
        <w:tc>
          <w:tcPr>
            <w:tcW w:type="dxa" w:w="2450"/>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In line with Mitsubishi Estate and Mitsui (0.64x); above Sumitomo (≈0.5x)</w:t>
            </w:r>
          </w:p>
        </w:tc>
        <w:tc>
          <w:tcPr>
            <w:tcW w:type="dxa" w:w="2768"/>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Above its FY2021–23 range of 0.41–0.51x</w:t>
            </w:r>
          </w:p>
        </w:tc>
        <w:tc>
          <w:tcPr>
            <w:tcW w:type="dxa" w:w="1633"/>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Fair</w:t>
            </w:r>
          </w:p>
        </w:tc>
      </w:tr>
      <w:tr>
        <w:trPr>
          <w:cantSplit/>
        </w:trPr>
        <w:tc>
          <w:tcPr>
            <w:tcW w:type="dxa" w:w="1417"/>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5"/>
                <w:szCs w:val="15"/>
              </w:rPr>
              <w:t xml:space="preserve">EV/Sales</w:t>
            </w:r>
          </w:p>
        </w:tc>
        <w:tc>
          <w:tcPr>
            <w:tcW w:type="dxa" w:w="1478"/>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5"/>
                <w:szCs w:val="15"/>
              </w:rPr>
              <w:t xml:space="preserve">4.47x</w:t>
            </w:r>
          </w:p>
        </w:tc>
        <w:tc>
          <w:tcPr>
            <w:tcW w:type="dxa" w:w="2450"/>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In line (4.52x); on the regression line</w:t>
            </w:r>
          </w:p>
        </w:tc>
        <w:tc>
          <w:tcPr>
            <w:tcW w:type="dxa" w:w="2768"/>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Above its FY2021–25 range of 3.53–4.09x</w:t>
            </w:r>
          </w:p>
        </w:tc>
        <w:tc>
          <w:tcPr>
            <w:tcW w:type="dxa" w:w="1633"/>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bCs/>
                <w:color w:val="1F2533"/>
                <w:sz w:val="15"/>
                <w:szCs w:val="15"/>
              </w:rPr>
              <w:t xml:space="preserve">Fair; expensive vs history</w:t>
            </w:r>
          </w:p>
        </w:tc>
      </w:tr>
      <w:tr>
        <w:trPr>
          <w:cantSplit/>
        </w:trPr>
        <w:tc>
          <w:tcPr>
            <w:tcW w:type="dxa" w:w="1417"/>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5"/>
                <w:szCs w:val="15"/>
              </w:rPr>
              <w:t xml:space="preserve">EV/EBITDA</w:t>
            </w:r>
          </w:p>
        </w:tc>
        <w:tc>
          <w:tcPr>
            <w:tcW w:type="dxa" w:w="1478"/>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5"/>
                <w:szCs w:val="15"/>
              </w:rPr>
              <w:t xml:space="preserve">17.7x (15.6x on the Dec-2025 balance sheet)</w:t>
            </w:r>
          </w:p>
        </w:tc>
        <w:tc>
          <w:tcPr>
            <w:tcW w:type="dxa" w:w="2450"/>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+4% vs 17.0x</w:t>
            </w:r>
          </w:p>
        </w:tc>
        <w:tc>
          <w:tcPr>
            <w:tcW w:type="dxa" w:w="2768"/>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Above the 15.1–16.2x range on the June balance sheet; mid-range on December's</w:t>
            </w:r>
          </w:p>
        </w:tc>
        <w:tc>
          <w:tcPr>
            <w:tcW w:type="dxa" w:w="1633"/>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Fair to full</w:t>
            </w:r>
          </w:p>
        </w:tc>
      </w:tr>
      <w:tr>
        <w:trPr>
          <w:cantSplit/>
        </w:trPr>
        <w:tc>
          <w:tcPr>
            <w:tcW w:type="dxa" w:w="1417"/>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5"/>
                <w:szCs w:val="15"/>
              </w:rPr>
              <w:t xml:space="preserve">EV/EBIT</w:t>
            </w:r>
          </w:p>
        </w:tc>
        <w:tc>
          <w:tcPr>
            <w:tcW w:type="dxa" w:w="1478"/>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5"/>
                <w:szCs w:val="15"/>
              </w:rPr>
              <w:t xml:space="preserve">22.2x</w:t>
            </w:r>
          </w:p>
        </w:tc>
        <w:tc>
          <w:tcPr>
            <w:tcW w:type="dxa" w:w="2450"/>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In line (22.0x)</w:t>
            </w:r>
          </w:p>
        </w:tc>
        <w:tc>
          <w:tcPr>
            <w:tcW w:type="dxa" w:w="2768"/>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Above 19.4–21.3x</w:t>
            </w:r>
          </w:p>
        </w:tc>
        <w:tc>
          <w:tcPr>
            <w:tcW w:type="dxa" w:w="1633"/>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Fair</w:t>
            </w:r>
          </w:p>
        </w:tc>
      </w:tr>
      <w:tr>
        <w:trPr>
          <w:cantSplit/>
        </w:trPr>
        <w:tc>
          <w:tcPr>
            <w:tcW w:type="dxa" w:w="1417"/>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5"/>
                <w:szCs w:val="15"/>
              </w:rPr>
              <w:t xml:space="preserve">Net debt/EBITDA</w:t>
            </w:r>
          </w:p>
        </w:tc>
        <w:tc>
          <w:tcPr>
            <w:tcW w:type="dxa" w:w="1478"/>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5"/>
                <w:szCs w:val="15"/>
              </w:rPr>
              <w:t xml:space="preserve">12.0x</w:t>
            </w:r>
          </w:p>
        </w:tc>
        <w:tc>
          <w:tcPr>
            <w:tcW w:type="dxa" w:w="2450"/>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Highest in the group (median 9.2x)</w:t>
            </w:r>
          </w:p>
        </w:tc>
        <w:tc>
          <w:tcPr>
            <w:tcW w:type="dxa" w:w="2768"/>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Above the FY2025 level of 9.9x</w:t>
            </w:r>
          </w:p>
        </w:tc>
        <w:tc>
          <w:tcPr>
            <w:tcW w:type="dxa" w:w="1633"/>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bCs/>
                <w:color w:val="1F2533"/>
                <w:sz w:val="15"/>
                <w:szCs w:val="15"/>
              </w:rPr>
              <w:t xml:space="preserve">Risk flag</w:t>
            </w:r>
          </w:p>
        </w:tc>
      </w:tr>
      <w:tr>
        <w:trPr>
          <w:cantSplit/>
        </w:trPr>
        <w:tc>
          <w:tcPr>
            <w:tcW w:type="dxa" w:w="1417"/>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5"/>
                <w:szCs w:val="15"/>
              </w:rPr>
              <w:t xml:space="preserve">EBIT / EBITDA margin</w:t>
            </w:r>
          </w:p>
        </w:tc>
        <w:tc>
          <w:tcPr>
            <w:tcW w:type="dxa" w:w="1478"/>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5"/>
                <w:szCs w:val="15"/>
              </w:rPr>
              <w:t xml:space="preserve">20.2% / 25.3%</w:t>
            </w:r>
          </w:p>
        </w:tc>
        <w:tc>
          <w:tcPr>
            <w:tcW w:type="dxa" w:w="2450"/>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Below the 22.3% / 26.6% medians</w:t>
            </w:r>
          </w:p>
        </w:tc>
        <w:tc>
          <w:tcPr>
            <w:tcW w:type="dxa" w:w="2768"/>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Highest in five years</w:t>
            </w:r>
          </w:p>
        </w:tc>
        <w:tc>
          <w:tcPr>
            <w:tcW w:type="dxa" w:w="1633"/>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Mid-pack quality</w:t>
            </w:r>
          </w:p>
        </w:tc>
      </w:tr>
      <w:tr>
        <w:trPr>
          <w:cantSplit/>
        </w:trPr>
        <w:tc>
          <w:tcPr>
            <w:tcW w:type="dxa" w:w="1417"/>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5"/>
                <w:szCs w:val="15"/>
              </w:rPr>
              <w:t xml:space="preserve">Dividend yield</w:t>
            </w:r>
          </w:p>
        </w:tc>
        <w:tc>
          <w:tcPr>
            <w:tcW w:type="dxa" w:w="1478"/>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5"/>
                <w:szCs w:val="15"/>
              </w:rPr>
              <w:t xml:space="preserve">3.9%</w:t>
            </w:r>
          </w:p>
        </w:tc>
        <w:tc>
          <w:tcPr>
            <w:tcW w:type="dxa" w:w="2450"/>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+0.7pt vs 3.25%</w:t>
            </w:r>
          </w:p>
        </w:tc>
        <w:tc>
          <w:tcPr>
            <w:tcW w:type="dxa" w:w="2768"/>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Mid-range (2.96–4.07%)</w:t>
            </w:r>
          </w:p>
        </w:tc>
        <w:tc>
          <w:tcPr>
            <w:tcW w:type="dxa" w:w="1633"/>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Attractive</w:t>
            </w:r>
          </w:p>
        </w:tc>
      </w:tr>
      <w:tr>
        <w:trPr>
          <w:cantSplit/>
        </w:trPr>
        <w:tc>
          <w:tcPr>
            <w:tcW w:type="dxa" w:w="1417"/>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5"/>
                <w:szCs w:val="15"/>
              </w:rPr>
              <w:t xml:space="preserve">Operating cash flow / EV</w:t>
            </w:r>
          </w:p>
        </w:tc>
        <w:tc>
          <w:tcPr>
            <w:tcW w:type="dxa" w:w="1478"/>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5"/>
                <w:szCs w:val="15"/>
              </w:rPr>
              <w:t xml:space="preserve">1.5%</w:t>
            </w:r>
          </w:p>
        </w:tc>
        <w:tc>
          <w:tcPr>
            <w:tcW w:type="dxa" w:w="2450"/>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vs 4.1%</w:t>
            </w:r>
          </w:p>
        </w:tc>
        <w:tc>
          <w:tcPr>
            <w:tcW w:type="dxa" w:w="2768"/>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n/a</w:t>
            </w:r>
          </w:p>
        </w:tc>
        <w:tc>
          <w:tcPr>
            <w:tcW w:type="dxa" w:w="1633"/>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Weak</w:t>
            </w:r>
          </w:p>
        </w:tc>
      </w:tr>
    </w:tbl>
    <w:p>
      <w:pPr>
        <w:spacing w:after="120" w:before="0" w:line="276" w:lineRule="auto"/>
      </w:pPr>
    </w:p>
    <w:p>
      <w:pPr>
        <w:spacing w:after="110" w:before="0" w:line="276" w:lineRule="auto"/>
      </w:pPr>
      <w:r>
        <w:rPr>
          <w:rFonts w:ascii="Arial" w:cs="Arial" w:eastAsia="Yu Gothic" w:hAnsi="Arial"/>
          <w:b/>
          <w:bCs/>
          <w:color w:val="1F2533"/>
          <w:sz w:val="19"/>
          <w:szCs w:val="19"/>
        </w:rPr>
        <w:t xml:space="preserve">Overall verdict: fair.</w:t>
      </w:r>
      <w:r>
        <w:rPr>
          <w:rFonts w:ascii="Arial" w:cs="Arial" w:eastAsia="Yu Gothic" w:hAnsi="Arial"/>
          <w:color w:val="1F2533"/>
          <w:sz w:val="19"/>
          <w:szCs w:val="19"/>
        </w:rPr>
        <w:t xml:space="preserve"> The equity screens cheap only because the debt is large. Remove the leverage and Tokyo Tatemono is priced in line with its peers and above its own history.</w:t>
      </w:r>
    </w:p>
    <w:p>
      <w:pPr>
        <w:pStyle w:val="Heading2"/>
        <w:keepNext/>
        <w:keepLines/>
        <w:spacing w:after="90" w:before="260" w:line="252" w:lineRule="auto"/>
      </w:pPr>
      <w:r>
        <w:rPr>
          <w:rFonts w:ascii="Arial" w:cs="Arial" w:eastAsia="Yu Gothic" w:hAnsi="Arial"/>
          <w:b/>
          <w:bCs/>
          <w:color w:val="15233F"/>
          <w:sz w:val="25"/>
          <w:szCs w:val="25"/>
        </w:rPr>
        <w:t xml:space="preserve">Net asset value: ≈¥4,937 per share, so the stock trades at 0.65x NAV</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9"/>
        <w:gridCol w:w="894"/>
        <w:gridCol w:w="843"/>
      </w:tblGrid>
      <w:tr>
        <w:trPr>
          <w:cantSplit/>
          <w:tblHeader/>
        </w:trPr>
        <w:tc>
          <w:tcPr>
            <w:tcW w:type="dxa" w:w="8009"/>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bCs/>
                <w:color w:val="FFFFFF"/>
                <w:sz w:val="16"/>
                <w:szCs w:val="16"/>
              </w:rPr>
              <w:t xml:space="preserve">NAV bridge</w:t>
            </w:r>
          </w:p>
        </w:tc>
        <w:tc>
          <w:tcPr>
            <w:tcW w:type="dxa" w:w="894"/>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6"/>
                <w:szCs w:val="16"/>
              </w:rPr>
              <w:t xml:space="preserve">¥bn</w:t>
            </w:r>
          </w:p>
        </w:tc>
        <w:tc>
          <w:tcPr>
            <w:tcW w:type="dxa" w:w="843"/>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6"/>
                <w:szCs w:val="16"/>
              </w:rPr>
              <w:t xml:space="preserve">¥ per share</w:t>
            </w:r>
          </w:p>
        </w:tc>
      </w:tr>
      <w:tr>
        <w:trPr>
          <w:cantSplit/>
        </w:trPr>
        <w:tc>
          <w:tcPr>
            <w:tcW w:type="dxa" w:w="8009"/>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Rental-property fair value (31 Dec 2025)</w:t>
            </w:r>
          </w:p>
        </w:tc>
        <w:tc>
          <w:tcPr>
            <w:tcW w:type="dxa" w:w="894"/>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6"/>
                <w:szCs w:val="16"/>
              </w:rPr>
              <w:t xml:space="preserve">1,658.0</w:t>
            </w:r>
          </w:p>
        </w:tc>
        <w:tc>
          <w:tcPr>
            <w:tcW w:type="dxa" w:w="843"/>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6"/>
                <w:szCs w:val="16"/>
              </w:rPr>
              <w:t xml:space="preserve">—</w:t>
            </w:r>
          </w:p>
        </w:tc>
      </w:tr>
      <w:tr>
        <w:trPr>
          <w:cantSplit/>
        </w:trPr>
        <w:tc>
          <w:tcPr>
            <w:tcW w:type="dxa" w:w="8009"/>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Rental-property book value</w:t>
            </w:r>
          </w:p>
        </w:tc>
        <w:tc>
          <w:tcPr>
            <w:tcW w:type="dxa" w:w="894"/>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6"/>
                <w:szCs w:val="16"/>
              </w:rPr>
              <w:t xml:space="preserve">1,058.1</w:t>
            </w:r>
          </w:p>
        </w:tc>
        <w:tc>
          <w:tcPr>
            <w:tcW w:type="dxa" w:w="843"/>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6"/>
                <w:szCs w:val="16"/>
              </w:rPr>
              <w:t xml:space="preserve">—</w:t>
            </w:r>
          </w:p>
        </w:tc>
      </w:tr>
      <w:tr>
        <w:trPr>
          <w:cantSplit/>
        </w:trPr>
        <w:tc>
          <w:tcPr>
            <w:tcW w:type="dxa" w:w="8009"/>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Unrealised gain, pre-tax</w:t>
            </w:r>
          </w:p>
        </w:tc>
        <w:tc>
          <w:tcPr>
            <w:tcW w:type="dxa" w:w="894"/>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6"/>
                <w:szCs w:val="16"/>
              </w:rPr>
              <w:t xml:space="preserve">599.9</w:t>
            </w:r>
          </w:p>
        </w:tc>
        <w:tc>
          <w:tcPr>
            <w:tcW w:type="dxa" w:w="843"/>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6"/>
                <w:szCs w:val="16"/>
              </w:rPr>
              <w:t xml:space="preserve">≈2,891</w:t>
            </w:r>
          </w:p>
        </w:tc>
      </w:tr>
      <w:tr>
        <w:trPr>
          <w:cantSplit/>
        </w:trPr>
        <w:tc>
          <w:tcPr>
            <w:tcW w:type="dxa" w:w="8009"/>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Deferred tax at 30.6%</w:t>
            </w:r>
          </w:p>
        </w:tc>
        <w:tc>
          <w:tcPr>
            <w:tcW w:type="dxa" w:w="894"/>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6"/>
                <w:szCs w:val="16"/>
              </w:rPr>
              <w:t xml:space="preserve">(183.6)</w:t>
            </w:r>
          </w:p>
        </w:tc>
        <w:tc>
          <w:tcPr>
            <w:tcW w:type="dxa" w:w="843"/>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6"/>
                <w:szCs w:val="16"/>
              </w:rPr>
              <w:t xml:space="preserve">(≈884)</w:t>
            </w:r>
          </w:p>
        </w:tc>
      </w:tr>
      <w:tr>
        <w:trPr>
          <w:cantSplit/>
        </w:trPr>
        <w:tc>
          <w:tcPr>
            <w:tcW w:type="dxa" w:w="8009"/>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Unrealised gain, after tax</w:t>
            </w:r>
          </w:p>
        </w:tc>
        <w:tc>
          <w:tcPr>
            <w:tcW w:type="dxa" w:w="894"/>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6"/>
                <w:szCs w:val="16"/>
              </w:rPr>
              <w:t xml:space="preserve">416.4</w:t>
            </w:r>
          </w:p>
        </w:tc>
        <w:tc>
          <w:tcPr>
            <w:tcW w:type="dxa" w:w="843"/>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6"/>
                <w:szCs w:val="16"/>
              </w:rPr>
              <w:t xml:space="preserve">≈2,007</w:t>
            </w:r>
          </w:p>
        </w:tc>
      </w:tr>
      <w:tr>
        <w:trPr>
          <w:cantSplit/>
        </w:trPr>
        <w:tc>
          <w:tcPr>
            <w:tcW w:type="dxa" w:w="8009"/>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Book value per share (30 Jun 2026)</w:t>
            </w:r>
          </w:p>
        </w:tc>
        <w:tc>
          <w:tcPr>
            <w:tcW w:type="dxa" w:w="894"/>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6"/>
                <w:szCs w:val="16"/>
              </w:rPr>
              <w:t xml:space="preserve">—</w:t>
            </w:r>
          </w:p>
        </w:tc>
        <w:tc>
          <w:tcPr>
            <w:tcW w:type="dxa" w:w="843"/>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6"/>
                <w:szCs w:val="16"/>
              </w:rPr>
              <w:t xml:space="preserve">2,930</w:t>
            </w:r>
          </w:p>
        </w:tc>
      </w:tr>
      <w:tr>
        <w:trPr>
          <w:cantSplit/>
        </w:trPr>
        <w:tc>
          <w:tcPr>
            <w:tcW w:type="dxa" w:w="8009"/>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bCs/>
                <w:color w:val="1F2533"/>
                <w:sz w:val="16"/>
                <w:szCs w:val="16"/>
              </w:rPr>
              <w:t xml:space="preserve">NAV per share</w:t>
            </w:r>
          </w:p>
        </w:tc>
        <w:tc>
          <w:tcPr>
            <w:tcW w:type="dxa" w:w="894"/>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6"/>
                <w:szCs w:val="16"/>
              </w:rPr>
              <w:t xml:space="preserve">—</w:t>
            </w:r>
          </w:p>
        </w:tc>
        <w:tc>
          <w:tcPr>
            <w:tcW w:type="dxa" w:w="843"/>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b/>
                <w:bCs/>
                <w:color w:val="1F2533"/>
                <w:sz w:val="16"/>
                <w:szCs w:val="16"/>
              </w:rPr>
              <w:t xml:space="preserve">≈4,937</w:t>
            </w:r>
          </w:p>
        </w:tc>
      </w:tr>
      <w:tr>
        <w:trPr>
          <w:cantSplit/>
        </w:trPr>
        <w:tc>
          <w:tcPr>
            <w:tcW w:type="dxa" w:w="8009"/>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P/NAV at ¥3,211</w:t>
            </w:r>
          </w:p>
        </w:tc>
        <w:tc>
          <w:tcPr>
            <w:tcW w:type="dxa" w:w="894"/>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6"/>
                <w:szCs w:val="16"/>
              </w:rPr>
              <w:t xml:space="preserve">—</w:t>
            </w:r>
          </w:p>
        </w:tc>
        <w:tc>
          <w:tcPr>
            <w:tcW w:type="dxa" w:w="843"/>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b/>
                <w:bCs/>
                <w:color w:val="1F2533"/>
                <w:sz w:val="16"/>
                <w:szCs w:val="16"/>
              </w:rPr>
              <w:t xml:space="preserve">0.65x</w:t>
            </w:r>
          </w:p>
        </w:tc>
      </w:tr>
    </w:tbl>
    <w:p>
      <w:pPr>
        <w:spacing w:after="120" w:before="0" w:line="276" w:lineRule="auto"/>
      </w:pPr>
    </w:p>
    <w:p>
      <w:pPr>
        <w:spacing w:after="110" w:before="0" w:line="276" w:lineRule="auto"/>
      </w:pPr>
      <w:r>
        <w:rPr>
          <w:rFonts w:ascii="Arial" w:cs="Arial" w:eastAsia="Yu Gothic" w:hAnsi="Arial"/>
          <w:color w:val="1F2533"/>
          <w:sz w:val="19"/>
          <w:szCs w:val="19"/>
        </w:rPr>
        <w:t xml:space="preserve">Sources: fair and book values from </w:t>
      </w:r>
      <w:hyperlink w:history="1" r:id="rIdk4h_ufj1oks-ngrz7ck44">
        <w:r>
          <w:rPr>
            <w:rFonts w:ascii="Arial" w:cs="Arial" w:eastAsia="Yu Gothic" w:hAnsi="Arial"/>
            <w:color w:val="2F6FD0"/>
            <w:sz w:val="19"/>
            <w:szCs w:val="19"/>
            <w:u w:val="single"/>
          </w:rPr>
          <w:t xml:space="preserve">IR Bank</w:t>
        </w:r>
      </w:hyperlink>
      <w:r>
        <w:rPr>
          <w:rFonts w:ascii="Arial" w:cs="Arial" w:eastAsia="Yu Gothic" w:hAnsi="Arial"/>
          <w:color w:val="1F2533"/>
          <w:sz w:val="19"/>
          <w:szCs w:val="19"/>
        </w:rPr>
        <w:t xml:space="preserve"> and the </w:t>
      </w:r>
      <w:hyperlink w:history="1" r:id="rIdakbwovrx2iaemcjtigvy0">
        <w:r>
          <w:rPr>
            <w:rFonts w:ascii="Arial" w:cs="Arial" w:eastAsia="Yu Gothic" w:hAnsi="Arial"/>
            <w:color w:val="2F6FD0"/>
            <w:sz w:val="19"/>
            <w:szCs w:val="19"/>
            <w:u w:val="single"/>
          </w:rPr>
          <w:t xml:space="preserve">FY2025 presentation</w:t>
        </w:r>
      </w:hyperlink>
      <w:r>
        <w:rPr>
          <w:rFonts w:ascii="Arial" w:cs="Arial" w:eastAsia="Yu Gothic" w:hAnsi="Arial"/>
          <w:color w:val="1F2533"/>
          <w:sz w:val="19"/>
          <w:szCs w:val="19"/>
        </w:rPr>
        <w:t xml:space="preserve"> ("unrealized gain remained at a high level of ¥599.9 billion"). The fair-value disclosure covers non-current assets leased to third parties or under development for lease. Per-share figures use ≈207.5m shares.</w:t>
      </w:r>
    </w:p>
    <w:p>
      <w:pPr>
        <w:keepNext/>
        <w:spacing w:after="40" w:before="80" w:line="240" w:lineRule="auto"/>
        <w:jc w:val="center"/>
      </w:pPr>
      <w:r>
        <w:drawing>
          <wp:inline distT="0" distB="0" distL="0" distR="0">
            <wp:extent cx="6191250" cy="2876550"/>
            <wp:effectExtent t="0" r="0" b="0" l="0"/>
            <wp:docPr id="1" name="fig07_nav_bridge.png" descr="Figure 8: NAV bridge — book value plus after-tax unrealised gains on rental property vs the share price." title="Figure 8: NAV bridge — book value plus after-tax unrealised gains on rental property vs the share pr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191250" cy="2876550"/>
                    </a:xfrm>
                    <a:prstGeom prst="rect">
                      <a:avLst/>
                    </a:prstGeom>
                  </pic:spPr>
                </pic:pic>
              </a:graphicData>
            </a:graphic>
          </wp:inline>
        </w:drawing>
      </w:r>
    </w:p>
    <w:p>
      <w:pPr>
        <w:spacing w:after="160" w:before="0" w:line="276" w:lineRule="auto"/>
        <w:jc w:val="left"/>
      </w:pPr>
      <w:r>
        <w:rPr>
          <w:rFonts w:ascii="Arial" w:cs="Arial" w:eastAsia="Yu Gothic" w:hAnsi="Arial"/>
          <w:i/>
          <w:iCs/>
          <w:color w:val="5B6577"/>
          <w:sz w:val="16"/>
          <w:szCs w:val="16"/>
        </w:rPr>
        <w:t xml:space="preserve">Figure 8: NAV bridge — book value plus after-tax unrealised gains on rental property vs the share price.</w:t>
      </w:r>
    </w:p>
    <w:p>
      <w:pPr>
        <w:spacing w:after="110" w:before="0" w:line="276" w:lineRule="auto"/>
      </w:pPr>
      <w:r>
        <w:rPr>
          <w:rFonts w:ascii="Arial" w:cs="Arial" w:eastAsia="Yu Gothic" w:hAnsi="Arial"/>
          <w:b/>
          <w:bCs/>
          <w:color w:val="1F2533"/>
          <w:sz w:val="19"/>
          <w:szCs w:val="19"/>
        </w:rPr>
        <w:t xml:space="preserve">Alternative NAV bases:</w:t>
      </w:r>
    </w:p>
    <w:p>
      <w:pPr>
        <w:pStyle w:val="ListParagraph"/>
        <w:numPr>
          <w:ilvl w:val="0"/>
          <w:numId w:val="2"/>
        </w:numPr>
        <w:spacing w:after="60" w:line="264" w:lineRule="auto"/>
      </w:pPr>
      <w:r>
        <w:rPr>
          <w:rFonts w:ascii="Arial" w:cs="Arial" w:eastAsia="Yu Gothic" w:hAnsi="Arial"/>
          <w:b/>
          <w:bCs/>
          <w:color w:val="1F2533"/>
          <w:sz w:val="19"/>
          <w:szCs w:val="19"/>
        </w:rPr>
        <w:t xml:space="preserve">FY2025 year-end</w:t>
      </w:r>
      <w:r>
        <w:rPr>
          <w:rFonts w:ascii="Arial" w:cs="Arial" w:eastAsia="Yu Gothic" w:hAnsi="Arial"/>
          <w:color w:val="1F2533"/>
          <w:sz w:val="19"/>
          <w:szCs w:val="19"/>
        </w:rPr>
        <w:t xml:space="preserve"> (BPS ¥2,846.85): NAV ≈¥4,853.</w:t>
      </w:r>
    </w:p>
    <w:p>
      <w:pPr>
        <w:pStyle w:val="ListParagraph"/>
        <w:numPr>
          <w:ilvl w:val="0"/>
          <w:numId w:val="2"/>
        </w:numPr>
        <w:spacing w:after="60" w:line="264" w:lineRule="auto"/>
      </w:pPr>
      <w:r>
        <w:rPr>
          <w:rFonts w:ascii="Arial" w:cs="Arial" w:eastAsia="Yu Gothic" w:hAnsi="Arial"/>
          <w:b/>
          <w:bCs/>
          <w:color w:val="1F2533"/>
          <w:sz w:val="19"/>
          <w:szCs w:val="19"/>
        </w:rPr>
        <w:t xml:space="preserve">Pre-tax</w:t>
      </w:r>
      <w:r>
        <w:rPr>
          <w:rFonts w:ascii="Arial" w:cs="Arial" w:eastAsia="Yu Gothic" w:hAnsi="Arial"/>
          <w:color w:val="1F2533"/>
          <w:sz w:val="19"/>
          <w:szCs w:val="19"/>
        </w:rPr>
        <w:t xml:space="preserve"> (no deferred tax): ≈¥5,821, giving P/NAV of 0.55x.</w:t>
      </w:r>
    </w:p>
    <w:p>
      <w:pPr>
        <w:pStyle w:val="ListParagraph"/>
        <w:numPr>
          <w:ilvl w:val="0"/>
          <w:numId w:val="2"/>
        </w:numPr>
        <w:spacing w:after="60" w:line="264" w:lineRule="auto"/>
      </w:pPr>
      <w:r>
        <w:rPr>
          <w:rFonts w:ascii="Arial" w:cs="Arial" w:eastAsia="Yu Gothic" w:hAnsi="Arial"/>
          <w:b/>
          <w:bCs/>
          <w:color w:val="1F2533"/>
          <w:sz w:val="19"/>
          <w:szCs w:val="19"/>
        </w:rPr>
        <w:t xml:space="preserve">Including the company's "&gt;¥100bn stock of gains on sale"</w:t>
      </w:r>
      <w:r>
        <w:rPr>
          <w:rFonts w:ascii="Arial" w:cs="Arial" w:eastAsia="Yu Gothic" w:hAnsi="Arial"/>
          <w:color w:val="1F2533"/>
          <w:sz w:val="19"/>
          <w:szCs w:val="19"/>
        </w:rPr>
        <w:t xml:space="preserve"> after tax: ≈¥5,271, giving 0.61x. This risks double counting, because part of that stock sits in the fair-value note already.</w:t>
      </w:r>
    </w:p>
    <w:p>
      <w:pPr>
        <w:spacing w:after="40" w:before="0" w:line="276" w:lineRule="auto"/>
      </w:pPr>
    </w:p>
    <w:p>
      <w:pPr>
        <w:spacing w:after="110" w:before="0" w:line="276" w:lineRule="auto"/>
      </w:pPr>
      <w:r>
        <w:rPr>
          <w:rFonts w:ascii="Arial" w:cs="Arial" w:eastAsia="Yu Gothic" w:hAnsi="Arial"/>
          <w:b/>
          <w:bCs/>
          <w:color w:val="1F2533"/>
          <w:sz w:val="19"/>
          <w:szCs w:val="19"/>
        </w:rPr>
        <w:t xml:space="preserve">The stock of unrealised gains is growing slowly.</w:t>
      </w:r>
      <w:r>
        <w:rPr>
          <w:rFonts w:ascii="Arial" w:cs="Arial" w:eastAsia="Yu Gothic" w:hAnsi="Arial"/>
          <w:color w:val="1F2533"/>
          <w:sz w:val="19"/>
          <w:szCs w:val="19"/>
        </w:rPr>
        <w:t xml:space="preserve"> It was ¥514.6bn (FY2021), ¥526.4bn (FY2022), ¥529.4bn (FY2023) and ¥599.9bn (FY2025): only 3.9% a year. Gains are being realised through sales almost as fast as development creates them.</w:t>
      </w:r>
    </w:p>
    <w:p>
      <w:pPr>
        <w:spacing w:after="110" w:before="0" w:line="276" w:lineRule="auto"/>
      </w:pPr>
      <w:r>
        <w:rPr>
          <w:rFonts w:ascii="Arial" w:cs="Arial" w:eastAsia="Yu Gothic" w:hAnsi="Arial"/>
          <w:b/>
          <w:bCs/>
          <w:color w:val="1F2533"/>
          <w:sz w:val="19"/>
          <w:szCs w:val="19"/>
        </w:rPr>
        <w:t xml:space="preserve">Peer P/NAV.</w:t>
      </w:r>
      <w:r>
        <w:rPr>
          <w:rFonts w:ascii="Arial" w:cs="Arial" w:eastAsia="Yu Gothic" w:hAnsi="Arial"/>
          <w:color w:val="1F2533"/>
          <w:sz w:val="19"/>
          <w:szCs w:val="19"/>
        </w:rPr>
        <w:t xml:space="preserve"> On secondary-source estimates as of 2 October 2026 (</w:t>
      </w:r>
      <w:hyperlink w:history="1" r:id="rIdmjwswqrbn4zjhcjzucjcx">
        <w:r>
          <w:rPr>
            <w:rFonts w:ascii="Arial" w:cs="Arial" w:eastAsia="Yu Gothic" w:hAnsi="Arial"/>
            <w:color w:val="2F6FD0"/>
            <w:sz w:val="19"/>
            <w:szCs w:val="19"/>
            <w:u w:val="single"/>
          </w:rPr>
          <w:t xml:space="preserve">kabu.tagu-blog</w:t>
        </w:r>
      </w:hyperlink>
      <w:r>
        <w:rPr>
          <w:rFonts w:ascii="Arial" w:cs="Arial" w:eastAsia="Yu Gothic" w:hAnsi="Arial"/>
          <w:color w:val="1F2533"/>
          <w:sz w:val="19"/>
          <w:szCs w:val="19"/>
        </w:rPr>
        <w:t xml:space="preserve">; </w:t>
      </w:r>
      <w:hyperlink w:history="1" r:id="rIdppkkoc8desg4dpiuojkyt">
        <w:r>
          <w:rPr>
            <w:rFonts w:ascii="Arial" w:cs="Arial" w:eastAsia="Yu Gothic" w:hAnsi="Arial"/>
            <w:color w:val="2F6FD0"/>
            <w:sz w:val="19"/>
            <w:szCs w:val="19"/>
            <w:u w:val="single"/>
          </w:rPr>
          <w:t xml:space="preserve">tsubame104</w:t>
        </w:r>
      </w:hyperlink>
      <w:r>
        <w:rPr>
          <w:rFonts w:ascii="Arial" w:cs="Arial" w:eastAsia="Yu Gothic" w:hAnsi="Arial"/>
          <w:color w:val="1F2533"/>
          <w:sz w:val="19"/>
          <w:szCs w:val="19"/>
        </w:rPr>
        <w:t xml:space="preserve">):</w:t>
      </w:r>
    </w:p>
    <w:p>
      <w:pPr>
        <w:pStyle w:val="ListParagraph"/>
        <w:numPr>
          <w:ilvl w:val="0"/>
          <w:numId w:val="2"/>
        </w:numPr>
        <w:spacing w:after="60" w:line="264" w:lineRule="auto"/>
      </w:pPr>
      <w:r>
        <w:rPr>
          <w:rFonts w:ascii="Arial" w:cs="Arial" w:eastAsia="Yu Gothic" w:hAnsi="Arial"/>
          <w:color w:val="1F2533"/>
          <w:sz w:val="19"/>
          <w:szCs w:val="19"/>
        </w:rPr>
        <w:t xml:space="preserve">Mitsubishi Estate: ≈0.64x;</w:t>
      </w:r>
    </w:p>
    <w:p>
      <w:pPr>
        <w:pStyle w:val="ListParagraph"/>
        <w:numPr>
          <w:ilvl w:val="0"/>
          <w:numId w:val="2"/>
        </w:numPr>
        <w:spacing w:after="60" w:line="264" w:lineRule="auto"/>
      </w:pPr>
      <w:r>
        <w:rPr>
          <w:rFonts w:ascii="Arial" w:cs="Arial" w:eastAsia="Yu Gothic" w:hAnsi="Arial"/>
          <w:color w:val="1F2533"/>
          <w:sz w:val="19"/>
          <w:szCs w:val="19"/>
        </w:rPr>
        <w:t xml:space="preserve">Mitsui Fudosan: ≈0.64x;</w:t>
      </w:r>
    </w:p>
    <w:p>
      <w:pPr>
        <w:pStyle w:val="ListParagraph"/>
        <w:numPr>
          <w:ilvl w:val="0"/>
          <w:numId w:val="2"/>
        </w:numPr>
        <w:spacing w:after="60" w:line="264" w:lineRule="auto"/>
      </w:pPr>
      <w:r>
        <w:rPr>
          <w:rFonts w:ascii="Arial" w:cs="Arial" w:eastAsia="Yu Gothic" w:hAnsi="Arial"/>
          <w:color w:val="1F2533"/>
          <w:sz w:val="19"/>
          <w:szCs w:val="19"/>
        </w:rPr>
        <w:t xml:space="preserve">Sumitomo Realty: ≈0.47–0.51x.</w:t>
      </w:r>
    </w:p>
    <w:p>
      <w:pPr>
        <w:spacing w:after="40" w:before="0" w:line="276" w:lineRule="auto"/>
      </w:pPr>
    </w:p>
    <w:p>
      <w:pPr>
        <w:spacing w:after="110" w:before="0" w:line="276" w:lineRule="auto"/>
      </w:pPr>
      <w:r>
        <w:rPr>
          <w:rFonts w:ascii="Arial" w:cs="Arial" w:eastAsia="Yu Gothic" w:hAnsi="Arial"/>
          <w:b/>
          <w:bCs/>
          <w:color w:val="1F2533"/>
          <w:sz w:val="19"/>
          <w:szCs w:val="19"/>
        </w:rPr>
        <w:t xml:space="preserve">Tokyo Tatemono's own range.</w:t>
      </w:r>
      <w:r>
        <w:rPr>
          <w:rFonts w:ascii="Arial" w:cs="Arial" w:eastAsia="Yu Gothic" w:hAnsi="Arial"/>
          <w:color w:val="1F2533"/>
          <w:sz w:val="19"/>
          <w:szCs w:val="19"/>
        </w:rPr>
        <w:t xml:space="preserve"> In 2026, P/NAV has ranged from 0.62x (28 May low) to 0.90x (27 Feb high).</w:t>
      </w:r>
    </w:p>
    <w:p>
      <w:pPr>
        <w:spacing w:after="110" w:before="0" w:line="276" w:lineRule="auto"/>
      </w:pPr>
      <w:r>
        <w:rPr>
          <w:rFonts w:ascii="Arial" w:cs="Arial" w:eastAsia="Yu Gothic" w:hAnsi="Arial"/>
          <w:b/>
          <w:bCs/>
          <w:color w:val="1F2533"/>
          <w:sz w:val="19"/>
          <w:szCs w:val="19"/>
        </w:rPr>
        <w:t xml:space="preserve">What the price implies.</w:t>
      </w:r>
      <w:r>
        <w:rPr>
          <w:rFonts w:ascii="Arial" w:cs="Arial" w:eastAsia="Yu Gothic" w:hAnsi="Arial"/>
          <w:color w:val="1F2533"/>
          <w:sz w:val="19"/>
          <w:szCs w:val="19"/>
        </w:rPr>
        <w:t xml:space="preserve"> At ¥3,211 the market credits only about ¥58bn after tax (≈¥84bn pre-tax) of the ¥600bn gain. That implies a portfolio value of about ¥1,142bn, against the ¥1,658bn appraisal: a </w:t>
      </w:r>
      <w:r>
        <w:rPr>
          <w:rFonts w:ascii="Arial" w:cs="Arial" w:eastAsia="Yu Gothic" w:hAnsi="Arial"/>
          <w:b/>
          <w:bCs/>
          <w:color w:val="1F2533"/>
          <w:sz w:val="19"/>
          <w:szCs w:val="19"/>
        </w:rPr>
        <w:t xml:space="preserve">31% haircut</w:t>
      </w:r>
      <w:r>
        <w:rPr>
          <w:rFonts w:ascii="Arial" w:cs="Arial" w:eastAsia="Yu Gothic" w:hAnsi="Arial"/>
          <w:color w:val="1F2533"/>
          <w:sz w:val="19"/>
          <w:szCs w:val="19"/>
        </w:rPr>
        <w:t xml:space="preserve">, equivalent to roughly +136bp, +158bp or +181bp of cap-rate expansion from starting cap rates of 3.0%, 3.5% or 4.0%.</w:t>
      </w:r>
    </w:p>
    <w:p>
      <w:pPr>
        <w:spacing w:after="110" w:before="0" w:line="276" w:lineRule="auto"/>
      </w:pPr>
      <w:r>
        <w:rPr>
          <w:rFonts w:ascii="Arial" w:cs="Arial" w:eastAsia="Yu Gothic" w:hAnsi="Arial"/>
          <w:b/>
          <w:bCs/>
          <w:color w:val="1F2533"/>
          <w:sz w:val="19"/>
          <w:szCs w:val="19"/>
        </w:rPr>
        <w:t xml:space="preserve">Earnings power relative to NAV.</w:t>
      </w:r>
      <w:r>
        <w:rPr>
          <w:rFonts w:ascii="Arial" w:cs="Arial" w:eastAsia="Yu Gothic" w:hAnsi="Arial"/>
          <w:color w:val="1F2533"/>
          <w:sz w:val="19"/>
          <w:szCs w:val="19"/>
        </w:rPr>
        <w:t xml:space="preserve"> Tokyo Tatemono earns ≈6.3% on NAV (FY2026E EPS ÷ NAV), against ≈2.7–3.6% implied for the majors. That can be read either as efficiency or as faster conversion of NAV into reported profit through asset sales.</w:t>
      </w:r>
    </w:p>
    <w:p>
      <w:pPr>
        <w:spacing w:after="110" w:before="0" w:line="276" w:lineRule="auto"/>
      </w:pPr>
      <w:r>
        <w:rPr>
          <w:rFonts w:ascii="Arial" w:cs="Arial" w:eastAsia="Yu Gothic" w:hAnsi="Arial"/>
          <w:b/>
          <w:bCs/>
          <w:color w:val="1F2533"/>
          <w:sz w:val="19"/>
          <w:szCs w:val="19"/>
        </w:rPr>
        <w:t xml:space="preserve">NAV sensitivity to cap rates (NAV per share after the shock, from ¥4,937):</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74"/>
        <w:gridCol w:w="2072"/>
        <w:gridCol w:w="2072"/>
        <w:gridCol w:w="2428"/>
      </w:tblGrid>
      <w:tr>
        <w:trPr>
          <w:cantSplit/>
          <w:tblHeader/>
        </w:trPr>
        <w:tc>
          <w:tcPr>
            <w:tcW w:type="dxa" w:w="3174"/>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bCs/>
                <w:color w:val="FFFFFF"/>
                <w:sz w:val="16"/>
                <w:szCs w:val="16"/>
              </w:rPr>
              <w:t xml:space="preserve">Starting cap rate (assumed)</w:t>
            </w:r>
          </w:p>
        </w:tc>
        <w:tc>
          <w:tcPr>
            <w:tcW w:type="dxa" w:w="2072"/>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6"/>
                <w:szCs w:val="16"/>
              </w:rPr>
              <w:t xml:space="preserve">+25bp</w:t>
            </w:r>
          </w:p>
        </w:tc>
        <w:tc>
          <w:tcPr>
            <w:tcW w:type="dxa" w:w="2072"/>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6"/>
                <w:szCs w:val="16"/>
              </w:rPr>
              <w:t xml:space="preserve">+50bp</w:t>
            </w:r>
          </w:p>
        </w:tc>
        <w:tc>
          <w:tcPr>
            <w:tcW w:type="dxa" w:w="2428"/>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6"/>
                <w:szCs w:val="16"/>
              </w:rPr>
              <w:t xml:space="preserve">+100bp</w:t>
            </w:r>
          </w:p>
        </w:tc>
      </w:tr>
      <w:tr>
        <w:trPr>
          <w:cantSplit/>
        </w:trPr>
        <w:tc>
          <w:tcPr>
            <w:tcW w:type="dxa" w:w="3174"/>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3.5%</w:t>
            </w:r>
          </w:p>
        </w:tc>
        <w:tc>
          <w:tcPr>
            <w:tcW w:type="dxa" w:w="2072"/>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¥4,567 (−¥370)</w:t>
            </w:r>
          </w:p>
        </w:tc>
        <w:tc>
          <w:tcPr>
            <w:tcW w:type="dxa" w:w="2072"/>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¥4,243 (−¥693)</w:t>
            </w:r>
          </w:p>
        </w:tc>
        <w:tc>
          <w:tcPr>
            <w:tcW w:type="dxa" w:w="2428"/>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¥3,704 (−¥1,232)</w:t>
            </w:r>
          </w:p>
        </w:tc>
      </w:tr>
      <w:tr>
        <w:trPr>
          <w:cantSplit/>
        </w:trPr>
        <w:tc>
          <w:tcPr>
            <w:tcW w:type="dxa" w:w="3174"/>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4.0%</w:t>
            </w:r>
          </w:p>
        </w:tc>
        <w:tc>
          <w:tcPr>
            <w:tcW w:type="dxa" w:w="2072"/>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¥4,610 (−¥326)</w:t>
            </w:r>
          </w:p>
        </w:tc>
        <w:tc>
          <w:tcPr>
            <w:tcW w:type="dxa" w:w="2072"/>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¥4,320 (−¥616)</w:t>
            </w:r>
          </w:p>
        </w:tc>
        <w:tc>
          <w:tcPr>
            <w:tcW w:type="dxa" w:w="2428"/>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¥3,827 (−¥1,109)</w:t>
            </w:r>
          </w:p>
        </w:tc>
      </w:tr>
    </w:tbl>
    <w:p>
      <w:pPr>
        <w:spacing w:after="120" w:before="0" w:line="276" w:lineRule="auto"/>
      </w:pPr>
    </w:p>
    <w:p>
      <w:pPr>
        <w:spacing w:after="110" w:before="0" w:line="276" w:lineRule="auto"/>
      </w:pPr>
      <w:r>
        <w:rPr>
          <w:rFonts w:ascii="Arial" w:cs="Arial" w:eastAsia="Yu Gothic" w:hAnsi="Arial"/>
          <w:b/>
          <w:bCs/>
          <w:color w:val="1F2533"/>
          <w:sz w:val="19"/>
          <w:szCs w:val="19"/>
        </w:rPr>
        <w:t xml:space="preserve">Cushion before book value is hit.</w:t>
      </w:r>
      <w:r>
        <w:rPr>
          <w:rFonts w:ascii="Arial" w:cs="Arial" w:eastAsia="Yu Gothic" w:hAnsi="Arial"/>
          <w:color w:val="1F2533"/>
          <w:sz w:val="19"/>
          <w:szCs w:val="19"/>
        </w:rPr>
        <w:t xml:space="preserve"> Aggregate fair value would have to fall about 36% (roughly +170–230bp of cap-rate expansion) before it reached book value. Individual assets could be impaired well before then. Because equity is thin, every ¥100bn of impairment equals about 17% of book equity, or ≈¥482 per share.</w:t>
      </w:r>
    </w:p>
    <w:p>
      <w:pPr>
        <w:pStyle w:val="Heading2"/>
        <w:keepNext/>
        <w:keepLines/>
        <w:spacing w:after="90" w:before="260" w:line="252" w:lineRule="auto"/>
      </w:pPr>
      <w:r>
        <w:rPr>
          <w:rFonts w:ascii="Arial" w:cs="Arial" w:eastAsia="Yu Gothic" w:hAnsi="Arial"/>
          <w:b/>
          <w:bCs/>
          <w:color w:val="15233F"/>
          <w:sz w:val="25"/>
          <w:szCs w:val="25"/>
        </w:rPr>
        <w:t xml:space="preserve">Historical trading ranges and relative valuation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38"/>
        <w:gridCol w:w="714"/>
        <w:gridCol w:w="1543"/>
        <w:gridCol w:w="645"/>
        <w:gridCol w:w="645"/>
        <w:gridCol w:w="707"/>
        <w:gridCol w:w="793"/>
        <w:gridCol w:w="961"/>
      </w:tblGrid>
      <w:tr>
        <w:trPr>
          <w:cantSplit/>
          <w:tblHeader/>
        </w:trPr>
        <w:tc>
          <w:tcPr>
            <w:tcW w:type="dxa" w:w="3738"/>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bCs/>
                <w:color w:val="FFFFFF"/>
                <w:sz w:val="14"/>
                <w:szCs w:val="14"/>
              </w:rPr>
              <w:t xml:space="preserve">Point in time</w:t>
            </w:r>
          </w:p>
        </w:tc>
        <w:tc>
          <w:tcPr>
            <w:tcW w:type="dxa" w:w="714"/>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4"/>
                <w:szCs w:val="14"/>
              </w:rPr>
              <w:t xml:space="preserve">Price (¥)</w:t>
            </w:r>
          </w:p>
        </w:tc>
        <w:tc>
          <w:tcPr>
            <w:tcW w:type="dxa" w:w="1543"/>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4"/>
                <w:szCs w:val="14"/>
              </w:rPr>
              <w:t xml:space="preserve">P/E</w:t>
            </w:r>
          </w:p>
        </w:tc>
        <w:tc>
          <w:tcPr>
            <w:tcW w:type="dxa" w:w="645"/>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4"/>
                <w:szCs w:val="14"/>
              </w:rPr>
              <w:t xml:space="preserve">P/B</w:t>
            </w:r>
          </w:p>
        </w:tc>
        <w:tc>
          <w:tcPr>
            <w:tcW w:type="dxa" w:w="645"/>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4"/>
                <w:szCs w:val="14"/>
              </w:rPr>
              <w:t xml:space="preserve">P/NAV</w:t>
            </w:r>
          </w:p>
        </w:tc>
        <w:tc>
          <w:tcPr>
            <w:tcW w:type="dxa" w:w="707"/>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4"/>
                <w:szCs w:val="14"/>
              </w:rPr>
              <w:t xml:space="preserve">EV/Sales</w:t>
            </w:r>
          </w:p>
        </w:tc>
        <w:tc>
          <w:tcPr>
            <w:tcW w:type="dxa" w:w="793"/>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4"/>
                <w:szCs w:val="14"/>
              </w:rPr>
              <w:t xml:space="preserve">EV/EBITDA</w:t>
            </w:r>
          </w:p>
        </w:tc>
        <w:tc>
          <w:tcPr>
            <w:tcW w:type="dxa" w:w="961"/>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4"/>
                <w:szCs w:val="14"/>
              </w:rPr>
              <w:t xml:space="preserve">Dividend yield</w:t>
            </w:r>
          </w:p>
        </w:tc>
      </w:tr>
      <w:tr>
        <w:trPr>
          <w:cantSplit/>
        </w:trPr>
        <w:tc>
          <w:tcPr>
            <w:tcW w:type="dxa" w:w="3738"/>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4"/>
                <w:szCs w:val="14"/>
              </w:rPr>
              <w:t xml:space="preserve">FY2021 year-end</w:t>
            </w:r>
          </w:p>
        </w:tc>
        <w:tc>
          <w:tcPr>
            <w:tcW w:type="dxa" w:w="714"/>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1,680</w:t>
            </w:r>
          </w:p>
        </w:tc>
        <w:tc>
          <w:tcPr>
            <w:tcW w:type="dxa" w:w="1543"/>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10.0x</w:t>
            </w:r>
          </w:p>
        </w:tc>
        <w:tc>
          <w:tcPr>
            <w:tcW w:type="dxa" w:w="645"/>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0.84x</w:t>
            </w:r>
          </w:p>
        </w:tc>
        <w:tc>
          <w:tcPr>
            <w:tcW w:type="dxa" w:w="645"/>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0.45x</w:t>
            </w:r>
          </w:p>
        </w:tc>
        <w:tc>
          <w:tcPr>
            <w:tcW w:type="dxa" w:w="707"/>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3.68x</w:t>
            </w:r>
          </w:p>
        </w:tc>
        <w:tc>
          <w:tcPr>
            <w:tcW w:type="dxa" w:w="793"/>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16.2x</w:t>
            </w:r>
          </w:p>
        </w:tc>
        <w:tc>
          <w:tcPr>
            <w:tcW w:type="dxa" w:w="961"/>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3.0%</w:t>
            </w:r>
          </w:p>
        </w:tc>
      </w:tr>
      <w:tr>
        <w:trPr>
          <w:cantSplit/>
        </w:trPr>
        <w:tc>
          <w:tcPr>
            <w:tcW w:type="dxa" w:w="3738"/>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4"/>
                <w:szCs w:val="14"/>
              </w:rPr>
              <w:t xml:space="preserve">FY2022 year-end</w:t>
            </w:r>
          </w:p>
        </w:tc>
        <w:tc>
          <w:tcPr>
            <w:tcW w:type="dxa" w:w="714"/>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1,599</w:t>
            </w:r>
          </w:p>
        </w:tc>
        <w:tc>
          <w:tcPr>
            <w:tcW w:type="dxa" w:w="1543"/>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7.8x</w:t>
            </w:r>
          </w:p>
        </w:tc>
        <w:tc>
          <w:tcPr>
            <w:tcW w:type="dxa" w:w="645"/>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0.75x</w:t>
            </w:r>
          </w:p>
        </w:tc>
        <w:tc>
          <w:tcPr>
            <w:tcW w:type="dxa" w:w="645"/>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0.41x</w:t>
            </w:r>
          </w:p>
        </w:tc>
        <w:tc>
          <w:tcPr>
            <w:tcW w:type="dxa" w:w="707"/>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3.58x</w:t>
            </w:r>
          </w:p>
        </w:tc>
        <w:tc>
          <w:tcPr>
            <w:tcW w:type="dxa" w:w="793"/>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15.1x</w:t>
            </w:r>
          </w:p>
        </w:tc>
        <w:tc>
          <w:tcPr>
            <w:tcW w:type="dxa" w:w="961"/>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4.1%</w:t>
            </w:r>
          </w:p>
        </w:tc>
      </w:tr>
      <w:tr>
        <w:trPr>
          <w:cantSplit/>
        </w:trPr>
        <w:tc>
          <w:tcPr>
            <w:tcW w:type="dxa" w:w="3738"/>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4"/>
                <w:szCs w:val="14"/>
              </w:rPr>
              <w:t xml:space="preserve">FY2023 year-end</w:t>
            </w:r>
          </w:p>
        </w:tc>
        <w:tc>
          <w:tcPr>
            <w:tcW w:type="dxa" w:w="714"/>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2,112</w:t>
            </w:r>
          </w:p>
        </w:tc>
        <w:tc>
          <w:tcPr>
            <w:tcW w:type="dxa" w:w="1543"/>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9.8x</w:t>
            </w:r>
          </w:p>
        </w:tc>
        <w:tc>
          <w:tcPr>
            <w:tcW w:type="dxa" w:w="645"/>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0.89x</w:t>
            </w:r>
          </w:p>
        </w:tc>
        <w:tc>
          <w:tcPr>
            <w:tcW w:type="dxa" w:w="645"/>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0.51x</w:t>
            </w:r>
          </w:p>
        </w:tc>
        <w:tc>
          <w:tcPr>
            <w:tcW w:type="dxa" w:w="707"/>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3.76x</w:t>
            </w:r>
          </w:p>
        </w:tc>
        <w:tc>
          <w:tcPr>
            <w:tcW w:type="dxa" w:w="793"/>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15.6x</w:t>
            </w:r>
          </w:p>
        </w:tc>
        <w:tc>
          <w:tcPr>
            <w:tcW w:type="dxa" w:w="961"/>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3.5%</w:t>
            </w:r>
          </w:p>
        </w:tc>
      </w:tr>
      <w:tr>
        <w:trPr>
          <w:cantSplit/>
        </w:trPr>
        <w:tc>
          <w:tcPr>
            <w:tcW w:type="dxa" w:w="3738"/>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4"/>
                <w:szCs w:val="14"/>
              </w:rPr>
              <w:t xml:space="preserve">FY2024 year-end</w:t>
            </w:r>
          </w:p>
        </w:tc>
        <w:tc>
          <w:tcPr>
            <w:tcW w:type="dxa" w:w="714"/>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2,607</w:t>
            </w:r>
          </w:p>
        </w:tc>
        <w:tc>
          <w:tcPr>
            <w:tcW w:type="dxa" w:w="1543"/>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8.3x</w:t>
            </w:r>
          </w:p>
        </w:tc>
        <w:tc>
          <w:tcPr>
            <w:tcW w:type="dxa" w:w="645"/>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1.02x</w:t>
            </w:r>
          </w:p>
        </w:tc>
        <w:tc>
          <w:tcPr>
            <w:tcW w:type="dxa" w:w="645"/>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n/a</w:t>
            </w:r>
          </w:p>
        </w:tc>
        <w:tc>
          <w:tcPr>
            <w:tcW w:type="dxa" w:w="707"/>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3.53x</w:t>
            </w:r>
          </w:p>
        </w:tc>
        <w:tc>
          <w:tcPr>
            <w:tcW w:type="dxa" w:w="793"/>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16.0x</w:t>
            </w:r>
          </w:p>
        </w:tc>
        <w:tc>
          <w:tcPr>
            <w:tcW w:type="dxa" w:w="961"/>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3.6%</w:t>
            </w:r>
          </w:p>
        </w:tc>
      </w:tr>
      <w:tr>
        <w:trPr>
          <w:cantSplit/>
        </w:trPr>
        <w:tc>
          <w:tcPr>
            <w:tcW w:type="dxa" w:w="3738"/>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4"/>
                <w:szCs w:val="14"/>
              </w:rPr>
              <w:t xml:space="preserve">FY2025 year-end</w:t>
            </w:r>
          </w:p>
        </w:tc>
        <w:tc>
          <w:tcPr>
            <w:tcW w:type="dxa" w:w="714"/>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3,546</w:t>
            </w:r>
          </w:p>
        </w:tc>
        <w:tc>
          <w:tcPr>
            <w:tcW w:type="dxa" w:w="1543"/>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12.5x</w:t>
            </w:r>
          </w:p>
        </w:tc>
        <w:tc>
          <w:tcPr>
            <w:tcW w:type="dxa" w:w="645"/>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1.25x</w:t>
            </w:r>
          </w:p>
        </w:tc>
        <w:tc>
          <w:tcPr>
            <w:tcW w:type="dxa" w:w="645"/>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0.73x</w:t>
            </w:r>
          </w:p>
        </w:tc>
        <w:tc>
          <w:tcPr>
            <w:tcW w:type="dxa" w:w="707"/>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4.09x</w:t>
            </w:r>
          </w:p>
        </w:tc>
        <w:tc>
          <w:tcPr>
            <w:tcW w:type="dxa" w:w="793"/>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16.2x</w:t>
            </w:r>
          </w:p>
        </w:tc>
        <w:tc>
          <w:tcPr>
            <w:tcW w:type="dxa" w:w="961"/>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3.0%</w:t>
            </w:r>
          </w:p>
        </w:tc>
      </w:tr>
      <w:tr>
        <w:trPr>
          <w:cantSplit/>
        </w:trPr>
        <w:tc>
          <w:tcPr>
            <w:tcW w:type="dxa" w:w="3738"/>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4"/>
                <w:szCs w:val="14"/>
              </w:rPr>
              <w:t xml:space="preserve">27 Feb 2026 (all-time high)</w:t>
            </w:r>
          </w:p>
        </w:tc>
        <w:tc>
          <w:tcPr>
            <w:tcW w:type="dxa" w:w="714"/>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4,374</w:t>
            </w:r>
          </w:p>
        </w:tc>
        <w:tc>
          <w:tcPr>
            <w:tcW w:type="dxa" w:w="1543"/>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14.4x (FY2026 guidance)</w:t>
            </w:r>
          </w:p>
        </w:tc>
        <w:tc>
          <w:tcPr>
            <w:tcW w:type="dxa" w:w="645"/>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1.54x</w:t>
            </w:r>
          </w:p>
        </w:tc>
        <w:tc>
          <w:tcPr>
            <w:tcW w:type="dxa" w:w="645"/>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0.90x</w:t>
            </w:r>
          </w:p>
        </w:tc>
        <w:tc>
          <w:tcPr>
            <w:tcW w:type="dxa" w:w="707"/>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n/a</w:t>
            </w:r>
          </w:p>
        </w:tc>
        <w:tc>
          <w:tcPr>
            <w:tcW w:type="dxa" w:w="793"/>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n/a</w:t>
            </w:r>
          </w:p>
        </w:tc>
        <w:tc>
          <w:tcPr>
            <w:tcW w:type="dxa" w:w="961"/>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2.8%</w:t>
            </w:r>
          </w:p>
        </w:tc>
      </w:tr>
      <w:tr>
        <w:trPr>
          <w:cantSplit/>
        </w:trPr>
        <w:tc>
          <w:tcPr>
            <w:tcW w:type="dxa" w:w="3738"/>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bCs/>
                <w:color w:val="1F2533"/>
                <w:sz w:val="14"/>
                <w:szCs w:val="14"/>
              </w:rPr>
              <w:t xml:space="preserve">2 Oct 2026</w:t>
            </w:r>
          </w:p>
        </w:tc>
        <w:tc>
          <w:tcPr>
            <w:tcW w:type="dxa" w:w="714"/>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b/>
                <w:bCs/>
                <w:color w:val="1F2533"/>
                <w:sz w:val="14"/>
                <w:szCs w:val="14"/>
              </w:rPr>
              <w:t xml:space="preserve">3,211</w:t>
            </w:r>
          </w:p>
        </w:tc>
        <w:tc>
          <w:tcPr>
            <w:tcW w:type="dxa" w:w="1543"/>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b/>
                <w:bCs/>
                <w:color w:val="1F2533"/>
                <w:sz w:val="14"/>
                <w:szCs w:val="14"/>
              </w:rPr>
              <w:t xml:space="preserve">10.3x forward / 11.3x trailing</w:t>
            </w:r>
          </w:p>
        </w:tc>
        <w:tc>
          <w:tcPr>
            <w:tcW w:type="dxa" w:w="645"/>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b/>
                <w:bCs/>
                <w:color w:val="1F2533"/>
                <w:sz w:val="14"/>
                <w:szCs w:val="14"/>
              </w:rPr>
              <w:t xml:space="preserve">1.10x</w:t>
            </w:r>
          </w:p>
        </w:tc>
        <w:tc>
          <w:tcPr>
            <w:tcW w:type="dxa" w:w="645"/>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b/>
                <w:bCs/>
                <w:color w:val="1F2533"/>
                <w:sz w:val="14"/>
                <w:szCs w:val="14"/>
              </w:rPr>
              <w:t xml:space="preserve">0.65x</w:t>
            </w:r>
          </w:p>
        </w:tc>
        <w:tc>
          <w:tcPr>
            <w:tcW w:type="dxa" w:w="707"/>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b/>
                <w:bCs/>
                <w:color w:val="1F2533"/>
                <w:sz w:val="14"/>
                <w:szCs w:val="14"/>
              </w:rPr>
              <w:t xml:space="preserve">4.47x</w:t>
            </w:r>
          </w:p>
        </w:tc>
        <w:tc>
          <w:tcPr>
            <w:tcW w:type="dxa" w:w="793"/>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b/>
                <w:bCs/>
                <w:color w:val="1F2533"/>
                <w:sz w:val="14"/>
                <w:szCs w:val="14"/>
              </w:rPr>
              <w:t xml:space="preserve">17.7x</w:t>
            </w:r>
          </w:p>
        </w:tc>
        <w:tc>
          <w:tcPr>
            <w:tcW w:type="dxa" w:w="961"/>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b/>
                <w:bCs/>
                <w:color w:val="1F2533"/>
                <w:sz w:val="14"/>
                <w:szCs w:val="14"/>
              </w:rPr>
              <w:t xml:space="preserve">3.9%</w:t>
            </w:r>
          </w:p>
        </w:tc>
      </w:tr>
    </w:tbl>
    <w:p>
      <w:pPr>
        <w:spacing w:after="120" w:before="0" w:line="276" w:lineRule="auto"/>
      </w:pPr>
    </w:p>
    <w:p>
      <w:pPr>
        <w:spacing w:after="110" w:before="0" w:line="276" w:lineRule="auto"/>
      </w:pPr>
      <w:r>
        <w:rPr>
          <w:rFonts w:ascii="Arial" w:cs="Arial" w:eastAsia="Yu Gothic" w:hAnsi="Arial"/>
          <w:color w:val="1F2533"/>
          <w:sz w:val="19"/>
          <w:szCs w:val="19"/>
        </w:rPr>
        <w:t xml:space="preserve">How the history table was built:</w:t>
      </w:r>
    </w:p>
    <w:p>
      <w:pPr>
        <w:pStyle w:val="ListParagraph"/>
        <w:numPr>
          <w:ilvl w:val="0"/>
          <w:numId w:val="2"/>
        </w:numPr>
        <w:spacing w:after="60" w:line="264" w:lineRule="auto"/>
      </w:pPr>
      <w:r>
        <w:rPr>
          <w:rFonts w:ascii="Arial" w:cs="Arial" w:eastAsia="Yu Gothic" w:hAnsi="Arial"/>
          <w:color w:val="1F2533"/>
          <w:sz w:val="19"/>
          <w:szCs w:val="19"/>
        </w:rPr>
        <w:t xml:space="preserve">P/E is on actual EPS.</w:t>
      </w:r>
    </w:p>
    <w:p>
      <w:pPr>
        <w:pStyle w:val="ListParagraph"/>
        <w:numPr>
          <w:ilvl w:val="0"/>
          <w:numId w:val="2"/>
        </w:numPr>
        <w:spacing w:after="60" w:line="264" w:lineRule="auto"/>
      </w:pPr>
      <w:r>
        <w:rPr>
          <w:rFonts w:ascii="Arial" w:cs="Arial" w:eastAsia="Yu Gothic" w:hAnsi="Arial"/>
          <w:color w:val="1F2533"/>
          <w:sz w:val="19"/>
          <w:szCs w:val="19"/>
        </w:rPr>
        <w:t xml:space="preserve">P/B and P/NAV are derived from equity estimates that reproduce the reported BPS for FY2024 and FY2025, plus the reported unrealised gains, taxed at 30.6%.</w:t>
      </w:r>
    </w:p>
    <w:p>
      <w:pPr>
        <w:pStyle w:val="ListParagraph"/>
        <w:numPr>
          <w:ilvl w:val="0"/>
          <w:numId w:val="2"/>
        </w:numPr>
        <w:spacing w:after="60" w:line="264" w:lineRule="auto"/>
      </w:pPr>
      <w:r>
        <w:rPr>
          <w:rFonts w:ascii="Arial" w:cs="Arial" w:eastAsia="Yu Gothic" w:hAnsi="Arial"/>
          <w:color w:val="1F2533"/>
          <w:sz w:val="19"/>
          <w:szCs w:val="19"/>
        </w:rPr>
        <w:t xml:space="preserve">EV uses year-end net debt plus about ¥12bn of non-controlling interests.</w:t>
      </w:r>
    </w:p>
    <w:p>
      <w:pPr>
        <w:pStyle w:val="ListParagraph"/>
        <w:numPr>
          <w:ilvl w:val="0"/>
          <w:numId w:val="2"/>
        </w:numPr>
        <w:spacing w:after="60" w:line="264" w:lineRule="auto"/>
      </w:pPr>
      <w:r>
        <w:rPr>
          <w:rFonts w:ascii="Arial" w:cs="Arial" w:eastAsia="Yu Gothic" w:hAnsi="Arial"/>
          <w:color w:val="1F2533"/>
          <w:sz w:val="19"/>
          <w:szCs w:val="19"/>
        </w:rPr>
        <w:t xml:space="preserve">The FY2024 unrealised gain was not retrievable, so FY2024 P/NAV is blank.</w:t>
      </w:r>
    </w:p>
    <w:p>
      <w:pPr>
        <w:spacing w:after="40" w:before="0" w:line="276" w:lineRule="auto"/>
      </w:pPr>
    </w:p>
    <w:p>
      <w:pPr>
        <w:spacing w:after="110" w:before="0" w:line="276" w:lineRule="auto"/>
      </w:pPr>
      <w:r>
        <w:rPr>
          <w:rFonts w:ascii="Arial" w:cs="Arial" w:eastAsia="Yu Gothic" w:hAnsi="Arial"/>
          <w:b/>
          <w:bCs/>
          <w:color w:val="1F2533"/>
          <w:sz w:val="19"/>
          <w:szCs w:val="19"/>
        </w:rPr>
        <w:t xml:space="preserve">Relative history: the P/E discount has narrowed.</w:t>
      </w:r>
      <w:r>
        <w:rPr>
          <w:rFonts w:ascii="Arial" w:cs="Arial" w:eastAsia="Yu Gothic" w:hAnsi="Arial"/>
          <w:color w:val="1F2533"/>
          <w:sz w:val="19"/>
          <w:szCs w:val="19"/>
        </w:rPr>
        <w:t xml:space="preserve"> Using Shikiho's three-year P/E bands, Tokyo Tatemono traded at </w:t>
      </w:r>
      <w:r>
        <w:rPr>
          <w:rFonts w:ascii="Arial" w:cs="Arial" w:eastAsia="Yu Gothic" w:hAnsi="Arial"/>
          <w:b/>
          <w:bCs/>
          <w:color w:val="1F2533"/>
          <w:sz w:val="19"/>
          <w:szCs w:val="19"/>
        </w:rPr>
        <w:t xml:space="preserve">7.0–9.9x against a peer median of 10.2–15.8x, a 31–37% discount</w:t>
      </w:r>
      <w:r>
        <w:rPr>
          <w:rFonts w:ascii="Arial" w:cs="Arial" w:eastAsia="Yu Gothic" w:hAnsi="Arial"/>
          <w:color w:val="1F2533"/>
          <w:sz w:val="19"/>
          <w:szCs w:val="19"/>
        </w:rPr>
        <w:t xml:space="preserve"> (</w:t>
      </w:r>
      <w:hyperlink w:history="1" r:id="rIdaurrdvmx3_vizp0wsdbgn">
        <w:r>
          <w:rPr>
            <w:rFonts w:ascii="Arial" w:cs="Arial" w:eastAsia="Yu Gothic" w:hAnsi="Arial"/>
            <w:color w:val="2F6FD0"/>
            <w:sz w:val="19"/>
            <w:szCs w:val="19"/>
            <w:u w:val="single"/>
          </w:rPr>
          <w:t xml:space="preserve">Shikiho</w:t>
        </w:r>
      </w:hyperlink>
      <w:r>
        <w:rPr>
          <w:rFonts w:ascii="Arial" w:cs="Arial" w:eastAsia="Yu Gothic" w:hAnsi="Arial"/>
          <w:color w:val="1F2533"/>
          <w:sz w:val="19"/>
          <w:szCs w:val="19"/>
        </w:rPr>
        <w:t xml:space="preserve">). The discount narrowed to −29% in March 2026 and is now −23%. The P/B discount moved from −7% in March 2026 to −12% now.</w:t>
      </w:r>
    </w:p>
    <w:p>
      <w:pPr>
        <w:spacing w:after="110" w:before="0" w:line="276" w:lineRule="auto"/>
      </w:pPr>
      <w:r>
        <w:rPr>
          <w:rFonts w:ascii="Arial" w:cs="Arial" w:eastAsia="Yu Gothic" w:hAnsi="Arial"/>
          <w:b/>
          <w:bCs/>
          <w:color w:val="1F2533"/>
          <w:sz w:val="19"/>
          <w:szCs w:val="19"/>
        </w:rPr>
        <w:t xml:space="preserve">Why the discount narrowed.</w:t>
      </w:r>
      <w:r>
        <w:rPr>
          <w:rFonts w:ascii="Arial" w:cs="Arial" w:eastAsia="Yu Gothic" w:hAnsi="Arial"/>
          <w:color w:val="1F2533"/>
          <w:sz w:val="19"/>
          <w:szCs w:val="19"/>
        </w:rPr>
        <w:t xml:space="preserve"> Three reasons:</w:t>
      </w:r>
    </w:p>
    <w:p>
      <w:pPr>
        <w:pStyle w:val="ListParagraph"/>
        <w:numPr>
          <w:ilvl w:val="0"/>
          <w:numId w:val="9"/>
        </w:numPr>
        <w:spacing w:after="60" w:line="264" w:lineRule="auto"/>
      </w:pPr>
      <w:r>
        <w:rPr>
          <w:rFonts w:ascii="Arial" w:cs="Arial" w:eastAsia="Yu Gothic" w:hAnsi="Arial"/>
          <w:color w:val="1F2533"/>
          <w:sz w:val="19"/>
          <w:szCs w:val="19"/>
        </w:rPr>
        <w:t xml:space="preserve">faster growth (three-year revenue CAGR of 10.7%, against 6.7% for peers);</w:t>
      </w:r>
    </w:p>
    <w:p>
      <w:pPr>
        <w:pStyle w:val="ListParagraph"/>
        <w:numPr>
          <w:ilvl w:val="0"/>
          <w:numId w:val="9"/>
        </w:numPr>
        <w:spacing w:after="60" w:line="264" w:lineRule="auto"/>
      </w:pPr>
      <w:r>
        <w:rPr>
          <w:rFonts w:ascii="Arial" w:cs="Arial" w:eastAsia="Yu Gothic" w:hAnsi="Arial"/>
          <w:color w:val="1F2533"/>
          <w:sz w:val="19"/>
          <w:szCs w:val="19"/>
        </w:rPr>
        <w:t xml:space="preserve">the 40% payout target;</w:t>
      </w:r>
    </w:p>
    <w:p>
      <w:pPr>
        <w:pStyle w:val="ListParagraph"/>
        <w:numPr>
          <w:ilvl w:val="0"/>
          <w:numId w:val="9"/>
        </w:numPr>
        <w:spacing w:after="60" w:line="264" w:lineRule="auto"/>
      </w:pPr>
      <w:r>
        <w:rPr>
          <w:rFonts w:ascii="Arial" w:cs="Arial" w:eastAsia="Yu Gothic" w:hAnsi="Arial"/>
          <w:color w:val="1F2533"/>
          <w:sz w:val="19"/>
          <w:szCs w:val="19"/>
        </w:rPr>
        <w:t xml:space="preserve">a smaller sell-off in 2026: −13% from 13 March to late September, against −17% to −33% for Mitsui, Mitsubishi Estate and Sumitomo.</w:t>
      </w:r>
    </w:p>
    <w:p>
      <w:pPr>
        <w:spacing w:after="40" w:before="0" w:line="276" w:lineRule="auto"/>
      </w:pPr>
    </w:p>
    <w:p>
      <w:pPr>
        <w:spacing w:after="110" w:before="0" w:line="276" w:lineRule="auto"/>
      </w:pPr>
      <w:r>
        <w:rPr>
          <w:rFonts w:ascii="Arial" w:cs="Arial" w:eastAsia="Yu Gothic" w:hAnsi="Arial"/>
          <w:b/>
          <w:bCs/>
          <w:color w:val="1F2533"/>
          <w:sz w:val="19"/>
          <w:szCs w:val="19"/>
        </w:rPr>
        <w:t xml:space="preserve">Own history offers no upside.</w:t>
      </w:r>
      <w:r>
        <w:rPr>
          <w:rFonts w:ascii="Arial" w:cs="Arial" w:eastAsia="Yu Gothic" w:hAnsi="Arial"/>
          <w:color w:val="1F2533"/>
          <w:sz w:val="19"/>
          <w:szCs w:val="19"/>
        </w:rPr>
        <w:t xml:space="preserve"> Applying Tokyo Tatemono's own three-year P/E band to FY2026 EPS gives only </w:t>
      </w:r>
      <w:r>
        <w:rPr>
          <w:rFonts w:ascii="Arial" w:cs="Arial" w:eastAsia="Yu Gothic" w:hAnsi="Arial"/>
          <w:b/>
          <w:bCs/>
          <w:color w:val="1F2533"/>
          <w:sz w:val="19"/>
          <w:szCs w:val="19"/>
        </w:rPr>
        <w:t xml:space="preserve">¥2,190–3,090</w:t>
      </w:r>
      <w:r>
        <w:rPr>
          <w:rFonts w:ascii="Arial" w:cs="Arial" w:eastAsia="Yu Gothic" w:hAnsi="Arial"/>
          <w:color w:val="1F2533"/>
          <w:sz w:val="19"/>
          <w:szCs w:val="19"/>
        </w:rPr>
        <w:t xml:space="preserve">. Any re-rating case must rest on the peer discount narrowing further, not on mean reversion.</w:t>
      </w:r>
    </w:p>
    <w:p>
      <w:pPr>
        <w:pStyle w:val="Heading2"/>
        <w:keepNext/>
        <w:keepLines/>
        <w:spacing w:after="90" w:before="260" w:line="252" w:lineRule="auto"/>
      </w:pPr>
      <w:r>
        <w:rPr>
          <w:rFonts w:ascii="Arial" w:cs="Arial" w:eastAsia="Yu Gothic" w:hAnsi="Arial"/>
          <w:b/>
          <w:bCs/>
          <w:color w:val="15233F"/>
          <w:sz w:val="25"/>
          <w:szCs w:val="25"/>
        </w:rPr>
        <w:t xml:space="preserve">Regression: EV/Sales vs EBIT margin</w:t>
      </w:r>
    </w:p>
    <w:p>
      <w:pPr>
        <w:spacing w:after="110" w:before="0" w:line="276" w:lineRule="auto"/>
      </w:pPr>
      <w:r>
        <w:rPr>
          <w:rFonts w:ascii="Arial" w:cs="Arial" w:eastAsia="Yu Gothic" w:hAnsi="Arial"/>
          <w:b/>
          <w:bCs/>
          <w:color w:val="1F2533"/>
          <w:sz w:val="19"/>
          <w:szCs w:val="19"/>
        </w:rPr>
        <w:t xml:space="preserve">Model.</w:t>
      </w:r>
      <w:r>
        <w:rPr>
          <w:rFonts w:ascii="Arial" w:cs="Arial" w:eastAsia="Yu Gothic" w:hAnsi="Arial"/>
          <w:color w:val="1F2533"/>
          <w:sz w:val="19"/>
          <w:szCs w:val="19"/>
        </w:rPr>
        <w:t xml:space="preserve"> Ordinary least squares across the eight listed developers and landlords, with Tokyo Tatemono excluded from the fit. Last fiscal-year data; prices from 7 August to 30 September 2026.</w:t>
      </w:r>
    </w:p>
    <w:p>
      <w:pPr>
        <w:pBdr>
          <w:left w:val="single" w:color="2F6FD0" w:sz="24" w:space="8"/>
        </w:pBdr>
        <w:shd w:fill="EEF3FA" w:color="auto" w:val="clear"/>
        <w:spacing w:after="40" w:before="60" w:line="264" w:lineRule="auto"/>
        <w:ind w:left="200" w:right="200"/>
      </w:pPr>
      <w:r>
        <w:rPr>
          <w:rFonts w:ascii="Arial" w:cs="Arial" w:eastAsia="Yu Gothic" w:hAnsi="Arial"/>
          <w:b/>
          <w:bCs/>
          <w:color w:val="15233F"/>
          <w:sz w:val="18"/>
          <w:szCs w:val="18"/>
        </w:rPr>
        <w:t xml:space="preserve">EV/Sales = −1.974 + 0.3208 × EBIT margin (%)</w:t>
      </w:r>
    </w:p>
    <w:p>
      <w:pPr>
        <w:pBdr>
          <w:left w:val="single" w:color="2F6FD0" w:sz="24" w:space="8"/>
        </w:pBdr>
        <w:shd w:fill="EEF3FA" w:color="auto" w:val="clear"/>
        <w:spacing w:after="160" w:before="0" w:line="264" w:lineRule="auto"/>
        <w:ind w:left="200" w:right="200"/>
      </w:pPr>
      <w:r>
        <w:rPr>
          <w:rFonts w:ascii="Arial" w:cs="Arial" w:eastAsia="Yu Gothic" w:hAnsi="Arial"/>
          <w:color w:val="15233F"/>
          <w:sz w:val="18"/>
          <w:szCs w:val="18"/>
        </w:rPr>
        <w:t xml:space="preserve">R² = 0.856; adjusted R² = 0.832; n = 8; slope t-statistic = 5.97 (p = 0.001); residual standard error 0.99x.</w:t>
      </w:r>
    </w:p>
    <w:p>
      <w:pPr>
        <w:spacing w:after="110" w:before="0" w:line="276" w:lineRule="auto"/>
      </w:pPr>
      <w:r>
        <w:rPr>
          <w:rFonts w:ascii="Arial" w:cs="Arial" w:eastAsia="Yu Gothic" w:hAnsi="Arial"/>
          <w:color w:val="1F2533"/>
          <w:sz w:val="19"/>
          <w:szCs w:val="19"/>
        </w:rPr>
        <w:t xml:space="preserve">Regression data:</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6"/>
        <w:gridCol w:w="740"/>
        <w:gridCol w:w="756"/>
        <w:gridCol w:w="1463"/>
        <w:gridCol w:w="846"/>
        <w:gridCol w:w="1213"/>
        <w:gridCol w:w="760"/>
        <w:gridCol w:w="1362"/>
      </w:tblGrid>
      <w:tr>
        <w:trPr>
          <w:cantSplit/>
          <w:tblHeader/>
        </w:trPr>
        <w:tc>
          <w:tcPr>
            <w:tcW w:type="dxa" w:w="2606"/>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bCs/>
                <w:color w:val="FFFFFF"/>
                <w:sz w:val="14"/>
                <w:szCs w:val="14"/>
              </w:rPr>
              <w:t xml:space="preserve">Company</w:t>
            </w:r>
          </w:p>
        </w:tc>
        <w:tc>
          <w:tcPr>
            <w:tcW w:type="dxa" w:w="740"/>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4"/>
                <w:szCs w:val="14"/>
              </w:rPr>
              <w:t xml:space="preserve">Ticker</w:t>
            </w:r>
          </w:p>
        </w:tc>
        <w:tc>
          <w:tcPr>
            <w:tcW w:type="dxa" w:w="756"/>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4"/>
                <w:szCs w:val="14"/>
              </w:rPr>
              <w:t xml:space="preserve">EBIT margin</w:t>
            </w:r>
          </w:p>
        </w:tc>
        <w:tc>
          <w:tcPr>
            <w:tcW w:type="dxa" w:w="1463"/>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4"/>
                <w:szCs w:val="14"/>
              </w:rPr>
              <w:t xml:space="preserve">EV ¥bn</w:t>
            </w:r>
          </w:p>
        </w:tc>
        <w:tc>
          <w:tcPr>
            <w:tcW w:type="dxa" w:w="846"/>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4"/>
                <w:szCs w:val="14"/>
              </w:rPr>
              <w:t xml:space="preserve">Revenue ¥bn</w:t>
            </w:r>
          </w:p>
        </w:tc>
        <w:tc>
          <w:tcPr>
            <w:tcW w:type="dxa" w:w="1213"/>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4"/>
                <w:szCs w:val="14"/>
              </w:rPr>
              <w:t xml:space="preserve">Actual EV/Sales</w:t>
            </w:r>
          </w:p>
        </w:tc>
        <w:tc>
          <w:tcPr>
            <w:tcW w:type="dxa" w:w="760"/>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4"/>
                <w:szCs w:val="14"/>
              </w:rPr>
              <w:t xml:space="preserve">Fitted EV/Sales</w:t>
            </w:r>
          </w:p>
        </w:tc>
        <w:tc>
          <w:tcPr>
            <w:tcW w:type="dxa" w:w="1362"/>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4"/>
                <w:szCs w:val="14"/>
              </w:rPr>
              <w:t xml:space="preserve">Residual</w:t>
            </w:r>
          </w:p>
        </w:tc>
      </w:tr>
      <w:tr>
        <w:trPr>
          <w:cantSplit/>
        </w:trPr>
        <w:tc>
          <w:tcPr>
            <w:tcW w:type="dxa" w:w="260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4"/>
                <w:szCs w:val="14"/>
              </w:rPr>
              <w:t xml:space="preserve">Mitsui Fudosan</w:t>
            </w:r>
          </w:p>
        </w:tc>
        <w:tc>
          <w:tcPr>
            <w:tcW w:type="dxa" w:w="740"/>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8801</w:t>
            </w:r>
          </w:p>
        </w:tc>
        <w:tc>
          <w:tcPr>
            <w:tcW w:type="dxa" w:w="75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14.7%</w:t>
            </w:r>
          </w:p>
        </w:tc>
        <w:tc>
          <w:tcPr>
            <w:tcW w:type="dxa" w:w="1463"/>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8,529.3</w:t>
            </w:r>
          </w:p>
        </w:tc>
        <w:tc>
          <w:tcPr>
            <w:tcW w:type="dxa" w:w="84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2,709.7</w:t>
            </w:r>
          </w:p>
        </w:tc>
        <w:tc>
          <w:tcPr>
            <w:tcW w:type="dxa" w:w="1213"/>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3.15x</w:t>
            </w:r>
          </w:p>
        </w:tc>
        <w:tc>
          <w:tcPr>
            <w:tcW w:type="dxa" w:w="760"/>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2.74x</w:t>
            </w:r>
          </w:p>
        </w:tc>
        <w:tc>
          <w:tcPr>
            <w:tcW w:type="dxa" w:w="1362"/>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+0.41x</w:t>
            </w:r>
          </w:p>
        </w:tc>
      </w:tr>
      <w:tr>
        <w:trPr>
          <w:cantSplit/>
        </w:trPr>
        <w:tc>
          <w:tcPr>
            <w:tcW w:type="dxa" w:w="2606"/>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4"/>
                <w:szCs w:val="14"/>
              </w:rPr>
              <w:t xml:space="preserve">Mitsubishi Estate</w:t>
            </w:r>
          </w:p>
        </w:tc>
        <w:tc>
          <w:tcPr>
            <w:tcW w:type="dxa" w:w="740"/>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8802</w:t>
            </w:r>
          </w:p>
        </w:tc>
        <w:tc>
          <w:tcPr>
            <w:tcW w:type="dxa" w:w="756"/>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18.9%</w:t>
            </w:r>
          </w:p>
        </w:tc>
        <w:tc>
          <w:tcPr>
            <w:tcW w:type="dxa" w:w="1463"/>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7,608.8</w:t>
            </w:r>
          </w:p>
        </w:tc>
        <w:tc>
          <w:tcPr>
            <w:tcW w:type="dxa" w:w="846"/>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1,746.1</w:t>
            </w:r>
          </w:p>
        </w:tc>
        <w:tc>
          <w:tcPr>
            <w:tcW w:type="dxa" w:w="1213"/>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4.36x</w:t>
            </w:r>
          </w:p>
        </w:tc>
        <w:tc>
          <w:tcPr>
            <w:tcW w:type="dxa" w:w="760"/>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4.08x</w:t>
            </w:r>
          </w:p>
        </w:tc>
        <w:tc>
          <w:tcPr>
            <w:tcW w:type="dxa" w:w="1362"/>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+0.27x</w:t>
            </w:r>
          </w:p>
        </w:tc>
      </w:tr>
      <w:tr>
        <w:trPr>
          <w:cantSplit/>
        </w:trPr>
        <w:tc>
          <w:tcPr>
            <w:tcW w:type="dxa" w:w="260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4"/>
                <w:szCs w:val="14"/>
              </w:rPr>
              <w:t xml:space="preserve">Sumitomo Realty</w:t>
            </w:r>
          </w:p>
        </w:tc>
        <w:tc>
          <w:tcPr>
            <w:tcW w:type="dxa" w:w="740"/>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8830</w:t>
            </w:r>
          </w:p>
        </w:tc>
        <w:tc>
          <w:tcPr>
            <w:tcW w:type="dxa" w:w="75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28.3%</w:t>
            </w:r>
          </w:p>
        </w:tc>
        <w:tc>
          <w:tcPr>
            <w:tcW w:type="dxa" w:w="1463"/>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6,760.9</w:t>
            </w:r>
          </w:p>
        </w:tc>
        <w:tc>
          <w:tcPr>
            <w:tcW w:type="dxa" w:w="84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1,057.8</w:t>
            </w:r>
          </w:p>
        </w:tc>
        <w:tc>
          <w:tcPr>
            <w:tcW w:type="dxa" w:w="1213"/>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6.39x</w:t>
            </w:r>
          </w:p>
        </w:tc>
        <w:tc>
          <w:tcPr>
            <w:tcW w:type="dxa" w:w="760"/>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7.10x</w:t>
            </w:r>
          </w:p>
        </w:tc>
        <w:tc>
          <w:tcPr>
            <w:tcW w:type="dxa" w:w="1362"/>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−0.71x</w:t>
            </w:r>
          </w:p>
        </w:tc>
      </w:tr>
      <w:tr>
        <w:trPr>
          <w:cantSplit/>
        </w:trPr>
        <w:tc>
          <w:tcPr>
            <w:tcW w:type="dxa" w:w="2606"/>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4"/>
                <w:szCs w:val="14"/>
              </w:rPr>
              <w:t xml:space="preserve">Tokyu Fudosan HD</w:t>
            </w:r>
          </w:p>
        </w:tc>
        <w:tc>
          <w:tcPr>
            <w:tcW w:type="dxa" w:w="740"/>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3289</w:t>
            </w:r>
          </w:p>
        </w:tc>
        <w:tc>
          <w:tcPr>
            <w:tcW w:type="dxa" w:w="756"/>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13.4%</w:t>
            </w:r>
          </w:p>
        </w:tc>
        <w:tc>
          <w:tcPr>
            <w:tcW w:type="dxa" w:w="1463"/>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2,614.3</w:t>
            </w:r>
          </w:p>
        </w:tc>
        <w:tc>
          <w:tcPr>
            <w:tcW w:type="dxa" w:w="846"/>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1,246.0</w:t>
            </w:r>
          </w:p>
        </w:tc>
        <w:tc>
          <w:tcPr>
            <w:tcW w:type="dxa" w:w="1213"/>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2.10x</w:t>
            </w:r>
          </w:p>
        </w:tc>
        <w:tc>
          <w:tcPr>
            <w:tcW w:type="dxa" w:w="760"/>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2.32x</w:t>
            </w:r>
          </w:p>
        </w:tc>
        <w:tc>
          <w:tcPr>
            <w:tcW w:type="dxa" w:w="1362"/>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−0.22x</w:t>
            </w:r>
          </w:p>
        </w:tc>
      </w:tr>
      <w:tr>
        <w:trPr>
          <w:cantSplit/>
        </w:trPr>
        <w:tc>
          <w:tcPr>
            <w:tcW w:type="dxa" w:w="260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4"/>
                <w:szCs w:val="14"/>
              </w:rPr>
              <w:t xml:space="preserve">Nomura RE HD</w:t>
            </w:r>
          </w:p>
        </w:tc>
        <w:tc>
          <w:tcPr>
            <w:tcW w:type="dxa" w:w="740"/>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3231</w:t>
            </w:r>
          </w:p>
        </w:tc>
        <w:tc>
          <w:tcPr>
            <w:tcW w:type="dxa" w:w="75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14.7%</w:t>
            </w:r>
          </w:p>
        </w:tc>
        <w:tc>
          <w:tcPr>
            <w:tcW w:type="dxa" w:w="1463"/>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2,510.7</w:t>
            </w:r>
          </w:p>
        </w:tc>
        <w:tc>
          <w:tcPr>
            <w:tcW w:type="dxa" w:w="84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942.5</w:t>
            </w:r>
          </w:p>
        </w:tc>
        <w:tc>
          <w:tcPr>
            <w:tcW w:type="dxa" w:w="1213"/>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2.66x</w:t>
            </w:r>
          </w:p>
        </w:tc>
        <w:tc>
          <w:tcPr>
            <w:tcW w:type="dxa" w:w="760"/>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2.73x</w:t>
            </w:r>
          </w:p>
        </w:tc>
        <w:tc>
          <w:tcPr>
            <w:tcW w:type="dxa" w:w="1362"/>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−0.07x</w:t>
            </w:r>
          </w:p>
        </w:tc>
      </w:tr>
      <w:tr>
        <w:trPr>
          <w:cantSplit/>
        </w:trPr>
        <w:tc>
          <w:tcPr>
            <w:tcW w:type="dxa" w:w="2606"/>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4"/>
                <w:szCs w:val="14"/>
              </w:rPr>
              <w:t xml:space="preserve">Hulic</w:t>
            </w:r>
          </w:p>
        </w:tc>
        <w:tc>
          <w:tcPr>
            <w:tcW w:type="dxa" w:w="740"/>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3003</w:t>
            </w:r>
          </w:p>
        </w:tc>
        <w:tc>
          <w:tcPr>
            <w:tcW w:type="dxa" w:w="756"/>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25.7%</w:t>
            </w:r>
          </w:p>
        </w:tc>
        <w:tc>
          <w:tcPr>
            <w:tcW w:type="dxa" w:w="1463"/>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3,408.1</w:t>
            </w:r>
          </w:p>
        </w:tc>
        <w:tc>
          <w:tcPr>
            <w:tcW w:type="dxa" w:w="846"/>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727.4</w:t>
            </w:r>
          </w:p>
        </w:tc>
        <w:tc>
          <w:tcPr>
            <w:tcW w:type="dxa" w:w="1213"/>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4.68x</w:t>
            </w:r>
          </w:p>
        </w:tc>
        <w:tc>
          <w:tcPr>
            <w:tcW w:type="dxa" w:w="760"/>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6.26x</w:t>
            </w:r>
          </w:p>
        </w:tc>
        <w:tc>
          <w:tcPr>
            <w:tcW w:type="dxa" w:w="1362"/>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−1.58x</w:t>
            </w:r>
          </w:p>
        </w:tc>
      </w:tr>
      <w:tr>
        <w:trPr>
          <w:cantSplit/>
        </w:trPr>
        <w:tc>
          <w:tcPr>
            <w:tcW w:type="dxa" w:w="260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4"/>
                <w:szCs w:val="14"/>
              </w:rPr>
              <w:t xml:space="preserve">Heiwa Real Estate</w:t>
            </w:r>
          </w:p>
        </w:tc>
        <w:tc>
          <w:tcPr>
            <w:tcW w:type="dxa" w:w="740"/>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8803</w:t>
            </w:r>
          </w:p>
        </w:tc>
        <w:tc>
          <w:tcPr>
            <w:tcW w:type="dxa" w:w="75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29.7%</w:t>
            </w:r>
          </w:p>
        </w:tc>
        <w:tc>
          <w:tcPr>
            <w:tcW w:type="dxa" w:w="1463"/>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400.9</w:t>
            </w:r>
          </w:p>
        </w:tc>
        <w:tc>
          <w:tcPr>
            <w:tcW w:type="dxa" w:w="84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50.9</w:t>
            </w:r>
          </w:p>
        </w:tc>
        <w:tc>
          <w:tcPr>
            <w:tcW w:type="dxa" w:w="1213"/>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7.88x</w:t>
            </w:r>
          </w:p>
        </w:tc>
        <w:tc>
          <w:tcPr>
            <w:tcW w:type="dxa" w:w="760"/>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7.56x</w:t>
            </w:r>
          </w:p>
        </w:tc>
        <w:tc>
          <w:tcPr>
            <w:tcW w:type="dxa" w:w="1362"/>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+0.33x</w:t>
            </w:r>
          </w:p>
        </w:tc>
      </w:tr>
      <w:tr>
        <w:trPr>
          <w:cantSplit/>
        </w:trPr>
        <w:tc>
          <w:tcPr>
            <w:tcW w:type="dxa" w:w="2606"/>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4"/>
                <w:szCs w:val="14"/>
              </w:rPr>
              <w:t xml:space="preserve">Keihanshin Building</w:t>
            </w:r>
          </w:p>
        </w:tc>
        <w:tc>
          <w:tcPr>
            <w:tcW w:type="dxa" w:w="740"/>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8818</w:t>
            </w:r>
          </w:p>
        </w:tc>
        <w:tc>
          <w:tcPr>
            <w:tcW w:type="dxa" w:w="756"/>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27.9%</w:t>
            </w:r>
          </w:p>
        </w:tc>
        <w:tc>
          <w:tcPr>
            <w:tcW w:type="dxa" w:w="1463"/>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172.8</w:t>
            </w:r>
          </w:p>
        </w:tc>
        <w:tc>
          <w:tcPr>
            <w:tcW w:type="dxa" w:w="846"/>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20.3</w:t>
            </w:r>
          </w:p>
        </w:tc>
        <w:tc>
          <w:tcPr>
            <w:tcW w:type="dxa" w:w="1213"/>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8.53x</w:t>
            </w:r>
          </w:p>
        </w:tc>
        <w:tc>
          <w:tcPr>
            <w:tcW w:type="dxa" w:w="760"/>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6.97x</w:t>
            </w:r>
          </w:p>
        </w:tc>
        <w:tc>
          <w:tcPr>
            <w:tcW w:type="dxa" w:w="1362"/>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+1.56x</w:t>
            </w:r>
          </w:p>
        </w:tc>
      </w:tr>
      <w:tr>
        <w:trPr>
          <w:cantSplit/>
        </w:trPr>
        <w:tc>
          <w:tcPr>
            <w:tcW w:type="dxa" w:w="260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bCs/>
                <w:color w:val="1F2533"/>
                <w:sz w:val="14"/>
                <w:szCs w:val="14"/>
              </w:rPr>
              <w:t xml:space="preserve">Tokyo Tatemono (not in fit)</w:t>
            </w:r>
          </w:p>
        </w:tc>
        <w:tc>
          <w:tcPr>
            <w:tcW w:type="dxa" w:w="740"/>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b/>
                <w:bCs/>
                <w:color w:val="1F2533"/>
                <w:sz w:val="14"/>
                <w:szCs w:val="14"/>
              </w:rPr>
              <w:t xml:space="preserve">8804</w:t>
            </w:r>
          </w:p>
        </w:tc>
        <w:tc>
          <w:tcPr>
            <w:tcW w:type="dxa" w:w="75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b/>
                <w:bCs/>
                <w:color w:val="1F2533"/>
                <w:sz w:val="14"/>
                <w:szCs w:val="14"/>
              </w:rPr>
              <w:t xml:space="preserve">20.2%</w:t>
            </w:r>
          </w:p>
        </w:tc>
        <w:tc>
          <w:tcPr>
            <w:tcW w:type="dxa" w:w="1463"/>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b/>
                <w:bCs/>
                <w:color w:val="1F2533"/>
                <w:sz w:val="14"/>
                <w:szCs w:val="14"/>
              </w:rPr>
              <w:t xml:space="preserve">2,138.1 at ¥3,286 / 2,122.5 at ¥3,211</w:t>
            </w:r>
          </w:p>
        </w:tc>
        <w:tc>
          <w:tcPr>
            <w:tcW w:type="dxa" w:w="84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b/>
                <w:bCs/>
                <w:color w:val="1F2533"/>
                <w:sz w:val="14"/>
                <w:szCs w:val="14"/>
              </w:rPr>
              <w:t xml:space="preserve">474.6</w:t>
            </w:r>
          </w:p>
        </w:tc>
        <w:tc>
          <w:tcPr>
            <w:tcW w:type="dxa" w:w="1213"/>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b/>
                <w:bCs/>
                <w:color w:val="1F2533"/>
                <w:sz w:val="14"/>
                <w:szCs w:val="14"/>
              </w:rPr>
              <w:t xml:space="preserve">4.51x / 4.47x</w:t>
            </w:r>
          </w:p>
        </w:tc>
        <w:tc>
          <w:tcPr>
            <w:tcW w:type="dxa" w:w="760"/>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b/>
                <w:bCs/>
                <w:color w:val="1F2533"/>
                <w:sz w:val="14"/>
                <w:szCs w:val="14"/>
              </w:rPr>
              <w:t xml:space="preserve">4.50x</w:t>
            </w:r>
          </w:p>
        </w:tc>
        <w:tc>
          <w:tcPr>
            <w:tcW w:type="dxa" w:w="1362"/>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b/>
                <w:bCs/>
                <w:color w:val="1F2533"/>
                <w:sz w:val="14"/>
                <w:szCs w:val="14"/>
              </w:rPr>
              <w:t xml:space="preserve">+0.01x / −0.03x</w:t>
            </w:r>
          </w:p>
        </w:tc>
      </w:tr>
    </w:tbl>
    <w:p>
      <w:pPr>
        <w:spacing w:after="120" w:before="0" w:line="276" w:lineRule="auto"/>
      </w:pPr>
    </w:p>
    <w:p>
      <w:pPr>
        <w:keepNext/>
        <w:spacing w:after="40" w:before="80" w:line="240" w:lineRule="auto"/>
        <w:jc w:val="center"/>
      </w:pPr>
      <w:r>
        <w:drawing>
          <wp:inline distT="0" distB="0" distL="0" distR="0">
            <wp:extent cx="6191250" cy="3295650"/>
            <wp:effectExtent t="0" r="0" b="0" l="0"/>
            <wp:docPr id="1" name="fig06_regression_ev_sales_ebit_margin.png" descr="Figure 9: EV/Sales vs EBIT margin — OLS regression across eight listed developers (Tokyo Tatemono excluded from the fit)." title="Figure 9: EV/Sales vs EBIT margin — OLS regression across eight listed developers (Tokyo Tatemono excluded from the f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191250" cy="3295650"/>
                    </a:xfrm>
                    <a:prstGeom prst="rect">
                      <a:avLst/>
                    </a:prstGeom>
                  </pic:spPr>
                </pic:pic>
              </a:graphicData>
            </a:graphic>
          </wp:inline>
        </w:drawing>
      </w:r>
    </w:p>
    <w:p>
      <w:pPr>
        <w:spacing w:after="160" w:before="0" w:line="276" w:lineRule="auto"/>
        <w:jc w:val="left"/>
      </w:pPr>
      <w:r>
        <w:rPr>
          <w:rFonts w:ascii="Arial" w:cs="Arial" w:eastAsia="Yu Gothic" w:hAnsi="Arial"/>
          <w:i/>
          <w:iCs/>
          <w:color w:val="5B6577"/>
          <w:sz w:val="16"/>
          <w:szCs w:val="16"/>
        </w:rPr>
        <w:t xml:space="preserve">Figure 9: EV/Sales vs EBIT margin — OLS regression across eight listed developers (Tokyo Tatemono excluded from the fit).</w:t>
      </w:r>
    </w:p>
    <w:p>
      <w:pPr>
        <w:spacing w:after="110" w:before="0" w:line="276" w:lineRule="auto"/>
      </w:pPr>
      <w:r>
        <w:rPr>
          <w:rFonts w:ascii="Arial" w:cs="Arial" w:eastAsia="Yu Gothic" w:hAnsi="Arial"/>
          <w:b/>
          <w:bCs/>
          <w:color w:val="1F2533"/>
          <w:sz w:val="19"/>
          <w:szCs w:val="19"/>
        </w:rPr>
        <w:t xml:space="preserve">Fitted vs actual and implied value.</w:t>
      </w:r>
      <w:r>
        <w:rPr>
          <w:rFonts w:ascii="Arial" w:cs="Arial" w:eastAsia="Yu Gothic" w:hAnsi="Arial"/>
          <w:color w:val="1F2533"/>
          <w:sz w:val="19"/>
          <w:szCs w:val="19"/>
        </w:rPr>
        <w:t xml:space="preserve"> At Tokyo Tatemono's 20.18% EBIT margin, the fitted EV/Sales is </w:t>
      </w:r>
      <w:r>
        <w:rPr>
          <w:rFonts w:ascii="Arial" w:cs="Arial" w:eastAsia="Yu Gothic" w:hAnsi="Arial"/>
          <w:b/>
          <w:bCs/>
          <w:color w:val="1F2533"/>
          <w:sz w:val="19"/>
          <w:szCs w:val="19"/>
        </w:rPr>
        <w:t xml:space="preserve">4.50x</w:t>
      </w:r>
      <w:r>
        <w:rPr>
          <w:rFonts w:ascii="Arial" w:cs="Arial" w:eastAsia="Yu Gothic" w:hAnsi="Arial"/>
          <w:color w:val="1F2533"/>
          <w:sz w:val="19"/>
          <w:szCs w:val="19"/>
        </w:rPr>
        <w:t xml:space="preserve">, against an actual </w:t>
      </w:r>
      <w:r>
        <w:rPr>
          <w:rFonts w:ascii="Arial" w:cs="Arial" w:eastAsia="Yu Gothic" w:hAnsi="Arial"/>
          <w:b/>
          <w:bCs/>
          <w:color w:val="1F2533"/>
          <w:sz w:val="19"/>
          <w:szCs w:val="19"/>
        </w:rPr>
        <w:t xml:space="preserve">4.47x</w:t>
      </w:r>
      <w:r>
        <w:rPr>
          <w:rFonts w:ascii="Arial" w:cs="Arial" w:eastAsia="Yu Gothic" w:hAnsi="Arial"/>
          <w:color w:val="1F2533"/>
          <w:sz w:val="19"/>
          <w:szCs w:val="19"/>
        </w:rPr>
        <w:t xml:space="preserve"> at ¥3,211. Translating this into a share price:</w:t>
      </w:r>
    </w:p>
    <w:p>
      <w:pPr>
        <w:pStyle w:val="ListParagraph"/>
        <w:numPr>
          <w:ilvl w:val="0"/>
          <w:numId w:val="2"/>
        </w:numPr>
        <w:spacing w:after="60" w:line="264" w:lineRule="auto"/>
      </w:pPr>
      <w:r>
        <w:rPr>
          <w:rFonts w:ascii="Arial" w:cs="Arial" w:eastAsia="Yu Gothic" w:hAnsi="Arial"/>
          <w:color w:val="1F2533"/>
          <w:sz w:val="19"/>
          <w:szCs w:val="19"/>
        </w:rPr>
        <w:t xml:space="preserve">Implied EV: ¥2,135bn.</w:t>
      </w:r>
    </w:p>
    <w:p>
      <w:pPr>
        <w:pStyle w:val="ListParagraph"/>
        <w:numPr>
          <w:ilvl w:val="0"/>
          <w:numId w:val="2"/>
        </w:numPr>
        <w:spacing w:after="60" w:line="264" w:lineRule="auto"/>
      </w:pPr>
      <w:r>
        <w:rPr>
          <w:rFonts w:ascii="Arial" w:cs="Arial" w:eastAsia="Yu Gothic" w:hAnsi="Arial"/>
          <w:color w:val="1F2533"/>
          <w:sz w:val="19"/>
          <w:szCs w:val="19"/>
        </w:rPr>
        <w:t xml:space="preserve">Less net debt (¥1,442.4bn) and non-controlling interests (¥12.3bn): implied equity of ¥680bn.</w:t>
      </w:r>
    </w:p>
    <w:p>
      <w:pPr>
        <w:pStyle w:val="ListParagraph"/>
        <w:numPr>
          <w:ilvl w:val="0"/>
          <w:numId w:val="2"/>
        </w:numPr>
        <w:spacing w:after="60" w:line="264" w:lineRule="auto"/>
      </w:pPr>
      <w:r>
        <w:rPr>
          <w:rFonts w:ascii="Arial" w:cs="Arial" w:eastAsia="Yu Gothic" w:hAnsi="Arial"/>
          <w:color w:val="1F2533"/>
          <w:sz w:val="19"/>
          <w:szCs w:val="19"/>
        </w:rPr>
        <w:t xml:space="preserve">Per share: </w:t>
      </w:r>
      <w:r>
        <w:rPr>
          <w:rFonts w:ascii="Arial" w:cs="Arial" w:eastAsia="Yu Gothic" w:hAnsi="Arial"/>
          <w:b/>
          <w:bCs/>
          <w:color w:val="1F2533"/>
          <w:sz w:val="19"/>
          <w:szCs w:val="19"/>
        </w:rPr>
        <w:t xml:space="preserve">¥3,271, or +1.9% vs ¥3,211.</w:t>
      </w:r>
    </w:p>
    <w:p>
      <w:pPr>
        <w:spacing w:after="40" w:before="0" w:line="276" w:lineRule="auto"/>
      </w:pPr>
    </w:p>
    <w:p>
      <w:pPr>
        <w:spacing w:after="110" w:before="0" w:line="276" w:lineRule="auto"/>
      </w:pPr>
      <w:r>
        <w:rPr>
          <w:rFonts w:ascii="Arial" w:cs="Arial" w:eastAsia="Yu Gothic" w:hAnsi="Arial"/>
          <w:b/>
          <w:bCs/>
          <w:color w:val="1F2533"/>
          <w:sz w:val="19"/>
          <w:szCs w:val="19"/>
        </w:rPr>
        <w:t xml:space="preserve">Precision.</w:t>
      </w:r>
      <w:r>
        <w:rPr>
          <w:rFonts w:ascii="Arial" w:cs="Arial" w:eastAsia="Yu Gothic" w:hAnsi="Arial"/>
          <w:color w:val="1F2533"/>
          <w:sz w:val="19"/>
          <w:szCs w:val="19"/>
        </w:rPr>
        <w:t xml:space="preserve"> The 95% confidence interval for the fitted mean is 3.62–5.37x, i.e. ¥1,273–5,269 per share. Every 0.1x of EV/Sales is worth ¥47.5bn of EV, or about ¥228 per share. This is because equity is only about 31% of Tokyo Tatemono's EV.</w:t>
      </w:r>
    </w:p>
    <w:p>
      <w:pPr>
        <w:spacing w:after="110" w:before="0" w:line="276" w:lineRule="auto"/>
      </w:pPr>
      <w:r>
        <w:rPr>
          <w:rFonts w:ascii="Arial" w:cs="Arial" w:eastAsia="Yu Gothic" w:hAnsi="Arial"/>
          <w:b/>
          <w:bCs/>
          <w:color w:val="1F2533"/>
          <w:sz w:val="19"/>
          <w:szCs w:val="19"/>
        </w:rPr>
        <w:t xml:space="preserve">Robustness checks: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33"/>
        <w:gridCol w:w="345"/>
        <w:gridCol w:w="1037"/>
        <w:gridCol w:w="881"/>
        <w:gridCol w:w="915"/>
        <w:gridCol w:w="915"/>
        <w:gridCol w:w="1420"/>
      </w:tblGrid>
      <w:tr>
        <w:trPr>
          <w:cantSplit/>
          <w:tblHeader/>
        </w:trPr>
        <w:tc>
          <w:tcPr>
            <w:tcW w:type="dxa" w:w="4233"/>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bCs/>
                <w:color w:val="FFFFFF"/>
                <w:sz w:val="14"/>
                <w:szCs w:val="14"/>
              </w:rPr>
              <w:t xml:space="preserve">Variant</w:t>
            </w:r>
          </w:p>
        </w:tc>
        <w:tc>
          <w:tcPr>
            <w:tcW w:type="dxa" w:w="345"/>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4"/>
                <w:szCs w:val="14"/>
              </w:rPr>
              <w:t xml:space="preserve">n</w:t>
            </w:r>
          </w:p>
        </w:tc>
        <w:tc>
          <w:tcPr>
            <w:tcW w:type="dxa" w:w="1037"/>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4"/>
                <w:szCs w:val="14"/>
              </w:rPr>
              <w:t xml:space="preserve">Slope</w:t>
            </w:r>
          </w:p>
        </w:tc>
        <w:tc>
          <w:tcPr>
            <w:tcW w:type="dxa" w:w="881"/>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4"/>
                <w:szCs w:val="14"/>
              </w:rPr>
              <w:t xml:space="preserve">R²</w:t>
            </w:r>
          </w:p>
        </w:tc>
        <w:tc>
          <w:tcPr>
            <w:tcW w:type="dxa" w:w="915"/>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4"/>
                <w:szCs w:val="14"/>
              </w:rPr>
              <w:t xml:space="preserve">Tokyo Tatemono fitted</w:t>
            </w:r>
          </w:p>
        </w:tc>
        <w:tc>
          <w:tcPr>
            <w:tcW w:type="dxa" w:w="915"/>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4"/>
                <w:szCs w:val="14"/>
              </w:rPr>
              <w:t xml:space="preserve">Tokyo Tatemono actual</w:t>
            </w:r>
          </w:p>
        </w:tc>
        <w:tc>
          <w:tcPr>
            <w:tcW w:type="dxa" w:w="1420"/>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4"/>
                <w:szCs w:val="14"/>
              </w:rPr>
              <w:t xml:space="preserve">Implied ¥ per share</w:t>
            </w:r>
          </w:p>
        </w:tc>
      </w:tr>
      <w:tr>
        <w:trPr>
          <w:cantSplit/>
        </w:trPr>
        <w:tc>
          <w:tcPr>
            <w:tcW w:type="dxa" w:w="4233"/>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4"/>
                <w:szCs w:val="14"/>
              </w:rPr>
              <w:t xml:space="preserve">Base (8 peers, last fiscal year, Jun-2026 balance sheet)</w:t>
            </w:r>
          </w:p>
        </w:tc>
        <w:tc>
          <w:tcPr>
            <w:tcW w:type="dxa" w:w="345"/>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8</w:t>
            </w:r>
          </w:p>
        </w:tc>
        <w:tc>
          <w:tcPr>
            <w:tcW w:type="dxa" w:w="1037"/>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0.321</w:t>
            </w:r>
          </w:p>
        </w:tc>
        <w:tc>
          <w:tcPr>
            <w:tcW w:type="dxa" w:w="881"/>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0.86</w:t>
            </w:r>
          </w:p>
        </w:tc>
        <w:tc>
          <w:tcPr>
            <w:tcW w:type="dxa" w:w="915"/>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4.50x</w:t>
            </w:r>
          </w:p>
        </w:tc>
        <w:tc>
          <w:tcPr>
            <w:tcW w:type="dxa" w:w="915"/>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4.51x</w:t>
            </w:r>
          </w:p>
        </w:tc>
        <w:tc>
          <w:tcPr>
            <w:tcW w:type="dxa" w:w="1420"/>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3,271</w:t>
            </w:r>
          </w:p>
        </w:tc>
      </w:tr>
      <w:tr>
        <w:trPr>
          <w:cantSplit/>
        </w:trPr>
        <w:tc>
          <w:tcPr>
            <w:tcW w:type="dxa" w:w="4233"/>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4"/>
                <w:szCs w:val="14"/>
              </w:rPr>
              <w:t xml:space="preserve">Tokyo Tatemono on LTM (revenue ¥460.2bn, margin 22.1%)</w:t>
            </w:r>
          </w:p>
        </w:tc>
        <w:tc>
          <w:tcPr>
            <w:tcW w:type="dxa" w:w="345"/>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8</w:t>
            </w:r>
          </w:p>
        </w:tc>
        <w:tc>
          <w:tcPr>
            <w:tcW w:type="dxa" w:w="1037"/>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0.321</w:t>
            </w:r>
          </w:p>
        </w:tc>
        <w:tc>
          <w:tcPr>
            <w:tcW w:type="dxa" w:w="881"/>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0.86</w:t>
            </w:r>
          </w:p>
        </w:tc>
        <w:tc>
          <w:tcPr>
            <w:tcW w:type="dxa" w:w="915"/>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5.11x</w:t>
            </w:r>
          </w:p>
        </w:tc>
        <w:tc>
          <w:tcPr>
            <w:tcW w:type="dxa" w:w="915"/>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4.65x</w:t>
            </w:r>
          </w:p>
        </w:tc>
        <w:tc>
          <w:tcPr>
            <w:tcW w:type="dxa" w:w="1420"/>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4,305</w:t>
            </w:r>
          </w:p>
        </w:tc>
      </w:tr>
      <w:tr>
        <w:trPr>
          <w:cantSplit/>
        </w:trPr>
        <w:tc>
          <w:tcPr>
            <w:tcW w:type="dxa" w:w="4233"/>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4"/>
                <w:szCs w:val="14"/>
              </w:rPr>
              <w:t xml:space="preserve">Tokyo Tatemono on Dec-2025 balance sheet (net debt ¥1,191.6bn)</w:t>
            </w:r>
          </w:p>
        </w:tc>
        <w:tc>
          <w:tcPr>
            <w:tcW w:type="dxa" w:w="345"/>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8</w:t>
            </w:r>
          </w:p>
        </w:tc>
        <w:tc>
          <w:tcPr>
            <w:tcW w:type="dxa" w:w="1037"/>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0.321</w:t>
            </w:r>
          </w:p>
        </w:tc>
        <w:tc>
          <w:tcPr>
            <w:tcW w:type="dxa" w:w="881"/>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0.86</w:t>
            </w:r>
          </w:p>
        </w:tc>
        <w:tc>
          <w:tcPr>
            <w:tcW w:type="dxa" w:w="915"/>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4.50x</w:t>
            </w:r>
          </w:p>
        </w:tc>
        <w:tc>
          <w:tcPr>
            <w:tcW w:type="dxa" w:w="915"/>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3.98x</w:t>
            </w:r>
          </w:p>
        </w:tc>
        <w:tc>
          <w:tcPr>
            <w:tcW w:type="dxa" w:w="1420"/>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4,477</w:t>
            </w:r>
          </w:p>
        </w:tc>
      </w:tr>
      <w:tr>
        <w:trPr>
          <w:cantSplit/>
        </w:trPr>
        <w:tc>
          <w:tcPr>
            <w:tcW w:type="dxa" w:w="4233"/>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4"/>
                <w:szCs w:val="14"/>
              </w:rPr>
              <w:t xml:space="preserve">Excluding Keihanshin</w:t>
            </w:r>
          </w:p>
        </w:tc>
        <w:tc>
          <w:tcPr>
            <w:tcW w:type="dxa" w:w="345"/>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7</w:t>
            </w:r>
          </w:p>
        </w:tc>
        <w:tc>
          <w:tcPr>
            <w:tcW w:type="dxa" w:w="1037"/>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0.283</w:t>
            </w:r>
          </w:p>
        </w:tc>
        <w:tc>
          <w:tcPr>
            <w:tcW w:type="dxa" w:w="881"/>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0.90</w:t>
            </w:r>
          </w:p>
        </w:tc>
        <w:tc>
          <w:tcPr>
            <w:tcW w:type="dxa" w:w="915"/>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4.30x</w:t>
            </w:r>
          </w:p>
        </w:tc>
        <w:tc>
          <w:tcPr>
            <w:tcW w:type="dxa" w:w="915"/>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4.51x</w:t>
            </w:r>
          </w:p>
        </w:tc>
        <w:tc>
          <w:tcPr>
            <w:tcW w:type="dxa" w:w="1420"/>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2,812</w:t>
            </w:r>
          </w:p>
        </w:tc>
      </w:tr>
      <w:tr>
        <w:trPr>
          <w:cantSplit/>
        </w:trPr>
        <w:tc>
          <w:tcPr>
            <w:tcW w:type="dxa" w:w="4233"/>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4"/>
                <w:szCs w:val="14"/>
              </w:rPr>
              <w:t xml:space="preserve">Large caps only (excluding Heiwa and Keihanshin)</w:t>
            </w:r>
          </w:p>
        </w:tc>
        <w:tc>
          <w:tcPr>
            <w:tcW w:type="dxa" w:w="345"/>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6</w:t>
            </w:r>
          </w:p>
        </w:tc>
        <w:tc>
          <w:tcPr>
            <w:tcW w:type="dxa" w:w="1037"/>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0.236</w:t>
            </w:r>
          </w:p>
        </w:tc>
        <w:tc>
          <w:tcPr>
            <w:tcW w:type="dxa" w:w="881"/>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0.90</w:t>
            </w:r>
          </w:p>
        </w:tc>
        <w:tc>
          <w:tcPr>
            <w:tcW w:type="dxa" w:w="915"/>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4.11x</w:t>
            </w:r>
          </w:p>
        </w:tc>
        <w:tc>
          <w:tcPr>
            <w:tcW w:type="dxa" w:w="915"/>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4.51x</w:t>
            </w:r>
          </w:p>
        </w:tc>
        <w:tc>
          <w:tcPr>
            <w:tcW w:type="dxa" w:w="1420"/>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2,376</w:t>
            </w:r>
          </w:p>
        </w:tc>
      </w:tr>
      <w:tr>
        <w:trPr>
          <w:cantSplit/>
        </w:trPr>
        <w:tc>
          <w:tcPr>
            <w:tcW w:type="dxa" w:w="4233"/>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4"/>
                <w:szCs w:val="14"/>
              </w:rPr>
              <w:t xml:space="preserve">Extended: plus Sekisui House, Daito Trust, Open House</w:t>
            </w:r>
          </w:p>
        </w:tc>
        <w:tc>
          <w:tcPr>
            <w:tcW w:type="dxa" w:w="345"/>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11</w:t>
            </w:r>
          </w:p>
        </w:tc>
        <w:tc>
          <w:tcPr>
            <w:tcW w:type="dxa" w:w="1037"/>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0.318</w:t>
            </w:r>
          </w:p>
        </w:tc>
        <w:tc>
          <w:tcPr>
            <w:tcW w:type="dxa" w:w="881"/>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0.92</w:t>
            </w:r>
          </w:p>
        </w:tc>
        <w:tc>
          <w:tcPr>
            <w:tcW w:type="dxa" w:w="915"/>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4.49x</w:t>
            </w:r>
          </w:p>
        </w:tc>
        <w:tc>
          <w:tcPr>
            <w:tcW w:type="dxa" w:w="915"/>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4.51x</w:t>
            </w:r>
          </w:p>
        </w:tc>
        <w:tc>
          <w:tcPr>
            <w:tcW w:type="dxa" w:w="1420"/>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3,250</w:t>
            </w:r>
          </w:p>
        </w:tc>
      </w:tr>
      <w:tr>
        <w:trPr>
          <w:cantSplit/>
        </w:trPr>
        <w:tc>
          <w:tcPr>
            <w:tcW w:type="dxa" w:w="4233"/>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4"/>
                <w:szCs w:val="14"/>
              </w:rPr>
              <w:t xml:space="preserve">Forward basis (company guidance)</w:t>
            </w:r>
          </w:p>
        </w:tc>
        <w:tc>
          <w:tcPr>
            <w:tcW w:type="dxa" w:w="345"/>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8</w:t>
            </w:r>
          </w:p>
        </w:tc>
        <w:tc>
          <w:tcPr>
            <w:tcW w:type="dxa" w:w="1037"/>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0.279</w:t>
            </w:r>
          </w:p>
        </w:tc>
        <w:tc>
          <w:tcPr>
            <w:tcW w:type="dxa" w:w="881"/>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0.73</w:t>
            </w:r>
          </w:p>
        </w:tc>
        <w:tc>
          <w:tcPr>
            <w:tcW w:type="dxa" w:w="915"/>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4.30x</w:t>
            </w:r>
          </w:p>
        </w:tc>
        <w:tc>
          <w:tcPr>
            <w:tcW w:type="dxa" w:w="915"/>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4.08x</w:t>
            </w:r>
          </w:p>
        </w:tc>
        <w:tc>
          <w:tcPr>
            <w:tcW w:type="dxa" w:w="1420"/>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3,833</w:t>
            </w:r>
          </w:p>
        </w:tc>
      </w:tr>
      <w:tr>
        <w:trPr>
          <w:cantSplit/>
        </w:trPr>
        <w:tc>
          <w:tcPr>
            <w:tcW w:type="dxa" w:w="4233"/>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4"/>
                <w:szCs w:val="14"/>
              </w:rPr>
              <w:t xml:space="preserve">Monte Carlo on uncertain peer inputs (20,000 draws)</w:t>
            </w:r>
          </w:p>
        </w:tc>
        <w:tc>
          <w:tcPr>
            <w:tcW w:type="dxa" w:w="345"/>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8</w:t>
            </w:r>
          </w:p>
        </w:tc>
        <w:tc>
          <w:tcPr>
            <w:tcW w:type="dxa" w:w="1037"/>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0.323–0.338</w:t>
            </w:r>
          </w:p>
        </w:tc>
        <w:tc>
          <w:tcPr>
            <w:tcW w:type="dxa" w:w="881"/>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0.84–0.87</w:t>
            </w:r>
          </w:p>
        </w:tc>
        <w:tc>
          <w:tcPr>
            <w:tcW w:type="dxa" w:w="915"/>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w:t>
            </w:r>
          </w:p>
        </w:tc>
        <w:tc>
          <w:tcPr>
            <w:tcW w:type="dxa" w:w="915"/>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w:t>
            </w:r>
          </w:p>
        </w:tc>
        <w:tc>
          <w:tcPr>
            <w:tcW w:type="dxa" w:w="1420"/>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P5–P95: 3,439–3,642</w:t>
            </w:r>
          </w:p>
        </w:tc>
      </w:tr>
      <w:tr>
        <w:trPr>
          <w:cantSplit/>
        </w:trPr>
        <w:tc>
          <w:tcPr>
            <w:tcW w:type="dxa" w:w="4233"/>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4"/>
                <w:szCs w:val="14"/>
              </w:rPr>
              <w:t xml:space="preserve">Supplementary: P/B vs ROE (11 companies)</w:t>
            </w:r>
          </w:p>
        </w:tc>
        <w:tc>
          <w:tcPr>
            <w:tcW w:type="dxa" w:w="345"/>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11</w:t>
            </w:r>
          </w:p>
        </w:tc>
        <w:tc>
          <w:tcPr>
            <w:tcW w:type="dxa" w:w="1037"/>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0.036</w:t>
            </w:r>
          </w:p>
        </w:tc>
        <w:tc>
          <w:tcPr>
            <w:tcW w:type="dxa" w:w="881"/>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0.30</w:t>
            </w:r>
          </w:p>
        </w:tc>
        <w:tc>
          <w:tcPr>
            <w:tcW w:type="dxa" w:w="915"/>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1.27x P/B</w:t>
            </w:r>
          </w:p>
        </w:tc>
        <w:tc>
          <w:tcPr>
            <w:tcW w:type="dxa" w:w="915"/>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1.12x P/B</w:t>
            </w:r>
          </w:p>
        </w:tc>
        <w:tc>
          <w:tcPr>
            <w:tcW w:type="dxa" w:w="1420"/>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3,713</w:t>
            </w:r>
          </w:p>
        </w:tc>
      </w:tr>
    </w:tbl>
    <w:p>
      <w:pPr>
        <w:spacing w:after="120" w:before="0" w:line="276" w:lineRule="auto"/>
      </w:pPr>
    </w:p>
    <w:p>
      <w:pPr>
        <w:spacing w:after="110" w:before="0" w:line="276" w:lineRule="auto"/>
      </w:pPr>
      <w:r>
        <w:rPr>
          <w:rFonts w:ascii="Arial" w:cs="Arial" w:eastAsia="Yu Gothic" w:hAnsi="Arial"/>
          <w:color w:val="1F2533"/>
          <w:sz w:val="19"/>
          <w:szCs w:val="19"/>
        </w:rPr>
        <w:t xml:space="preserve">In this table, Tokyo Tatemono's "actual" multiples are at ¥3,286 (25 Sep), the price used when the regressions were run. At ¥3,211 the base-case actual EV/Sales is 4.47x. Implied values per share do not depend on Tokyo Tatemono's own price, because it is excluded from the fits.</w:t>
      </w:r>
    </w:p>
    <w:p>
      <w:pPr>
        <w:spacing w:after="110" w:before="0" w:line="276" w:lineRule="auto"/>
      </w:pPr>
      <w:r>
        <w:rPr>
          <w:rFonts w:ascii="Arial" w:cs="Arial" w:eastAsia="Yu Gothic" w:hAnsi="Arial"/>
          <w:b/>
          <w:bCs/>
          <w:color w:val="1F2533"/>
          <w:sz w:val="19"/>
          <w:szCs w:val="19"/>
        </w:rPr>
        <w:t xml:space="preserve">What the regression shows.</w:t>
      </w:r>
    </w:p>
    <w:p>
      <w:pPr>
        <w:pStyle w:val="ListParagraph"/>
        <w:numPr>
          <w:ilvl w:val="0"/>
          <w:numId w:val="2"/>
        </w:numPr>
        <w:spacing w:after="60" w:line="264" w:lineRule="auto"/>
      </w:pPr>
      <w:r>
        <w:rPr>
          <w:rFonts w:ascii="Arial" w:cs="Arial" w:eastAsia="Yu Gothic" w:hAnsi="Arial"/>
          <w:b/>
          <w:bCs/>
          <w:color w:val="1F2533"/>
          <w:sz w:val="19"/>
          <w:szCs w:val="19"/>
        </w:rPr>
        <w:t xml:space="preserve">Margin drives EV/Sales.</w:t>
      </w:r>
      <w:r>
        <w:rPr>
          <w:rFonts w:ascii="Arial" w:cs="Arial" w:eastAsia="Yu Gothic" w:hAnsi="Arial"/>
          <w:color w:val="1F2533"/>
          <w:sz w:val="19"/>
          <w:szCs w:val="19"/>
        </w:rPr>
        <w:t xml:space="preserve"> EBIT margin, which mostly measures how much of a company is leasing rather than develop-to-sell, explains about 86% of the variation in peers' EV/Sales.</w:t>
      </w:r>
    </w:p>
    <w:p>
      <w:pPr>
        <w:pStyle w:val="ListParagraph"/>
        <w:numPr>
          <w:ilvl w:val="0"/>
          <w:numId w:val="2"/>
        </w:numPr>
        <w:spacing w:after="60" w:line="264" w:lineRule="auto"/>
      </w:pPr>
      <w:r>
        <w:rPr>
          <w:rFonts w:ascii="Arial" w:cs="Arial" w:eastAsia="Yu Gothic" w:hAnsi="Arial"/>
          <w:b/>
          <w:bCs/>
          <w:color w:val="1F2533"/>
          <w:sz w:val="19"/>
          <w:szCs w:val="19"/>
        </w:rPr>
        <w:t xml:space="preserve">Tokyo Tatemono sits on the line.</w:t>
      </w:r>
      <w:r>
        <w:rPr>
          <w:rFonts w:ascii="Arial" w:cs="Arial" w:eastAsia="Yu Gothic" w:hAnsi="Arial"/>
          <w:color w:val="1F2533"/>
          <w:sz w:val="19"/>
          <w:szCs w:val="19"/>
        </w:rPr>
        <w:t xml:space="preserve"> Its equity discounts reflect leverage, not a mispriced enterprise.</w:t>
      </w:r>
    </w:p>
    <w:p>
      <w:pPr>
        <w:pStyle w:val="ListParagraph"/>
        <w:numPr>
          <w:ilvl w:val="0"/>
          <w:numId w:val="2"/>
        </w:numPr>
        <w:spacing w:after="60" w:line="264" w:lineRule="auto"/>
      </w:pPr>
      <w:r>
        <w:rPr>
          <w:rFonts w:ascii="Arial" w:cs="Arial" w:eastAsia="Yu Gothic" w:hAnsi="Arial"/>
          <w:b/>
          <w:bCs/>
          <w:color w:val="1F2533"/>
          <w:sz w:val="19"/>
          <w:szCs w:val="19"/>
        </w:rPr>
        <w:t xml:space="preserve">The upside cases depend on two assumptions:</w:t>
      </w:r>
      <w:r>
        <w:rPr>
          <w:rFonts w:ascii="Arial" w:cs="Arial" w:eastAsia="Yu Gothic" w:hAnsi="Arial"/>
          <w:color w:val="1F2533"/>
          <w:sz w:val="19"/>
          <w:szCs w:val="19"/>
        </w:rPr>
        <w:t xml:space="preserve">These are exactly the two questions that the second-half delivery will answer.</w:t>
      </w:r>
    </w:p>
    <w:p>
      <w:pPr>
        <w:pStyle w:val="ListParagraph"/>
        <w:numPr>
          <w:ilvl w:val="1"/>
          <w:numId w:val="2"/>
        </w:numPr>
        <w:spacing w:after="60" w:line="264" w:lineRule="auto"/>
      </w:pPr>
      <w:r>
        <w:rPr>
          <w:rFonts w:ascii="Arial" w:cs="Arial" w:eastAsia="Yu Gothic" w:hAnsi="Arial"/>
          <w:color w:val="1F2533"/>
          <w:sz w:val="19"/>
          <w:szCs w:val="19"/>
        </w:rPr>
        <w:t xml:space="preserve">that the June 2026 debt peak unwinds (the Dec-2025 balance-sheet variant implies +36% to +39%);</w:t>
      </w:r>
    </w:p>
    <w:p>
      <w:pPr>
        <w:pStyle w:val="ListParagraph"/>
        <w:numPr>
          <w:ilvl w:val="1"/>
          <w:numId w:val="2"/>
        </w:numPr>
        <w:spacing w:after="60" w:line="264" w:lineRule="auto"/>
      </w:pPr>
      <w:r>
        <w:rPr>
          <w:rFonts w:ascii="Arial" w:cs="Arial" w:eastAsia="Yu Gothic" w:hAnsi="Arial"/>
          <w:color w:val="1F2533"/>
          <w:sz w:val="19"/>
          <w:szCs w:val="19"/>
        </w:rPr>
        <w:t xml:space="preserve">that Tokyo Tatemono's above-peer profit growth is capitalised (the forward and LTM variants imply +19% to +34%).</w:t>
      </w:r>
    </w:p>
    <w:p>
      <w:pPr>
        <w:pStyle w:val="ListParagraph"/>
        <w:numPr>
          <w:ilvl w:val="0"/>
          <w:numId w:val="2"/>
        </w:numPr>
        <w:spacing w:after="60" w:line="264" w:lineRule="auto"/>
      </w:pPr>
      <w:r>
        <w:rPr>
          <w:rFonts w:ascii="Arial" w:cs="Arial" w:eastAsia="Yu Gothic" w:hAnsi="Arial"/>
          <w:b/>
          <w:bCs/>
          <w:color w:val="1F2533"/>
          <w:sz w:val="19"/>
          <w:szCs w:val="19"/>
        </w:rPr>
        <w:t xml:space="preserve">ROE does not explain P/B among developers</w:t>
      </w:r>
      <w:r>
        <w:rPr>
          <w:rFonts w:ascii="Arial" w:cs="Arial" w:eastAsia="Yu Gothic" w:hAnsi="Arial"/>
          <w:color w:val="1F2533"/>
          <w:sz w:val="19"/>
          <w:szCs w:val="19"/>
        </w:rPr>
        <w:t xml:space="preserve"> (R² 0.04 in the core set). The market prices asset quality and NAV, not accounting returns.</w:t>
      </w:r>
    </w:p>
    <w:p>
      <w:pPr>
        <w:spacing w:after="40" w:before="0" w:line="276" w:lineRule="auto"/>
      </w:pPr>
    </w:p>
    <w:p>
      <w:pPr>
        <w:pStyle w:val="Heading2"/>
        <w:keepNext/>
        <w:keepLines/>
        <w:spacing w:after="90" w:before="260" w:line="252" w:lineRule="auto"/>
      </w:pPr>
      <w:r>
        <w:rPr>
          <w:rFonts w:ascii="Arial" w:cs="Arial" w:eastAsia="Yu Gothic" w:hAnsi="Arial"/>
          <w:b/>
          <w:bCs/>
          <w:color w:val="15233F"/>
          <w:sz w:val="25"/>
          <w:szCs w:val="25"/>
        </w:rPr>
        <w:t xml:space="preserve">Value-trap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36"/>
        <w:gridCol w:w="5266"/>
        <w:gridCol w:w="1944"/>
      </w:tblGrid>
      <w:tr>
        <w:trPr>
          <w:cantSplit/>
          <w:tblHeader/>
        </w:trPr>
        <w:tc>
          <w:tcPr>
            <w:tcW w:type="dxa" w:w="2536"/>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bCs/>
                <w:color w:val="FFFFFF"/>
                <w:sz w:val="16"/>
                <w:szCs w:val="16"/>
              </w:rPr>
              <w:t xml:space="preserve">Test</w:t>
            </w:r>
          </w:p>
        </w:tc>
        <w:tc>
          <w:tcPr>
            <w:tcW w:type="dxa" w:w="5266"/>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6"/>
                <w:szCs w:val="16"/>
              </w:rPr>
              <w:t xml:space="preserve">Evidence</w:t>
            </w:r>
          </w:p>
        </w:tc>
        <w:tc>
          <w:tcPr>
            <w:tcW w:type="dxa" w:w="1944"/>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6"/>
                <w:szCs w:val="16"/>
              </w:rPr>
              <w:t xml:space="preserve">Verdict</w:t>
            </w:r>
          </w:p>
        </w:tc>
      </w:tr>
      <w:tr>
        <w:trPr>
          <w:cantSplit/>
        </w:trPr>
        <w:tc>
          <w:tcPr>
            <w:tcW w:type="dxa" w:w="253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Is the discount persistent?</w:t>
            </w:r>
          </w:p>
        </w:tc>
        <w:tc>
          <w:tcPr>
            <w:tcW w:type="dxa" w:w="526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P/B below 1x at the FY2021–23 year-ends; a 31–37% P/E discount over the three years to Mar 2026; P/NAV 0.41–0.51x in 2021–23</w:t>
            </w:r>
          </w:p>
        </w:tc>
        <w:tc>
          <w:tcPr>
            <w:tcW w:type="dxa" w:w="1944"/>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Yes, structural across the sector</w:t>
            </w:r>
          </w:p>
        </w:tc>
      </w:tr>
      <w:tr>
        <w:trPr>
          <w:cantSplit/>
        </w:trPr>
        <w:tc>
          <w:tcPr>
            <w:tcW w:type="dxa" w:w="2536"/>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Is the earnings base growing?</w:t>
            </w:r>
          </w:p>
        </w:tc>
        <w:tc>
          <w:tcPr>
            <w:tcW w:type="dxa" w:w="5266"/>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EPS CAGR of 14% (FY2021–25); FY2026E +11%; record operating profit</w:t>
            </w:r>
          </w:p>
        </w:tc>
        <w:tc>
          <w:tcPr>
            <w:tcW w:type="dxa" w:w="1944"/>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Yes, but the quality is mixed</w:t>
            </w:r>
          </w:p>
        </w:tc>
      </w:tr>
      <w:tr>
        <w:trPr>
          <w:cantSplit/>
        </w:trPr>
        <w:tc>
          <w:tcPr>
            <w:tcW w:type="dxa" w:w="253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Is book value compounding?</w:t>
            </w:r>
          </w:p>
        </w:tc>
        <w:tc>
          <w:tcPr>
            <w:tcW w:type="dxa" w:w="526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BPS ≈¥1,990 (FY2021) → ¥2,930 (Jun 2026), ≈9% a year</w:t>
            </w:r>
          </w:p>
        </w:tc>
        <w:tc>
          <w:tcPr>
            <w:tcW w:type="dxa" w:w="1944"/>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Yes</w:t>
            </w:r>
          </w:p>
        </w:tc>
      </w:tr>
      <w:tr>
        <w:trPr>
          <w:cantSplit/>
        </w:trPr>
        <w:tc>
          <w:tcPr>
            <w:tcW w:type="dxa" w:w="2536"/>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Is NAV being realised or eroded?</w:t>
            </w:r>
          </w:p>
        </w:tc>
        <w:tc>
          <w:tcPr>
            <w:tcW w:type="dxa" w:w="5266"/>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Gains realised through sales at "higher margins"; but the unrealised-gain stock grew only 3.9% a year</w:t>
            </w:r>
          </w:p>
        </w:tc>
        <w:tc>
          <w:tcPr>
            <w:tcW w:type="dxa" w:w="1944"/>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Being harvested, not compounded</w:t>
            </w:r>
          </w:p>
        </w:tc>
      </w:tr>
      <w:tr>
        <w:trPr>
          <w:cantSplit/>
        </w:trPr>
        <w:tc>
          <w:tcPr>
            <w:tcW w:type="dxa" w:w="253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Is capital returned?</w:t>
            </w:r>
          </w:p>
        </w:tc>
        <w:tc>
          <w:tcPr>
            <w:tcW w:type="dxa" w:w="526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Payout raised from 30% to 40%; total payout 42% in FY2025; buybacks tiny (¥3bn)</w:t>
            </w:r>
          </w:p>
        </w:tc>
        <w:tc>
          <w:tcPr>
            <w:tcW w:type="dxa" w:w="1944"/>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Partly</w:t>
            </w:r>
          </w:p>
        </w:tc>
      </w:tr>
      <w:tr>
        <w:trPr>
          <w:cantSplit/>
        </w:trPr>
        <w:tc>
          <w:tcPr>
            <w:tcW w:type="dxa" w:w="2536"/>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Is there a catalyst?</w:t>
            </w:r>
          </w:p>
        </w:tc>
        <w:tc>
          <w:tcPr>
            <w:tcW w:type="dxa" w:w="5266"/>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Plan targets met early → new capital policy expected Feb 2027; cross-shareholding sales; activism precedents at peers</w:t>
            </w:r>
          </w:p>
        </w:tc>
        <w:tc>
          <w:tcPr>
            <w:tcW w:type="dxa" w:w="1944"/>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Plausible</w:t>
            </w:r>
          </w:p>
        </w:tc>
      </w:tr>
      <w:tr>
        <w:trPr>
          <w:cantSplit/>
        </w:trPr>
        <w:tc>
          <w:tcPr>
            <w:tcW w:type="dxa" w:w="253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Is governance aligned?</w:t>
            </w:r>
          </w:p>
        </w:tc>
        <w:tc>
          <w:tcPr>
            <w:tcW w:type="dxa" w:w="526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Insiders own 0.08%; ex-banker chair; one-year director terms since 2025</w:t>
            </w:r>
          </w:p>
        </w:tc>
        <w:tc>
          <w:tcPr>
            <w:tcW w:type="dxa" w:w="1944"/>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Weak to neutral</w:t>
            </w:r>
          </w:p>
        </w:tc>
      </w:tr>
      <w:tr>
        <w:trPr>
          <w:cantSplit/>
        </w:trPr>
        <w:tc>
          <w:tcPr>
            <w:tcW w:type="dxa" w:w="2536"/>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Could the balance sheet turn value into a trap?</w:t>
            </w:r>
          </w:p>
        </w:tc>
        <w:tc>
          <w:tcPr>
            <w:tcW w:type="dxa" w:w="5266"/>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Debt/equity 2.53x; net debt/EBITDA 12x; rates rising</w:t>
            </w:r>
          </w:p>
        </w:tc>
        <w:tc>
          <w:tcPr>
            <w:tcW w:type="dxa" w:w="1944"/>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bCs/>
                <w:color w:val="1F2533"/>
                <w:sz w:val="16"/>
                <w:szCs w:val="16"/>
              </w:rPr>
              <w:t xml:space="preserve">The key risk</w:t>
            </w:r>
          </w:p>
        </w:tc>
      </w:tr>
    </w:tbl>
    <w:p>
      <w:pPr>
        <w:spacing w:after="120" w:before="0" w:line="276" w:lineRule="auto"/>
      </w:pPr>
    </w:p>
    <w:p>
      <w:pPr>
        <w:spacing w:after="110" w:before="0" w:line="276" w:lineRule="auto"/>
      </w:pPr>
      <w:r>
        <w:rPr>
          <w:rFonts w:ascii="Arial" w:cs="Arial" w:eastAsia="Yu Gothic" w:hAnsi="Arial"/>
          <w:b/>
          <w:bCs/>
          <w:color w:val="1F2533"/>
          <w:sz w:val="19"/>
          <w:szCs w:val="19"/>
        </w:rPr>
        <w:t xml:space="preserve">Conclusion: not a classic value trap.</w:t>
      </w:r>
      <w:r>
        <w:rPr>
          <w:rFonts w:ascii="Arial" w:cs="Arial" w:eastAsia="Yu Gothic" w:hAnsi="Arial"/>
          <w:color w:val="1F2533"/>
          <w:sz w:val="19"/>
          <w:szCs w:val="19"/>
        </w:rPr>
        <w:t xml:space="preserve"> Earnings and book value are compounding at 9–14% a year. But the discount is mostly structural (leverage plus a sector-wide NAV discount), and closing it requires a capital-policy catalyst: buybacks funded by asset sales.</w:t>
      </w:r>
    </w:p>
    <w:p>
      <w:pPr>
        <w:pBdr>
          <w:left w:val="single" w:color="2F6FD0" w:sz="24" w:space="8"/>
        </w:pBdr>
        <w:shd w:fill="EEF3FA" w:color="auto" w:val="clear"/>
        <w:spacing w:after="160" w:before="60" w:line="264" w:lineRule="auto"/>
        <w:ind w:left="200" w:right="200"/>
      </w:pPr>
      <w:r>
        <w:rPr>
          <w:rFonts w:ascii="Arial" w:cs="Arial" w:eastAsia="Yu Gothic" w:hAnsi="Arial"/>
          <w:b/>
          <w:bCs/>
          <w:color w:val="15233F"/>
          <w:sz w:val="18"/>
          <w:szCs w:val="18"/>
        </w:rPr>
        <w:t xml:space="preserve">Key takeaway:</w:t>
      </w:r>
      <w:r>
        <w:rPr>
          <w:rFonts w:ascii="Arial" w:cs="Arial" w:eastAsia="Yu Gothic" w:hAnsi="Arial"/>
          <w:color w:val="15233F"/>
          <w:sz w:val="18"/>
          <w:szCs w:val="18"/>
        </w:rPr>
        <w:t xml:space="preserve"> At ¥3,211, Tokyo Tatemono is cheap only on equity multiples (10.3x P/E, 1.10x P/B, 0.65x NAV). It is fair on enterprise value (EV/Sales on the regression line; EV/EBITDA 17.7x against a 17.0x median) and expensive against its own EV history. The regression-implied value of ¥3,271 is close to our target.</w:t>
      </w:r>
    </w:p>
    <w:p>
      <w:pPr>
        <w:pStyle w:val="Heading1"/>
        <w:keepNext/>
        <w:keepLines/>
        <w:pageBreakBefore/>
        <w:pBdr>
          <w:bottom w:val="single" w:color="2F6FD0" w:sz="12" w:space="6"/>
        </w:pBdr>
        <w:spacing w:after="160" w:before="0" w:line="252" w:lineRule="auto"/>
      </w:pPr>
      <w:r>
        <w:rPr>
          <w:rFonts w:ascii="Arial" w:cs="Arial" w:eastAsia="Yu Gothic" w:hAnsi="Arial"/>
          <w:b/>
          <w:bCs/>
          <w:color w:val="15233F"/>
          <w:sz w:val="32"/>
          <w:szCs w:val="32"/>
        </w:rPr>
        <w:t xml:space="preserve">11. M&amp;A: a credible but unlikely target, with a takeout zone of ¥4,170–4,820</w:t>
      </w:r>
    </w:p>
    <w:p>
      <w:pPr>
        <w:pStyle w:val="Heading2"/>
        <w:keepNext/>
        <w:keepLines/>
        <w:spacing w:after="90" w:before="260" w:line="252" w:lineRule="auto"/>
      </w:pPr>
      <w:r>
        <w:rPr>
          <w:rFonts w:ascii="Arial" w:cs="Arial" w:eastAsia="Yu Gothic" w:hAnsi="Arial"/>
          <w:b/>
          <w:bCs/>
          <w:color w:val="15233F"/>
          <w:sz w:val="25"/>
          <w:szCs w:val="25"/>
        </w:rPr>
        <w:t xml:space="preserve">Recent M&amp;A in Japanese real estate</w:t>
      </w:r>
    </w:p>
    <w:p>
      <w:pPr>
        <w:spacing w:after="110" w:before="0" w:line="276" w:lineRule="auto"/>
      </w:pPr>
      <w:r>
        <w:rPr>
          <w:rFonts w:ascii="Arial" w:cs="Arial" w:eastAsia="Yu Gothic" w:hAnsi="Arial"/>
          <w:b/>
          <w:bCs/>
          <w:color w:val="1F2533"/>
          <w:sz w:val="19"/>
          <w:szCs w:val="19"/>
        </w:rPr>
        <w:t xml:space="preserve">There have been plenty of bids in 2021–2026, but only for small and mid-cap companies.</w:t>
      </w:r>
      <w:r>
        <w:rPr>
          <w:rFonts w:ascii="Arial" w:cs="Arial" w:eastAsia="Yu Gothic" w:hAnsi="Arial"/>
          <w:color w:val="1F2533"/>
          <w:sz w:val="19"/>
          <w:szCs w:val="19"/>
        </w:rPr>
        <w:t xml:space="preserve"> A scan of EDINET filings from November 2022 to October 2026 found </w:t>
      </w:r>
      <w:r>
        <w:rPr>
          <w:rFonts w:ascii="Arial" w:cs="Arial" w:eastAsia="Yu Gothic" w:hAnsi="Arial"/>
          <w:b/>
          <w:bCs/>
          <w:color w:val="1F2533"/>
          <w:sz w:val="19"/>
          <w:szCs w:val="19"/>
        </w:rPr>
        <w:t xml:space="preserve">28 tender offers for listed real-estate companies and J-REITs</w:t>
      </w:r>
      <w:r>
        <w:rPr>
          <w:rFonts w:ascii="Arial" w:cs="Arial" w:eastAsia="Yu Gothic" w:hAnsi="Arial"/>
          <w:color w:val="1F2533"/>
          <w:sz w:val="19"/>
          <w:szCs w:val="19"/>
        </w:rPr>
        <w:t xml:space="preserve">. They fall into three groups:</w:t>
      </w:r>
    </w:p>
    <w:p>
      <w:pPr>
        <w:pStyle w:val="ListParagraph"/>
        <w:numPr>
          <w:ilvl w:val="0"/>
          <w:numId w:val="10"/>
        </w:numPr>
        <w:spacing w:after="60" w:line="264" w:lineRule="auto"/>
      </w:pPr>
      <w:r>
        <w:rPr>
          <w:rFonts w:ascii="Arial" w:cs="Arial" w:eastAsia="Yu Gothic" w:hAnsi="Arial"/>
          <w:b/>
          <w:bCs/>
          <w:color w:val="1F2533"/>
          <w:sz w:val="19"/>
          <w:szCs w:val="19"/>
        </w:rPr>
        <w:t xml:space="preserve">Strategic consolidation of small developers and condo platforms.</w:t>
      </w:r>
      <w:r>
        <w:rPr>
          <w:rFonts w:ascii="Arial" w:cs="Arial" w:eastAsia="Yu Gothic" w:hAnsi="Arial"/>
          <w:color w:val="1F2533"/>
          <w:sz w:val="19"/>
          <w:szCs w:val="19"/>
        </w:rPr>
        <w:t xml:space="preserve"> For example: Open House→Pressance, Daito Trust→Ascot and The Global Sha, Haseko→Wood Friends, Sumitomo Forestry→LeTech, Seibu Real Estate→E-Grand, Hulic→Raysum, Keio→Sunwood, Toho→Tokyo Rakutenchi, and Tokyu Land→Renewable Japan.</w:t>
      </w:r>
    </w:p>
    <w:p>
      <w:pPr>
        <w:pStyle w:val="ListParagraph"/>
        <w:numPr>
          <w:ilvl w:val="0"/>
          <w:numId w:val="10"/>
        </w:numPr>
        <w:spacing w:after="60" w:line="264" w:lineRule="auto"/>
      </w:pPr>
      <w:r>
        <w:rPr>
          <w:rFonts w:ascii="Arial" w:cs="Arial" w:eastAsia="Yu Gothic" w:hAnsi="Arial"/>
          <w:b/>
          <w:bCs/>
          <w:color w:val="1F2533"/>
          <w:sz w:val="19"/>
          <w:szCs w:val="19"/>
        </w:rPr>
        <w:t xml:space="preserve">Financial-sponsor take-privates.</w:t>
      </w:r>
      <w:r>
        <w:rPr>
          <w:rFonts w:ascii="Arial" w:cs="Arial" w:eastAsia="Yu Gothic" w:hAnsi="Arial"/>
          <w:color w:val="1F2533"/>
          <w:sz w:val="19"/>
          <w:szCs w:val="19"/>
        </w:rPr>
        <w:t xml:space="preserve"> Samty, Sun Frontier (partial), JSB, JPMC and Leopalace21.</w:t>
      </w:r>
    </w:p>
    <w:p>
      <w:pPr>
        <w:pStyle w:val="ListParagraph"/>
        <w:numPr>
          <w:ilvl w:val="0"/>
          <w:numId w:val="10"/>
        </w:numPr>
        <w:spacing w:after="60" w:line="264" w:lineRule="auto"/>
      </w:pPr>
      <w:r>
        <w:rPr>
          <w:rFonts w:ascii="Arial" w:cs="Arial" w:eastAsia="Yu Gothic" w:hAnsi="Arial"/>
          <w:b/>
          <w:bCs/>
          <w:color w:val="1F2533"/>
          <w:sz w:val="19"/>
          <w:szCs w:val="19"/>
        </w:rPr>
        <w:t xml:space="preserve">Contested bids for J-REITs.</w:t>
      </w:r>
      <w:r>
        <w:rPr>
          <w:rFonts w:ascii="Arial" w:cs="Arial" w:eastAsia="Yu Gothic" w:hAnsi="Arial"/>
          <w:color w:val="1F2533"/>
          <w:sz w:val="19"/>
          <w:szCs w:val="19"/>
        </w:rPr>
        <w:t xml:space="preserve"> For example, two competing bids for Sankei Real Estate within nine months.</w:t>
      </w:r>
    </w:p>
    <w:p>
      <w:pPr>
        <w:spacing w:after="40" w:before="0" w:line="276" w:lineRule="auto"/>
      </w:pPr>
    </w:p>
    <w:p>
      <w:pPr>
        <w:spacing w:after="110" w:before="0" w:line="276" w:lineRule="auto"/>
      </w:pPr>
      <w:r>
        <w:rPr>
          <w:rFonts w:ascii="Arial" w:cs="Arial" w:eastAsia="Yu Gothic" w:hAnsi="Arial"/>
          <w:color w:val="1F2533"/>
          <w:sz w:val="19"/>
          <w:szCs w:val="19"/>
        </w:rPr>
        <w:t xml:space="preserve">No integrated major has been bid for. The largest real-estate targets of 2023–26 had equity values of about ¥0.2–0.3tn: Leopalace21 at ≈¥270bn (</w:t>
      </w:r>
      <w:hyperlink w:history="1" r:id="rIdys0dar3g5pr4u4dpbkkgp">
        <w:r>
          <w:rPr>
            <w:rFonts w:ascii="Arial" w:cs="Arial" w:eastAsia="Yu Gothic" w:hAnsi="Arial"/>
            <w:color w:val="2F6FD0"/>
            <w:sz w:val="19"/>
            <w:szCs w:val="19"/>
            <w:u w:val="single"/>
          </w:rPr>
          <w:t xml:space="preserve">Kabutan</w:t>
        </w:r>
      </w:hyperlink>
      <w:r>
        <w:rPr>
          <w:rFonts w:ascii="Arial" w:cs="Arial" w:eastAsia="Yu Gothic" w:hAnsi="Arial"/>
          <w:color w:val="1F2533"/>
          <w:sz w:val="19"/>
          <w:szCs w:val="19"/>
        </w:rPr>
        <w:t xml:space="preserve">) and NTT UD REIT at ≈¥214bn market cap (</w:t>
      </w:r>
      <w:hyperlink w:history="1" r:id="rId--hrtlfs-nh5-b7ltukwz">
        <w:r>
          <w:rPr>
            <w:rFonts w:ascii="Arial" w:cs="Arial" w:eastAsia="Yu Gothic" w:hAnsi="Arial"/>
            <w:color w:val="2F6FD0"/>
            <w:sz w:val="19"/>
            <w:szCs w:val="19"/>
            <w:u w:val="single"/>
          </w:rPr>
          <w:t xml:space="preserve">Shikiho</w:t>
        </w:r>
      </w:hyperlink>
      <w:r>
        <w:rPr>
          <w:rFonts w:ascii="Arial" w:cs="Arial" w:eastAsia="Yu Gothic" w:hAnsi="Arial"/>
          <w:color w:val="1F2533"/>
          <w:sz w:val="19"/>
          <w:szCs w:val="19"/>
        </w:rPr>
        <w:t xml:space="preserve">).</w:t>
      </w:r>
    </w:p>
    <w:p>
      <w:pPr>
        <w:spacing w:after="110" w:before="0" w:line="276" w:lineRule="auto"/>
      </w:pPr>
      <w:r>
        <w:rPr>
          <w:rFonts w:ascii="Arial" w:cs="Arial" w:eastAsia="Yu Gothic" w:hAnsi="Arial"/>
          <w:b/>
          <w:bCs/>
          <w:color w:val="1F2533"/>
          <w:sz w:val="19"/>
          <w:szCs w:val="19"/>
        </w:rPr>
        <w:t xml:space="preserve">Activists are already active in the sector:</w:t>
      </w:r>
    </w:p>
    <w:p>
      <w:pPr>
        <w:pStyle w:val="ListParagraph"/>
        <w:numPr>
          <w:ilvl w:val="0"/>
          <w:numId w:val="2"/>
        </w:numPr>
        <w:spacing w:after="60" w:line="264" w:lineRule="auto"/>
      </w:pPr>
      <w:r>
        <w:rPr>
          <w:rFonts w:ascii="Arial" w:cs="Arial" w:eastAsia="Yu Gothic" w:hAnsi="Arial"/>
          <w:color w:val="1F2533"/>
          <w:sz w:val="19"/>
          <w:szCs w:val="19"/>
        </w:rPr>
        <w:t xml:space="preserve">Elliott holds 3.5% of Sumitomo Realty (</w:t>
      </w:r>
      <w:hyperlink w:history="1" r:id="rIdfekp6ebt0e27hemvr0au1">
        <w:r>
          <w:rPr>
            <w:rFonts w:ascii="Arial" w:cs="Arial" w:eastAsia="Yu Gothic" w:hAnsi="Arial"/>
            <w:color w:val="2F6FD0"/>
            <w:sz w:val="19"/>
            <w:szCs w:val="19"/>
            <w:u w:val="single"/>
          </w:rPr>
          <w:t xml:space="preserve">Shikiho</w:t>
        </w:r>
      </w:hyperlink>
      <w:r>
        <w:rPr>
          <w:rFonts w:ascii="Arial" w:cs="Arial" w:eastAsia="Yu Gothic" w:hAnsi="Arial"/>
          <w:color w:val="1F2533"/>
          <w:sz w:val="19"/>
          <w:szCs w:val="19"/>
        </w:rPr>
        <w:t xml:space="preserve">).</w:t>
      </w:r>
    </w:p>
    <w:p>
      <w:pPr>
        <w:pStyle w:val="ListParagraph"/>
        <w:numPr>
          <w:ilvl w:val="0"/>
          <w:numId w:val="2"/>
        </w:numPr>
        <w:spacing w:after="60" w:line="264" w:lineRule="auto"/>
      </w:pPr>
      <w:r>
        <w:rPr>
          <w:rFonts w:ascii="Arial" w:cs="Arial" w:eastAsia="Yu Gothic" w:hAnsi="Arial"/>
          <w:color w:val="1F2533"/>
          <w:sz w:val="19"/>
          <w:szCs w:val="19"/>
        </w:rPr>
        <w:t xml:space="preserve">An activist pressed Mitsui Fudosan in 2024 to sell its Oriental Land stake and buy back about US$6.7bn of shares (</w:t>
      </w:r>
      <w:hyperlink w:history="1" r:id="rIdejwhtnugydii7pwuinvtg">
        <w:r>
          <w:rPr>
            <w:rFonts w:ascii="Arial" w:cs="Arial" w:eastAsia="Yu Gothic" w:hAnsi="Arial"/>
            <w:color w:val="2F6FD0"/>
            <w:sz w:val="19"/>
            <w:szCs w:val="19"/>
            <w:u w:val="single"/>
          </w:rPr>
          <w:t xml:space="preserve">Benzinga</w:t>
        </w:r>
      </w:hyperlink>
      <w:r>
        <w:rPr>
          <w:rFonts w:ascii="Arial" w:cs="Arial" w:eastAsia="Yu Gothic" w:hAnsi="Arial"/>
          <w:color w:val="1F2533"/>
          <w:sz w:val="19"/>
          <w:szCs w:val="19"/>
        </w:rPr>
        <w:t xml:space="preserve">). Mitsui then moved to a total payout ratio of at least 50%.</w:t>
      </w:r>
    </w:p>
    <w:p>
      <w:pPr>
        <w:pStyle w:val="ListParagraph"/>
        <w:numPr>
          <w:ilvl w:val="0"/>
          <w:numId w:val="2"/>
        </w:numPr>
        <w:spacing w:after="60" w:line="264" w:lineRule="auto"/>
      </w:pPr>
      <w:r>
        <w:rPr>
          <w:rFonts w:ascii="Arial" w:cs="Arial" w:eastAsia="Yu Gothic" w:hAnsi="Arial"/>
          <w:color w:val="1F2533"/>
          <w:sz w:val="19"/>
          <w:szCs w:val="19"/>
        </w:rPr>
        <w:t xml:space="preserve">Ichigo Trust holds 12.6% of Open House, and Aya Nomura 5.3% of Heiwa Real Estate.</w:t>
      </w:r>
    </w:p>
    <w:p>
      <w:pPr>
        <w:spacing w:after="40" w:before="0" w:line="276" w:lineRule="auto"/>
      </w:pPr>
    </w:p>
    <w:p>
      <w:pPr>
        <w:pStyle w:val="Heading2"/>
        <w:keepNext/>
        <w:keepLines/>
        <w:spacing w:after="90" w:before="260" w:line="252" w:lineRule="auto"/>
      </w:pPr>
      <w:r>
        <w:rPr>
          <w:rFonts w:ascii="Arial" w:cs="Arial" w:eastAsia="Yu Gothic" w:hAnsi="Arial"/>
          <w:b/>
          <w:bCs/>
          <w:color w:val="15233F"/>
          <w:sz w:val="25"/>
          <w:szCs w:val="25"/>
        </w:rPr>
        <w:t xml:space="preserve">Comparable transactions with disclosed terms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12"/>
        <w:gridCol w:w="1389"/>
        <w:gridCol w:w="1381"/>
        <w:gridCol w:w="1391"/>
        <w:gridCol w:w="1091"/>
        <w:gridCol w:w="1248"/>
        <w:gridCol w:w="2034"/>
      </w:tblGrid>
      <w:tr>
        <w:trPr>
          <w:cantSplit/>
          <w:tblHeader/>
        </w:trPr>
        <w:tc>
          <w:tcPr>
            <w:tcW w:type="dxa" w:w="1212"/>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bCs/>
                <w:color w:val="FFFFFF"/>
                <w:sz w:val="14"/>
                <w:szCs w:val="14"/>
              </w:rPr>
              <w:t xml:space="preserve">Announced</w:t>
            </w:r>
          </w:p>
        </w:tc>
        <w:tc>
          <w:tcPr>
            <w:tcW w:type="dxa" w:w="1389"/>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4"/>
                <w:szCs w:val="14"/>
              </w:rPr>
              <w:t xml:space="preserve">Target</w:t>
            </w:r>
          </w:p>
        </w:tc>
        <w:tc>
          <w:tcPr>
            <w:tcW w:type="dxa" w:w="1381"/>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4"/>
                <w:szCs w:val="14"/>
              </w:rPr>
              <w:t xml:space="preserve">Acquirer</w:t>
            </w:r>
          </w:p>
        </w:tc>
        <w:tc>
          <w:tcPr>
            <w:tcW w:type="dxa" w:w="1391"/>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4"/>
                <w:szCs w:val="14"/>
              </w:rPr>
              <w:t xml:space="preserve">Structure</w:t>
            </w:r>
          </w:p>
        </w:tc>
        <w:tc>
          <w:tcPr>
            <w:tcW w:type="dxa" w:w="1091"/>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4"/>
                <w:szCs w:val="14"/>
              </w:rPr>
              <w:t xml:space="preserve">Price / premium</w:t>
            </w:r>
          </w:p>
        </w:tc>
        <w:tc>
          <w:tcPr>
            <w:tcW w:type="dxa" w:w="1248"/>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4"/>
                <w:szCs w:val="14"/>
              </w:rPr>
              <w:t xml:space="preserve">Deal value</w:t>
            </w:r>
          </w:p>
        </w:tc>
        <w:tc>
          <w:tcPr>
            <w:tcW w:type="dxa" w:w="2034"/>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4"/>
                <w:szCs w:val="14"/>
              </w:rPr>
              <w:t xml:space="preserve">Read-across for Tokyo Tatemono</w:t>
            </w:r>
          </w:p>
        </w:tc>
      </w:tr>
      <w:tr>
        <w:trPr>
          <w:cantSplit/>
        </w:trPr>
        <w:tc>
          <w:tcPr>
            <w:tcW w:type="dxa" w:w="1212"/>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4"/>
                <w:szCs w:val="14"/>
              </w:rPr>
              <w:t xml:space="preserve">30 Nov 2021</w:t>
            </w:r>
          </w:p>
        </w:tc>
        <w:tc>
          <w:tcPr>
            <w:tcW w:type="dxa" w:w="1389"/>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4"/>
                <w:szCs w:val="14"/>
              </w:rPr>
              <w:t xml:space="preserve">Daibiru (8806)</w:t>
            </w:r>
          </w:p>
        </w:tc>
        <w:tc>
          <w:tcPr>
            <w:tcW w:type="dxa" w:w="1381"/>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4"/>
                <w:szCs w:val="14"/>
              </w:rPr>
              <w:t xml:space="preserve">Mitsui O.S.K. Lines (owned 51.9%)</w:t>
            </w:r>
          </w:p>
        </w:tc>
        <w:tc>
          <w:tcPr>
            <w:tcW w:type="dxa" w:w="1391"/>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4"/>
                <w:szCs w:val="14"/>
              </w:rPr>
              <w:t xml:space="preserve">Minority buy-out</w:t>
            </w:r>
          </w:p>
        </w:tc>
        <w:tc>
          <w:tcPr>
            <w:tcW w:type="dxa" w:w="1091"/>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4"/>
                <w:szCs w:val="14"/>
              </w:rPr>
              <w:t xml:space="preserve">¥2,200 per share</w:t>
            </w:r>
          </w:p>
        </w:tc>
        <w:tc>
          <w:tcPr>
            <w:tcW w:type="dxa" w:w="1248"/>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4"/>
                <w:szCs w:val="14"/>
              </w:rPr>
              <w:t xml:space="preserve">¥121.3bn</w:t>
            </w:r>
          </w:p>
        </w:tc>
        <w:tc>
          <w:tcPr>
            <w:tcW w:type="dxa" w:w="2034"/>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4"/>
                <w:szCs w:val="14"/>
              </w:rPr>
              <w:t xml:space="preserve">Office-landlord squeeze-out (</w:t>
            </w:r>
            <w:hyperlink w:history="1" r:id="rIdyltb2gnc0qa3y0zlrw4zw">
              <w:r>
                <w:rPr>
                  <w:rFonts w:ascii="Arial" w:cs="Arial" w:eastAsia="Yu Gothic" w:hAnsi="Arial"/>
                  <w:color w:val="2F6FD0"/>
                  <w:sz w:val="14"/>
                  <w:szCs w:val="14"/>
                  <w:u w:val="single"/>
                </w:rPr>
                <w:t xml:space="preserve">sbbit</w:t>
              </w:r>
            </w:hyperlink>
            <w:r>
              <w:rPr>
                <w:rFonts w:ascii="Arial" w:cs="Arial" w:eastAsia="Yu Gothic" w:hAnsi="Arial"/>
                <w:color w:val="1F2533"/>
                <w:sz w:val="14"/>
                <w:szCs w:val="14"/>
              </w:rPr>
              <w:t xml:space="preserve">)</w:t>
            </w:r>
          </w:p>
        </w:tc>
      </w:tr>
      <w:tr>
        <w:trPr>
          <w:cantSplit/>
        </w:trPr>
        <w:tc>
          <w:tcPr>
            <w:tcW w:type="dxa" w:w="1212"/>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4"/>
                <w:szCs w:val="14"/>
              </w:rPr>
              <w:t xml:space="preserve">10 Feb 2022</w:t>
            </w:r>
          </w:p>
        </w:tc>
        <w:tc>
          <w:tcPr>
            <w:tcW w:type="dxa" w:w="1389"/>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4"/>
                <w:szCs w:val="14"/>
              </w:rPr>
              <w:t xml:space="preserve">31 Prince hotel and leisure assets</w:t>
            </w:r>
          </w:p>
        </w:tc>
        <w:tc>
          <w:tcPr>
            <w:tcW w:type="dxa" w:w="1381"/>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4"/>
                <w:szCs w:val="14"/>
              </w:rPr>
              <w:t xml:space="preserve">GIC (from Seibu HD)</w:t>
            </w:r>
          </w:p>
        </w:tc>
        <w:tc>
          <w:tcPr>
            <w:tcW w:type="dxa" w:w="1391"/>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4"/>
                <w:szCs w:val="14"/>
              </w:rPr>
              <w:t xml:space="preserve">Asset sale with management retained</w:t>
            </w:r>
          </w:p>
        </w:tc>
        <w:tc>
          <w:tcPr>
            <w:tcW w:type="dxa" w:w="1091"/>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4"/>
                <w:szCs w:val="14"/>
              </w:rPr>
              <w:t xml:space="preserve">—</w:t>
            </w:r>
          </w:p>
        </w:tc>
        <w:tc>
          <w:tcPr>
            <w:tcW w:type="dxa" w:w="1248"/>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4"/>
                <w:szCs w:val="14"/>
              </w:rPr>
              <w:t xml:space="preserve">≈¥150bn (gain ≈¥80bn, ≈2.1x seller's book value)</w:t>
            </w:r>
          </w:p>
        </w:tc>
        <w:tc>
          <w:tcPr>
            <w:tcW w:type="dxa" w:w="2034"/>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4"/>
                <w:szCs w:val="14"/>
              </w:rPr>
              <w:t xml:space="preserve">Sovereign appetite for hotels (</w:t>
            </w:r>
            <w:hyperlink w:history="1" r:id="rIdisdbgk5_3qps-g-i4iq6n">
              <w:r>
                <w:rPr>
                  <w:rFonts w:ascii="Arial" w:cs="Arial" w:eastAsia="Yu Gothic" w:hAnsi="Arial"/>
                  <w:color w:val="2F6FD0"/>
                  <w:sz w:val="14"/>
                  <w:szCs w:val="14"/>
                  <w:u w:val="single"/>
                </w:rPr>
                <w:t xml:space="preserve">sbbit</w:t>
              </w:r>
            </w:hyperlink>
            <w:r>
              <w:rPr>
                <w:rFonts w:ascii="Arial" w:cs="Arial" w:eastAsia="Yu Gothic" w:hAnsi="Arial"/>
                <w:color w:val="1F2533"/>
                <w:sz w:val="14"/>
                <w:szCs w:val="14"/>
              </w:rPr>
              <w:t xml:space="preserve">)</w:t>
            </w:r>
          </w:p>
        </w:tc>
      </w:tr>
      <w:tr>
        <w:trPr>
          <w:cantSplit/>
        </w:trPr>
        <w:tc>
          <w:tcPr>
            <w:tcW w:type="dxa" w:w="1212"/>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4"/>
                <w:szCs w:val="14"/>
              </w:rPr>
              <w:t xml:space="preserve">17 Mar 2022</w:t>
            </w:r>
          </w:p>
        </w:tc>
        <w:tc>
          <w:tcPr>
            <w:tcW w:type="dxa" w:w="1389"/>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4"/>
                <w:szCs w:val="14"/>
              </w:rPr>
              <w:t xml:space="preserve">Mitsubishi Corp.-UBS Realty (J-REIT manager, ≈¥1.7tn AUM)</w:t>
            </w:r>
          </w:p>
        </w:tc>
        <w:tc>
          <w:tcPr>
            <w:tcW w:type="dxa" w:w="1381"/>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4"/>
                <w:szCs w:val="14"/>
              </w:rPr>
              <w:t xml:space="preserve">KKR</w:t>
            </w:r>
          </w:p>
        </w:tc>
        <w:tc>
          <w:tcPr>
            <w:tcW w:type="dxa" w:w="1391"/>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4"/>
                <w:szCs w:val="14"/>
              </w:rPr>
              <w:t xml:space="preserve">Company acquisition</w:t>
            </w:r>
          </w:p>
        </w:tc>
        <w:tc>
          <w:tcPr>
            <w:tcW w:type="dxa" w:w="1091"/>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4"/>
                <w:szCs w:val="14"/>
              </w:rPr>
              <w:t xml:space="preserve">—</w:t>
            </w:r>
          </w:p>
        </w:tc>
        <w:tc>
          <w:tcPr>
            <w:tcW w:type="dxa" w:w="1248"/>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4"/>
                <w:szCs w:val="14"/>
              </w:rPr>
              <w:t xml:space="preserve">¥230bn (≈1.4% of AUM)</w:t>
            </w:r>
          </w:p>
        </w:tc>
        <w:tc>
          <w:tcPr>
            <w:tcW w:type="dxa" w:w="2034"/>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4"/>
                <w:szCs w:val="14"/>
              </w:rPr>
              <w:t xml:space="preserve">Value of REIT management platforms such as TRIM (Mitsubishi Corp. release no. 0000048879)</w:t>
            </w:r>
          </w:p>
        </w:tc>
      </w:tr>
      <w:tr>
        <w:trPr>
          <w:cantSplit/>
        </w:trPr>
        <w:tc>
          <w:tcPr>
            <w:tcW w:type="dxa" w:w="1212"/>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4"/>
                <w:szCs w:val="14"/>
              </w:rPr>
              <w:t xml:space="preserve">Oct 2024</w:t>
            </w:r>
          </w:p>
        </w:tc>
        <w:tc>
          <w:tcPr>
            <w:tcW w:type="dxa" w:w="1389"/>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4"/>
                <w:szCs w:val="14"/>
              </w:rPr>
              <w:t xml:space="preserve">Samty HD (187A)</w:t>
            </w:r>
          </w:p>
        </w:tc>
        <w:tc>
          <w:tcPr>
            <w:tcW w:type="dxa" w:w="1381"/>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4"/>
                <w:szCs w:val="14"/>
              </w:rPr>
              <w:t xml:space="preserve">Hillhouse (Song Bidco)</w:t>
            </w:r>
          </w:p>
        </w:tc>
        <w:tc>
          <w:tcPr>
            <w:tcW w:type="dxa" w:w="1391"/>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4"/>
                <w:szCs w:val="14"/>
              </w:rPr>
              <w:t xml:space="preserve">Take-private tender offer</w:t>
            </w:r>
          </w:p>
        </w:tc>
        <w:tc>
          <w:tcPr>
            <w:tcW w:type="dxa" w:w="1091"/>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4"/>
                <w:szCs w:val="14"/>
              </w:rPr>
              <w:t xml:space="preserve">¥3,300 per share</w:t>
            </w:r>
          </w:p>
        </w:tc>
        <w:tc>
          <w:tcPr>
            <w:tcW w:type="dxa" w:w="1248"/>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4"/>
                <w:szCs w:val="14"/>
              </w:rPr>
              <w:t xml:space="preserve">n/a</w:t>
            </w:r>
          </w:p>
        </w:tc>
        <w:tc>
          <w:tcPr>
            <w:tcW w:type="dxa" w:w="2034"/>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4"/>
                <w:szCs w:val="14"/>
              </w:rPr>
              <w:t xml:space="preserve">Sponsor take-private of a developer (</w:t>
            </w:r>
            <w:hyperlink w:history="1" r:id="rId9qq7qvmivkh4djsnwn3x8">
              <w:r>
                <w:rPr>
                  <w:rFonts w:ascii="Arial" w:cs="Arial" w:eastAsia="Yu Gothic" w:hAnsi="Arial"/>
                  <w:color w:val="2F6FD0"/>
                  <w:sz w:val="14"/>
                  <w:szCs w:val="14"/>
                  <w:u w:val="single"/>
                </w:rPr>
                <w:t xml:space="preserve">nihon-ma</w:t>
              </w:r>
            </w:hyperlink>
            <w:r>
              <w:rPr>
                <w:rFonts w:ascii="Arial" w:cs="Arial" w:eastAsia="Yu Gothic" w:hAnsi="Arial"/>
                <w:color w:val="1F2533"/>
                <w:sz w:val="14"/>
                <w:szCs w:val="14"/>
              </w:rPr>
              <w:t xml:space="preserve">)</w:t>
            </w:r>
          </w:p>
        </w:tc>
      </w:tr>
      <w:tr>
        <w:trPr>
          <w:cantSplit/>
        </w:trPr>
        <w:tc>
          <w:tcPr>
            <w:tcW w:type="dxa" w:w="1212"/>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4"/>
                <w:szCs w:val="14"/>
              </w:rPr>
              <w:t xml:space="preserve">2025</w:t>
            </w:r>
          </w:p>
        </w:tc>
        <w:tc>
          <w:tcPr>
            <w:tcW w:type="dxa" w:w="1389"/>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4"/>
                <w:szCs w:val="14"/>
              </w:rPr>
              <w:t xml:space="preserve">Tokyo Garden Terrace Kioicho</w:t>
            </w:r>
          </w:p>
        </w:tc>
        <w:tc>
          <w:tcPr>
            <w:tcW w:type="dxa" w:w="1381"/>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4"/>
                <w:szCs w:val="14"/>
              </w:rPr>
              <w:t xml:space="preserve">Blackstone (from Seibu HD)</w:t>
            </w:r>
          </w:p>
        </w:tc>
        <w:tc>
          <w:tcPr>
            <w:tcW w:type="dxa" w:w="1391"/>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4"/>
                <w:szCs w:val="14"/>
              </w:rPr>
              <w:t xml:space="preserve">Asset deal</w:t>
            </w:r>
          </w:p>
        </w:tc>
        <w:tc>
          <w:tcPr>
            <w:tcW w:type="dxa" w:w="1091"/>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4"/>
                <w:szCs w:val="14"/>
              </w:rPr>
              <w:t xml:space="preserve">—</w:t>
            </w:r>
          </w:p>
        </w:tc>
        <w:tc>
          <w:tcPr>
            <w:tcW w:type="dxa" w:w="1248"/>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4"/>
                <w:szCs w:val="14"/>
              </w:rPr>
              <w:t xml:space="preserve">≈¥400bn (≈2.9x seller's book of ¥139.6bn)</w:t>
            </w:r>
          </w:p>
        </w:tc>
        <w:tc>
          <w:tcPr>
            <w:tcW w:type="dxa" w:w="2034"/>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4"/>
                <w:szCs w:val="14"/>
              </w:rPr>
              <w:t xml:space="preserve">Largest foreign real-estate deal in Japan; supports NAV marks (</w:t>
            </w:r>
            <w:hyperlink w:history="1" r:id="rIdsu6rpiyddgvt16oqz9tet">
              <w:r>
                <w:rPr>
                  <w:rFonts w:ascii="Arial" w:cs="Arial" w:eastAsia="Yu Gothic" w:hAnsi="Arial"/>
                  <w:color w:val="2F6FD0"/>
                  <w:sz w:val="14"/>
                  <w:szCs w:val="14"/>
                  <w:u w:val="single"/>
                </w:rPr>
                <w:t xml:space="preserve">trafficnews</w:t>
              </w:r>
            </w:hyperlink>
            <w:r>
              <w:rPr>
                <w:rFonts w:ascii="Arial" w:cs="Arial" w:eastAsia="Yu Gothic" w:hAnsi="Arial"/>
                <w:color w:val="1F2533"/>
                <w:sz w:val="14"/>
                <w:szCs w:val="14"/>
              </w:rPr>
              <w:t xml:space="preserve">)</w:t>
            </w:r>
          </w:p>
        </w:tc>
      </w:tr>
      <w:tr>
        <w:trPr>
          <w:cantSplit/>
        </w:trPr>
        <w:tc>
          <w:tcPr>
            <w:tcW w:type="dxa" w:w="1212"/>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4"/>
                <w:szCs w:val="14"/>
              </w:rPr>
              <w:t xml:space="preserve">6 Jan 2026</w:t>
            </w:r>
          </w:p>
        </w:tc>
        <w:tc>
          <w:tcPr>
            <w:tcW w:type="dxa" w:w="1389"/>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4"/>
                <w:szCs w:val="14"/>
              </w:rPr>
              <w:t xml:space="preserve">Sankei Real Estate REIT (2972)</w:t>
            </w:r>
          </w:p>
        </w:tc>
        <w:tc>
          <w:tcPr>
            <w:tcW w:type="dxa" w:w="1381"/>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4"/>
                <w:szCs w:val="14"/>
              </w:rPr>
              <w:t xml:space="preserve">Tiger LPS (Tosei; GIC-funded)</w:t>
            </w:r>
          </w:p>
        </w:tc>
        <w:tc>
          <w:tcPr>
            <w:tcW w:type="dxa" w:w="1391"/>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4"/>
                <w:szCs w:val="14"/>
              </w:rPr>
              <w:t xml:space="preserve">First friendly J-REIT tender offer</w:t>
            </w:r>
          </w:p>
        </w:tc>
        <w:tc>
          <w:tcPr>
            <w:tcW w:type="dxa" w:w="1091"/>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4"/>
                <w:szCs w:val="14"/>
              </w:rPr>
              <w:t xml:space="preserve">¥125,000 per unit; +20.9%</w:t>
            </w:r>
          </w:p>
        </w:tc>
        <w:tc>
          <w:tcPr>
            <w:tcW w:type="dxa" w:w="1248"/>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4"/>
                <w:szCs w:val="14"/>
              </w:rPr>
              <w:t xml:space="preserve">n/a</w:t>
            </w:r>
          </w:p>
        </w:tc>
        <w:tc>
          <w:tcPr>
            <w:tcW w:type="dxa" w:w="2034"/>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4"/>
                <w:szCs w:val="14"/>
              </w:rPr>
              <w:t xml:space="preserve">Failed in May 2026; rival City Index Fifth bid on 28 Sep 2026</w:t>
            </w:r>
          </w:p>
        </w:tc>
      </w:tr>
      <w:tr>
        <w:trPr>
          <w:cantSplit/>
        </w:trPr>
        <w:tc>
          <w:tcPr>
            <w:tcW w:type="dxa" w:w="1212"/>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4"/>
                <w:szCs w:val="14"/>
              </w:rPr>
              <w:t xml:space="preserve">Feb 2026</w:t>
            </w:r>
          </w:p>
        </w:tc>
        <w:tc>
          <w:tcPr>
            <w:tcW w:type="dxa" w:w="1389"/>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4"/>
                <w:szCs w:val="14"/>
              </w:rPr>
              <w:t xml:space="preserve">Sun Frontier Fudosan (8934)</w:t>
            </w:r>
          </w:p>
        </w:tc>
        <w:tc>
          <w:tcPr>
            <w:tcW w:type="dxa" w:w="1381"/>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4"/>
                <w:szCs w:val="14"/>
              </w:rPr>
              <w:t xml:space="preserve">Itochu (SI GK)</w:t>
            </w:r>
          </w:p>
        </w:tc>
        <w:tc>
          <w:tcPr>
            <w:tcW w:type="dxa" w:w="1391"/>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4"/>
                <w:szCs w:val="14"/>
              </w:rPr>
              <w:t xml:space="preserve">Partial tender offer plus share allotment</w:t>
            </w:r>
          </w:p>
        </w:tc>
        <w:tc>
          <w:tcPr>
            <w:tcW w:type="dxa" w:w="1091"/>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4"/>
                <w:szCs w:val="14"/>
              </w:rPr>
              <w:t xml:space="preserve">¥2,800 tender; allotment at ¥2,438</w:t>
            </w:r>
          </w:p>
        </w:tc>
        <w:tc>
          <w:tcPr>
            <w:tcW w:type="dxa" w:w="1248"/>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4"/>
                <w:szCs w:val="14"/>
              </w:rPr>
              <w:t xml:space="preserve">20.05% stake (¥13.4bn allotment)</w:t>
            </w:r>
          </w:p>
        </w:tc>
        <w:tc>
          <w:tcPr>
            <w:tcW w:type="dxa" w:w="2034"/>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4"/>
                <w:szCs w:val="14"/>
              </w:rPr>
              <w:t xml:space="preserve">Trading-house capital entering developers (</w:t>
            </w:r>
            <w:hyperlink w:history="1" r:id="rIdmvraycpx2ywg4jorz4ezj">
              <w:r>
                <w:rPr>
                  <w:rFonts w:ascii="Arial" w:cs="Arial" w:eastAsia="Yu Gothic" w:hAnsi="Arial"/>
                  <w:color w:val="2F6FD0"/>
                  <w:sz w:val="14"/>
                  <w:szCs w:val="14"/>
                  <w:u w:val="single"/>
                </w:rPr>
                <w:t xml:space="preserve">nihon-ma</w:t>
              </w:r>
            </w:hyperlink>
            <w:r>
              <w:rPr>
                <w:rFonts w:ascii="Arial" w:cs="Arial" w:eastAsia="Yu Gothic" w:hAnsi="Arial"/>
                <w:color w:val="1F2533"/>
                <w:sz w:val="14"/>
                <w:szCs w:val="14"/>
              </w:rPr>
              <w:t xml:space="preserve">)</w:t>
            </w:r>
          </w:p>
        </w:tc>
      </w:tr>
      <w:tr>
        <w:trPr>
          <w:cantSplit/>
        </w:trPr>
        <w:tc>
          <w:tcPr>
            <w:tcW w:type="dxa" w:w="1212"/>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4"/>
                <w:szCs w:val="14"/>
              </w:rPr>
              <w:t xml:space="preserve">14 Sep 2026</w:t>
            </w:r>
          </w:p>
        </w:tc>
        <w:tc>
          <w:tcPr>
            <w:tcW w:type="dxa" w:w="1389"/>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4"/>
                <w:szCs w:val="14"/>
              </w:rPr>
              <w:t xml:space="preserve">Leopalace21 (8848)</w:t>
            </w:r>
          </w:p>
        </w:tc>
        <w:tc>
          <w:tcPr>
            <w:tcW w:type="dxa" w:w="1381"/>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4"/>
                <w:szCs w:val="14"/>
              </w:rPr>
              <w:t xml:space="preserve">Hikari Tsushin with MBK Partners / NEC Capital (K891)</w:t>
            </w:r>
          </w:p>
        </w:tc>
        <w:tc>
          <w:tcPr>
            <w:tcW w:type="dxa" w:w="1391"/>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4"/>
                <w:szCs w:val="14"/>
              </w:rPr>
              <w:t xml:space="preserve">Take-private tender offer (to 30 Oct 2026)</w:t>
            </w:r>
          </w:p>
        </w:tc>
        <w:tc>
          <w:tcPr>
            <w:tcW w:type="dxa" w:w="1091"/>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4"/>
                <w:szCs w:val="14"/>
              </w:rPr>
              <w:t xml:space="preserve">¥1,000 per share; ≈+45%</w:t>
            </w:r>
          </w:p>
        </w:tc>
        <w:tc>
          <w:tcPr>
            <w:tcW w:type="dxa" w:w="1248"/>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4"/>
                <w:szCs w:val="14"/>
              </w:rPr>
              <w:t xml:space="preserve">≈¥270bn</w:t>
            </w:r>
          </w:p>
        </w:tc>
        <w:tc>
          <w:tcPr>
            <w:tcW w:type="dxa" w:w="2034"/>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4"/>
                <w:szCs w:val="14"/>
              </w:rPr>
              <w:t xml:space="preserve">Shares trade above the offer (¥1,060): the market expects a bump (</w:t>
            </w:r>
            <w:hyperlink w:history="1" r:id="rIdyyrfmax8vox67yjku98g7">
              <w:r>
                <w:rPr>
                  <w:rFonts w:ascii="Arial" w:cs="Arial" w:eastAsia="Yu Gothic" w:hAnsi="Arial"/>
                  <w:color w:val="2F6FD0"/>
                  <w:sz w:val="14"/>
                  <w:szCs w:val="14"/>
                  <w:u w:val="single"/>
                </w:rPr>
                <w:t xml:space="preserve">Kabutan</w:t>
              </w:r>
            </w:hyperlink>
            <w:r>
              <w:rPr>
                <w:rFonts w:ascii="Arial" w:cs="Arial" w:eastAsia="Yu Gothic" w:hAnsi="Arial"/>
                <w:color w:val="1F2533"/>
                <w:sz w:val="14"/>
                <w:szCs w:val="14"/>
              </w:rPr>
              <w:t xml:space="preserve">)</w:t>
            </w:r>
          </w:p>
        </w:tc>
      </w:tr>
      <w:tr>
        <w:trPr>
          <w:cantSplit/>
        </w:trPr>
        <w:tc>
          <w:tcPr>
            <w:tcW w:type="dxa" w:w="1212"/>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i/>
                <w:iCs/>
                <w:color w:val="1F2533"/>
                <w:sz w:val="14"/>
                <w:szCs w:val="14"/>
              </w:rPr>
              <w:t xml:space="preserve">Earlier landmark:</w:t>
            </w:r>
            <w:r>
              <w:rPr>
                <w:rFonts w:ascii="Arial" w:cs="Arial" w:eastAsia="Yu Gothic" w:hAnsi="Arial"/>
                <w:b w:val="false"/>
                <w:bCs w:val="false"/>
                <w:color w:val="1F2533"/>
                <w:sz w:val="14"/>
                <w:szCs w:val="14"/>
              </w:rPr>
              <w:t xml:space="preserve"> 16 Oct 2018</w:t>
            </w:r>
          </w:p>
        </w:tc>
        <w:tc>
          <w:tcPr>
            <w:tcW w:type="dxa" w:w="1389"/>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4"/>
                <w:szCs w:val="14"/>
              </w:rPr>
              <w:t xml:space="preserve">NTT Urban Development</w:t>
            </w:r>
          </w:p>
        </w:tc>
        <w:tc>
          <w:tcPr>
            <w:tcW w:type="dxa" w:w="1381"/>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4"/>
                <w:szCs w:val="14"/>
              </w:rPr>
              <w:t xml:space="preserve">NTT</w:t>
            </w:r>
          </w:p>
        </w:tc>
        <w:tc>
          <w:tcPr>
            <w:tcW w:type="dxa" w:w="1391"/>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4"/>
                <w:szCs w:val="14"/>
              </w:rPr>
              <w:t xml:space="preserve">Minority buy-in</w:t>
            </w:r>
          </w:p>
        </w:tc>
        <w:tc>
          <w:tcPr>
            <w:tcW w:type="dxa" w:w="1091"/>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4"/>
                <w:szCs w:val="14"/>
              </w:rPr>
              <w:t xml:space="preserve">¥1,680; +29.8%</w:t>
            </w:r>
          </w:p>
        </w:tc>
        <w:tc>
          <w:tcPr>
            <w:tcW w:type="dxa" w:w="1248"/>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4"/>
                <w:szCs w:val="14"/>
              </w:rPr>
              <w:t xml:space="preserve">¥154.3bn</w:t>
            </w:r>
          </w:p>
        </w:tc>
        <w:tc>
          <w:tcPr>
            <w:tcW w:type="dxa" w:w="2034"/>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4"/>
                <w:szCs w:val="14"/>
              </w:rPr>
              <w:t xml:space="preserve">Delisted Jan 2019 (</w:t>
            </w:r>
            <w:hyperlink w:history="1" r:id="rIdoi9nwf6u7uvo4csibzpwp">
              <w:r>
                <w:rPr>
                  <w:rFonts w:ascii="Arial" w:cs="Arial" w:eastAsia="Yu Gothic" w:hAnsi="Arial"/>
                  <w:color w:val="2F6FD0"/>
                  <w:sz w:val="14"/>
                  <w:szCs w:val="14"/>
                  <w:u w:val="single"/>
                </w:rPr>
                <w:t xml:space="preserve">MAonline</w:t>
              </w:r>
            </w:hyperlink>
            <w:r>
              <w:rPr>
                <w:rFonts w:ascii="Arial" w:cs="Arial" w:eastAsia="Yu Gothic" w:hAnsi="Arial"/>
                <w:color w:val="1F2533"/>
                <w:sz w:val="14"/>
                <w:szCs w:val="14"/>
              </w:rPr>
              <w:t xml:space="preserve">)</w:t>
            </w:r>
          </w:p>
        </w:tc>
      </w:tr>
      <w:tr>
        <w:trPr>
          <w:cantSplit/>
        </w:trPr>
        <w:tc>
          <w:tcPr>
            <w:tcW w:type="dxa" w:w="1212"/>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i/>
                <w:iCs/>
                <w:color w:val="1F2533"/>
                <w:sz w:val="14"/>
                <w:szCs w:val="14"/>
              </w:rPr>
              <w:t xml:space="preserve">Earlier landmark:</w:t>
            </w:r>
            <w:r>
              <w:rPr>
                <w:rFonts w:ascii="Arial" w:cs="Arial" w:eastAsia="Yu Gothic" w:hAnsi="Arial"/>
                <w:b w:val="false"/>
                <w:bCs w:val="false"/>
                <w:color w:val="1F2533"/>
                <w:sz w:val="14"/>
                <w:szCs w:val="14"/>
              </w:rPr>
              <w:t xml:space="preserve"> Dec 2019 – Apr 2020</w:t>
            </w:r>
          </w:p>
        </w:tc>
        <w:tc>
          <w:tcPr>
            <w:tcW w:type="dxa" w:w="1389"/>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4"/>
                <w:szCs w:val="14"/>
              </w:rPr>
              <w:t xml:space="preserve">Unizo HD</w:t>
            </w:r>
          </w:p>
        </w:tc>
        <w:tc>
          <w:tcPr>
            <w:tcW w:type="dxa" w:w="1381"/>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4"/>
                <w:szCs w:val="14"/>
              </w:rPr>
              <w:t xml:space="preserve">Chitosea (employee vehicle) / Lone Star</w:t>
            </w:r>
          </w:p>
        </w:tc>
        <w:tc>
          <w:tcPr>
            <w:tcW w:type="dxa" w:w="1391"/>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4"/>
                <w:szCs w:val="14"/>
              </w:rPr>
              <w:t xml:space="preserve">Contested employee buy-out</w:t>
            </w:r>
          </w:p>
        </w:tc>
        <w:tc>
          <w:tcPr>
            <w:tcW w:type="dxa" w:w="1091"/>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4"/>
                <w:szCs w:val="14"/>
              </w:rPr>
              <w:t xml:space="preserve">¥6,000 after two raises</w:t>
            </w:r>
          </w:p>
        </w:tc>
        <w:tc>
          <w:tcPr>
            <w:tcW w:type="dxa" w:w="1248"/>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4"/>
                <w:szCs w:val="14"/>
              </w:rPr>
              <w:t xml:space="preserve">¥177.7bn for 86.55%</w:t>
            </w:r>
          </w:p>
        </w:tc>
        <w:tc>
          <w:tcPr>
            <w:tcW w:type="dxa" w:w="2034"/>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4"/>
                <w:szCs w:val="14"/>
              </w:rPr>
              <w:t xml:space="preserve">Contests escalate prices (</w:t>
            </w:r>
            <w:hyperlink w:history="1" r:id="rIdjndbmqd4spvzncxfgq6sn">
              <w:r>
                <w:rPr>
                  <w:rFonts w:ascii="Arial" w:cs="Arial" w:eastAsia="Yu Gothic" w:hAnsi="Arial"/>
                  <w:color w:val="2F6FD0"/>
                  <w:sz w:val="14"/>
                  <w:szCs w:val="14"/>
                  <w:u w:val="single"/>
                </w:rPr>
                <w:t xml:space="preserve">MAonline</w:t>
              </w:r>
            </w:hyperlink>
            <w:r>
              <w:rPr>
                <w:rFonts w:ascii="Arial" w:cs="Arial" w:eastAsia="Yu Gothic" w:hAnsi="Arial"/>
                <w:color w:val="1F2533"/>
                <w:sz w:val="14"/>
                <w:szCs w:val="14"/>
              </w:rPr>
              <w:t xml:space="preserve">)</w:t>
            </w:r>
          </w:p>
        </w:tc>
      </w:tr>
      <w:tr>
        <w:trPr>
          <w:cantSplit/>
        </w:trPr>
        <w:tc>
          <w:tcPr>
            <w:tcW w:type="dxa" w:w="1212"/>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i/>
                <w:iCs/>
                <w:color w:val="1F2533"/>
                <w:sz w:val="14"/>
                <w:szCs w:val="14"/>
              </w:rPr>
              <w:t xml:space="preserve">Earlier landmark:</w:t>
            </w:r>
            <w:r>
              <w:rPr>
                <w:rFonts w:ascii="Arial" w:cs="Arial" w:eastAsia="Yu Gothic" w:hAnsi="Arial"/>
                <w:b w:val="false"/>
                <w:bCs w:val="false"/>
                <w:color w:val="1F2533"/>
                <w:sz w:val="14"/>
                <w:szCs w:val="14"/>
              </w:rPr>
              <w:t xml:space="preserve"> 20 Nov 2020</w:t>
            </w:r>
          </w:p>
        </w:tc>
        <w:tc>
          <w:tcPr>
            <w:tcW w:type="dxa" w:w="1389"/>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4"/>
                <w:szCs w:val="14"/>
              </w:rPr>
              <w:t xml:space="preserve">Kenedix</w:t>
            </w:r>
          </w:p>
        </w:tc>
        <w:tc>
          <w:tcPr>
            <w:tcW w:type="dxa" w:w="1381"/>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4"/>
                <w:szCs w:val="14"/>
              </w:rPr>
              <w:t xml:space="preserve">SMFL Mirai Partners (70%) + ARA/ESR (30%)</w:t>
            </w:r>
          </w:p>
        </w:tc>
        <w:tc>
          <w:tcPr>
            <w:tcW w:type="dxa" w:w="1391"/>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4"/>
                <w:szCs w:val="14"/>
              </w:rPr>
              <w:t xml:space="preserve">Take-private</w:t>
            </w:r>
          </w:p>
        </w:tc>
        <w:tc>
          <w:tcPr>
            <w:tcW w:type="dxa" w:w="1091"/>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4"/>
                <w:szCs w:val="14"/>
              </w:rPr>
              <w:t xml:space="preserve">¥750; +26.5%</w:t>
            </w:r>
          </w:p>
        </w:tc>
        <w:tc>
          <w:tcPr>
            <w:tcW w:type="dxa" w:w="1248"/>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4"/>
                <w:szCs w:val="14"/>
              </w:rPr>
              <w:t xml:space="preserve">≈¥165bn</w:t>
            </w:r>
          </w:p>
        </w:tc>
        <w:tc>
          <w:tcPr>
            <w:tcW w:type="dxa" w:w="2034"/>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4"/>
                <w:szCs w:val="14"/>
              </w:rPr>
              <w:t xml:space="preserve">Asset-management platform (</w:t>
            </w:r>
            <w:hyperlink w:history="1" r:id="rIdgoi4kujnsmaiw2c7ner53">
              <w:r>
                <w:rPr>
                  <w:rFonts w:ascii="Arial" w:cs="Arial" w:eastAsia="Yu Gothic" w:hAnsi="Arial"/>
                  <w:color w:val="2F6FD0"/>
                  <w:sz w:val="14"/>
                  <w:szCs w:val="14"/>
                  <w:u w:val="single"/>
                </w:rPr>
                <w:t xml:space="preserve">MAonline</w:t>
              </w:r>
            </w:hyperlink>
            <w:r>
              <w:rPr>
                <w:rFonts w:ascii="Arial" w:cs="Arial" w:eastAsia="Yu Gothic" w:hAnsi="Arial"/>
                <w:color w:val="1F2533"/>
                <w:sz w:val="14"/>
                <w:szCs w:val="14"/>
              </w:rPr>
              <w:t xml:space="preserve">)</w:t>
            </w:r>
          </w:p>
        </w:tc>
      </w:tr>
      <w:tr>
        <w:trPr>
          <w:cantSplit/>
        </w:trPr>
        <w:tc>
          <w:tcPr>
            <w:tcW w:type="dxa" w:w="1212"/>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i/>
                <w:iCs/>
                <w:color w:val="1F2533"/>
                <w:sz w:val="14"/>
                <w:szCs w:val="14"/>
              </w:rPr>
              <w:t xml:space="preserve">Earlier landmark:</w:t>
            </w:r>
            <w:r>
              <w:rPr>
                <w:rFonts w:ascii="Arial" w:cs="Arial" w:eastAsia="Yu Gothic" w:hAnsi="Arial"/>
                <w:b w:val="false"/>
                <w:bCs w:val="false"/>
                <w:color w:val="1F2533"/>
                <w:sz w:val="14"/>
                <w:szCs w:val="14"/>
              </w:rPr>
              <w:t xml:space="preserve"> 27 Nov 2020</w:t>
            </w:r>
          </w:p>
        </w:tc>
        <w:tc>
          <w:tcPr>
            <w:tcW w:type="dxa" w:w="1389"/>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4"/>
                <w:szCs w:val="14"/>
              </w:rPr>
              <w:t xml:space="preserve">Tokyo Dome</w:t>
            </w:r>
          </w:p>
        </w:tc>
        <w:tc>
          <w:tcPr>
            <w:tcW w:type="dxa" w:w="1381"/>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4"/>
                <w:szCs w:val="14"/>
              </w:rPr>
              <w:t xml:space="preserve">Mitsui Fudosan (20% later to Yomiuri)</w:t>
            </w:r>
          </w:p>
        </w:tc>
        <w:tc>
          <w:tcPr>
            <w:tcW w:type="dxa" w:w="1391"/>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4"/>
                <w:szCs w:val="14"/>
              </w:rPr>
              <w:t xml:space="preserve">Take-private after the Oasis campaign</w:t>
            </w:r>
          </w:p>
        </w:tc>
        <w:tc>
          <w:tcPr>
            <w:tcW w:type="dxa" w:w="1091"/>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4"/>
                <w:szCs w:val="14"/>
              </w:rPr>
              <w:t xml:space="preserve">¥1,300; +44.9%</w:t>
            </w:r>
          </w:p>
        </w:tc>
        <w:tc>
          <w:tcPr>
            <w:tcW w:type="dxa" w:w="1248"/>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4"/>
                <w:szCs w:val="14"/>
              </w:rPr>
              <w:t xml:space="preserve">≈¥120bn</w:t>
            </w:r>
          </w:p>
        </w:tc>
        <w:tc>
          <w:tcPr>
            <w:tcW w:type="dxa" w:w="2034"/>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4"/>
                <w:szCs w:val="14"/>
              </w:rPr>
              <w:t xml:space="preserve">Activism led to the sale (</w:t>
            </w:r>
            <w:hyperlink w:history="1" r:id="rIdeywofjwax0bx_8zgh1zyk">
              <w:r>
                <w:rPr>
                  <w:rFonts w:ascii="Arial" w:cs="Arial" w:eastAsia="Yu Gothic" w:hAnsi="Arial"/>
                  <w:color w:val="2F6FD0"/>
                  <w:sz w:val="14"/>
                  <w:szCs w:val="14"/>
                  <w:u w:val="single"/>
                </w:rPr>
                <w:t xml:space="preserve">sbbit</w:t>
              </w:r>
            </w:hyperlink>
            <w:r>
              <w:rPr>
                <w:rFonts w:ascii="Arial" w:cs="Arial" w:eastAsia="Yu Gothic" w:hAnsi="Arial"/>
                <w:color w:val="1F2533"/>
                <w:sz w:val="14"/>
                <w:szCs w:val="14"/>
              </w:rPr>
              <w:t xml:space="preserve">)</w:t>
            </w:r>
          </w:p>
        </w:tc>
      </w:tr>
    </w:tbl>
    <w:p>
      <w:pPr>
        <w:spacing w:after="120" w:before="0" w:line="276" w:lineRule="auto"/>
      </w:pPr>
    </w:p>
    <w:p>
      <w:pPr>
        <w:spacing w:after="110" w:before="0" w:line="276" w:lineRule="auto"/>
      </w:pPr>
      <w:r>
        <w:rPr>
          <w:rFonts w:ascii="Arial" w:cs="Arial" w:eastAsia="Yu Gothic" w:hAnsi="Arial"/>
          <w:b/>
          <w:bCs/>
          <w:color w:val="1F2533"/>
          <w:sz w:val="19"/>
          <w:szCs w:val="19"/>
        </w:rPr>
        <w:t xml:space="preserve">Transaction multiples (EV/EBITDA, P/NAV) were not retrievable</w:t>
      </w:r>
      <w:r>
        <w:rPr>
          <w:rFonts w:ascii="Arial" w:cs="Arial" w:eastAsia="Yu Gothic" w:hAnsi="Arial"/>
          <w:color w:val="1F2533"/>
          <w:sz w:val="19"/>
          <w:szCs w:val="19"/>
        </w:rPr>
        <w:t xml:space="preserve"> for these deals. The usable benchmarks are:</w:t>
      </w:r>
    </w:p>
    <w:p>
      <w:pPr>
        <w:pStyle w:val="ListParagraph"/>
        <w:numPr>
          <w:ilvl w:val="0"/>
          <w:numId w:val="2"/>
        </w:numPr>
        <w:spacing w:after="60" w:line="264" w:lineRule="auto"/>
      </w:pPr>
      <w:r>
        <w:rPr>
          <w:rFonts w:ascii="Arial" w:cs="Arial" w:eastAsia="Yu Gothic" w:hAnsi="Arial"/>
          <w:b/>
          <w:bCs/>
          <w:color w:val="1F2533"/>
          <w:sz w:val="19"/>
          <w:szCs w:val="19"/>
        </w:rPr>
        <w:t xml:space="preserve">premiums:</w:t>
      </w:r>
      <w:r>
        <w:rPr>
          <w:rFonts w:ascii="Arial" w:cs="Arial" w:eastAsia="Yu Gothic" w:hAnsi="Arial"/>
          <w:color w:val="1F2533"/>
          <w:sz w:val="19"/>
          <w:szCs w:val="19"/>
        </w:rPr>
        <w:t xml:space="preserve"> clustered at </w:t>
      </w:r>
      <w:r>
        <w:rPr>
          <w:rFonts w:ascii="Arial" w:cs="Arial" w:eastAsia="Yu Gothic" w:hAnsi="Arial"/>
          <w:b/>
          <w:bCs/>
          <w:color w:val="1F2533"/>
          <w:sz w:val="19"/>
          <w:szCs w:val="19"/>
        </w:rPr>
        <w:t xml:space="preserve">+21% to +45%</w:t>
      </w:r>
      <w:r>
        <w:rPr>
          <w:rFonts w:ascii="Arial" w:cs="Arial" w:eastAsia="Yu Gothic" w:hAnsi="Arial"/>
          <w:color w:val="1F2533"/>
          <w:sz w:val="19"/>
          <w:szCs w:val="19"/>
        </w:rPr>
        <w:t xml:space="preserve"> to the undisturbed price;</w:t>
      </w:r>
    </w:p>
    <w:p>
      <w:pPr>
        <w:pStyle w:val="ListParagraph"/>
        <w:numPr>
          <w:ilvl w:val="0"/>
          <w:numId w:val="2"/>
        </w:numPr>
        <w:spacing w:after="60" w:line="264" w:lineRule="auto"/>
      </w:pPr>
      <w:r>
        <w:rPr>
          <w:rFonts w:ascii="Arial" w:cs="Arial" w:eastAsia="Yu Gothic" w:hAnsi="Arial"/>
          <w:b/>
          <w:bCs/>
          <w:color w:val="1F2533"/>
          <w:sz w:val="19"/>
          <w:szCs w:val="19"/>
        </w:rPr>
        <w:t xml:space="preserve">asset deals:</w:t>
      </w:r>
      <w:r>
        <w:rPr>
          <w:rFonts w:ascii="Arial" w:cs="Arial" w:eastAsia="Yu Gothic" w:hAnsi="Arial"/>
          <w:color w:val="1F2533"/>
          <w:sz w:val="19"/>
          <w:szCs w:val="19"/>
        </w:rPr>
        <w:t xml:space="preserve"> at about </w:t>
      </w:r>
      <w:r>
        <w:rPr>
          <w:rFonts w:ascii="Arial" w:cs="Arial" w:eastAsia="Yu Gothic" w:hAnsi="Arial"/>
          <w:b/>
          <w:bCs/>
          <w:color w:val="1F2533"/>
          <w:sz w:val="19"/>
          <w:szCs w:val="19"/>
        </w:rPr>
        <w:t xml:space="preserve">2–3x the seller's book value</w:t>
      </w:r>
      <w:r>
        <w:rPr>
          <w:rFonts w:ascii="Arial" w:cs="Arial" w:eastAsia="Yu Gothic" w:hAnsi="Arial"/>
          <w:color w:val="1F2533"/>
          <w:sz w:val="19"/>
          <w:szCs w:val="19"/>
        </w:rPr>
        <w:t xml:space="preserve">.</w:t>
      </w:r>
    </w:p>
    <w:p>
      <w:pPr>
        <w:spacing w:after="40" w:before="0" w:line="276" w:lineRule="auto"/>
      </w:pPr>
    </w:p>
    <w:p>
      <w:pPr>
        <w:pStyle w:val="Heading2"/>
        <w:keepNext/>
        <w:keepLines/>
        <w:spacing w:after="90" w:before="260" w:line="252" w:lineRule="auto"/>
      </w:pPr>
      <w:r>
        <w:rPr>
          <w:rFonts w:ascii="Arial" w:cs="Arial" w:eastAsia="Yu Gothic" w:hAnsi="Arial"/>
          <w:b/>
          <w:bCs/>
          <w:color w:val="15233F"/>
          <w:sz w:val="25"/>
          <w:szCs w:val="25"/>
        </w:rPr>
        <w:t xml:space="preserve">Should Tokyo Tatemono be considered a takeover target?</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26"/>
        <w:gridCol w:w="3730"/>
        <w:gridCol w:w="4290"/>
      </w:tblGrid>
      <w:tr>
        <w:trPr>
          <w:cantSplit/>
          <w:tblHeader/>
        </w:trPr>
        <w:tc>
          <w:tcPr>
            <w:tcW w:type="dxa" w:w="1726"/>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bCs/>
                <w:color w:val="FFFFFF"/>
                <w:sz w:val="16"/>
                <w:szCs w:val="16"/>
              </w:rPr>
              <w:t xml:space="preserve">Factor</w:t>
            </w:r>
          </w:p>
        </w:tc>
        <w:tc>
          <w:tcPr>
            <w:tcW w:type="dxa" w:w="3730"/>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6"/>
                <w:szCs w:val="16"/>
              </w:rPr>
              <w:t xml:space="preserve">For a bid</w:t>
            </w:r>
          </w:p>
        </w:tc>
        <w:tc>
          <w:tcPr>
            <w:tcW w:type="dxa" w:w="4290"/>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6"/>
                <w:szCs w:val="16"/>
              </w:rPr>
              <w:t xml:space="preserve">Against a bid</w:t>
            </w:r>
          </w:p>
        </w:tc>
      </w:tr>
      <w:tr>
        <w:trPr>
          <w:cantSplit/>
        </w:trPr>
        <w:tc>
          <w:tcPr>
            <w:tcW w:type="dxa" w:w="172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Valuation</w:t>
            </w:r>
          </w:p>
        </w:tc>
        <w:tc>
          <w:tcPr>
            <w:tcW w:type="dxa" w:w="3730"/>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0.65x P/NAV, 1.10x P/B, forward P/E 23% below peers; private-market asset prices well above implied public values</w:t>
            </w:r>
          </w:p>
        </w:tc>
        <w:tc>
          <w:tcPr>
            <w:tcW w:type="dxa" w:w="4290"/>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On EV the stock is fairly priced (regression), so there is little arbitrage once debt is assumed</w:t>
            </w:r>
          </w:p>
        </w:tc>
      </w:tr>
      <w:tr>
        <w:trPr>
          <w:cantSplit/>
        </w:trPr>
        <w:tc>
          <w:tcPr>
            <w:tcW w:type="dxa" w:w="1726"/>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Assets</w:t>
            </w:r>
          </w:p>
        </w:tc>
        <w:tc>
          <w:tcPr>
            <w:tcW w:type="dxa" w:w="3730"/>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Scarce Tokyo Station land bank; the JPR sponsorship and its asset manager; ≈90,000 parking spaces; a ¥1.66tn rental portfolio at fair value</w:t>
            </w:r>
          </w:p>
        </w:tc>
        <w:tc>
          <w:tcPr>
            <w:tcW w:type="dxa" w:w="4290"/>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Office-heavy portfolio at a cyclical peak in rents</w:t>
            </w:r>
          </w:p>
        </w:tc>
      </w:tr>
      <w:tr>
        <w:trPr>
          <w:cantSplit/>
        </w:trPr>
        <w:tc>
          <w:tcPr>
            <w:tcW w:type="dxa" w:w="172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Register</w:t>
            </w:r>
          </w:p>
        </w:tc>
        <w:tc>
          <w:tcPr>
            <w:tcW w:type="dxa" w:w="3730"/>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No controlling or strategic holder. Fuyo-group insurers hold ≈4.3% (≈5.5% including Hulic's 1.22%), and that web is being unwound</w:t>
            </w:r>
          </w:p>
        </w:tc>
        <w:tc>
          <w:tcPr>
            <w:tcW w:type="dxa" w:w="4290"/>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Index holders tender only at a fair premium; the ≈30% held in domestic trust-bank accounts is largely index and pension money</w:t>
            </w:r>
          </w:p>
        </w:tc>
      </w:tr>
      <w:tr>
        <w:trPr>
          <w:cantSplit/>
        </w:trPr>
        <w:tc>
          <w:tcPr>
            <w:tcW w:type="dxa" w:w="1726"/>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Size</w:t>
            </w:r>
          </w:p>
        </w:tc>
        <w:tc>
          <w:tcPr>
            <w:tcW w:type="dxa" w:w="3730"/>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w:t>
            </w:r>
          </w:p>
        </w:tc>
        <w:tc>
          <w:tcPr>
            <w:tcW w:type="dxa" w:w="4290"/>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bCs/>
                <w:color w:val="1F2533"/>
                <w:sz w:val="16"/>
                <w:szCs w:val="16"/>
              </w:rPr>
              <w:t xml:space="preserve">Equity of ¥0.87–1.0tn at a 30–50% premium is 3–5x the largest recent Japanese real-estate target</w:t>
            </w:r>
            <w:r>
              <w:rPr>
                <w:rFonts w:ascii="Arial" w:cs="Arial" w:eastAsia="Yu Gothic" w:hAnsi="Arial"/>
                <w:color w:val="1F2533"/>
                <w:sz w:val="16"/>
                <w:szCs w:val="16"/>
              </w:rPr>
              <w:t xml:space="preserve"> (Leopalace21: ≈¥0.27tn deal value; ≈¥0.22tn pre-bid market cap); EV ≈¥2.3–2.5tn</w:t>
            </w:r>
          </w:p>
        </w:tc>
      </w:tr>
      <w:tr>
        <w:trPr>
          <w:cantSplit/>
        </w:trPr>
        <w:tc>
          <w:tcPr>
            <w:tcW w:type="dxa" w:w="172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Leverage</w:t>
            </w:r>
          </w:p>
        </w:tc>
        <w:tc>
          <w:tcPr>
            <w:tcW w:type="dxa" w:w="3730"/>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w:t>
            </w:r>
          </w:p>
        </w:tc>
        <w:tc>
          <w:tcPr>
            <w:tcW w:type="dxa" w:w="4290"/>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Net debt/EBITDA of 12x is the highest in the peer group, leaving little room for acquisition debt</w:t>
            </w:r>
          </w:p>
        </w:tc>
      </w:tr>
      <w:tr>
        <w:trPr>
          <w:cantSplit/>
        </w:trPr>
        <w:tc>
          <w:tcPr>
            <w:tcW w:type="dxa" w:w="1726"/>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Culture and relationships</w:t>
            </w:r>
          </w:p>
        </w:tc>
        <w:tc>
          <w:tcPr>
            <w:tcW w:type="dxa" w:w="3730"/>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Japan's pro-M&amp;A governance climate; precedents at Tokyo Dome and Unizo</w:t>
            </w:r>
          </w:p>
        </w:tc>
        <w:tc>
          <w:tcPr>
            <w:tcW w:type="dxa" w:w="4290"/>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No precedent for a hostile bid among the Japanese majors; relationship banks (Mizuho, SMBC, MUFG); change-of-control terms unknown</w:t>
            </w:r>
          </w:p>
        </w:tc>
      </w:tr>
    </w:tbl>
    <w:p>
      <w:pPr>
        <w:spacing w:after="120" w:before="0" w:line="276" w:lineRule="auto"/>
      </w:pPr>
    </w:p>
    <w:p>
      <w:pPr>
        <w:spacing w:after="110" w:before="0" w:line="276" w:lineRule="auto"/>
      </w:pPr>
      <w:r>
        <w:rPr>
          <w:rFonts w:ascii="Arial" w:cs="Arial" w:eastAsia="Yu Gothic" w:hAnsi="Arial"/>
          <w:b/>
          <w:bCs/>
          <w:color w:val="1F2533"/>
          <w:sz w:val="19"/>
          <w:szCs w:val="19"/>
        </w:rPr>
        <w:t xml:space="preserve">Probability (our judgement):</w:t>
      </w:r>
    </w:p>
    <w:p>
      <w:pPr>
        <w:pStyle w:val="ListParagraph"/>
        <w:numPr>
          <w:ilvl w:val="0"/>
          <w:numId w:val="2"/>
        </w:numPr>
        <w:spacing w:after="60" w:line="264" w:lineRule="auto"/>
      </w:pPr>
      <w:r>
        <w:rPr>
          <w:rFonts w:ascii="Arial" w:cs="Arial" w:eastAsia="Yu Gothic" w:hAnsi="Arial"/>
          <w:b/>
          <w:bCs/>
          <w:color w:val="1F2533"/>
          <w:sz w:val="19"/>
          <w:szCs w:val="19"/>
        </w:rPr>
        <w:t xml:space="preserve">Whole-company bid: low</w:t>
      </w:r>
      <w:r>
        <w:rPr>
          <w:rFonts w:ascii="Arial" w:cs="Arial" w:eastAsia="Yu Gothic" w:hAnsi="Arial"/>
          <w:color w:val="1F2533"/>
          <w:sz w:val="19"/>
          <w:szCs w:val="19"/>
        </w:rPr>
        <w:t xml:space="preserve">, perhaps 5% over three years.</w:t>
      </w:r>
    </w:p>
    <w:p>
      <w:pPr>
        <w:pStyle w:val="ListParagraph"/>
        <w:numPr>
          <w:ilvl w:val="0"/>
          <w:numId w:val="2"/>
        </w:numPr>
        <w:spacing w:after="60" w:line="264" w:lineRule="auto"/>
      </w:pPr>
      <w:r>
        <w:rPr>
          <w:rFonts w:ascii="Arial" w:cs="Arial" w:eastAsia="Yu Gothic" w:hAnsi="Arial"/>
          <w:b/>
          <w:bCs/>
          <w:color w:val="1F2533"/>
          <w:sz w:val="19"/>
          <w:szCs w:val="19"/>
        </w:rPr>
        <w:t xml:space="preserve">Activist minority stake: more likely</w:t>
      </w:r>
      <w:r>
        <w:rPr>
          <w:rFonts w:ascii="Arial" w:cs="Arial" w:eastAsia="Yu Gothic" w:hAnsi="Arial"/>
          <w:color w:val="1F2533"/>
          <w:sz w:val="19"/>
          <w:szCs w:val="19"/>
        </w:rPr>
        <w:t xml:space="preserve">, perhaps 20–30% over three years. An activist would push for buybacks funded by asset sales, faster recycling of assets into the REIT, and a total-payout target matching Mitsui's 50%.</w:t>
      </w:r>
    </w:p>
    <w:p>
      <w:pPr>
        <w:pStyle w:val="ListParagraph"/>
        <w:numPr>
          <w:ilvl w:val="0"/>
          <w:numId w:val="2"/>
        </w:numPr>
        <w:spacing w:after="60" w:line="264" w:lineRule="auto"/>
      </w:pPr>
      <w:r>
        <w:rPr>
          <w:rFonts w:ascii="Arial" w:cs="Arial" w:eastAsia="Yu Gothic" w:hAnsi="Arial"/>
          <w:b/>
          <w:bCs/>
          <w:color w:val="1F2533"/>
          <w:sz w:val="19"/>
          <w:szCs w:val="19"/>
        </w:rPr>
        <w:t xml:space="preserve">Most plausible strategic combinations:</w:t>
      </w:r>
    </w:p>
    <w:p>
      <w:pPr>
        <w:pStyle w:val="ListParagraph"/>
        <w:numPr>
          <w:ilvl w:val="1"/>
          <w:numId w:val="2"/>
        </w:numPr>
        <w:spacing w:after="60" w:line="264" w:lineRule="auto"/>
      </w:pPr>
      <w:r>
        <w:rPr>
          <w:rFonts w:ascii="Arial" w:cs="Arial" w:eastAsia="Yu Gothic" w:hAnsi="Arial"/>
          <w:color w:val="1F2533"/>
          <w:sz w:val="19"/>
          <w:szCs w:val="19"/>
        </w:rPr>
        <w:t xml:space="preserve">a friendly share-exchange merger with Hulic (Fuyo lineage, the same Tokyo focus, existing cross-holdings);</w:t>
      </w:r>
    </w:p>
    <w:p>
      <w:pPr>
        <w:pStyle w:val="ListParagraph"/>
        <w:numPr>
          <w:ilvl w:val="1"/>
          <w:numId w:val="2"/>
        </w:numPr>
        <w:spacing w:after="60" w:line="264" w:lineRule="auto"/>
      </w:pPr>
      <w:r>
        <w:rPr>
          <w:rFonts w:ascii="Arial" w:cs="Arial" w:eastAsia="Yu Gothic" w:hAnsi="Arial"/>
          <w:color w:val="1F2533"/>
          <w:sz w:val="19"/>
          <w:szCs w:val="19"/>
        </w:rPr>
        <w:t xml:space="preserve">Mitsubishi Estate or Mitsui Fudosan, which could finance a deal but are culturally unlikely bidders;</w:t>
      </w:r>
    </w:p>
    <w:p>
      <w:pPr>
        <w:pStyle w:val="ListParagraph"/>
        <w:numPr>
          <w:ilvl w:val="1"/>
          <w:numId w:val="2"/>
        </w:numPr>
        <w:spacing w:after="60" w:line="264" w:lineRule="auto"/>
      </w:pPr>
      <w:r>
        <w:rPr>
          <w:rFonts w:ascii="Arial" w:cs="Arial" w:eastAsia="Yu Gothic" w:hAnsi="Arial"/>
          <w:color w:val="1F2533"/>
          <w:sz w:val="19"/>
          <w:szCs w:val="19"/>
        </w:rPr>
        <w:t xml:space="preserve">a global private-equity or sovereign club, for which the returns look marginal (below).</w:t>
      </w:r>
    </w:p>
    <w:p>
      <w:pPr>
        <w:spacing w:after="40" w:before="0" w:line="276" w:lineRule="auto"/>
      </w:pPr>
    </w:p>
    <w:p>
      <w:pPr>
        <w:pStyle w:val="Heading2"/>
        <w:keepNext/>
        <w:keepLines/>
        <w:spacing w:after="90" w:before="260" w:line="252" w:lineRule="auto"/>
      </w:pPr>
      <w:r>
        <w:rPr>
          <w:rFonts w:ascii="Arial" w:cs="Arial" w:eastAsia="Yu Gothic" w:hAnsi="Arial"/>
          <w:b/>
          <w:bCs/>
          <w:color w:val="15233F"/>
          <w:sz w:val="25"/>
          <w:szCs w:val="25"/>
        </w:rPr>
        <w:t xml:space="preserve">Potential takeout multiples (premium to ¥3,211)</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9"/>
        <w:gridCol w:w="959"/>
        <w:gridCol w:w="941"/>
        <w:gridCol w:w="834"/>
        <w:gridCol w:w="811"/>
        <w:gridCol w:w="826"/>
        <w:gridCol w:w="1424"/>
        <w:gridCol w:w="1142"/>
      </w:tblGrid>
      <w:tr>
        <w:trPr>
          <w:cantSplit/>
          <w:tblHeader/>
        </w:trPr>
        <w:tc>
          <w:tcPr>
            <w:tcW w:type="dxa" w:w="2809"/>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bCs/>
                <w:color w:val="FFFFFF"/>
                <w:sz w:val="14"/>
                <w:szCs w:val="14"/>
              </w:rPr>
              <w:t xml:space="preserve">Premium</w:t>
            </w:r>
          </w:p>
        </w:tc>
        <w:tc>
          <w:tcPr>
            <w:tcW w:type="dxa" w:w="959"/>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4"/>
                <w:szCs w:val="14"/>
              </w:rPr>
              <w:t xml:space="preserve">Price per share</w:t>
            </w:r>
          </w:p>
        </w:tc>
        <w:tc>
          <w:tcPr>
            <w:tcW w:type="dxa" w:w="941"/>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4"/>
                <w:szCs w:val="14"/>
              </w:rPr>
              <w:t xml:space="preserve">Equity ¥bn</w:t>
            </w:r>
          </w:p>
        </w:tc>
        <w:tc>
          <w:tcPr>
            <w:tcW w:type="dxa" w:w="834"/>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4"/>
                <w:szCs w:val="14"/>
              </w:rPr>
              <w:t xml:space="preserve">EV ¥bn</w:t>
            </w:r>
          </w:p>
        </w:tc>
        <w:tc>
          <w:tcPr>
            <w:tcW w:type="dxa" w:w="811"/>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4"/>
                <w:szCs w:val="14"/>
              </w:rPr>
              <w:t xml:space="preserve">P/B</w:t>
            </w:r>
          </w:p>
        </w:tc>
        <w:tc>
          <w:tcPr>
            <w:tcW w:type="dxa" w:w="826"/>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4"/>
                <w:szCs w:val="14"/>
              </w:rPr>
              <w:t xml:space="preserve">P/NAV</w:t>
            </w:r>
          </w:p>
        </w:tc>
        <w:tc>
          <w:tcPr>
            <w:tcW w:type="dxa" w:w="1424"/>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4"/>
                <w:szCs w:val="14"/>
              </w:rPr>
              <w:t xml:space="preserve">P/E FY2026 (guidance)</w:t>
            </w:r>
          </w:p>
        </w:tc>
        <w:tc>
          <w:tcPr>
            <w:tcW w:type="dxa" w:w="1142"/>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4"/>
                <w:szCs w:val="14"/>
              </w:rPr>
              <w:t xml:space="preserve">EV/EBITDA FY2026E</w:t>
            </w:r>
          </w:p>
        </w:tc>
      </w:tr>
      <w:tr>
        <w:trPr>
          <w:cantSplit/>
        </w:trPr>
        <w:tc>
          <w:tcPr>
            <w:tcW w:type="dxa" w:w="2809"/>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4"/>
                <w:szCs w:val="14"/>
              </w:rPr>
              <w:t xml:space="preserve">0%</w:t>
            </w:r>
          </w:p>
        </w:tc>
        <w:tc>
          <w:tcPr>
            <w:tcW w:type="dxa" w:w="959"/>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3,211</w:t>
            </w:r>
          </w:p>
        </w:tc>
        <w:tc>
          <w:tcPr>
            <w:tcW w:type="dxa" w:w="941"/>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668</w:t>
            </w:r>
          </w:p>
        </w:tc>
        <w:tc>
          <w:tcPr>
            <w:tcW w:type="dxa" w:w="834"/>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2,123</w:t>
            </w:r>
          </w:p>
        </w:tc>
        <w:tc>
          <w:tcPr>
            <w:tcW w:type="dxa" w:w="811"/>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1.10x</w:t>
            </w:r>
          </w:p>
        </w:tc>
        <w:tc>
          <w:tcPr>
            <w:tcW w:type="dxa" w:w="82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0.65x</w:t>
            </w:r>
          </w:p>
        </w:tc>
        <w:tc>
          <w:tcPr>
            <w:tcW w:type="dxa" w:w="1424"/>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10.3x</w:t>
            </w:r>
          </w:p>
        </w:tc>
        <w:tc>
          <w:tcPr>
            <w:tcW w:type="dxa" w:w="1142"/>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16.1x</w:t>
            </w:r>
          </w:p>
        </w:tc>
      </w:tr>
      <w:tr>
        <w:trPr>
          <w:cantSplit/>
        </w:trPr>
        <w:tc>
          <w:tcPr>
            <w:tcW w:type="dxa" w:w="2809"/>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4"/>
                <w:szCs w:val="14"/>
              </w:rPr>
              <w:t xml:space="preserve">20%</w:t>
            </w:r>
          </w:p>
        </w:tc>
        <w:tc>
          <w:tcPr>
            <w:tcW w:type="dxa" w:w="959"/>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3,853</w:t>
            </w:r>
          </w:p>
        </w:tc>
        <w:tc>
          <w:tcPr>
            <w:tcW w:type="dxa" w:w="941"/>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801</w:t>
            </w:r>
          </w:p>
        </w:tc>
        <w:tc>
          <w:tcPr>
            <w:tcW w:type="dxa" w:w="834"/>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2,256</w:t>
            </w:r>
          </w:p>
        </w:tc>
        <w:tc>
          <w:tcPr>
            <w:tcW w:type="dxa" w:w="811"/>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1.32x</w:t>
            </w:r>
          </w:p>
        </w:tc>
        <w:tc>
          <w:tcPr>
            <w:tcW w:type="dxa" w:w="826"/>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0.78x</w:t>
            </w:r>
          </w:p>
        </w:tc>
        <w:tc>
          <w:tcPr>
            <w:tcW w:type="dxa" w:w="1424"/>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12.3x</w:t>
            </w:r>
          </w:p>
        </w:tc>
        <w:tc>
          <w:tcPr>
            <w:tcW w:type="dxa" w:w="1142"/>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17.2x</w:t>
            </w:r>
          </w:p>
        </w:tc>
      </w:tr>
      <w:tr>
        <w:trPr>
          <w:cantSplit/>
        </w:trPr>
        <w:tc>
          <w:tcPr>
            <w:tcW w:type="dxa" w:w="2809"/>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bCs/>
                <w:color w:val="1F2533"/>
                <w:sz w:val="14"/>
                <w:szCs w:val="14"/>
              </w:rPr>
              <w:t xml:space="preserve">30%</w:t>
            </w:r>
          </w:p>
        </w:tc>
        <w:tc>
          <w:tcPr>
            <w:tcW w:type="dxa" w:w="959"/>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b/>
                <w:bCs/>
                <w:color w:val="1F2533"/>
                <w:sz w:val="14"/>
                <w:szCs w:val="14"/>
              </w:rPr>
              <w:t xml:space="preserve">4,174</w:t>
            </w:r>
          </w:p>
        </w:tc>
        <w:tc>
          <w:tcPr>
            <w:tcW w:type="dxa" w:w="941"/>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b/>
                <w:bCs/>
                <w:color w:val="1F2533"/>
                <w:sz w:val="14"/>
                <w:szCs w:val="14"/>
              </w:rPr>
              <w:t xml:space="preserve">868</w:t>
            </w:r>
          </w:p>
        </w:tc>
        <w:tc>
          <w:tcPr>
            <w:tcW w:type="dxa" w:w="834"/>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b/>
                <w:bCs/>
                <w:color w:val="1F2533"/>
                <w:sz w:val="14"/>
                <w:szCs w:val="14"/>
              </w:rPr>
              <w:t xml:space="preserve">2,323</w:t>
            </w:r>
          </w:p>
        </w:tc>
        <w:tc>
          <w:tcPr>
            <w:tcW w:type="dxa" w:w="811"/>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b/>
                <w:bCs/>
                <w:color w:val="1F2533"/>
                <w:sz w:val="14"/>
                <w:szCs w:val="14"/>
              </w:rPr>
              <w:t xml:space="preserve">1.42x</w:t>
            </w:r>
          </w:p>
        </w:tc>
        <w:tc>
          <w:tcPr>
            <w:tcW w:type="dxa" w:w="82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b/>
                <w:bCs/>
                <w:color w:val="1F2533"/>
                <w:sz w:val="14"/>
                <w:szCs w:val="14"/>
              </w:rPr>
              <w:t xml:space="preserve">0.85x</w:t>
            </w:r>
          </w:p>
        </w:tc>
        <w:tc>
          <w:tcPr>
            <w:tcW w:type="dxa" w:w="1424"/>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b/>
                <w:bCs/>
                <w:color w:val="1F2533"/>
                <w:sz w:val="14"/>
                <w:szCs w:val="14"/>
              </w:rPr>
              <w:t xml:space="preserve">13.3x</w:t>
            </w:r>
          </w:p>
        </w:tc>
        <w:tc>
          <w:tcPr>
            <w:tcW w:type="dxa" w:w="1142"/>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b/>
                <w:bCs/>
                <w:color w:val="1F2533"/>
                <w:sz w:val="14"/>
                <w:szCs w:val="14"/>
              </w:rPr>
              <w:t xml:space="preserve">17.7x</w:t>
            </w:r>
          </w:p>
        </w:tc>
      </w:tr>
      <w:tr>
        <w:trPr>
          <w:cantSplit/>
        </w:trPr>
        <w:tc>
          <w:tcPr>
            <w:tcW w:type="dxa" w:w="2809"/>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4"/>
                <w:szCs w:val="14"/>
              </w:rPr>
              <w:t xml:space="preserve">40%</w:t>
            </w:r>
          </w:p>
        </w:tc>
        <w:tc>
          <w:tcPr>
            <w:tcW w:type="dxa" w:w="959"/>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4,495</w:t>
            </w:r>
          </w:p>
        </w:tc>
        <w:tc>
          <w:tcPr>
            <w:tcW w:type="dxa" w:w="941"/>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935</w:t>
            </w:r>
          </w:p>
        </w:tc>
        <w:tc>
          <w:tcPr>
            <w:tcW w:type="dxa" w:w="834"/>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2,390</w:t>
            </w:r>
          </w:p>
        </w:tc>
        <w:tc>
          <w:tcPr>
            <w:tcW w:type="dxa" w:w="811"/>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1.53x</w:t>
            </w:r>
          </w:p>
        </w:tc>
        <w:tc>
          <w:tcPr>
            <w:tcW w:type="dxa" w:w="826"/>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0.91x</w:t>
            </w:r>
          </w:p>
        </w:tc>
        <w:tc>
          <w:tcPr>
            <w:tcW w:type="dxa" w:w="1424"/>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14.4x</w:t>
            </w:r>
          </w:p>
        </w:tc>
        <w:tc>
          <w:tcPr>
            <w:tcW w:type="dxa" w:w="1142"/>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18.2x</w:t>
            </w:r>
          </w:p>
        </w:tc>
      </w:tr>
      <w:tr>
        <w:trPr>
          <w:cantSplit/>
        </w:trPr>
        <w:tc>
          <w:tcPr>
            <w:tcW w:type="dxa" w:w="2809"/>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bCs/>
                <w:color w:val="1F2533"/>
                <w:sz w:val="14"/>
                <w:szCs w:val="14"/>
              </w:rPr>
              <w:t xml:space="preserve">50%</w:t>
            </w:r>
          </w:p>
        </w:tc>
        <w:tc>
          <w:tcPr>
            <w:tcW w:type="dxa" w:w="959"/>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b/>
                <w:bCs/>
                <w:color w:val="1F2533"/>
                <w:sz w:val="14"/>
                <w:szCs w:val="14"/>
              </w:rPr>
              <w:t xml:space="preserve">4,816</w:t>
            </w:r>
          </w:p>
        </w:tc>
        <w:tc>
          <w:tcPr>
            <w:tcW w:type="dxa" w:w="941"/>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b/>
                <w:bCs/>
                <w:color w:val="1F2533"/>
                <w:sz w:val="14"/>
                <w:szCs w:val="14"/>
              </w:rPr>
              <w:t xml:space="preserve">1,002</w:t>
            </w:r>
          </w:p>
        </w:tc>
        <w:tc>
          <w:tcPr>
            <w:tcW w:type="dxa" w:w="834"/>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b/>
                <w:bCs/>
                <w:color w:val="1F2533"/>
                <w:sz w:val="14"/>
                <w:szCs w:val="14"/>
              </w:rPr>
              <w:t xml:space="preserve">2,456</w:t>
            </w:r>
          </w:p>
        </w:tc>
        <w:tc>
          <w:tcPr>
            <w:tcW w:type="dxa" w:w="811"/>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b/>
                <w:bCs/>
                <w:color w:val="1F2533"/>
                <w:sz w:val="14"/>
                <w:szCs w:val="14"/>
              </w:rPr>
              <w:t xml:space="preserve">1.64x</w:t>
            </w:r>
          </w:p>
        </w:tc>
        <w:tc>
          <w:tcPr>
            <w:tcW w:type="dxa" w:w="82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b/>
                <w:bCs/>
                <w:color w:val="1F2533"/>
                <w:sz w:val="14"/>
                <w:szCs w:val="14"/>
              </w:rPr>
              <w:t xml:space="preserve">0.98x</w:t>
            </w:r>
          </w:p>
        </w:tc>
        <w:tc>
          <w:tcPr>
            <w:tcW w:type="dxa" w:w="1424"/>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b/>
                <w:bCs/>
                <w:color w:val="1F2533"/>
                <w:sz w:val="14"/>
                <w:szCs w:val="14"/>
              </w:rPr>
              <w:t xml:space="preserve">15.4x</w:t>
            </w:r>
          </w:p>
        </w:tc>
        <w:tc>
          <w:tcPr>
            <w:tcW w:type="dxa" w:w="1142"/>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b/>
                <w:bCs/>
                <w:color w:val="1F2533"/>
                <w:sz w:val="14"/>
                <w:szCs w:val="14"/>
              </w:rPr>
              <w:t xml:space="preserve">18.7x</w:t>
            </w:r>
          </w:p>
        </w:tc>
      </w:tr>
      <w:tr>
        <w:trPr>
          <w:cantSplit/>
        </w:trPr>
        <w:tc>
          <w:tcPr>
            <w:tcW w:type="dxa" w:w="2809"/>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4"/>
                <w:szCs w:val="14"/>
              </w:rPr>
              <w:t xml:space="preserve">60%</w:t>
            </w:r>
          </w:p>
        </w:tc>
        <w:tc>
          <w:tcPr>
            <w:tcW w:type="dxa" w:w="959"/>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5,138</w:t>
            </w:r>
          </w:p>
        </w:tc>
        <w:tc>
          <w:tcPr>
            <w:tcW w:type="dxa" w:w="941"/>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1,069</w:t>
            </w:r>
          </w:p>
        </w:tc>
        <w:tc>
          <w:tcPr>
            <w:tcW w:type="dxa" w:w="834"/>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2,523</w:t>
            </w:r>
          </w:p>
        </w:tc>
        <w:tc>
          <w:tcPr>
            <w:tcW w:type="dxa" w:w="811"/>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1.75x</w:t>
            </w:r>
          </w:p>
        </w:tc>
        <w:tc>
          <w:tcPr>
            <w:tcW w:type="dxa" w:w="826"/>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1.04x</w:t>
            </w:r>
          </w:p>
        </w:tc>
        <w:tc>
          <w:tcPr>
            <w:tcW w:type="dxa" w:w="1424"/>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16.4x</w:t>
            </w:r>
          </w:p>
        </w:tc>
        <w:tc>
          <w:tcPr>
            <w:tcW w:type="dxa" w:w="1142"/>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19.2x</w:t>
            </w:r>
          </w:p>
        </w:tc>
      </w:tr>
    </w:tbl>
    <w:p>
      <w:pPr>
        <w:spacing w:after="120" w:before="0" w:line="276" w:lineRule="auto"/>
      </w:pPr>
    </w:p>
    <w:p>
      <w:pPr>
        <w:spacing w:after="110" w:before="0" w:line="276" w:lineRule="auto"/>
      </w:pPr>
      <w:r>
        <w:rPr>
          <w:rFonts w:ascii="Arial" w:cs="Arial" w:eastAsia="Yu Gothic" w:hAnsi="Arial"/>
          <w:color w:val="1F2533"/>
          <w:sz w:val="19"/>
          <w:szCs w:val="19"/>
        </w:rPr>
        <w:t xml:space="preserve">Inputs: FY2026E EBITDA = operating income guidance ¥105.5bn + D&amp;A ≈¥26bn (estimate); EV/EBIT at a 30–50% premium = 22.0–23.3x.</w:t>
      </w:r>
    </w:p>
    <w:p>
      <w:pPr>
        <w:spacing w:after="110" w:before="0" w:line="276" w:lineRule="auto"/>
      </w:pPr>
      <w:r>
        <w:rPr>
          <w:rFonts w:ascii="Arial" w:cs="Arial" w:eastAsia="Yu Gothic" w:hAnsi="Arial"/>
          <w:b/>
          <w:bCs/>
          <w:color w:val="1F2533"/>
          <w:sz w:val="19"/>
          <w:szCs w:val="19"/>
        </w:rPr>
        <w:t xml:space="preserve">A takeout zone of ¥4,170–4,820 is consistent with four independent anchors:</w:t>
      </w:r>
    </w:p>
    <w:p>
      <w:pPr>
        <w:pStyle w:val="ListParagraph"/>
        <w:numPr>
          <w:ilvl w:val="0"/>
          <w:numId w:val="2"/>
        </w:numPr>
        <w:spacing w:after="60" w:line="264" w:lineRule="auto"/>
      </w:pPr>
      <w:r>
        <w:rPr>
          <w:rFonts w:ascii="Arial" w:cs="Arial" w:eastAsia="Yu Gothic" w:hAnsi="Arial"/>
          <w:color w:val="1F2533"/>
          <w:sz w:val="19"/>
          <w:szCs w:val="19"/>
        </w:rPr>
        <w:t xml:space="preserve">the peer-median P/E (≈¥4,180);</w:t>
      </w:r>
    </w:p>
    <w:p>
      <w:pPr>
        <w:pStyle w:val="ListParagraph"/>
        <w:numPr>
          <w:ilvl w:val="0"/>
          <w:numId w:val="2"/>
        </w:numPr>
        <w:spacing w:after="60" w:line="264" w:lineRule="auto"/>
      </w:pPr>
      <w:r>
        <w:rPr>
          <w:rFonts w:ascii="Arial" w:cs="Arial" w:eastAsia="Yu Gothic" w:hAnsi="Arial"/>
          <w:color w:val="1F2533"/>
          <w:sz w:val="19"/>
          <w:szCs w:val="19"/>
        </w:rPr>
        <w:t xml:space="preserve">Mitsubishi Estate's P/B (≈¥4,720);</w:t>
      </w:r>
    </w:p>
    <w:p>
      <w:pPr>
        <w:pStyle w:val="ListParagraph"/>
        <w:numPr>
          <w:ilvl w:val="0"/>
          <w:numId w:val="2"/>
        </w:numPr>
        <w:spacing w:after="60" w:line="264" w:lineRule="auto"/>
      </w:pPr>
      <w:r>
        <w:rPr>
          <w:rFonts w:ascii="Arial" w:cs="Arial" w:eastAsia="Yu Gothic" w:hAnsi="Arial"/>
          <w:color w:val="1F2533"/>
          <w:sz w:val="19"/>
          <w:szCs w:val="19"/>
        </w:rPr>
        <w:t xml:space="preserve">NAV parity (≈¥4,940);</w:t>
      </w:r>
    </w:p>
    <w:p>
      <w:pPr>
        <w:pStyle w:val="ListParagraph"/>
        <w:numPr>
          <w:ilvl w:val="0"/>
          <w:numId w:val="2"/>
        </w:numPr>
        <w:spacing w:after="60" w:line="264" w:lineRule="auto"/>
      </w:pPr>
      <w:r>
        <w:rPr>
          <w:rFonts w:ascii="Arial" w:cs="Arial" w:eastAsia="Yu Gothic" w:hAnsi="Arial"/>
          <w:color w:val="1F2533"/>
          <w:sz w:val="19"/>
          <w:szCs w:val="19"/>
        </w:rPr>
        <w:t xml:space="preserve">the February 2026 high (¥4,374).</w:t>
      </w:r>
    </w:p>
    <w:p>
      <w:pPr>
        <w:spacing w:after="40" w:before="0" w:line="276" w:lineRule="auto"/>
      </w:pPr>
    </w:p>
    <w:p>
      <w:pPr>
        <w:pStyle w:val="Heading2"/>
        <w:keepNext/>
        <w:keepLines/>
        <w:spacing w:after="90" w:before="260" w:line="252" w:lineRule="auto"/>
      </w:pPr>
      <w:r>
        <w:rPr>
          <w:rFonts w:ascii="Arial" w:cs="Arial" w:eastAsia="Yu Gothic" w:hAnsi="Arial"/>
          <w:b/>
          <w:bCs/>
          <w:color w:val="15233F"/>
          <w:sz w:val="25"/>
          <w:szCs w:val="25"/>
        </w:rPr>
        <w:t xml:space="preserve">LBO / take-private framework</w:t>
      </w:r>
    </w:p>
    <w:p>
      <w:pPr>
        <w:spacing w:after="110" w:before="0" w:line="276" w:lineRule="auto"/>
      </w:pPr>
      <w:r>
        <w:rPr>
          <w:rFonts w:ascii="Arial" w:cs="Arial" w:eastAsia="Yu Gothic" w:hAnsi="Arial"/>
          <w:color w:val="1F2533"/>
          <w:sz w:val="19"/>
          <w:szCs w:val="19"/>
        </w:rPr>
        <w:t xml:space="preserve">At a 40% premium (¥4,495 per share), EV is about ¥2.39tn, or </w:t>
      </w:r>
      <w:r>
        <w:rPr>
          <w:rFonts w:ascii="Arial" w:cs="Arial" w:eastAsia="Yu Gothic" w:hAnsi="Arial"/>
          <w:b/>
          <w:bCs/>
          <w:color w:val="1F2533"/>
          <w:sz w:val="19"/>
          <w:szCs w:val="19"/>
        </w:rPr>
        <w:t xml:space="preserve">18.2x FY2026E EBITDA</w:t>
      </w:r>
      <w:r>
        <w:rPr>
          <w:rFonts w:ascii="Arial" w:cs="Arial" w:eastAsia="Yu Gothic" w:hAnsi="Arial"/>
          <w:color w:val="1F2533"/>
          <w:sz w:val="19"/>
          <w:szCs w:val="19"/>
        </w:rPr>
        <w:t xml:space="preserve">.</w:t>
      </w:r>
    </w:p>
    <w:p>
      <w:pPr>
        <w:pStyle w:val="ListParagraph"/>
        <w:numPr>
          <w:ilvl w:val="0"/>
          <w:numId w:val="2"/>
        </w:numPr>
        <w:spacing w:after="60" w:line="264" w:lineRule="auto"/>
      </w:pPr>
      <w:r>
        <w:rPr>
          <w:rFonts w:ascii="Arial" w:cs="Arial" w:eastAsia="Yu Gothic" w:hAnsi="Arial"/>
          <w:b/>
          <w:bCs/>
          <w:color w:val="1F2533"/>
          <w:sz w:val="19"/>
          <w:szCs w:val="19"/>
        </w:rPr>
        <w:t xml:space="preserve">Debt.</w:t>
      </w:r>
      <w:r>
        <w:rPr>
          <w:rFonts w:ascii="Arial" w:cs="Arial" w:eastAsia="Yu Gothic" w:hAnsi="Arial"/>
          <w:color w:val="1F2533"/>
          <w:sz w:val="19"/>
          <w:szCs w:val="19"/>
        </w:rPr>
        <w:t xml:space="preserve"> Acquisition debt of 11x EBITDA (≈¥1.45tn) is no more than the company already owes. A sponsor would therefore need to write an </w:t>
      </w:r>
      <w:r>
        <w:rPr>
          <w:rFonts w:ascii="Arial" w:cs="Arial" w:eastAsia="Yu Gothic" w:hAnsi="Arial"/>
          <w:b/>
          <w:bCs/>
          <w:color w:val="1F2533"/>
          <w:sz w:val="19"/>
          <w:szCs w:val="19"/>
        </w:rPr>
        <w:t xml:space="preserve">equity cheque of about ¥0.94tn (39% of EV)</w:t>
      </w:r>
      <w:r>
        <w:rPr>
          <w:rFonts w:ascii="Arial" w:cs="Arial" w:eastAsia="Yu Gothic" w:hAnsi="Arial"/>
          <w:color w:val="1F2533"/>
          <w:sz w:val="19"/>
          <w:szCs w:val="19"/>
        </w:rPr>
        <w:t xml:space="preserve">.</w:t>
      </w:r>
    </w:p>
    <w:p>
      <w:pPr>
        <w:pStyle w:val="ListParagraph"/>
        <w:numPr>
          <w:ilvl w:val="0"/>
          <w:numId w:val="2"/>
        </w:numPr>
        <w:spacing w:after="60" w:line="264" w:lineRule="auto"/>
      </w:pPr>
      <w:r>
        <w:rPr>
          <w:rFonts w:ascii="Arial" w:cs="Arial" w:eastAsia="Yu Gothic" w:hAnsi="Arial"/>
          <w:b/>
          <w:bCs/>
          <w:color w:val="1F2533"/>
          <w:sz w:val="19"/>
          <w:szCs w:val="19"/>
        </w:rPr>
        <w:t xml:space="preserve">Exit.</w:t>
      </w:r>
      <w:r>
        <w:rPr>
          <w:rFonts w:ascii="Arial" w:cs="Arial" w:eastAsia="Yu Gothic" w:hAnsi="Arial"/>
          <w:color w:val="1F2533"/>
          <w:sz w:val="19"/>
          <w:szCs w:val="19"/>
        </w:rPr>
        <w:t xml:space="preserve"> Exiting after five years at the entry multiple, with 3–5% annual EBITDA growth and no deleveraging (free cash flow is negative), gives </w:t>
      </w:r>
      <w:r>
        <w:rPr>
          <w:rFonts w:ascii="Arial" w:cs="Arial" w:eastAsia="Yu Gothic" w:hAnsi="Arial"/>
          <w:b/>
          <w:bCs/>
          <w:color w:val="1F2533"/>
          <w:sz w:val="19"/>
          <w:szCs w:val="19"/>
        </w:rPr>
        <w:t xml:space="preserve">1.4–1.7x money and a 7–11% IRR</w:t>
      </w:r>
      <w:r>
        <w:rPr>
          <w:rFonts w:ascii="Arial" w:cs="Arial" w:eastAsia="Yu Gothic" w:hAnsi="Arial"/>
          <w:color w:val="1F2533"/>
          <w:sz w:val="19"/>
          <w:szCs w:val="19"/>
        </w:rPr>
        <w:t xml:space="preserve">. That is well below typical private-equity hurdles of 15–20%.</w:t>
      </w:r>
    </w:p>
    <w:p>
      <w:pPr>
        <w:pStyle w:val="ListParagraph"/>
        <w:numPr>
          <w:ilvl w:val="0"/>
          <w:numId w:val="2"/>
        </w:numPr>
        <w:spacing w:after="60" w:line="264" w:lineRule="auto"/>
      </w:pPr>
      <w:r>
        <w:rPr>
          <w:rFonts w:ascii="Arial" w:cs="Arial" w:eastAsia="Yu Gothic" w:hAnsi="Arial"/>
          <w:b/>
          <w:bCs/>
          <w:color w:val="1F2533"/>
          <w:sz w:val="19"/>
          <w:szCs w:val="19"/>
        </w:rPr>
        <w:t xml:space="preserve">NAV upside.</w:t>
      </w:r>
      <w:r>
        <w:rPr>
          <w:rFonts w:ascii="Arial" w:cs="Arial" w:eastAsia="Yu Gothic" w:hAnsi="Arial"/>
          <w:color w:val="1F2533"/>
          <w:sz w:val="19"/>
          <w:szCs w:val="19"/>
        </w:rPr>
        <w:t xml:space="preserve"> The NAV discount captured at entry would be thin: P/NAV ≈0.91x.</w:t>
      </w:r>
    </w:p>
    <w:p>
      <w:pPr>
        <w:spacing w:after="40" w:before="0" w:line="276" w:lineRule="auto"/>
      </w:pPr>
    </w:p>
    <w:p>
      <w:pPr>
        <w:spacing w:after="110" w:before="0" w:line="276" w:lineRule="auto"/>
      </w:pPr>
      <w:r>
        <w:rPr>
          <w:rFonts w:ascii="Arial" w:cs="Arial" w:eastAsia="Yu Gothic" w:hAnsi="Arial"/>
          <w:color w:val="1F2533"/>
          <w:sz w:val="19"/>
          <w:szCs w:val="19"/>
        </w:rPr>
        <w:t xml:space="preserve">A financial buyer would have to underwrite cap-rate compression or large-scale asset sales. </w:t>
      </w:r>
      <w:r>
        <w:rPr>
          <w:rFonts w:ascii="Arial" w:cs="Arial" w:eastAsia="Yu Gothic" w:hAnsi="Arial"/>
          <w:b/>
          <w:bCs/>
          <w:color w:val="1F2533"/>
          <w:sz w:val="19"/>
          <w:szCs w:val="19"/>
        </w:rPr>
        <w:t xml:space="preserve">A classic LBO does not work. Only a strategic buyer, or a buyer that intends to break up the portfolio, makes economic sense.</w:t>
      </w:r>
    </w:p>
    <w:p>
      <w:pPr>
        <w:pStyle w:val="Heading2"/>
        <w:keepNext/>
        <w:keepLines/>
        <w:spacing w:after="90" w:before="260" w:line="252" w:lineRule="auto"/>
      </w:pPr>
      <w:r>
        <w:rPr>
          <w:rFonts w:ascii="Arial" w:cs="Arial" w:eastAsia="Yu Gothic" w:hAnsi="Arial"/>
          <w:b/>
          <w:bCs/>
          <w:color w:val="15233F"/>
          <w:sz w:val="25"/>
          <w:szCs w:val="25"/>
        </w:rPr>
        <w:t xml:space="preserve">Tokyo Tatemono's own acquisitions and investments, 2016–2026</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32"/>
        <w:gridCol w:w="2427"/>
        <w:gridCol w:w="2024"/>
        <w:gridCol w:w="1461"/>
        <w:gridCol w:w="1454"/>
        <w:gridCol w:w="1548"/>
      </w:tblGrid>
      <w:tr>
        <w:trPr>
          <w:cantSplit/>
          <w:tblHeader/>
        </w:trPr>
        <w:tc>
          <w:tcPr>
            <w:tcW w:type="dxa" w:w="832"/>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bCs/>
                <w:color w:val="FFFFFF"/>
                <w:sz w:val="15"/>
                <w:szCs w:val="15"/>
              </w:rPr>
              <w:t xml:space="preserve">Date</w:t>
            </w:r>
          </w:p>
        </w:tc>
        <w:tc>
          <w:tcPr>
            <w:tcW w:type="dxa" w:w="2427"/>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5"/>
                <w:szCs w:val="15"/>
              </w:rPr>
              <w:t xml:space="preserve">Target / investment</w:t>
            </w:r>
          </w:p>
        </w:tc>
        <w:tc>
          <w:tcPr>
            <w:tcW w:type="dxa" w:w="2024"/>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5"/>
                <w:szCs w:val="15"/>
              </w:rPr>
              <w:t xml:space="preserve">Type</w:t>
            </w:r>
          </w:p>
        </w:tc>
        <w:tc>
          <w:tcPr>
            <w:tcW w:type="dxa" w:w="1461"/>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5"/>
                <w:szCs w:val="15"/>
              </w:rPr>
              <w:t xml:space="preserve">Cost</w:t>
            </w:r>
          </w:p>
        </w:tc>
        <w:tc>
          <w:tcPr>
            <w:tcW w:type="dxa" w:w="1454"/>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5"/>
                <w:szCs w:val="15"/>
              </w:rPr>
              <w:t xml:space="preserve">Multiples / terms</w:t>
            </w:r>
          </w:p>
        </w:tc>
        <w:tc>
          <w:tcPr>
            <w:tcW w:type="dxa" w:w="1548"/>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5"/>
                <w:szCs w:val="15"/>
              </w:rPr>
              <w:t xml:space="preserve">Status</w:t>
            </w:r>
          </w:p>
        </w:tc>
      </w:tr>
      <w:tr>
        <w:trPr>
          <w:cantSplit/>
        </w:trPr>
        <w:tc>
          <w:tcPr>
            <w:tcW w:type="dxa" w:w="832"/>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5"/>
                <w:szCs w:val="15"/>
              </w:rPr>
              <w:t xml:space="preserve">1 Dec 2016</w:t>
            </w:r>
          </w:p>
        </w:tc>
        <w:tc>
          <w:tcPr>
            <w:tcW w:type="dxa" w:w="2427"/>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Parking business (Nippon Parking, NPC24H)</w:t>
            </w:r>
          </w:p>
        </w:tc>
        <w:tc>
          <w:tcPr>
            <w:tcW w:type="dxa" w:w="2024"/>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Group reorganisation</w:t>
            </w:r>
          </w:p>
        </w:tc>
        <w:tc>
          <w:tcPr>
            <w:tcW w:type="dxa" w:w="1461"/>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5"/>
                <w:szCs w:val="15"/>
              </w:rPr>
              <w:t xml:space="preserve">n/a</w:t>
            </w:r>
          </w:p>
        </w:tc>
        <w:tc>
          <w:tcPr>
            <w:tcW w:type="dxa" w:w="1454"/>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5"/>
                <w:szCs w:val="15"/>
              </w:rPr>
              <w:t xml:space="preserve">n/a</w:t>
            </w:r>
          </w:p>
        </w:tc>
        <w:tc>
          <w:tcPr>
            <w:tcW w:type="dxa" w:w="1548"/>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≈90,000 spaces today (</w:t>
            </w:r>
            <w:hyperlink w:history="1" r:id="rIdevauutjj2qccbpjqazrke">
              <w:r>
                <w:rPr>
                  <w:rFonts w:ascii="Arial" w:cs="Arial" w:eastAsia="Yu Gothic" w:hAnsi="Arial"/>
                  <w:color w:val="2F6FD0"/>
                  <w:sz w:val="15"/>
                  <w:szCs w:val="15"/>
                  <w:u w:val="single"/>
                </w:rPr>
                <w:t xml:space="preserve">release</w:t>
              </w:r>
            </w:hyperlink>
            <w:r>
              <w:rPr>
                <w:rFonts w:ascii="Arial" w:cs="Arial" w:eastAsia="Yu Gothic" w:hAnsi="Arial"/>
                <w:color w:val="1F2533"/>
                <w:sz w:val="15"/>
                <w:szCs w:val="15"/>
              </w:rPr>
              <w:t xml:space="preserve">)</w:t>
            </w:r>
          </w:p>
        </w:tc>
      </w:tr>
      <w:tr>
        <w:trPr>
          <w:cantSplit/>
        </w:trPr>
        <w:tc>
          <w:tcPr>
            <w:tcW w:type="dxa" w:w="832"/>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5"/>
                <w:szCs w:val="15"/>
              </w:rPr>
              <w:t xml:space="preserve">Dec 2018</w:t>
            </w:r>
          </w:p>
        </w:tc>
        <w:tc>
          <w:tcPr>
            <w:tcW w:type="dxa" w:w="2427"/>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PT Farpoint joint venture (Jakarta condos, "The Loggia")</w:t>
            </w:r>
          </w:p>
        </w:tc>
        <w:tc>
          <w:tcPr>
            <w:tcW w:type="dxa" w:w="2024"/>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Overseas joint venture</w:t>
            </w:r>
          </w:p>
        </w:tc>
        <w:tc>
          <w:tcPr>
            <w:tcW w:type="dxa" w:w="1461"/>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5"/>
                <w:szCs w:val="15"/>
              </w:rPr>
              <w:t xml:space="preserve">n/a (Indonesian programme ≈¥49bn total project cost)</w:t>
            </w:r>
          </w:p>
        </w:tc>
        <w:tc>
          <w:tcPr>
            <w:tcW w:type="dxa" w:w="1454"/>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5"/>
                <w:szCs w:val="15"/>
              </w:rPr>
              <w:t xml:space="preserve">n/a</w:t>
            </w:r>
          </w:p>
        </w:tc>
        <w:tc>
          <w:tcPr>
            <w:tcW w:type="dxa" w:w="1548"/>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Current status unverified (</w:t>
            </w:r>
            <w:hyperlink w:history="1" r:id="rIdebh-9poswqar6p8zr7h6w">
              <w:r>
                <w:rPr>
                  <w:rFonts w:ascii="Arial" w:cs="Arial" w:eastAsia="Yu Gothic" w:hAnsi="Arial"/>
                  <w:color w:val="2F6FD0"/>
                  <w:sz w:val="15"/>
                  <w:szCs w:val="15"/>
                  <w:u w:val="single"/>
                </w:rPr>
                <w:t xml:space="preserve">Jakarta Post</w:t>
              </w:r>
            </w:hyperlink>
            <w:r>
              <w:rPr>
                <w:rFonts w:ascii="Arial" w:cs="Arial" w:eastAsia="Yu Gothic" w:hAnsi="Arial"/>
                <w:color w:val="1F2533"/>
                <w:sz w:val="15"/>
                <w:szCs w:val="15"/>
              </w:rPr>
              <w:t xml:space="preserve">)</w:t>
            </w:r>
          </w:p>
        </w:tc>
      </w:tr>
      <w:tr>
        <w:trPr>
          <w:cantSplit/>
        </w:trPr>
        <w:tc>
          <w:tcPr>
            <w:tcW w:type="dxa" w:w="832"/>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5"/>
                <w:szCs w:val="15"/>
              </w:rPr>
              <w:t xml:space="preserve">26 Apr 2023</w:t>
            </w:r>
          </w:p>
        </w:tc>
        <w:tc>
          <w:tcPr>
            <w:tcW w:type="dxa" w:w="2427"/>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Sole sponsorship of JPR (co-sponsors exit TRIM)</w:t>
            </w:r>
          </w:p>
        </w:tc>
        <w:tc>
          <w:tcPr>
            <w:tcW w:type="dxa" w:w="2024"/>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Asset-management consolidation</w:t>
            </w:r>
          </w:p>
        </w:tc>
        <w:tc>
          <w:tcPr>
            <w:tcW w:type="dxa" w:w="1461"/>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5"/>
                <w:szCs w:val="15"/>
              </w:rPr>
              <w:t xml:space="preserve">n/a</w:t>
            </w:r>
          </w:p>
        </w:tc>
        <w:tc>
          <w:tcPr>
            <w:tcW w:type="dxa" w:w="1454"/>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5"/>
                <w:szCs w:val="15"/>
              </w:rPr>
              <w:t xml:space="preserve">n/a</w:t>
            </w:r>
          </w:p>
        </w:tc>
        <w:tc>
          <w:tcPr>
            <w:tcW w:type="dxa" w:w="1548"/>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TRIM now 100% owned (</w:t>
            </w:r>
            <w:hyperlink w:history="1" r:id="rId5wkzguymbcumelnthuj0e">
              <w:r>
                <w:rPr>
                  <w:rFonts w:ascii="Arial" w:cs="Arial" w:eastAsia="Yu Gothic" w:hAnsi="Arial"/>
                  <w:color w:val="2F6FD0"/>
                  <w:sz w:val="15"/>
                  <w:szCs w:val="15"/>
                  <w:u w:val="single"/>
                </w:rPr>
                <w:t xml:space="preserve">NFM</w:t>
              </w:r>
            </w:hyperlink>
            <w:r>
              <w:rPr>
                <w:rFonts w:ascii="Arial" w:cs="Arial" w:eastAsia="Yu Gothic" w:hAnsi="Arial"/>
                <w:color w:val="1F2533"/>
                <w:sz w:val="15"/>
                <w:szCs w:val="15"/>
              </w:rPr>
              <w:t xml:space="preserve">)</w:t>
            </w:r>
          </w:p>
        </w:tc>
      </w:tr>
      <w:tr>
        <w:trPr>
          <w:cantSplit/>
        </w:trPr>
        <w:tc>
          <w:tcPr>
            <w:tcW w:type="dxa" w:w="832"/>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5"/>
                <w:szCs w:val="15"/>
              </w:rPr>
              <w:t xml:space="preserve">12 Oct 2023</w:t>
            </w:r>
          </w:p>
        </w:tc>
        <w:tc>
          <w:tcPr>
            <w:tcW w:type="dxa" w:w="2427"/>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Unidentified "specified subsidiary"</w:t>
            </w:r>
          </w:p>
        </w:tc>
        <w:tc>
          <w:tcPr>
            <w:tcW w:type="dxa" w:w="2024"/>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Subsidiary change (EDINET extraordinary report)</w:t>
            </w:r>
          </w:p>
        </w:tc>
        <w:tc>
          <w:tcPr>
            <w:tcW w:type="dxa" w:w="1461"/>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5"/>
                <w:szCs w:val="15"/>
              </w:rPr>
              <w:t xml:space="preserve">n/a</w:t>
            </w:r>
          </w:p>
        </w:tc>
        <w:tc>
          <w:tcPr>
            <w:tcW w:type="dxa" w:w="1454"/>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5"/>
                <w:szCs w:val="15"/>
              </w:rPr>
              <w:t xml:space="preserve">n/a</w:t>
            </w:r>
          </w:p>
        </w:tc>
        <w:tc>
          <w:tcPr>
            <w:tcW w:type="dxa" w:w="1548"/>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Not identified</w:t>
            </w:r>
          </w:p>
        </w:tc>
      </w:tr>
      <w:tr>
        <w:trPr>
          <w:cantSplit/>
        </w:trPr>
        <w:tc>
          <w:tcPr>
            <w:tcW w:type="dxa" w:w="832"/>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5"/>
                <w:szCs w:val="15"/>
              </w:rPr>
              <w:t xml:space="preserve">Jun 2024 / Jan 2025 / Sep 2026</w:t>
            </w:r>
          </w:p>
        </w:tc>
        <w:tc>
          <w:tcPr>
            <w:tcW w:type="dxa" w:w="2427"/>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Thailand: Tokyo Tatemono (Thailand); logistics, condo (Reference Ekkamai, Reference Kaset) and rental-factory joint ventures with SCX/SC Asset</w:t>
            </w:r>
          </w:p>
        </w:tc>
        <w:tc>
          <w:tcPr>
            <w:tcW w:type="dxa" w:w="2024"/>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Overseas joint ventures</w:t>
            </w:r>
          </w:p>
        </w:tc>
        <w:tc>
          <w:tcPr>
            <w:tcW w:type="dxa" w:w="1461"/>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5"/>
                <w:szCs w:val="15"/>
              </w:rPr>
              <w:t xml:space="preserve">n/a</w:t>
            </w:r>
          </w:p>
        </w:tc>
        <w:tc>
          <w:tcPr>
            <w:tcW w:type="dxa" w:w="1454"/>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5"/>
                <w:szCs w:val="15"/>
              </w:rPr>
              <w:t xml:space="preserve">n/a</w:t>
            </w:r>
          </w:p>
        </w:tc>
        <w:tc>
          <w:tcPr>
            <w:tcW w:type="dxa" w:w="1548"/>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15 Thai projects in total (</w:t>
            </w:r>
            <w:hyperlink w:history="1" r:id="rIdog0hhwe8qskdgmoicydhk">
              <w:r>
                <w:rPr>
                  <w:rFonts w:ascii="Arial" w:cs="Arial" w:eastAsia="Yu Gothic" w:hAnsi="Arial"/>
                  <w:color w:val="2F6FD0"/>
                  <w:sz w:val="15"/>
                  <w:szCs w:val="15"/>
                  <w:u w:val="single"/>
                </w:rPr>
                <w:t xml:space="preserve">company</w:t>
              </w:r>
            </w:hyperlink>
            <w:r>
              <w:rPr>
                <w:rFonts w:ascii="Arial" w:cs="Arial" w:eastAsia="Yu Gothic" w:hAnsi="Arial"/>
                <w:color w:val="1F2533"/>
                <w:sz w:val="15"/>
                <w:szCs w:val="15"/>
              </w:rPr>
              <w:t xml:space="preserve">)</w:t>
            </w:r>
          </w:p>
        </w:tc>
      </w:tr>
      <w:tr>
        <w:trPr>
          <w:cantSplit/>
        </w:trPr>
        <w:tc>
          <w:tcPr>
            <w:tcW w:type="dxa" w:w="832"/>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5"/>
                <w:szCs w:val="15"/>
              </w:rPr>
              <w:t xml:space="preserve">Oct 2024 / Dec 2025</w:t>
            </w:r>
          </w:p>
        </w:tc>
        <w:tc>
          <w:tcPr>
            <w:tcW w:type="dxa" w:w="2427"/>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899 Collins Street, Melbourne build-to-rent (499 units) with Lendlease and Nippon Steel Kowa</w:t>
            </w:r>
          </w:p>
        </w:tc>
        <w:tc>
          <w:tcPr>
            <w:tcW w:type="dxa" w:w="2024"/>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Minority joint venture</w:t>
            </w:r>
          </w:p>
        </w:tc>
        <w:tc>
          <w:tcPr>
            <w:tcW w:type="dxa" w:w="1461"/>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5"/>
                <w:szCs w:val="15"/>
              </w:rPr>
              <w:t xml:space="preserve">Project value A$500m (Tokyo Tatemono's share minority)</w:t>
            </w:r>
          </w:p>
        </w:tc>
        <w:tc>
          <w:tcPr>
            <w:tcW w:type="dxa" w:w="1454"/>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5"/>
                <w:szCs w:val="15"/>
              </w:rPr>
              <w:t xml:space="preserve">n/a</w:t>
            </w:r>
          </w:p>
        </w:tc>
        <w:tc>
          <w:tcPr>
            <w:tcW w:type="dxa" w:w="1548"/>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Completion due Jan 2027 (</w:t>
            </w:r>
            <w:hyperlink w:history="1" r:id="rId8cg5xwpxggv2yffglybgc">
              <w:r>
                <w:rPr>
                  <w:rFonts w:ascii="Arial" w:cs="Arial" w:eastAsia="Yu Gothic" w:hAnsi="Arial"/>
                  <w:color w:val="2F6FD0"/>
                  <w:sz w:val="15"/>
                  <w:szCs w:val="15"/>
                  <w:u w:val="single"/>
                </w:rPr>
                <w:t xml:space="preserve">company</w:t>
              </w:r>
            </w:hyperlink>
            <w:r>
              <w:rPr>
                <w:rFonts w:ascii="Arial" w:cs="Arial" w:eastAsia="Yu Gothic" w:hAnsi="Arial"/>
                <w:color w:val="1F2533"/>
                <w:sz w:val="15"/>
                <w:szCs w:val="15"/>
              </w:rPr>
              <w:t xml:space="preserve">)</w:t>
            </w:r>
          </w:p>
        </w:tc>
      </w:tr>
      <w:tr>
        <w:trPr>
          <w:cantSplit/>
        </w:trPr>
        <w:tc>
          <w:tcPr>
            <w:tcW w:type="dxa" w:w="832"/>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5"/>
                <w:szCs w:val="15"/>
              </w:rPr>
              <w:t xml:space="preserve">1 Apr 2025</w:t>
            </w:r>
          </w:p>
        </w:tc>
        <w:tc>
          <w:tcPr>
            <w:tcW w:type="dxa" w:w="2427"/>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Oyama Golf Club</w:t>
            </w:r>
          </w:p>
        </w:tc>
        <w:tc>
          <w:tcPr>
            <w:tcW w:type="dxa" w:w="2024"/>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Operating takeover</w:t>
            </w:r>
          </w:p>
        </w:tc>
        <w:tc>
          <w:tcPr>
            <w:tcW w:type="dxa" w:w="1461"/>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5"/>
                <w:szCs w:val="15"/>
              </w:rPr>
              <w:t xml:space="preserve">n/a</w:t>
            </w:r>
          </w:p>
        </w:tc>
        <w:tc>
          <w:tcPr>
            <w:tcW w:type="dxa" w:w="1454"/>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5"/>
                <w:szCs w:val="15"/>
              </w:rPr>
              <w:t xml:space="preserve">n/a</w:t>
            </w:r>
          </w:p>
        </w:tc>
        <w:tc>
          <w:tcPr>
            <w:tcW w:type="dxa" w:w="1548"/>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First new golf course in 17 years</w:t>
            </w:r>
          </w:p>
        </w:tc>
      </w:tr>
      <w:tr>
        <w:trPr>
          <w:cantSplit/>
        </w:trPr>
        <w:tc>
          <w:tcPr>
            <w:tcW w:type="dxa" w:w="832"/>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5"/>
                <w:szCs w:val="15"/>
              </w:rPr>
              <w:t xml:space="preserve">Dec 2025</w:t>
            </w:r>
          </w:p>
        </w:tc>
        <w:tc>
          <w:tcPr>
            <w:tcW w:type="dxa" w:w="2427"/>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Zeus OSA1 data centre (Osaka) with SC Zeus Data Centers</w:t>
            </w:r>
          </w:p>
        </w:tc>
        <w:tc>
          <w:tcPr>
            <w:tcW w:type="dxa" w:w="2024"/>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Development joint venture</w:t>
            </w:r>
          </w:p>
        </w:tc>
        <w:tc>
          <w:tcPr>
            <w:tcW w:type="dxa" w:w="1461"/>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5"/>
                <w:szCs w:val="15"/>
              </w:rPr>
              <w:t xml:space="preserve">n/a</w:t>
            </w:r>
          </w:p>
        </w:tc>
        <w:tc>
          <w:tcPr>
            <w:tcW w:type="dxa" w:w="1454"/>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5"/>
                <w:szCs w:val="15"/>
              </w:rPr>
              <w:t xml:space="preserve">n/a</w:t>
            </w:r>
          </w:p>
        </w:tc>
        <w:tc>
          <w:tcPr>
            <w:tcW w:type="dxa" w:w="1548"/>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Phase 1 (25MW) due 2028</w:t>
            </w:r>
          </w:p>
        </w:tc>
      </w:tr>
      <w:tr>
        <w:trPr>
          <w:cantSplit/>
        </w:trPr>
        <w:tc>
          <w:tcPr>
            <w:tcW w:type="dxa" w:w="832"/>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5"/>
                <w:szCs w:val="15"/>
              </w:rPr>
              <w:t xml:space="preserve">23 Dec 2025</w:t>
            </w:r>
          </w:p>
        </w:tc>
        <w:tc>
          <w:tcPr>
            <w:tcW w:type="dxa" w:w="2427"/>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125 Shaftesbury Avenue, London</w:t>
            </w:r>
          </w:p>
        </w:tc>
        <w:tc>
          <w:tcPr>
            <w:tcW w:type="dxa" w:w="2024"/>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Office refurbishment</w:t>
            </w:r>
          </w:p>
        </w:tc>
        <w:tc>
          <w:tcPr>
            <w:tcW w:type="dxa" w:w="1461"/>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5"/>
                <w:szCs w:val="15"/>
              </w:rPr>
              <w:t xml:space="preserve">n/a</w:t>
            </w:r>
          </w:p>
        </w:tc>
        <w:tc>
          <w:tcPr>
            <w:tcW w:type="dxa" w:w="1454"/>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5"/>
                <w:szCs w:val="15"/>
              </w:rPr>
              <w:t xml:space="preserve">n/a</w:t>
            </w:r>
          </w:p>
        </w:tc>
        <w:tc>
          <w:tcPr>
            <w:tcW w:type="dxa" w:w="1548"/>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Launched (</w:t>
            </w:r>
            <w:hyperlink w:history="1" r:id="rIdkeryy5wyfjir4o-ut37ig">
              <w:r>
                <w:rPr>
                  <w:rFonts w:ascii="Arial" w:cs="Arial" w:eastAsia="Yu Gothic" w:hAnsi="Arial"/>
                  <w:color w:val="2F6FD0"/>
                  <w:sz w:val="15"/>
                  <w:szCs w:val="15"/>
                  <w:u w:val="single"/>
                </w:rPr>
                <w:t xml:space="preserve">company</w:t>
              </w:r>
            </w:hyperlink>
            <w:r>
              <w:rPr>
                <w:rFonts w:ascii="Arial" w:cs="Arial" w:eastAsia="Yu Gothic" w:hAnsi="Arial"/>
                <w:color w:val="1F2533"/>
                <w:sz w:val="15"/>
                <w:szCs w:val="15"/>
              </w:rPr>
              <w:t xml:space="preserve">)</w:t>
            </w:r>
          </w:p>
        </w:tc>
      </w:tr>
      <w:tr>
        <w:trPr>
          <w:cantSplit/>
        </w:trPr>
        <w:tc>
          <w:tcPr>
            <w:tcW w:type="dxa" w:w="832"/>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5"/>
                <w:szCs w:val="15"/>
              </w:rPr>
              <w:t xml:space="preserve">2026</w:t>
            </w:r>
          </w:p>
        </w:tc>
        <w:tc>
          <w:tcPr>
            <w:tcW w:type="dxa" w:w="2427"/>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Building near Hatchobori (from Blackstone); former Yellow Hat HQ, Iwamotocho</w:t>
            </w:r>
          </w:p>
        </w:tc>
        <w:tc>
          <w:tcPr>
            <w:tcW w:type="dxa" w:w="2024"/>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Building acquisitions</w:t>
            </w:r>
          </w:p>
        </w:tc>
        <w:tc>
          <w:tcPr>
            <w:tcW w:type="dxa" w:w="1461"/>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5"/>
                <w:szCs w:val="15"/>
              </w:rPr>
              <w:t xml:space="preserve">n/a</w:t>
            </w:r>
          </w:p>
        </w:tc>
        <w:tc>
          <w:tcPr>
            <w:tcW w:type="dxa" w:w="1454"/>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5"/>
                <w:szCs w:val="15"/>
              </w:rPr>
              <w:t xml:space="preserve">n/a</w:t>
            </w:r>
          </w:p>
        </w:tc>
        <w:tc>
          <w:tcPr>
            <w:tcW w:type="dxa" w:w="1548"/>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Contributed to the 1H debt build</w:t>
            </w:r>
          </w:p>
        </w:tc>
      </w:tr>
      <w:tr>
        <w:trPr>
          <w:cantSplit/>
        </w:trPr>
        <w:tc>
          <w:tcPr>
            <w:tcW w:type="dxa" w:w="832"/>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5"/>
                <w:szCs w:val="15"/>
              </w:rPr>
              <w:t xml:space="preserve">13 May / 2 Jun 2026</w:t>
            </w:r>
          </w:p>
        </w:tc>
        <w:tc>
          <w:tcPr>
            <w:tcW w:type="dxa" w:w="2427"/>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bCs/>
                <w:color w:val="1F2533"/>
                <w:sz w:val="15"/>
                <w:szCs w:val="15"/>
              </w:rPr>
              <w:t xml:space="preserve">Star Mica HD (2975): 13.74%</w:t>
            </w:r>
          </w:p>
        </w:tc>
        <w:tc>
          <w:tcPr>
            <w:tcW w:type="dxa" w:w="2024"/>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Capital and business alliance (new shares plus secondary sale)</w:t>
            </w:r>
          </w:p>
        </w:tc>
        <w:tc>
          <w:tcPr>
            <w:tcW w:type="dxa" w:w="1461"/>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b/>
                <w:bCs/>
                <w:color w:val="1F2533"/>
                <w:sz w:val="15"/>
                <w:szCs w:val="15"/>
              </w:rPr>
              <w:t xml:space="preserve">≈¥7.8bn (estimate)</w:t>
            </w:r>
          </w:p>
        </w:tc>
        <w:tc>
          <w:tcPr>
            <w:tcW w:type="dxa" w:w="1454"/>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5"/>
                <w:szCs w:val="15"/>
              </w:rPr>
              <w:t xml:space="preserve">≈1.9x P/B; ≈11x FY2026E P/E at the March-2026 price (estimate)</w:t>
            </w:r>
          </w:p>
        </w:tc>
        <w:tc>
          <w:tcPr>
            <w:tcW w:type="dxa" w:w="1548"/>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Strategic foothold in pre-owned condos (</w:t>
            </w:r>
            <w:hyperlink w:history="1" r:id="rIdnhwfta-z7h3na8_dtwssz">
              <w:r>
                <w:rPr>
                  <w:rFonts w:ascii="Arial" w:cs="Arial" w:eastAsia="Yu Gothic" w:hAnsi="Arial"/>
                  <w:color w:val="2F6FD0"/>
                  <w:sz w:val="15"/>
                  <w:szCs w:val="15"/>
                  <w:u w:val="single"/>
                </w:rPr>
                <w:t xml:space="preserve">MAonline</w:t>
              </w:r>
            </w:hyperlink>
            <w:r>
              <w:rPr>
                <w:rFonts w:ascii="Arial" w:cs="Arial" w:eastAsia="Yu Gothic" w:hAnsi="Arial"/>
                <w:color w:val="1F2533"/>
                <w:sz w:val="15"/>
                <w:szCs w:val="15"/>
              </w:rPr>
              <w:t xml:space="preserve">)</w:t>
            </w:r>
          </w:p>
        </w:tc>
      </w:tr>
    </w:tbl>
    <w:p>
      <w:pPr>
        <w:spacing w:after="120" w:before="0" w:line="276" w:lineRule="auto"/>
      </w:pPr>
    </w:p>
    <w:p>
      <w:pPr>
        <w:spacing w:after="110" w:before="0" w:line="276" w:lineRule="auto"/>
      </w:pPr>
      <w:r>
        <w:rPr>
          <w:rFonts w:ascii="Arial" w:cs="Arial" w:eastAsia="Yu Gothic" w:hAnsi="Arial"/>
          <w:b/>
          <w:bCs/>
          <w:color w:val="1F2533"/>
          <w:sz w:val="19"/>
          <w:szCs w:val="19"/>
        </w:rPr>
        <w:t xml:space="preserve">Tokyo Tatemono is not a serial acquirer.</w:t>
      </w:r>
      <w:r>
        <w:rPr>
          <w:rFonts w:ascii="Arial" w:cs="Arial" w:eastAsia="Yu Gothic" w:hAnsi="Arial"/>
          <w:color w:val="1F2533"/>
          <w:sz w:val="19"/>
          <w:szCs w:val="19"/>
        </w:rPr>
        <w:t xml:space="preserve"> Its growth comes from land, redevelopment and building purchases, not from buying companies. The ¥191bn debt increase in 1H FY2026 alone dwarfs every corporate deal it has done.</w:t>
      </w:r>
    </w:p>
    <w:p>
      <w:pPr>
        <w:spacing w:after="110" w:before="0" w:line="276" w:lineRule="auto"/>
      </w:pPr>
      <w:r>
        <w:rPr>
          <w:rFonts w:ascii="Arial" w:cs="Arial" w:eastAsia="Yu Gothic" w:hAnsi="Arial"/>
          <w:b/>
          <w:bCs/>
          <w:color w:val="1F2533"/>
          <w:sz w:val="19"/>
          <w:szCs w:val="19"/>
        </w:rPr>
        <w:t xml:space="preserve">Disposals:</w:t>
      </w:r>
    </w:p>
    <w:p>
      <w:pPr>
        <w:pStyle w:val="ListParagraph"/>
        <w:numPr>
          <w:ilvl w:val="0"/>
          <w:numId w:val="2"/>
        </w:numPr>
        <w:spacing w:after="60" w:line="264" w:lineRule="auto"/>
      </w:pPr>
      <w:r>
        <w:rPr>
          <w:rFonts w:ascii="Arial" w:cs="Arial" w:eastAsia="Yu Gothic" w:hAnsi="Arial"/>
          <w:color w:val="1F2533"/>
          <w:sz w:val="19"/>
          <w:szCs w:val="19"/>
        </w:rPr>
        <w:t xml:space="preserve">The Hulic stake was reduced in December 2024 (</w:t>
      </w:r>
      <w:hyperlink w:history="1" r:id="rIdaqjbtur0ejydmitcddop5">
        <w:r>
          <w:rPr>
            <w:rFonts w:ascii="Arial" w:cs="Arial" w:eastAsia="Yu Gothic" w:hAnsi="Arial"/>
            <w:color w:val="2F6FD0"/>
            <w:sz w:val="19"/>
            <w:szCs w:val="19"/>
            <w:u w:val="single"/>
          </w:rPr>
          <w:t xml:space="preserve">EDINET</w:t>
        </w:r>
      </w:hyperlink>
      <w:r>
        <w:rPr>
          <w:rFonts w:ascii="Arial" w:cs="Arial" w:eastAsia="Yu Gothic" w:hAnsi="Arial"/>
          <w:color w:val="1F2533"/>
          <w:sz w:val="19"/>
          <w:szCs w:val="19"/>
        </w:rPr>
        <w:t xml:space="preserve">).</w:t>
      </w:r>
    </w:p>
    <w:p>
      <w:pPr>
        <w:pStyle w:val="ListParagraph"/>
        <w:numPr>
          <w:ilvl w:val="0"/>
          <w:numId w:val="2"/>
        </w:numPr>
        <w:spacing w:after="60" w:line="264" w:lineRule="auto"/>
      </w:pPr>
      <w:r>
        <w:rPr>
          <w:rFonts w:ascii="Arial" w:cs="Arial" w:eastAsia="Yu Gothic" w:hAnsi="Arial"/>
          <w:color w:val="1F2533"/>
          <w:sz w:val="19"/>
          <w:szCs w:val="19"/>
        </w:rPr>
        <w:t xml:space="preserve">An Akihabara hotel was sold to APA Group (date and price not retrieved).</w:t>
      </w:r>
    </w:p>
    <w:p>
      <w:pPr>
        <w:spacing w:after="40" w:before="0" w:line="276" w:lineRule="auto"/>
      </w:pPr>
    </w:p>
    <w:p>
      <w:pPr>
        <w:pBdr>
          <w:left w:val="single" w:color="2F6FD0" w:sz="24" w:space="8"/>
        </w:pBdr>
        <w:shd w:fill="EEF3FA" w:color="auto" w:val="clear"/>
        <w:spacing w:after="160" w:before="60" w:line="264" w:lineRule="auto"/>
        <w:ind w:left="200" w:right="200"/>
      </w:pPr>
      <w:r>
        <w:rPr>
          <w:rFonts w:ascii="Arial" w:cs="Arial" w:eastAsia="Yu Gothic" w:hAnsi="Arial"/>
          <w:b/>
          <w:bCs/>
          <w:color w:val="15233F"/>
          <w:sz w:val="18"/>
          <w:szCs w:val="18"/>
        </w:rPr>
        <w:t xml:space="preserve">Key takeaway:</w:t>
      </w:r>
      <w:r>
        <w:rPr>
          <w:rFonts w:ascii="Arial" w:cs="Arial" w:eastAsia="Yu Gothic" w:hAnsi="Arial"/>
          <w:color w:val="15233F"/>
          <w:sz w:val="18"/>
          <w:szCs w:val="18"/>
        </w:rPr>
        <w:t xml:space="preserve"> Japanese real-estate M&amp;A is active but mid-cap. Tokyo Tatemono's size and leverage make a whole-company bid unlikely, and LBO maths does not work. The realistic upside is activist-driven capital-return pressure. A bid, if one came, would be pitched at ¥4,170–4,820 (about 1.4–1.6x book and 0.85–0.98x NAV).</w:t>
      </w:r>
    </w:p>
    <w:p>
      <w:pPr>
        <w:pStyle w:val="Heading1"/>
        <w:keepNext/>
        <w:keepLines/>
        <w:pageBreakBefore/>
        <w:pBdr>
          <w:bottom w:val="single" w:color="2F6FD0" w:sz="12" w:space="6"/>
        </w:pBdr>
        <w:spacing w:after="160" w:before="0" w:line="252" w:lineRule="auto"/>
      </w:pPr>
      <w:r>
        <w:rPr>
          <w:rFonts w:ascii="Arial" w:cs="Arial" w:eastAsia="Yu Gothic" w:hAnsi="Arial"/>
          <w:b/>
          <w:bCs/>
          <w:color w:val="15233F"/>
          <w:sz w:val="32"/>
          <w:szCs w:val="32"/>
        </w:rPr>
        <w:t xml:space="preserve">12. Management: competent career insiders who delivered on plan, with little personal capital at stake</w:t>
      </w:r>
    </w:p>
    <w:p>
      <w:pPr>
        <w:pStyle w:val="Heading2"/>
        <w:keepNext/>
        <w:keepLines/>
        <w:spacing w:after="90" w:before="260" w:line="252" w:lineRule="auto"/>
      </w:pPr>
      <w:r>
        <w:rPr>
          <w:rFonts w:ascii="Arial" w:cs="Arial" w:eastAsia="Yu Gothic" w:hAnsi="Arial"/>
          <w:b/>
          <w:bCs/>
          <w:color w:val="15233F"/>
          <w:sz w:val="25"/>
          <w:szCs w:val="25"/>
        </w:rPr>
        <w:t xml:space="preserve">Key executives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41"/>
        <w:gridCol w:w="2248"/>
        <w:gridCol w:w="2032"/>
        <w:gridCol w:w="2957"/>
        <w:gridCol w:w="1168"/>
      </w:tblGrid>
      <w:tr>
        <w:trPr>
          <w:cantSplit/>
          <w:tblHeader/>
        </w:trPr>
        <w:tc>
          <w:tcPr>
            <w:tcW w:type="dxa" w:w="1341"/>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bCs/>
                <w:color w:val="FFFFFF"/>
                <w:sz w:val="15"/>
                <w:szCs w:val="15"/>
              </w:rPr>
              <w:t xml:space="preserve">Executive</w:t>
            </w:r>
          </w:p>
        </w:tc>
        <w:tc>
          <w:tcPr>
            <w:tcW w:type="dxa" w:w="2248"/>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5"/>
                <w:szCs w:val="15"/>
              </w:rPr>
              <w:t xml:space="preserve">Role</w:t>
            </w:r>
          </w:p>
        </w:tc>
        <w:tc>
          <w:tcPr>
            <w:tcW w:type="dxa" w:w="2032"/>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5"/>
                <w:szCs w:val="15"/>
              </w:rPr>
              <w:t xml:space="preserve">In role since</w:t>
            </w:r>
          </w:p>
        </w:tc>
        <w:tc>
          <w:tcPr>
            <w:tcW w:type="dxa" w:w="2957"/>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5"/>
                <w:szCs w:val="15"/>
              </w:rPr>
              <w:t xml:space="preserve">Background</w:t>
            </w:r>
          </w:p>
        </w:tc>
        <w:tc>
          <w:tcPr>
            <w:tcW w:type="dxa" w:w="1168"/>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5"/>
                <w:szCs w:val="15"/>
              </w:rPr>
              <w:t xml:space="preserve">Shares held (value at ¥3,211)</w:t>
            </w:r>
          </w:p>
        </w:tc>
      </w:tr>
      <w:tr>
        <w:trPr>
          <w:cantSplit/>
        </w:trPr>
        <w:tc>
          <w:tcPr>
            <w:tcW w:type="dxa" w:w="1341"/>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bCs/>
                <w:color w:val="1F2533"/>
                <w:sz w:val="15"/>
                <w:szCs w:val="15"/>
              </w:rPr>
              <w:t xml:space="preserve">Ozawa Katsuhito</w:t>
            </w:r>
            <w:r>
              <w:rPr>
                <w:rFonts w:ascii="Arial" w:cs="Arial" w:eastAsia="Yu Gothic" w:hAnsi="Arial"/>
                <w:b w:val="false"/>
                <w:bCs w:val="false"/>
                <w:color w:val="1F2533"/>
                <w:sz w:val="15"/>
                <w:szCs w:val="15"/>
              </w:rPr>
              <w:t xml:space="preserve"> (b. 1964)</w:t>
            </w:r>
          </w:p>
        </w:tc>
        <w:tc>
          <w:tcPr>
            <w:tcW w:type="dxa" w:w="2248"/>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Representative Director, President &amp; CEO</w:t>
            </w:r>
          </w:p>
        </w:tc>
        <w:tc>
          <w:tcPr>
            <w:tcW w:type="dxa" w:w="2032"/>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1 Jan 2025; director since 2017</w:t>
            </w:r>
          </w:p>
        </w:tc>
        <w:tc>
          <w:tcPr>
            <w:tcW w:type="dxa" w:w="2957"/>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Joined 1987 (Keio). RM business; head of Corporate Planning (2012); Managing Executive Officer for PR/CSR, Finance, Accounting and Appraisal (2017); head of the Overseas Business HQ while also overseeing Finance and Accounting (2020); Representative Director and head of the Building Business (2023–24)</w:t>
            </w:r>
          </w:p>
        </w:tc>
        <w:tc>
          <w:tcPr>
            <w:tcW w:type="dxa" w:w="1168"/>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26,850 (≈¥86m)</w:t>
            </w:r>
          </w:p>
        </w:tc>
      </w:tr>
      <w:tr>
        <w:trPr>
          <w:cantSplit/>
        </w:trPr>
        <w:tc>
          <w:tcPr>
            <w:tcW w:type="dxa" w:w="1341"/>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bCs/>
                <w:color w:val="1F2533"/>
                <w:sz w:val="15"/>
                <w:szCs w:val="15"/>
              </w:rPr>
              <w:t xml:space="preserve">Nomura Hitoshi</w:t>
            </w:r>
          </w:p>
        </w:tc>
        <w:tc>
          <w:tcPr>
            <w:tcW w:type="dxa" w:w="2248"/>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Representative Director &amp; Chairman</w:t>
            </w:r>
          </w:p>
        </w:tc>
        <w:tc>
          <w:tcPr>
            <w:tcW w:type="dxa" w:w="2032"/>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Chairman since Jan 2025; President 2016–2024</w:t>
            </w:r>
          </w:p>
        </w:tc>
        <w:tc>
          <w:tcPr>
            <w:tcW w:type="dxa" w:w="2957"/>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Joined 1981; career in the Building (office) business</w:t>
            </w:r>
          </w:p>
        </w:tc>
        <w:tc>
          <w:tcPr>
            <w:tcW w:type="dxa" w:w="1168"/>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44,925 (≈¥144m)</w:t>
            </w:r>
          </w:p>
        </w:tc>
      </w:tr>
      <w:tr>
        <w:trPr>
          <w:cantSplit/>
        </w:trPr>
        <w:tc>
          <w:tcPr>
            <w:tcW w:type="dxa" w:w="1341"/>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bCs/>
                <w:color w:val="1F2533"/>
                <w:sz w:val="15"/>
                <w:szCs w:val="15"/>
              </w:rPr>
              <w:t xml:space="preserve">Tanehashi Makio</w:t>
            </w:r>
            <w:r>
              <w:rPr>
                <w:rFonts w:ascii="Arial" w:cs="Arial" w:eastAsia="Yu Gothic" w:hAnsi="Arial"/>
                <w:b w:val="false"/>
                <w:bCs w:val="false"/>
                <w:color w:val="1F2533"/>
                <w:sz w:val="15"/>
                <w:szCs w:val="15"/>
              </w:rPr>
              <w:t xml:space="preserve"> (b. 1957)</w:t>
            </w:r>
          </w:p>
        </w:tc>
        <w:tc>
          <w:tcPr>
            <w:tcW w:type="dxa" w:w="2248"/>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Director, Chairman of the Board (non-executive)</w:t>
            </w:r>
          </w:p>
        </w:tc>
        <w:tc>
          <w:tcPr>
            <w:tcW w:type="dxa" w:w="2032"/>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Board chair since Jan 2025; previously Representative Chairman</w:t>
            </w:r>
          </w:p>
        </w:tc>
        <w:tc>
          <w:tcPr>
            <w:tcW w:type="dxa" w:w="2957"/>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Fuji Bank 1979; Mizuho Corporate Bank Executive Officer and head of internal audit (2006)</w:t>
            </w:r>
          </w:p>
        </w:tc>
        <w:tc>
          <w:tcPr>
            <w:tcW w:type="dxa" w:w="1168"/>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34,125 (≈¥110m)</w:t>
            </w:r>
          </w:p>
        </w:tc>
      </w:tr>
      <w:tr>
        <w:trPr>
          <w:cantSplit/>
        </w:trPr>
        <w:tc>
          <w:tcPr>
            <w:tcW w:type="dxa" w:w="1341"/>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bCs/>
                <w:color w:val="1F2533"/>
                <w:sz w:val="15"/>
                <w:szCs w:val="15"/>
              </w:rPr>
              <w:t xml:space="preserve">Izumi Akira</w:t>
            </w:r>
            <w:r>
              <w:rPr>
                <w:rFonts w:ascii="Arial" w:cs="Arial" w:eastAsia="Yu Gothic" w:hAnsi="Arial"/>
                <w:b w:val="false"/>
                <w:bCs w:val="false"/>
                <w:color w:val="1F2533"/>
                <w:sz w:val="15"/>
                <w:szCs w:val="15"/>
              </w:rPr>
              <w:t xml:space="preserve"> (b. 1965)</w:t>
            </w:r>
          </w:p>
        </w:tc>
        <w:tc>
          <w:tcPr>
            <w:tcW w:type="dxa" w:w="2248"/>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Representative Director, Executive Vice President (Building business)</w:t>
            </w:r>
          </w:p>
        </w:tc>
        <w:tc>
          <w:tcPr>
            <w:tcW w:type="dxa" w:w="2032"/>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EVP since Jan 2025; Executive Officer since 2015</w:t>
            </w:r>
          </w:p>
        </w:tc>
        <w:tc>
          <w:tcPr>
            <w:tcW w:type="dxa" w:w="2957"/>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Joined 1987; commercial facilities, urban development</w:t>
            </w:r>
          </w:p>
        </w:tc>
        <w:tc>
          <w:tcPr>
            <w:tcW w:type="dxa" w:w="1168"/>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20,250 (≈¥65m)</w:t>
            </w:r>
          </w:p>
        </w:tc>
      </w:tr>
      <w:tr>
        <w:trPr>
          <w:cantSplit/>
        </w:trPr>
        <w:tc>
          <w:tcPr>
            <w:tcW w:type="dxa" w:w="1341"/>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bCs/>
                <w:color w:val="1F2533"/>
                <w:sz w:val="15"/>
                <w:szCs w:val="15"/>
              </w:rPr>
              <w:t xml:space="preserve">Akita Hideshi</w:t>
            </w:r>
            <w:r>
              <w:rPr>
                <w:rFonts w:ascii="Arial" w:cs="Arial" w:eastAsia="Yu Gothic" w:hAnsi="Arial"/>
                <w:b w:val="false"/>
                <w:bCs w:val="false"/>
                <w:color w:val="1F2533"/>
                <w:sz w:val="15"/>
                <w:szCs w:val="15"/>
              </w:rPr>
              <w:t xml:space="preserve"> (b. 1964)</w:t>
            </w:r>
          </w:p>
        </w:tc>
        <w:tc>
          <w:tcPr>
            <w:tcW w:type="dxa" w:w="2248"/>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Director, Senior Managing Executive Officer (Residential, per j-lic)</w:t>
            </w:r>
          </w:p>
        </w:tc>
        <w:tc>
          <w:tcPr>
            <w:tcW w:type="dxa" w:w="2032"/>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Executive Officer since 2016</w:t>
            </w:r>
          </w:p>
        </w:tc>
        <w:tc>
          <w:tcPr>
            <w:tcW w:type="dxa" w:w="2957"/>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Joined 1987; RM, human resources</w:t>
            </w:r>
          </w:p>
        </w:tc>
        <w:tc>
          <w:tcPr>
            <w:tcW w:type="dxa" w:w="1168"/>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17,450 (≈¥56m)</w:t>
            </w:r>
          </w:p>
        </w:tc>
      </w:tr>
      <w:tr>
        <w:trPr>
          <w:cantSplit/>
        </w:trPr>
        <w:tc>
          <w:tcPr>
            <w:tcW w:type="dxa" w:w="1341"/>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bCs/>
                <w:color w:val="1F2533"/>
                <w:sz w:val="15"/>
                <w:szCs w:val="15"/>
              </w:rPr>
              <w:t xml:space="preserve">Jinbo Takeshi</w:t>
            </w:r>
            <w:r>
              <w:rPr>
                <w:rFonts w:ascii="Arial" w:cs="Arial" w:eastAsia="Yu Gothic" w:hAnsi="Arial"/>
                <w:b w:val="false"/>
                <w:bCs w:val="false"/>
                <w:color w:val="1F2533"/>
                <w:sz w:val="15"/>
                <w:szCs w:val="15"/>
              </w:rPr>
              <w:t xml:space="preserve"> (b. 1965)</w:t>
            </w:r>
          </w:p>
        </w:tc>
        <w:tc>
          <w:tcPr>
            <w:tcW w:type="dxa" w:w="2248"/>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Director, Senior Managing Executive Officer</w:t>
            </w:r>
          </w:p>
        </w:tc>
        <w:tc>
          <w:tcPr>
            <w:tcW w:type="dxa" w:w="2032"/>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Executive Officer since 2018</w:t>
            </w:r>
          </w:p>
        </w:tc>
        <w:tc>
          <w:tcPr>
            <w:tcW w:type="dxa" w:w="2957"/>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Joined 1988; residential development</w:t>
            </w:r>
          </w:p>
        </w:tc>
        <w:tc>
          <w:tcPr>
            <w:tcW w:type="dxa" w:w="1168"/>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15,100 (≈¥48m)</w:t>
            </w:r>
          </w:p>
        </w:tc>
      </w:tr>
      <w:tr>
        <w:trPr>
          <w:cantSplit/>
        </w:trPr>
        <w:tc>
          <w:tcPr>
            <w:tcW w:type="dxa" w:w="1341"/>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bCs/>
                <w:color w:val="1F2533"/>
                <w:sz w:val="15"/>
                <w:szCs w:val="15"/>
              </w:rPr>
              <w:t xml:space="preserve">Kobayashi Shinjiro</w:t>
            </w:r>
          </w:p>
        </w:tc>
        <w:tc>
          <w:tcPr>
            <w:tcW w:type="dxa" w:w="2248"/>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Director, Managing Executive Officer</w:t>
            </w:r>
          </w:p>
        </w:tc>
        <w:tc>
          <w:tcPr>
            <w:tcW w:type="dxa" w:w="2032"/>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n/a</w:t>
            </w:r>
          </w:p>
        </w:tc>
        <w:tc>
          <w:tcPr>
            <w:tcW w:type="dxa" w:w="2957"/>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n/a</w:t>
            </w:r>
          </w:p>
        </w:tc>
        <w:tc>
          <w:tcPr>
            <w:tcW w:type="dxa" w:w="1168"/>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n/a</w:t>
            </w:r>
          </w:p>
        </w:tc>
      </w:tr>
      <w:tr>
        <w:trPr>
          <w:cantSplit/>
        </w:trPr>
        <w:tc>
          <w:tcPr>
            <w:tcW w:type="dxa" w:w="1341"/>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bCs/>
                <w:color w:val="1F2533"/>
                <w:sz w:val="15"/>
                <w:szCs w:val="15"/>
              </w:rPr>
              <w:t xml:space="preserve">CFO</w:t>
            </w:r>
          </w:p>
        </w:tc>
        <w:tc>
          <w:tcPr>
            <w:tcW w:type="dxa" w:w="2248"/>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Not publicly identified</w:t>
            </w:r>
          </w:p>
        </w:tc>
        <w:tc>
          <w:tcPr>
            <w:tcW w:type="dxa" w:w="2032"/>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w:t>
            </w:r>
          </w:p>
        </w:tc>
        <w:tc>
          <w:tcPr>
            <w:tcW w:type="dxa" w:w="2957"/>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The Integrated Report carries a "CFO message" (</w:t>
            </w:r>
            <w:hyperlink w:history="1" r:id="rIdoaomekpnemvzsxme_ha4m">
              <w:r>
                <w:rPr>
                  <w:rFonts w:ascii="Arial" w:cs="Arial" w:eastAsia="Yu Gothic" w:hAnsi="Arial"/>
                  <w:color w:val="2F6FD0"/>
                  <w:sz w:val="15"/>
                  <w:szCs w:val="15"/>
                  <w:u w:val="single"/>
                </w:rPr>
                <w:t xml:space="preserve">company</w:t>
              </w:r>
            </w:hyperlink>
            <w:r>
              <w:rPr>
                <w:rFonts w:ascii="Arial" w:cs="Arial" w:eastAsia="Yu Gothic" w:hAnsi="Arial"/>
                <w:color w:val="1F2533"/>
                <w:sz w:val="15"/>
                <w:szCs w:val="15"/>
              </w:rPr>
              <w:t xml:space="preserve">), but the name was not retrieved. Head of accounting: Kimura Junichi. Ozawa oversaw finance and accounting from 2017 until he moved to head the Building business, shortly before becoming CEO</w:t>
            </w:r>
          </w:p>
        </w:tc>
        <w:tc>
          <w:tcPr>
            <w:tcW w:type="dxa" w:w="1168"/>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w:t>
            </w:r>
          </w:p>
        </w:tc>
      </w:tr>
    </w:tbl>
    <w:p>
      <w:pPr>
        <w:spacing w:after="120" w:before="0" w:line="276" w:lineRule="auto"/>
      </w:pPr>
    </w:p>
    <w:p>
      <w:pPr>
        <w:spacing w:after="110" w:before="0" w:line="276" w:lineRule="auto"/>
      </w:pPr>
      <w:r>
        <w:rPr>
          <w:rFonts w:ascii="Arial" w:cs="Arial" w:eastAsia="Yu Gothic" w:hAnsi="Arial"/>
          <w:color w:val="1F2533"/>
          <w:sz w:val="19"/>
          <w:szCs w:val="19"/>
        </w:rPr>
        <w:t xml:space="preserve">Sources:</w:t>
      </w:r>
    </w:p>
    <w:p>
      <w:pPr>
        <w:pStyle w:val="ListParagraph"/>
        <w:numPr>
          <w:ilvl w:val="0"/>
          <w:numId w:val="2"/>
        </w:numPr>
        <w:spacing w:after="60" w:line="264" w:lineRule="auto"/>
      </w:pPr>
      <w:r>
        <w:rPr>
          <w:rFonts w:ascii="Arial" w:cs="Arial" w:eastAsia="Yu Gothic" w:hAnsi="Arial"/>
          <w:color w:val="1F2533"/>
          <w:sz w:val="19"/>
          <w:szCs w:val="19"/>
        </w:rPr>
        <w:t xml:space="preserve">Succession: </w:t>
      </w:r>
      <w:hyperlink w:history="1" r:id="rIdsvdzg0ndhhyhltuixkiyw">
        <w:r>
          <w:rPr>
            <w:rFonts w:ascii="Arial" w:cs="Arial" w:eastAsia="Yu Gothic" w:hAnsi="Arial"/>
            <w:color w:val="2F6FD0"/>
            <w:sz w:val="19"/>
            <w:szCs w:val="19"/>
            <w:u w:val="single"/>
          </w:rPr>
          <w:t xml:space="preserve">LOGI-TODAY</w:t>
        </w:r>
      </w:hyperlink>
      <w:r>
        <w:rPr>
          <w:rFonts w:ascii="Arial" w:cs="Arial" w:eastAsia="Yu Gothic" w:hAnsi="Arial"/>
          <w:color w:val="1F2533"/>
          <w:sz w:val="19"/>
          <w:szCs w:val="19"/>
        </w:rPr>
        <w:t xml:space="preserve">; </w:t>
      </w:r>
      <w:hyperlink w:history="1" r:id="rIdxyrch1jyvnr5hltdwfa8a">
        <w:r>
          <w:rPr>
            <w:rFonts w:ascii="Arial" w:cs="Arial" w:eastAsia="Yu Gothic" w:hAnsi="Arial"/>
            <w:color w:val="2F6FD0"/>
            <w:sz w:val="19"/>
            <w:szCs w:val="19"/>
            <w:u w:val="single"/>
          </w:rPr>
          <w:t xml:space="preserve">Jutaku Shimpo</w:t>
        </w:r>
      </w:hyperlink>
      <w:r>
        <w:rPr>
          <w:rFonts w:ascii="Arial" w:cs="Arial" w:eastAsia="Yu Gothic" w:hAnsi="Arial"/>
          <w:color w:val="1F2533"/>
          <w:sz w:val="19"/>
          <w:szCs w:val="19"/>
        </w:rPr>
        <w:t xml:space="preserve">.</w:t>
      </w:r>
    </w:p>
    <w:p>
      <w:pPr>
        <w:pStyle w:val="ListParagraph"/>
        <w:numPr>
          <w:ilvl w:val="0"/>
          <w:numId w:val="2"/>
        </w:numPr>
        <w:spacing w:after="60" w:line="264" w:lineRule="auto"/>
      </w:pPr>
      <w:r>
        <w:rPr>
          <w:rFonts w:ascii="Arial" w:cs="Arial" w:eastAsia="Yu Gothic" w:hAnsi="Arial"/>
          <w:color w:val="1F2533"/>
          <w:sz w:val="19"/>
          <w:szCs w:val="19"/>
        </w:rPr>
        <w:t xml:space="preserve">Career data and shareholdings: </w:t>
      </w:r>
      <w:hyperlink w:history="1" r:id="rIddhjyqeqcwsogbppzrrbrk">
        <w:r>
          <w:rPr>
            <w:rFonts w:ascii="Arial" w:cs="Arial" w:eastAsia="Yu Gothic" w:hAnsi="Arial"/>
            <w:color w:val="2F6FD0"/>
            <w:sz w:val="19"/>
            <w:szCs w:val="19"/>
            <w:u w:val="single"/>
          </w:rPr>
          <w:t xml:space="preserve">j-lic</w:t>
        </w:r>
      </w:hyperlink>
      <w:r>
        <w:rPr>
          <w:rFonts w:ascii="Arial" w:cs="Arial" w:eastAsia="Yu Gothic" w:hAnsi="Arial"/>
          <w:color w:val="1F2533"/>
          <w:sz w:val="19"/>
          <w:szCs w:val="19"/>
        </w:rPr>
        <w:t xml:space="preserve">; </w:t>
      </w:r>
      <w:hyperlink w:history="1" r:id="rId_m3xxz7j9gv_1isvuokib">
        <w:r>
          <w:rPr>
            <w:rFonts w:ascii="Arial" w:cs="Arial" w:eastAsia="Yu Gothic" w:hAnsi="Arial"/>
            <w:color w:val="2F6FD0"/>
            <w:sz w:val="19"/>
            <w:szCs w:val="19"/>
            <w:u w:val="single"/>
          </w:rPr>
          <w:t xml:space="preserve">irbank officers</w:t>
        </w:r>
      </w:hyperlink>
      <w:r>
        <w:rPr>
          <w:rFonts w:ascii="Arial" w:cs="Arial" w:eastAsia="Yu Gothic" w:hAnsi="Arial"/>
          <w:color w:val="1F2533"/>
          <w:sz w:val="19"/>
          <w:szCs w:val="19"/>
        </w:rPr>
        <w:t xml:space="preserve">.</w:t>
      </w:r>
    </w:p>
    <w:p>
      <w:pPr>
        <w:pStyle w:val="ListParagraph"/>
        <w:numPr>
          <w:ilvl w:val="0"/>
          <w:numId w:val="2"/>
        </w:numPr>
        <w:spacing w:after="60" w:line="264" w:lineRule="auto"/>
      </w:pPr>
      <w:r>
        <w:rPr>
          <w:rFonts w:ascii="Arial" w:cs="Arial" w:eastAsia="Yu Gothic" w:hAnsi="Arial"/>
          <w:color w:val="1F2533"/>
          <w:sz w:val="19"/>
          <w:szCs w:val="19"/>
        </w:rPr>
        <w:t xml:space="preserve">Shareholdings are from the FY2025 Yuho (filed 23 Mar 2026, EDINET S100XSKF) and include points under the stock-compensation trust (Board Benefit Trust).</w:t>
      </w:r>
    </w:p>
    <w:p>
      <w:pPr>
        <w:spacing w:after="40" w:before="0" w:line="276" w:lineRule="auto"/>
      </w:pPr>
    </w:p>
    <w:p>
      <w:pPr>
        <w:pStyle w:val="Heading2"/>
        <w:keepNext/>
        <w:keepLines/>
        <w:spacing w:after="90" w:before="260" w:line="252" w:lineRule="auto"/>
      </w:pPr>
      <w:r>
        <w:rPr>
          <w:rFonts w:ascii="Arial" w:cs="Arial" w:eastAsia="Yu Gothic" w:hAnsi="Arial"/>
          <w:b/>
          <w:bCs/>
          <w:color w:val="15233F"/>
          <w:sz w:val="25"/>
          <w:szCs w:val="25"/>
        </w:rPr>
        <w:t xml:space="preserve">Track record</w:t>
      </w:r>
    </w:p>
    <w:p>
      <w:pPr>
        <w:spacing w:after="110" w:before="0" w:line="276" w:lineRule="auto"/>
      </w:pPr>
      <w:r>
        <w:rPr>
          <w:rFonts w:ascii="Arial" w:cs="Arial" w:eastAsia="Yu Gothic" w:hAnsi="Arial"/>
          <w:b/>
          <w:bCs/>
          <w:color w:val="1F2533"/>
          <w:sz w:val="19"/>
          <w:szCs w:val="19"/>
        </w:rPr>
        <w:t xml:space="preserve">Nomura (President 2016–2024) delivered every plan.</w:t>
      </w:r>
    </w:p>
    <w:p>
      <w:pPr>
        <w:pStyle w:val="ListParagraph"/>
        <w:numPr>
          <w:ilvl w:val="0"/>
          <w:numId w:val="2"/>
        </w:numPr>
        <w:spacing w:after="60" w:line="264" w:lineRule="auto"/>
      </w:pPr>
      <w:r>
        <w:rPr>
          <w:rFonts w:ascii="Arial" w:cs="Arial" w:eastAsia="Yu Gothic" w:hAnsi="Arial"/>
          <w:b/>
          <w:bCs/>
          <w:color w:val="1F2533"/>
          <w:sz w:val="19"/>
          <w:szCs w:val="19"/>
        </w:rPr>
        <w:t xml:space="preserve">2015–19 plan.</w:t>
      </w:r>
      <w:r>
        <w:rPr>
          <w:rFonts w:ascii="Arial" w:cs="Arial" w:eastAsia="Yu Gothic" w:hAnsi="Arial"/>
          <w:color w:val="1F2533"/>
          <w:sz w:val="19"/>
          <w:szCs w:val="19"/>
        </w:rPr>
        <w:t xml:space="preserve"> Operating income was ¥52.4bn against a ¥50bn target. ROE rose from 5.6% (2015) to 8.2% (2019) (</w:t>
      </w:r>
      <w:hyperlink w:history="1" r:id="rIdoeja8xjc1cqkzl0udbasx">
        <w:r>
          <w:rPr>
            <w:rFonts w:ascii="Arial" w:cs="Arial" w:eastAsia="Yu Gothic" w:hAnsi="Arial"/>
            <w:color w:val="2F6FD0"/>
            <w:sz w:val="19"/>
            <w:szCs w:val="19"/>
            <w:u w:val="single"/>
          </w:rPr>
          <w:t xml:space="preserve">individual-investor briefing</w:t>
        </w:r>
      </w:hyperlink>
      <w:r>
        <w:rPr>
          <w:rFonts w:ascii="Arial" w:cs="Arial" w:eastAsia="Yu Gothic" w:hAnsi="Arial"/>
          <w:color w:val="1F2533"/>
          <w:sz w:val="19"/>
          <w:szCs w:val="19"/>
        </w:rPr>
        <w:t xml:space="preserve">).</w:t>
      </w:r>
    </w:p>
    <w:p>
      <w:pPr>
        <w:pStyle w:val="ListParagraph"/>
        <w:numPr>
          <w:ilvl w:val="0"/>
          <w:numId w:val="2"/>
        </w:numPr>
        <w:spacing w:after="60" w:line="264" w:lineRule="auto"/>
      </w:pPr>
      <w:r>
        <w:rPr>
          <w:rFonts w:ascii="Arial" w:cs="Arial" w:eastAsia="Yu Gothic" w:hAnsi="Arial"/>
          <w:b/>
          <w:bCs/>
          <w:color w:val="1F2533"/>
          <w:sz w:val="19"/>
          <w:szCs w:val="19"/>
        </w:rPr>
        <w:t xml:space="preserve">2020–24 plan.</w:t>
      </w:r>
      <w:r>
        <w:rPr>
          <w:rFonts w:ascii="Arial" w:cs="Arial" w:eastAsia="Yu Gothic" w:hAnsi="Arial"/>
          <w:color w:val="1F2533"/>
          <w:sz w:val="19"/>
          <w:szCs w:val="19"/>
        </w:rPr>
        <w:t xml:space="preserve"> Through COVID, the plan reached FY2024 business profit of ¥80.5bn (old definition) against a ¥75bn target, and ROE of 12.8% against 8–10% (</w:t>
      </w:r>
      <w:hyperlink w:history="1" r:id="rId-zaqivlfv1136kjxiqm62">
        <w:r>
          <w:rPr>
            <w:rFonts w:ascii="Arial" w:cs="Arial" w:eastAsia="Yu Gothic" w:hAnsi="Arial"/>
            <w:color w:val="2F6FD0"/>
            <w:sz w:val="19"/>
            <w:szCs w:val="19"/>
            <w:u w:val="single"/>
          </w:rPr>
          <w:t xml:space="preserve">FY2022 Yuho</w:t>
        </w:r>
      </w:hyperlink>
      <w:r>
        <w:rPr>
          <w:rFonts w:ascii="Arial" w:cs="Arial" w:eastAsia="Yu Gothic" w:hAnsi="Arial"/>
          <w:color w:val="1F2533"/>
          <w:sz w:val="19"/>
          <w:szCs w:val="19"/>
        </w:rPr>
        <w:t xml:space="preserve">). The ROE was flattered by one-off gains.</w:t>
      </w:r>
    </w:p>
    <w:p>
      <w:pPr>
        <w:pStyle w:val="ListParagraph"/>
        <w:numPr>
          <w:ilvl w:val="0"/>
          <w:numId w:val="2"/>
        </w:numPr>
        <w:spacing w:after="60" w:line="264" w:lineRule="auto"/>
      </w:pPr>
      <w:r>
        <w:rPr>
          <w:rFonts w:ascii="Arial" w:cs="Arial" w:eastAsia="Yu Gothic" w:hAnsi="Arial"/>
          <w:b/>
          <w:bCs/>
          <w:color w:val="1F2533"/>
          <w:sz w:val="19"/>
          <w:szCs w:val="19"/>
        </w:rPr>
        <w:t xml:space="preserve">Projects and platforms.</w:t>
      </w:r>
      <w:r>
        <w:rPr>
          <w:rFonts w:ascii="Arial" w:cs="Arial" w:eastAsia="Yu Gothic" w:hAnsi="Arial"/>
          <w:color w:val="1F2533"/>
          <w:sz w:val="19"/>
          <w:szCs w:val="19"/>
        </w:rPr>
        <w:t xml:space="preserve"> Under him the company won the Yaesu 1-chome East rights conversion (2020) and built TOFROM YAESU. It also launched T-LOGI (2019) and became JPR's sole sponsor (2023).</w:t>
      </w:r>
    </w:p>
    <w:p>
      <w:pPr>
        <w:pStyle w:val="ListParagraph"/>
        <w:numPr>
          <w:ilvl w:val="0"/>
          <w:numId w:val="2"/>
        </w:numPr>
        <w:spacing w:after="60" w:line="264" w:lineRule="auto"/>
      </w:pPr>
      <w:r>
        <w:rPr>
          <w:rFonts w:ascii="Arial" w:cs="Arial" w:eastAsia="Yu Gothic" w:hAnsi="Arial"/>
          <w:b/>
          <w:bCs/>
          <w:color w:val="1F2533"/>
          <w:sz w:val="19"/>
          <w:szCs w:val="19"/>
        </w:rPr>
        <w:t xml:space="preserve">The cost.</w:t>
      </w:r>
      <w:r>
        <w:rPr>
          <w:rFonts w:ascii="Arial" w:cs="Arial" w:eastAsia="Yu Gothic" w:hAnsi="Arial"/>
          <w:color w:val="1F2533"/>
          <w:sz w:val="19"/>
          <w:szCs w:val="19"/>
        </w:rPr>
        <w:t xml:space="preserve"> The balance sheet expanded, and overseas joint ventures later produced losses.</w:t>
      </w:r>
    </w:p>
    <w:p>
      <w:pPr>
        <w:spacing w:after="40" w:before="0" w:line="276" w:lineRule="auto"/>
      </w:pPr>
    </w:p>
    <w:p>
      <w:pPr>
        <w:spacing w:after="110" w:before="0" w:line="276" w:lineRule="auto"/>
      </w:pPr>
      <w:r>
        <w:rPr>
          <w:rFonts w:ascii="Arial" w:cs="Arial" w:eastAsia="Yu Gothic" w:hAnsi="Arial"/>
          <w:b/>
          <w:bCs/>
          <w:color w:val="1F2533"/>
          <w:sz w:val="19"/>
          <w:szCs w:val="19"/>
        </w:rPr>
        <w:t xml:space="preserve">Ozawa (CEO since January 2025) has a strong start on a short record.</w:t>
      </w:r>
    </w:p>
    <w:p>
      <w:pPr>
        <w:pStyle w:val="ListParagraph"/>
        <w:numPr>
          <w:ilvl w:val="0"/>
          <w:numId w:val="2"/>
        </w:numPr>
        <w:spacing w:after="60" w:line="264" w:lineRule="auto"/>
      </w:pPr>
      <w:r>
        <w:rPr>
          <w:rFonts w:ascii="Arial" w:cs="Arial" w:eastAsia="Yu Gothic" w:hAnsi="Arial"/>
          <w:b/>
          <w:bCs/>
          <w:color w:val="1F2533"/>
          <w:sz w:val="19"/>
          <w:szCs w:val="19"/>
        </w:rPr>
        <w:t xml:space="preserve">Results.</w:t>
      </w:r>
      <w:r>
        <w:rPr>
          <w:rFonts w:ascii="Arial" w:cs="Arial" w:eastAsia="Yu Gothic" w:hAnsi="Arial"/>
          <w:color w:val="1F2533"/>
          <w:sz w:val="19"/>
          <w:szCs w:val="19"/>
        </w:rPr>
        <w:t xml:space="preserve"> Record FY2025 operating income (+20.2%); guidance raised for both FY2025 (Nov 2025) and FY2026 (Aug 2026); dividend per share up from ¥95 to ¥126 in two years; a 40% payout one year early; the only buyback programme of the 2021–26 period (¥3bn), followed by cancellation of the repurchased shares.</w:t>
      </w:r>
    </w:p>
    <w:p>
      <w:pPr>
        <w:pStyle w:val="ListParagraph"/>
        <w:numPr>
          <w:ilvl w:val="0"/>
          <w:numId w:val="2"/>
        </w:numPr>
        <w:spacing w:after="60" w:line="264" w:lineRule="auto"/>
      </w:pPr>
      <w:r>
        <w:rPr>
          <w:rFonts w:ascii="Arial" w:cs="Arial" w:eastAsia="Yu Gothic" w:hAnsi="Arial"/>
          <w:b/>
          <w:bCs/>
          <w:color w:val="1F2533"/>
          <w:sz w:val="19"/>
          <w:szCs w:val="19"/>
        </w:rPr>
        <w:t xml:space="preserve">Why the CFO-like background matters.</w:t>
      </w:r>
      <w:r>
        <w:rPr>
          <w:rFonts w:ascii="Arial" w:cs="Arial" w:eastAsia="Yu Gothic" w:hAnsi="Arial"/>
          <w:color w:val="1F2533"/>
          <w:sz w:val="19"/>
          <w:szCs w:val="19"/>
        </w:rPr>
        <w:t xml:space="preserve"> He has been at the centre of capital allocation for a decade. He oversaw finance from 2017 and the overseas business from 2020. The overseas investments behind the FY2025 equity-method loss of ¥6.9bn were therefore made largely under his remit. So was the 2025 redefinition of business profit to include gains on fixed-asset sales.</w:t>
      </w:r>
    </w:p>
    <w:p>
      <w:pPr>
        <w:spacing w:after="40" w:before="0" w:line="276" w:lineRule="auto"/>
      </w:pPr>
    </w:p>
    <w:p>
      <w:pPr>
        <w:pStyle w:val="Heading2"/>
        <w:keepNext/>
        <w:keepLines/>
        <w:spacing w:after="90" w:before="260" w:line="252" w:lineRule="auto"/>
      </w:pPr>
      <w:r>
        <w:rPr>
          <w:rFonts w:ascii="Arial" w:cs="Arial" w:eastAsia="Yu Gothic" w:hAnsi="Arial"/>
          <w:b/>
          <w:bCs/>
          <w:color w:val="15233F"/>
          <w:sz w:val="25"/>
          <w:szCs w:val="25"/>
        </w:rPr>
        <w:t xml:space="preserve">Tenure and insider ownership</w:t>
      </w:r>
    </w:p>
    <w:p>
      <w:pPr>
        <w:spacing w:after="110" w:before="0" w:line="276" w:lineRule="auto"/>
      </w:pPr>
      <w:r>
        <w:rPr>
          <w:rFonts w:ascii="Arial" w:cs="Arial" w:eastAsia="Yu Gothic" w:hAnsi="Arial"/>
          <w:b/>
          <w:bCs/>
          <w:color w:val="1F2533"/>
          <w:sz w:val="19"/>
          <w:szCs w:val="19"/>
        </w:rPr>
        <w:t xml:space="preserve">Long tenure.</w:t>
      </w:r>
      <w:r>
        <w:rPr>
          <w:rFonts w:ascii="Arial" w:cs="Arial" w:eastAsia="Yu Gothic" w:hAnsi="Arial"/>
          <w:color w:val="1F2533"/>
          <w:sz w:val="19"/>
          <w:szCs w:val="19"/>
        </w:rPr>
        <w:t xml:space="preserve"> Every executive director is a career insider with 38–45 years at the company.</w:t>
      </w:r>
    </w:p>
    <w:p>
      <w:pPr>
        <w:spacing w:after="110" w:before="0" w:line="276" w:lineRule="auto"/>
      </w:pPr>
      <w:r>
        <w:rPr>
          <w:rFonts w:ascii="Arial" w:cs="Arial" w:eastAsia="Yu Gothic" w:hAnsi="Arial"/>
          <w:b/>
          <w:bCs/>
          <w:color w:val="1F2533"/>
          <w:sz w:val="19"/>
          <w:szCs w:val="19"/>
        </w:rPr>
        <w:t xml:space="preserve">Little skin in the game.</w:t>
      </w:r>
      <w:r>
        <w:rPr>
          <w:rFonts w:ascii="Arial" w:cs="Arial" w:eastAsia="Yu Gothic" w:hAnsi="Arial"/>
          <w:color w:val="1F2533"/>
          <w:sz w:val="19"/>
          <w:szCs w:val="19"/>
        </w:rPr>
        <w:t xml:space="preserve"> Directors together hold about 158,700 shares, </w:t>
      </w:r>
      <w:r>
        <w:rPr>
          <w:rFonts w:ascii="Arial" w:cs="Arial" w:eastAsia="Yu Gothic" w:hAnsi="Arial"/>
          <w:b/>
          <w:bCs/>
          <w:color w:val="1F2533"/>
          <w:sz w:val="19"/>
          <w:szCs w:val="19"/>
        </w:rPr>
        <w:t xml:space="preserve">about 0.08% of the company, worth ≈¥510m</w:t>
      </w:r>
      <w:r>
        <w:rPr>
          <w:rFonts w:ascii="Arial" w:cs="Arial" w:eastAsia="Yu Gothic" w:hAnsi="Arial"/>
          <w:color w:val="1F2533"/>
          <w:sz w:val="19"/>
          <w:szCs w:val="19"/>
        </w:rPr>
        <w:t xml:space="preserve">. The CEO's ≈¥86m is about twice the FY2025 average officer pay of ¥41.7m. That is well below Western ownership norms. Alignment relies on pay design: fixed pay, performance-linked pay and stock-based pay (</w:t>
      </w:r>
      <w:hyperlink w:history="1" r:id="rIdttzw-rzm9fnlher4f2dhb">
        <w:r>
          <w:rPr>
            <w:rFonts w:ascii="Arial" w:cs="Arial" w:eastAsia="Yu Gothic" w:hAnsi="Arial"/>
            <w:color w:val="2F6FD0"/>
            <w:sz w:val="19"/>
            <w:szCs w:val="19"/>
            <w:u w:val="single"/>
          </w:rPr>
          <w:t xml:space="preserve">edinetdb</w:t>
        </w:r>
      </w:hyperlink>
      <w:r>
        <w:rPr>
          <w:rFonts w:ascii="Arial" w:cs="Arial" w:eastAsia="Yu Gothic" w:hAnsi="Arial"/>
          <w:color w:val="1F2533"/>
          <w:sz w:val="19"/>
          <w:szCs w:val="19"/>
        </w:rPr>
        <w:t xml:space="preserve">). The stock-compensation trust holds 351,300 shares.</w:t>
      </w:r>
    </w:p>
    <w:p>
      <w:pPr>
        <w:pStyle w:val="Heading2"/>
        <w:keepNext/>
        <w:keepLines/>
        <w:spacing w:after="90" w:before="260" w:line="252" w:lineRule="auto"/>
      </w:pPr>
      <w:r>
        <w:rPr>
          <w:rFonts w:ascii="Arial" w:cs="Arial" w:eastAsia="Yu Gothic" w:hAnsi="Arial"/>
          <w:b/>
          <w:bCs/>
          <w:color w:val="15233F"/>
          <w:sz w:val="25"/>
          <w:szCs w:val="25"/>
        </w:rPr>
        <w:t xml:space="preserve">Capital allocation and returns under this team</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75"/>
        <w:gridCol w:w="767"/>
        <w:gridCol w:w="785"/>
        <w:gridCol w:w="785"/>
        <w:gridCol w:w="781"/>
        <w:gridCol w:w="785"/>
        <w:gridCol w:w="790"/>
        <w:gridCol w:w="878"/>
      </w:tblGrid>
      <w:tr>
        <w:trPr>
          <w:cantSplit/>
          <w:tblHeader/>
        </w:trPr>
        <w:tc>
          <w:tcPr>
            <w:tcW w:type="dxa" w:w="4175"/>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bCs/>
                <w:color w:val="FFFFFF"/>
                <w:sz w:val="14"/>
                <w:szCs w:val="14"/>
              </w:rPr>
              <w:t xml:space="preserve">Metric</w:t>
            </w:r>
          </w:p>
        </w:tc>
        <w:tc>
          <w:tcPr>
            <w:tcW w:type="dxa" w:w="767"/>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4"/>
                <w:szCs w:val="14"/>
              </w:rPr>
              <w:t xml:space="preserve">FY2019</w:t>
            </w:r>
          </w:p>
        </w:tc>
        <w:tc>
          <w:tcPr>
            <w:tcW w:type="dxa" w:w="785"/>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4"/>
                <w:szCs w:val="14"/>
              </w:rPr>
              <w:t xml:space="preserve">FY2021</w:t>
            </w:r>
          </w:p>
        </w:tc>
        <w:tc>
          <w:tcPr>
            <w:tcW w:type="dxa" w:w="785"/>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4"/>
                <w:szCs w:val="14"/>
              </w:rPr>
              <w:t xml:space="preserve">FY2022</w:t>
            </w:r>
          </w:p>
        </w:tc>
        <w:tc>
          <w:tcPr>
            <w:tcW w:type="dxa" w:w="781"/>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4"/>
                <w:szCs w:val="14"/>
              </w:rPr>
              <w:t xml:space="preserve">FY2023</w:t>
            </w:r>
          </w:p>
        </w:tc>
        <w:tc>
          <w:tcPr>
            <w:tcW w:type="dxa" w:w="785"/>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4"/>
                <w:szCs w:val="14"/>
              </w:rPr>
              <w:t xml:space="preserve">FY2024</w:t>
            </w:r>
          </w:p>
        </w:tc>
        <w:tc>
          <w:tcPr>
            <w:tcW w:type="dxa" w:w="790"/>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4"/>
                <w:szCs w:val="14"/>
              </w:rPr>
              <w:t xml:space="preserve">FY2025</w:t>
            </w:r>
          </w:p>
        </w:tc>
        <w:tc>
          <w:tcPr>
            <w:tcW w:type="dxa" w:w="878"/>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4"/>
                <w:szCs w:val="14"/>
              </w:rPr>
              <w:t xml:space="preserve">FY2026E</w:t>
            </w:r>
          </w:p>
        </w:tc>
      </w:tr>
      <w:tr>
        <w:trPr>
          <w:cantSplit/>
        </w:trPr>
        <w:tc>
          <w:tcPr>
            <w:tcW w:type="dxa" w:w="4175"/>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4"/>
                <w:szCs w:val="14"/>
              </w:rPr>
              <w:t xml:space="preserve">ROE</w:t>
            </w:r>
          </w:p>
        </w:tc>
        <w:tc>
          <w:tcPr>
            <w:tcW w:type="dxa" w:w="767"/>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8.2%</w:t>
            </w:r>
          </w:p>
        </w:tc>
        <w:tc>
          <w:tcPr>
            <w:tcW w:type="dxa" w:w="785"/>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≈8.4%</w:t>
            </w:r>
          </w:p>
        </w:tc>
        <w:tc>
          <w:tcPr>
            <w:tcW w:type="dxa" w:w="785"/>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10.0%</w:t>
            </w:r>
          </w:p>
        </w:tc>
        <w:tc>
          <w:tcPr>
            <w:tcW w:type="dxa" w:w="781"/>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9.6%</w:t>
            </w:r>
          </w:p>
        </w:tc>
        <w:tc>
          <w:tcPr>
            <w:tcW w:type="dxa" w:w="785"/>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12.8%</w:t>
            </w:r>
          </w:p>
        </w:tc>
        <w:tc>
          <w:tcPr>
            <w:tcW w:type="dxa" w:w="790"/>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≈10.5%</w:t>
            </w:r>
          </w:p>
        </w:tc>
        <w:tc>
          <w:tcPr>
            <w:tcW w:type="dxa" w:w="878"/>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≈10.7%</w:t>
            </w:r>
          </w:p>
        </w:tc>
      </w:tr>
      <w:tr>
        <w:trPr>
          <w:cantSplit/>
        </w:trPr>
        <w:tc>
          <w:tcPr>
            <w:tcW w:type="dxa" w:w="4175"/>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4"/>
                <w:szCs w:val="14"/>
              </w:rPr>
              <w:t xml:space="preserve">ROIC (NOPAT ÷ book invested capital)</w:t>
            </w:r>
          </w:p>
        </w:tc>
        <w:tc>
          <w:tcPr>
            <w:tcW w:type="dxa" w:w="767"/>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n/a</w:t>
            </w:r>
          </w:p>
        </w:tc>
        <w:tc>
          <w:tcPr>
            <w:tcW w:type="dxa" w:w="785"/>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3.1%</w:t>
            </w:r>
          </w:p>
        </w:tc>
        <w:tc>
          <w:tcPr>
            <w:tcW w:type="dxa" w:w="785"/>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3.3%</w:t>
            </w:r>
          </w:p>
        </w:tc>
        <w:tc>
          <w:tcPr>
            <w:tcW w:type="dxa" w:w="781"/>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3.3%</w:t>
            </w:r>
          </w:p>
        </w:tc>
        <w:tc>
          <w:tcPr>
            <w:tcW w:type="dxa" w:w="785"/>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3.4%</w:t>
            </w:r>
          </w:p>
        </w:tc>
        <w:tc>
          <w:tcPr>
            <w:tcW w:type="dxa" w:w="790"/>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3.7%</w:t>
            </w:r>
          </w:p>
        </w:tc>
        <w:tc>
          <w:tcPr>
            <w:tcW w:type="dxa" w:w="878"/>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≈3.8%</w:t>
            </w:r>
          </w:p>
        </w:tc>
      </w:tr>
      <w:tr>
        <w:trPr>
          <w:cantSplit/>
        </w:trPr>
        <w:tc>
          <w:tcPr>
            <w:tcW w:type="dxa" w:w="4175"/>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4"/>
                <w:szCs w:val="14"/>
              </w:rPr>
              <w:t xml:space="preserve">Payout ratio</w:t>
            </w:r>
          </w:p>
        </w:tc>
        <w:tc>
          <w:tcPr>
            <w:tcW w:type="dxa" w:w="767"/>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n/a</w:t>
            </w:r>
          </w:p>
        </w:tc>
        <w:tc>
          <w:tcPr>
            <w:tcW w:type="dxa" w:w="785"/>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30.5%</w:t>
            </w:r>
          </w:p>
        </w:tc>
        <w:tc>
          <w:tcPr>
            <w:tcW w:type="dxa" w:w="785"/>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31.5%</w:t>
            </w:r>
          </w:p>
        </w:tc>
        <w:tc>
          <w:tcPr>
            <w:tcW w:type="dxa" w:w="781"/>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33.8%</w:t>
            </w:r>
          </w:p>
        </w:tc>
        <w:tc>
          <w:tcPr>
            <w:tcW w:type="dxa" w:w="785"/>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30.1%</w:t>
            </w:r>
          </w:p>
        </w:tc>
        <w:tc>
          <w:tcPr>
            <w:tcW w:type="dxa" w:w="790"/>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37.1%</w:t>
            </w:r>
          </w:p>
        </w:tc>
        <w:tc>
          <w:tcPr>
            <w:tcW w:type="dxa" w:w="878"/>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≈40%</w:t>
            </w:r>
          </w:p>
        </w:tc>
      </w:tr>
    </w:tbl>
    <w:p>
      <w:pPr>
        <w:spacing w:after="120" w:before="0" w:line="276" w:lineRule="auto"/>
      </w:pPr>
    </w:p>
    <w:p>
      <w:pPr>
        <w:spacing w:after="110" w:before="0" w:line="276" w:lineRule="auto"/>
      </w:pPr>
      <w:r>
        <w:rPr>
          <w:rFonts w:ascii="Arial" w:cs="Arial" w:eastAsia="Yu Gothic" w:hAnsi="Arial"/>
          <w:color w:val="1F2533"/>
          <w:sz w:val="19"/>
          <w:szCs w:val="19"/>
        </w:rPr>
        <w:t xml:space="preserve">ROE was 5.6% in FY2015, before Nomura's first plan.</w:t>
      </w:r>
    </w:p>
    <w:p>
      <w:pPr>
        <w:spacing w:after="110" w:before="0" w:line="276" w:lineRule="auto"/>
      </w:pPr>
      <w:r>
        <w:rPr>
          <w:rFonts w:ascii="Arial" w:cs="Arial" w:eastAsia="Yu Gothic" w:hAnsi="Arial"/>
          <w:b/>
          <w:bCs/>
          <w:color w:val="1F2533"/>
          <w:sz w:val="19"/>
          <w:szCs w:val="19"/>
        </w:rPr>
        <w:t xml:space="preserve">What has worked:</w:t>
      </w:r>
    </w:p>
    <w:p>
      <w:pPr>
        <w:pStyle w:val="ListParagraph"/>
        <w:numPr>
          <w:ilvl w:val="0"/>
          <w:numId w:val="2"/>
        </w:numPr>
        <w:spacing w:after="60" w:line="264" w:lineRule="auto"/>
      </w:pPr>
      <w:r>
        <w:rPr>
          <w:rFonts w:ascii="Arial" w:cs="Arial" w:eastAsia="Yu Gothic" w:hAnsi="Arial"/>
          <w:color w:val="1F2533"/>
          <w:sz w:val="19"/>
          <w:szCs w:val="19"/>
        </w:rPr>
        <w:t xml:space="preserve">Disciplined delivery against medium-term targets.</w:t>
      </w:r>
    </w:p>
    <w:p>
      <w:pPr>
        <w:pStyle w:val="ListParagraph"/>
        <w:numPr>
          <w:ilvl w:val="0"/>
          <w:numId w:val="2"/>
        </w:numPr>
        <w:spacing w:after="60" w:line="264" w:lineRule="auto"/>
      </w:pPr>
      <w:r>
        <w:rPr>
          <w:rFonts w:ascii="Arial" w:cs="Arial" w:eastAsia="Yu Gothic" w:hAnsi="Arial"/>
          <w:color w:val="1F2533"/>
          <w:sz w:val="19"/>
          <w:szCs w:val="19"/>
        </w:rPr>
        <w:t xml:space="preserve">The recycling model: sales to investors at "higher margins".</w:t>
      </w:r>
    </w:p>
    <w:p>
      <w:pPr>
        <w:pStyle w:val="ListParagraph"/>
        <w:numPr>
          <w:ilvl w:val="0"/>
          <w:numId w:val="2"/>
        </w:numPr>
        <w:spacing w:after="60" w:line="264" w:lineRule="auto"/>
      </w:pPr>
      <w:r>
        <w:rPr>
          <w:rFonts w:ascii="Arial" w:cs="Arial" w:eastAsia="Yu Gothic" w:hAnsi="Arial"/>
          <w:color w:val="1F2533"/>
          <w:sz w:val="19"/>
          <w:szCs w:val="19"/>
        </w:rPr>
        <w:t xml:space="preserve">A rising payout.</w:t>
      </w:r>
    </w:p>
    <w:p>
      <w:pPr>
        <w:pStyle w:val="ListParagraph"/>
        <w:numPr>
          <w:ilvl w:val="0"/>
          <w:numId w:val="2"/>
        </w:numPr>
        <w:spacing w:after="60" w:line="264" w:lineRule="auto"/>
      </w:pPr>
      <w:r>
        <w:rPr>
          <w:rFonts w:ascii="Arial" w:cs="Arial" w:eastAsia="Yu Gothic" w:hAnsi="Arial"/>
          <w:color w:val="1F2533"/>
          <w:sz w:val="19"/>
          <w:szCs w:val="19"/>
        </w:rPr>
        <w:t xml:space="preserve">An early start on selling cross-shareholdings. The Hulic stake was cut in December 2024, and the plan targets at least ¥130bn of policy-share and fixed-asset sales, taking policy holdings to ≤10% of net assets by end-2027 (</w:t>
      </w:r>
      <w:hyperlink w:history="1" r:id="rIdalw_afvwmjv218qpwev0a">
        <w:r>
          <w:rPr>
            <w:rFonts w:ascii="Arial" w:cs="Arial" w:eastAsia="Yu Gothic" w:hAnsi="Arial"/>
            <w:color w:val="2F6FD0"/>
            <w:sz w:val="19"/>
            <w:szCs w:val="19"/>
            <w:u w:val="single"/>
          </w:rPr>
          <w:t xml:space="preserve">MTP</w:t>
        </w:r>
      </w:hyperlink>
      <w:r>
        <w:rPr>
          <w:rFonts w:ascii="Arial" w:cs="Arial" w:eastAsia="Yu Gothic" w:hAnsi="Arial"/>
          <w:color w:val="1F2533"/>
          <w:sz w:val="19"/>
          <w:szCs w:val="19"/>
        </w:rPr>
        <w:t xml:space="preserve">).</w:t>
      </w:r>
    </w:p>
    <w:p>
      <w:pPr>
        <w:spacing w:after="40" w:before="0" w:line="276" w:lineRule="auto"/>
      </w:pPr>
    </w:p>
    <w:p>
      <w:pPr>
        <w:spacing w:after="110" w:before="0" w:line="276" w:lineRule="auto"/>
      </w:pPr>
      <w:r>
        <w:rPr>
          <w:rFonts w:ascii="Arial" w:cs="Arial" w:eastAsia="Yu Gothic" w:hAnsi="Arial"/>
          <w:b/>
          <w:bCs/>
          <w:color w:val="1F2533"/>
          <w:sz w:val="19"/>
          <w:szCs w:val="19"/>
        </w:rPr>
        <w:t xml:space="preserve">What has not worked:</w:t>
      </w:r>
    </w:p>
    <w:p>
      <w:pPr>
        <w:pStyle w:val="ListParagraph"/>
        <w:numPr>
          <w:ilvl w:val="0"/>
          <w:numId w:val="2"/>
        </w:numPr>
        <w:spacing w:after="60" w:line="264" w:lineRule="auto"/>
      </w:pPr>
      <w:r>
        <w:rPr>
          <w:rFonts w:ascii="Arial" w:cs="Arial" w:eastAsia="Yu Gothic" w:hAnsi="Arial"/>
          <w:color w:val="1F2533"/>
          <w:sz w:val="19"/>
          <w:szCs w:val="19"/>
        </w:rPr>
        <w:t xml:space="preserve">Overseas: the FY2025 equity-method loss, and a new London office project.</w:t>
      </w:r>
    </w:p>
    <w:p>
      <w:pPr>
        <w:pStyle w:val="ListParagraph"/>
        <w:numPr>
          <w:ilvl w:val="0"/>
          <w:numId w:val="2"/>
        </w:numPr>
        <w:spacing w:after="60" w:line="264" w:lineRule="auto"/>
      </w:pPr>
      <w:r>
        <w:rPr>
          <w:rFonts w:ascii="Arial" w:cs="Arial" w:eastAsia="Yu Gothic" w:hAnsi="Arial"/>
          <w:color w:val="1F2533"/>
          <w:sz w:val="19"/>
          <w:szCs w:val="19"/>
        </w:rPr>
        <w:t xml:space="preserve">The balance sheet grew faster than profits in 2023–24.</w:t>
      </w:r>
    </w:p>
    <w:p>
      <w:pPr>
        <w:pStyle w:val="ListParagraph"/>
        <w:numPr>
          <w:ilvl w:val="0"/>
          <w:numId w:val="2"/>
        </w:numPr>
        <w:spacing w:after="60" w:line="264" w:lineRule="auto"/>
      </w:pPr>
      <w:r>
        <w:rPr>
          <w:rFonts w:ascii="Arial" w:cs="Arial" w:eastAsia="Yu Gothic" w:hAnsi="Arial"/>
          <w:color w:val="1F2533"/>
          <w:sz w:val="19"/>
          <w:szCs w:val="19"/>
        </w:rPr>
        <w:t xml:space="preserve">ROIC of 3.1–3.7% on book capital is thin.</w:t>
      </w:r>
    </w:p>
    <w:p>
      <w:pPr>
        <w:pStyle w:val="ListParagraph"/>
        <w:numPr>
          <w:ilvl w:val="0"/>
          <w:numId w:val="2"/>
        </w:numPr>
        <w:spacing w:after="60" w:line="264" w:lineRule="auto"/>
      </w:pPr>
      <w:r>
        <w:rPr>
          <w:rFonts w:ascii="Arial" w:cs="Arial" w:eastAsia="Yu Gothic" w:hAnsi="Arial"/>
          <w:color w:val="1F2533"/>
          <w:sz w:val="19"/>
          <w:szCs w:val="19"/>
        </w:rPr>
        <w:t xml:space="preserve">Buybacks have been token: ¥3bn against roughly ¥1.5tn of debt and ¥600bn of equity.</w:t>
      </w:r>
    </w:p>
    <w:p>
      <w:pPr>
        <w:spacing w:after="40" w:before="0" w:line="276" w:lineRule="auto"/>
      </w:pPr>
    </w:p>
    <w:p>
      <w:pPr>
        <w:spacing w:after="110" w:before="0" w:line="276" w:lineRule="auto"/>
      </w:pPr>
      <w:r>
        <w:rPr>
          <w:rFonts w:ascii="Arial" w:cs="Arial" w:eastAsia="Yu Gothic" w:hAnsi="Arial"/>
          <w:b/>
          <w:bCs/>
          <w:color w:val="1F2533"/>
          <w:sz w:val="19"/>
          <w:szCs w:val="19"/>
        </w:rPr>
        <w:t xml:space="preserve">Overall:</w:t>
      </w:r>
      <w:r>
        <w:rPr>
          <w:rFonts w:ascii="Arial" w:cs="Arial" w:eastAsia="Yu Gothic" w:hAnsi="Arial"/>
          <w:color w:val="1F2533"/>
          <w:sz w:val="19"/>
          <w:szCs w:val="19"/>
        </w:rPr>
        <w:t xml:space="preserve"> </w:t>
      </w:r>
      <w:r>
        <w:rPr>
          <w:rFonts w:ascii="Arial" w:cs="Arial" w:eastAsia="Yu Gothic" w:hAnsi="Arial"/>
          <w:b/>
          <w:bCs/>
          <w:color w:val="1F2533"/>
          <w:sz w:val="19"/>
          <w:szCs w:val="19"/>
        </w:rPr>
        <w:t xml:space="preserve">disciplined reinvestors, not value destroyers.</w:t>
      </w:r>
      <w:r>
        <w:rPr>
          <w:rFonts w:ascii="Arial" w:cs="Arial" w:eastAsia="Yu Gothic" w:hAnsi="Arial"/>
          <w:color w:val="1F2533"/>
          <w:sz w:val="19"/>
          <w:szCs w:val="19"/>
        </w:rPr>
        <w:t xml:space="preserve"> But capital has been allocated for growth in profit, not growth in NAV per share. No ROE or TSR measure was found in the pay formula.</w:t>
      </w:r>
    </w:p>
    <w:p>
      <w:pPr>
        <w:pStyle w:val="Heading2"/>
        <w:keepNext/>
        <w:keepLines/>
        <w:spacing w:after="90" w:before="260" w:line="252" w:lineRule="auto"/>
      </w:pPr>
      <w:r>
        <w:rPr>
          <w:rFonts w:ascii="Arial" w:cs="Arial" w:eastAsia="Yu Gothic" w:hAnsi="Arial"/>
          <w:b/>
          <w:bCs/>
          <w:color w:val="15233F"/>
          <w:sz w:val="25"/>
          <w:szCs w:val="25"/>
        </w:rPr>
        <w:t xml:space="preserve">Red flags</w:t>
      </w:r>
    </w:p>
    <w:p>
      <w:pPr>
        <w:spacing w:after="110" w:before="0" w:line="276" w:lineRule="auto"/>
      </w:pPr>
      <w:r>
        <w:rPr>
          <w:rFonts w:ascii="Arial" w:cs="Arial" w:eastAsia="Yu Gothic" w:hAnsi="Arial"/>
          <w:b/>
          <w:bCs/>
          <w:color w:val="1F2533"/>
          <w:sz w:val="19"/>
          <w:szCs w:val="19"/>
        </w:rPr>
        <w:t xml:space="preserve">Banker pipeline and Mizuho entanglement.</w:t>
      </w:r>
    </w:p>
    <w:p>
      <w:pPr>
        <w:pStyle w:val="ListParagraph"/>
        <w:numPr>
          <w:ilvl w:val="0"/>
          <w:numId w:val="2"/>
        </w:numPr>
        <w:spacing w:after="60" w:line="264" w:lineRule="auto"/>
      </w:pPr>
      <w:r>
        <w:rPr>
          <w:rFonts w:ascii="Arial" w:cs="Arial" w:eastAsia="Yu Gothic" w:hAnsi="Arial"/>
          <w:color w:val="1F2533"/>
          <w:sz w:val="19"/>
          <w:szCs w:val="19"/>
        </w:rPr>
        <w:t xml:space="preserve">The board chair (Tanehashi) and one "independent" director (Nishizawa, a former Mizuho FG Deputy President) are Fuji Bank/Mizuho alumni, as was former President Sakuma.</w:t>
      </w:r>
    </w:p>
    <w:p>
      <w:pPr>
        <w:pStyle w:val="ListParagraph"/>
        <w:numPr>
          <w:ilvl w:val="0"/>
          <w:numId w:val="2"/>
        </w:numPr>
        <w:spacing w:after="60" w:line="264" w:lineRule="auto"/>
      </w:pPr>
      <w:r>
        <w:rPr>
          <w:rFonts w:ascii="Arial" w:cs="Arial" w:eastAsia="Yu Gothic" w:hAnsi="Arial"/>
          <w:color w:val="1F2533"/>
          <w:sz w:val="19"/>
          <w:szCs w:val="19"/>
        </w:rPr>
        <w:t xml:space="preserve">Mizuho plays several roles at once. It is a main lender, the anchor tenant at Otemachi Tower, the former seller of the Otemachi site, and a partner on a trust product.</w:t>
      </w:r>
    </w:p>
    <w:p>
      <w:pPr>
        <w:pStyle w:val="ListParagraph"/>
        <w:numPr>
          <w:ilvl w:val="0"/>
          <w:numId w:val="2"/>
        </w:numPr>
        <w:spacing w:after="60" w:line="264" w:lineRule="auto"/>
      </w:pPr>
      <w:r>
        <w:rPr>
          <w:rFonts w:ascii="Arial" w:cs="Arial" w:eastAsia="Yu Gothic" w:hAnsi="Arial"/>
          <w:color w:val="1F2533"/>
          <w:sz w:val="19"/>
          <w:szCs w:val="19"/>
        </w:rPr>
        <w:t xml:space="preserve">This is a governance flag, not evidence of misconduct.</w:t>
      </w:r>
    </w:p>
    <w:p>
      <w:pPr>
        <w:spacing w:after="40" w:before="0" w:line="276" w:lineRule="auto"/>
      </w:pPr>
    </w:p>
    <w:p>
      <w:pPr>
        <w:spacing w:after="110" w:before="0" w:line="276" w:lineRule="auto"/>
      </w:pPr>
      <w:r>
        <w:rPr>
          <w:rFonts w:ascii="Arial" w:cs="Arial" w:eastAsia="Yu Gothic" w:hAnsi="Arial"/>
          <w:b/>
          <w:bCs/>
          <w:color w:val="1F2533"/>
          <w:sz w:val="19"/>
          <w:szCs w:val="19"/>
        </w:rPr>
        <w:t xml:space="preserve">Related-party channel.</w:t>
      </w:r>
      <w:r>
        <w:rPr>
          <w:rFonts w:ascii="Arial" w:cs="Arial" w:eastAsia="Yu Gothic" w:hAnsi="Arial"/>
          <w:color w:val="1F2533"/>
          <w:sz w:val="19"/>
          <w:szCs w:val="19"/>
        </w:rPr>
        <w:t xml:space="preserve"> Tokyo Tatemono sells assets into vehicles it sponsors. It owns 100% of JPR's manager (TRIM) and 3.03% of JPR's units, so it can earn a sale gain and ongoing fees from the same transaction. Pricing against appraisal and any retained exposure were not disclosed in the material we could access.</w:t>
      </w:r>
    </w:p>
    <w:p>
      <w:pPr>
        <w:spacing w:after="110" w:before="0" w:line="276" w:lineRule="auto"/>
      </w:pPr>
      <w:r>
        <w:rPr>
          <w:rFonts w:ascii="Arial" w:cs="Arial" w:eastAsia="Yu Gothic" w:hAnsi="Arial"/>
          <w:b/>
          <w:bCs/>
          <w:color w:val="1F2533"/>
          <w:sz w:val="19"/>
          <w:szCs w:val="19"/>
        </w:rPr>
        <w:t xml:space="preserve">Legacy overhang.</w:t>
      </w:r>
      <w:r>
        <w:rPr>
          <w:rFonts w:ascii="Arial" w:cs="Arial" w:eastAsia="Yu Gothic" w:hAnsi="Arial"/>
          <w:color w:val="1F2533"/>
          <w:sz w:val="19"/>
          <w:szCs w:val="19"/>
        </w:rPr>
        <w:t xml:space="preserve"> The company has three representative directors. The former CEO is Representative Chairman, and the former Representative Chairman chairs the board. This can dilute the new CEO's authority.</w:t>
      </w:r>
    </w:p>
    <w:p>
      <w:pPr>
        <w:spacing w:after="110" w:before="0" w:line="276" w:lineRule="auto"/>
      </w:pPr>
      <w:r>
        <w:rPr>
          <w:rFonts w:ascii="Arial" w:cs="Arial" w:eastAsia="Yu Gothic" w:hAnsi="Arial"/>
          <w:b/>
          <w:bCs/>
          <w:color w:val="1F2533"/>
          <w:sz w:val="19"/>
          <w:szCs w:val="19"/>
        </w:rPr>
        <w:t xml:space="preserve">Incentives.</w:t>
      </w:r>
      <w:r>
        <w:rPr>
          <w:rFonts w:ascii="Arial" w:cs="Arial" w:eastAsia="Yu Gothic" w:hAnsi="Arial"/>
          <w:color w:val="1F2533"/>
          <w:sz w:val="19"/>
          <w:szCs w:val="19"/>
        </w:rPr>
        <w:t xml:space="preserve"> Pay is modest: about ¥750m in total for 18 officers (</w:t>
      </w:r>
      <w:hyperlink w:history="1" r:id="rIdcj38z6gmswxadkfwe-ut7">
        <w:r>
          <w:rPr>
            <w:rFonts w:ascii="Arial" w:cs="Arial" w:eastAsia="Yu Gothic" w:hAnsi="Arial"/>
            <w:color w:val="2F6FD0"/>
            <w:sz w:val="19"/>
            <w:szCs w:val="19"/>
            <w:u w:val="single"/>
          </w:rPr>
          <w:t xml:space="preserve">Nikkei</w:t>
        </w:r>
      </w:hyperlink>
      <w:r>
        <w:rPr>
          <w:rFonts w:ascii="Arial" w:cs="Arial" w:eastAsia="Yu Gothic" w:hAnsi="Arial"/>
          <w:color w:val="1F2533"/>
          <w:sz w:val="19"/>
          <w:szCs w:val="19"/>
        </w:rPr>
        <w:t xml:space="preserve">). But the last policy we found (2020) tied bonuses to ordinary profit and net income (</w:t>
      </w:r>
      <w:hyperlink w:history="1" r:id="rIdfhh4iwfvbx-mr53w25cuh">
        <w:r>
          <w:rPr>
            <w:rFonts w:ascii="Arial" w:cs="Arial" w:eastAsia="Yu Gothic" w:hAnsi="Arial"/>
            <w:color w:val="2F6FD0"/>
            <w:sz w:val="19"/>
            <w:szCs w:val="19"/>
            <w:u w:val="single"/>
          </w:rPr>
          <w:t xml:space="preserve">CSR 2020</w:t>
        </w:r>
      </w:hyperlink>
      <w:r>
        <w:rPr>
          <w:rFonts w:ascii="Arial" w:cs="Arial" w:eastAsia="Yu Gothic" w:hAnsi="Arial"/>
          <w:color w:val="1F2533"/>
          <w:sz w:val="19"/>
          <w:szCs w:val="19"/>
        </w:rPr>
        <w:t xml:space="preserve">). Combined with the 2025 redefinition of business profit, that rewards booking gains and growing the balance sheet.</w:t>
      </w:r>
    </w:p>
    <w:p>
      <w:pPr>
        <w:spacing w:after="110" w:before="0" w:line="276" w:lineRule="auto"/>
      </w:pPr>
      <w:r>
        <w:rPr>
          <w:rFonts w:ascii="Arial" w:cs="Arial" w:eastAsia="Yu Gothic" w:hAnsi="Arial"/>
          <w:b/>
          <w:bCs/>
          <w:color w:val="1F2533"/>
          <w:sz w:val="19"/>
          <w:szCs w:val="19"/>
        </w:rPr>
        <w:t xml:space="preserve">Guidance management.</w:t>
      </w:r>
      <w:r>
        <w:rPr>
          <w:rFonts w:ascii="Arial" w:cs="Arial" w:eastAsia="Yu Gothic" w:hAnsi="Arial"/>
          <w:color w:val="1F2533"/>
          <w:sz w:val="19"/>
          <w:szCs w:val="19"/>
        </w:rPr>
        <w:t xml:space="preserve"> In November 2025 a "partly revised sales policy" cut revenue guidance by ¥33bn while raising operating-profit guidance. That signals active management of which assets are sold, and when.</w:t>
      </w:r>
    </w:p>
    <w:p>
      <w:pPr>
        <w:spacing w:after="110" w:before="0" w:line="276" w:lineRule="auto"/>
      </w:pPr>
      <w:r>
        <w:rPr>
          <w:rFonts w:ascii="Arial" w:cs="Arial" w:eastAsia="Yu Gothic" w:hAnsi="Arial"/>
          <w:b/>
          <w:bCs/>
          <w:color w:val="1F2533"/>
          <w:sz w:val="19"/>
          <w:szCs w:val="19"/>
        </w:rPr>
        <w:t xml:space="preserve">Strategy pivots and promotion: none.</w:t>
      </w:r>
      <w:r>
        <w:rPr>
          <w:rFonts w:ascii="Arial" w:cs="Arial" w:eastAsia="Yu Gothic" w:hAnsi="Arial"/>
          <w:color w:val="1F2533"/>
          <w:sz w:val="19"/>
          <w:szCs w:val="19"/>
        </w:rPr>
        <w:t xml:space="preserve"> The strategy has been stable since the 2020 vision, and guidance has been conservative and then beaten.</w:t>
      </w:r>
    </w:p>
    <w:p>
      <w:pPr>
        <w:spacing w:after="110" w:before="0" w:line="276" w:lineRule="auto"/>
      </w:pPr>
      <w:r>
        <w:rPr>
          <w:rFonts w:ascii="Arial" w:cs="Arial" w:eastAsia="Yu Gothic" w:hAnsi="Arial"/>
          <w:b/>
          <w:bCs/>
          <w:color w:val="1F2533"/>
          <w:sz w:val="19"/>
          <w:szCs w:val="19"/>
        </w:rPr>
        <w:t xml:space="preserve">Not tested.</w:t>
      </w:r>
      <w:r>
        <w:rPr>
          <w:rFonts w:ascii="Arial" w:cs="Arial" w:eastAsia="Yu Gothic" w:hAnsi="Arial"/>
          <w:color w:val="1F2533"/>
          <w:sz w:val="19"/>
          <w:szCs w:val="19"/>
        </w:rPr>
        <w:t xml:space="preserve"> The related-party note, litigation, construction defects and auditor tenure (the auditor is EY ShinNihon) could not be reviewed.</w:t>
      </w:r>
    </w:p>
    <w:p>
      <w:pPr>
        <w:pStyle w:val="Heading2"/>
        <w:keepNext/>
        <w:keepLines/>
        <w:spacing w:after="90" w:before="260" w:line="252" w:lineRule="auto"/>
      </w:pPr>
      <w:r>
        <w:rPr>
          <w:rFonts w:ascii="Arial" w:cs="Arial" w:eastAsia="Yu Gothic" w:hAnsi="Arial"/>
          <w:b/>
          <w:bCs/>
          <w:color w:val="15233F"/>
          <w:sz w:val="25"/>
          <w:szCs w:val="25"/>
        </w:rPr>
        <w:t xml:space="preserve">Founder vs professional manager</w:t>
      </w:r>
    </w:p>
    <w:p>
      <w:pPr>
        <w:spacing w:after="110" w:before="0" w:line="276" w:lineRule="auto"/>
      </w:pPr>
      <w:r>
        <w:rPr>
          <w:rFonts w:ascii="Arial" w:cs="Arial" w:eastAsia="Yu Gothic" w:hAnsi="Arial"/>
          <w:color w:val="1F2533"/>
          <w:sz w:val="19"/>
          <w:szCs w:val="19"/>
        </w:rPr>
        <w:t xml:space="preserve">Tokyo Tatemono is a </w:t>
      </w:r>
      <w:r>
        <w:rPr>
          <w:rFonts w:ascii="Arial" w:cs="Arial" w:eastAsia="Yu Gothic" w:hAnsi="Arial"/>
          <w:b/>
          <w:bCs/>
          <w:color w:val="1F2533"/>
          <w:sz w:val="19"/>
          <w:szCs w:val="19"/>
        </w:rPr>
        <w:t xml:space="preserve">founder-less, professionally managed keiretsu company</w:t>
      </w:r>
      <w:r>
        <w:rPr>
          <w:rFonts w:ascii="Arial" w:cs="Arial" w:eastAsia="Yu Gothic" w:hAnsi="Arial"/>
          <w:color w:val="1F2533"/>
          <w:sz w:val="19"/>
          <w:szCs w:val="19"/>
        </w:rPr>
        <w:t xml:space="preserve">. It was founded in 1896, has no controlling family, and its leadership has alternated between career insiders and Fuji Bank/Mizuho alumni (</w:t>
      </w:r>
      <w:hyperlink w:history="1" r:id="rIdgj5_sh7_zd7emgpotrlgy">
        <w:r>
          <w:rPr>
            <w:rFonts w:ascii="Arial" w:cs="Arial" w:eastAsia="Yu Gothic" w:hAnsi="Arial"/>
            <w:color w:val="2F6FD0"/>
            <w:sz w:val="19"/>
            <w:szCs w:val="19"/>
            <w:u w:val="single"/>
          </w:rPr>
          <w:t xml:space="preserve">The Shashi</w:t>
        </w:r>
      </w:hyperlink>
      <w:r>
        <w:rPr>
          <w:rFonts w:ascii="Arial" w:cs="Arial" w:eastAsia="Yu Gothic" w:hAnsi="Arial"/>
          <w:color w:val="1F2533"/>
          <w:sz w:val="19"/>
          <w:szCs w:val="19"/>
        </w:rPr>
        <w:t xml:space="preserve">). At this stage of the business, that brings:</w:t>
      </w:r>
    </w:p>
    <w:p>
      <w:pPr>
        <w:pStyle w:val="ListParagraph"/>
        <w:numPr>
          <w:ilvl w:val="0"/>
          <w:numId w:val="2"/>
        </w:numPr>
        <w:spacing w:after="60" w:line="264" w:lineRule="auto"/>
      </w:pPr>
      <w:r>
        <w:rPr>
          <w:rFonts w:ascii="Arial" w:cs="Arial" w:eastAsia="Yu Gothic" w:hAnsi="Arial"/>
          <w:b/>
          <w:bCs/>
          <w:color w:val="1F2533"/>
          <w:sz w:val="19"/>
          <w:szCs w:val="19"/>
        </w:rPr>
        <w:t xml:space="preserve">Strengths:</w:t>
      </w:r>
      <w:r>
        <w:rPr>
          <w:rFonts w:ascii="Arial" w:cs="Arial" w:eastAsia="Yu Gothic" w:hAnsi="Arial"/>
          <w:color w:val="1F2533"/>
          <w:sz w:val="19"/>
          <w:szCs w:val="19"/>
        </w:rPr>
        <w:t xml:space="preserve"> continuity and orderly succession; conservative, lender-friendly finance; reliable delivery of plans.</w:t>
      </w:r>
    </w:p>
    <w:p>
      <w:pPr>
        <w:pStyle w:val="ListParagraph"/>
        <w:numPr>
          <w:ilvl w:val="0"/>
          <w:numId w:val="2"/>
        </w:numPr>
        <w:spacing w:after="60" w:line="264" w:lineRule="auto"/>
      </w:pPr>
      <w:r>
        <w:rPr>
          <w:rFonts w:ascii="Arial" w:cs="Arial" w:eastAsia="Yu Gothic" w:hAnsi="Arial"/>
          <w:b/>
          <w:bCs/>
          <w:color w:val="1F2533"/>
          <w:sz w:val="19"/>
          <w:szCs w:val="19"/>
        </w:rPr>
        <w:t xml:space="preserve">Weaknesses:</w:t>
      </w:r>
      <w:r>
        <w:rPr>
          <w:rFonts w:ascii="Arial" w:cs="Arial" w:eastAsia="Yu Gothic" w:hAnsi="Arial"/>
          <w:color w:val="1F2533"/>
          <w:sz w:val="19"/>
          <w:szCs w:val="19"/>
        </w:rPr>
        <w:t xml:space="preserve"> low insider ownership; consensus decision-making; capital-return changes that respond to outside pressure (TSE, stewardship, activism) rather than lead it.</w:t>
      </w:r>
    </w:p>
    <w:p>
      <w:pPr>
        <w:spacing w:after="40" w:before="0" w:line="276" w:lineRule="auto"/>
      </w:pPr>
    </w:p>
    <w:p>
      <w:pPr>
        <w:spacing w:after="110" w:before="0" w:line="276" w:lineRule="auto"/>
      </w:pPr>
      <w:r>
        <w:rPr>
          <w:rFonts w:ascii="Arial" w:cs="Arial" w:eastAsia="Yu Gothic" w:hAnsi="Arial"/>
          <w:color w:val="1F2533"/>
          <w:sz w:val="19"/>
          <w:szCs w:val="19"/>
        </w:rPr>
        <w:t xml:space="preserve">A balance-sheet-heavy developer at peak leverage benefits from the conservatism. A stock at 0.65x NAV, however, would benefit from an owner's urgency on buybacks.</w:t>
      </w:r>
    </w:p>
    <w:p>
      <w:pPr>
        <w:pStyle w:val="Heading2"/>
        <w:keepNext/>
        <w:keepLines/>
        <w:spacing w:after="90" w:before="260" w:line="252" w:lineRule="auto"/>
      </w:pPr>
      <w:r>
        <w:rPr>
          <w:rFonts w:ascii="Arial" w:cs="Arial" w:eastAsia="Yu Gothic" w:hAnsi="Arial"/>
          <w:b/>
          <w:bCs/>
          <w:color w:val="15233F"/>
          <w:sz w:val="25"/>
          <w:szCs w:val="25"/>
        </w:rPr>
        <w:t xml:space="preserve">Recent changes in senior management</w:t>
      </w:r>
    </w:p>
    <w:p>
      <w:pPr>
        <w:pStyle w:val="ListParagraph"/>
        <w:numPr>
          <w:ilvl w:val="0"/>
          <w:numId w:val="2"/>
        </w:numPr>
        <w:spacing w:after="60" w:line="264" w:lineRule="auto"/>
      </w:pPr>
      <w:r>
        <w:rPr>
          <w:rFonts w:ascii="Arial" w:cs="Arial" w:eastAsia="Yu Gothic" w:hAnsi="Arial"/>
          <w:b/>
          <w:bCs/>
          <w:color w:val="1F2533"/>
          <w:sz w:val="19"/>
          <w:szCs w:val="19"/>
        </w:rPr>
        <w:t xml:space="preserve">7 Nov 2024 (effective 1 Jan 2025): CEO succession.</w:t>
      </w:r>
      <w:r>
        <w:rPr>
          <w:rFonts w:ascii="Arial" w:cs="Arial" w:eastAsia="Yu Gothic" w:hAnsi="Arial"/>
          <w:color w:val="1F2533"/>
          <w:sz w:val="19"/>
          <w:szCs w:val="19"/>
        </w:rPr>
        <w:t xml:space="preserve"> Ozawa became President &amp; CEO; Nomura became Representative Chairman; Tanehashi became Chairman of the Board; Izumi became EVP.</w:t>
      </w:r>
    </w:p>
    <w:p>
      <w:pPr>
        <w:pStyle w:val="ListParagraph"/>
        <w:numPr>
          <w:ilvl w:val="0"/>
          <w:numId w:val="2"/>
        </w:numPr>
        <w:spacing w:after="60" w:line="264" w:lineRule="auto"/>
      </w:pPr>
      <w:r>
        <w:rPr>
          <w:rFonts w:ascii="Arial" w:cs="Arial" w:eastAsia="Yu Gothic" w:hAnsi="Arial"/>
          <w:b/>
          <w:bCs/>
          <w:color w:val="1F2533"/>
          <w:sz w:val="19"/>
          <w:szCs w:val="19"/>
        </w:rPr>
        <w:t xml:space="preserve">2 Dec 2024 and 1 Dec 2025:</w:t>
      </w:r>
      <w:r>
        <w:rPr>
          <w:rFonts w:ascii="Arial" w:cs="Arial" w:eastAsia="Yu Gothic" w:hAnsi="Arial"/>
          <w:color w:val="1F2533"/>
          <w:sz w:val="19"/>
          <w:szCs w:val="19"/>
        </w:rPr>
        <w:t xml:space="preserve"> organisational and personnel changes.</w:t>
      </w:r>
    </w:p>
    <w:p>
      <w:pPr>
        <w:pStyle w:val="ListParagraph"/>
        <w:numPr>
          <w:ilvl w:val="0"/>
          <w:numId w:val="2"/>
        </w:numPr>
        <w:spacing w:after="60" w:line="264" w:lineRule="auto"/>
      </w:pPr>
      <w:r>
        <w:rPr>
          <w:rFonts w:ascii="Arial" w:cs="Arial" w:eastAsia="Yu Gothic" w:hAnsi="Arial"/>
          <w:b/>
          <w:bCs/>
          <w:color w:val="1F2533"/>
          <w:sz w:val="19"/>
          <w:szCs w:val="19"/>
        </w:rPr>
        <w:t xml:space="preserve">March 2025 AGM:</w:t>
      </w:r>
      <w:r>
        <w:rPr>
          <w:rFonts w:ascii="Arial" w:cs="Arial" w:eastAsia="Yu Gothic" w:hAnsi="Arial"/>
          <w:color w:val="1F2533"/>
          <w:sz w:val="19"/>
          <w:szCs w:val="19"/>
        </w:rPr>
        <w:t xml:space="preserve"> directors' terms cut to one year.</w:t>
      </w:r>
    </w:p>
    <w:p>
      <w:pPr>
        <w:pStyle w:val="ListParagraph"/>
        <w:numPr>
          <w:ilvl w:val="0"/>
          <w:numId w:val="2"/>
        </w:numPr>
        <w:spacing w:after="60" w:line="264" w:lineRule="auto"/>
      </w:pPr>
      <w:r>
        <w:rPr>
          <w:rFonts w:ascii="Arial" w:cs="Arial" w:eastAsia="Yu Gothic" w:hAnsi="Arial"/>
          <w:b/>
          <w:bCs/>
          <w:color w:val="1F2533"/>
          <w:sz w:val="19"/>
          <w:szCs w:val="19"/>
        </w:rPr>
        <w:t xml:space="preserve">26 Mar 2026:</w:t>
      </w:r>
      <w:r>
        <w:rPr>
          <w:rFonts w:ascii="Arial" w:cs="Arial" w:eastAsia="Yu Gothic" w:hAnsi="Arial"/>
          <w:color w:val="1F2533"/>
          <w:sz w:val="19"/>
          <w:szCs w:val="19"/>
        </w:rPr>
        <w:t xml:space="preserve"> Yoshino Takashi appointed as a new full-time Audit &amp; Supervisory Board member.</w:t>
      </w:r>
    </w:p>
    <w:p>
      <w:pPr>
        <w:pStyle w:val="ListParagraph"/>
        <w:numPr>
          <w:ilvl w:val="0"/>
          <w:numId w:val="2"/>
        </w:numPr>
        <w:spacing w:after="60" w:line="264" w:lineRule="auto"/>
      </w:pPr>
      <w:r>
        <w:rPr>
          <w:rFonts w:ascii="Arial" w:cs="Arial" w:eastAsia="Yu Gothic" w:hAnsi="Arial"/>
          <w:b/>
          <w:bCs/>
          <w:color w:val="1F2533"/>
          <w:sz w:val="19"/>
          <w:szCs w:val="19"/>
        </w:rPr>
        <w:t xml:space="preserve">Executive-officer line-up from 1 May 2026:</w:t>
      </w:r>
      <w:r>
        <w:rPr>
          <w:rFonts w:ascii="Arial" w:cs="Arial" w:eastAsia="Yu Gothic" w:hAnsi="Arial"/>
          <w:color w:val="1F2533"/>
          <w:sz w:val="19"/>
          <w:szCs w:val="19"/>
        </w:rPr>
        <w:t xml:space="preserve"> Ozawa (CEO); Izumi (EVP); Akita and Jinbo (Senior Managing EOs); Kobayashi Shinjiro, Takahashi Hiroshi, Tajima Fumio, Sugaya Kenji, Onuma Yutaka, Uchida Yoshinari and Kawazoe Yuichi (Managing EOs) (</w:t>
      </w:r>
      <w:hyperlink w:history="1" r:id="rIdpzv35ive73ttosml1snxr">
        <w:r>
          <w:rPr>
            <w:rFonts w:ascii="Arial" w:cs="Arial" w:eastAsia="Yu Gothic" w:hAnsi="Arial"/>
            <w:color w:val="2F6FD0"/>
            <w:sz w:val="19"/>
            <w:szCs w:val="19"/>
            <w:u w:val="single"/>
          </w:rPr>
          <w:t xml:space="preserve">company overview</w:t>
        </w:r>
      </w:hyperlink>
      <w:r>
        <w:rPr>
          <w:rFonts w:ascii="Arial" w:cs="Arial" w:eastAsia="Yu Gothic" w:hAnsi="Arial"/>
          <w:color w:val="1F2533"/>
          <w:sz w:val="19"/>
          <w:szCs w:val="19"/>
        </w:rPr>
        <w:t xml:space="preserve">).</w:t>
      </w:r>
    </w:p>
    <w:p>
      <w:pPr>
        <w:spacing w:after="40" w:before="0" w:line="276" w:lineRule="auto"/>
      </w:pPr>
    </w:p>
    <w:p>
      <w:pPr>
        <w:pBdr>
          <w:left w:val="single" w:color="2F6FD0" w:sz="24" w:space="8"/>
        </w:pBdr>
        <w:shd w:fill="EEF3FA" w:color="auto" w:val="clear"/>
        <w:spacing w:after="160" w:before="60" w:line="264" w:lineRule="auto"/>
        <w:ind w:left="200" w:right="200"/>
      </w:pPr>
      <w:r>
        <w:rPr>
          <w:rFonts w:ascii="Arial" w:cs="Arial" w:eastAsia="Yu Gothic" w:hAnsi="Arial"/>
          <w:b/>
          <w:bCs/>
          <w:color w:val="15233F"/>
          <w:sz w:val="18"/>
          <w:szCs w:val="18"/>
        </w:rPr>
        <w:t xml:space="preserve">Key takeaway:</w:t>
      </w:r>
      <w:r>
        <w:rPr>
          <w:rFonts w:ascii="Arial" w:cs="Arial" w:eastAsia="Yu Gothic" w:hAnsi="Arial"/>
          <w:color w:val="15233F"/>
          <w:sz w:val="18"/>
          <w:szCs w:val="18"/>
        </w:rPr>
        <w:t xml:space="preserve"> This is a capable, plan-driven insider team with a decade of delivery. The weaknesses are alignment (0.08% insider ownership), bank-linked governance, and incentives that reward profit growth over NAV per share.</w:t>
      </w:r>
    </w:p>
    <w:p>
      <w:pPr>
        <w:pStyle w:val="Heading1"/>
        <w:keepNext/>
        <w:keepLines/>
        <w:pageBreakBefore/>
        <w:pBdr>
          <w:bottom w:val="single" w:color="2F6FD0" w:sz="12" w:space="6"/>
        </w:pBdr>
        <w:spacing w:after="160" w:before="0" w:line="252" w:lineRule="auto"/>
      </w:pPr>
      <w:r>
        <w:rPr>
          <w:rFonts w:ascii="Arial" w:cs="Arial" w:eastAsia="Yu Gothic" w:hAnsi="Arial"/>
          <w:b/>
          <w:bCs/>
          <w:color w:val="15233F"/>
          <w:sz w:val="32"/>
          <w:szCs w:val="32"/>
        </w:rPr>
        <w:t xml:space="preserve">13. Board of Directors: 12 members, 5 independent, chaired by a former banker</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94"/>
        <w:gridCol w:w="1627"/>
        <w:gridCol w:w="1540"/>
        <w:gridCol w:w="1806"/>
        <w:gridCol w:w="2123"/>
        <w:gridCol w:w="1456"/>
      </w:tblGrid>
      <w:tr>
        <w:trPr>
          <w:cantSplit/>
          <w:tblHeader/>
        </w:trPr>
        <w:tc>
          <w:tcPr>
            <w:tcW w:type="dxa" w:w="1194"/>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bCs/>
                <w:color w:val="FFFFFF"/>
                <w:sz w:val="15"/>
                <w:szCs w:val="15"/>
              </w:rPr>
              <w:t xml:space="preserve">Name</w:t>
            </w:r>
          </w:p>
        </w:tc>
        <w:tc>
          <w:tcPr>
            <w:tcW w:type="dxa" w:w="1627"/>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5"/>
                <w:szCs w:val="15"/>
              </w:rPr>
              <w:t xml:space="preserve">Position</w:t>
            </w:r>
          </w:p>
        </w:tc>
        <w:tc>
          <w:tcPr>
            <w:tcW w:type="dxa" w:w="1540"/>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5"/>
                <w:szCs w:val="15"/>
              </w:rPr>
              <w:t xml:space="preserve">Independent?</w:t>
            </w:r>
          </w:p>
        </w:tc>
        <w:tc>
          <w:tcPr>
            <w:tcW w:type="dxa" w:w="1806"/>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5"/>
                <w:szCs w:val="15"/>
              </w:rPr>
              <w:t xml:space="preserve">Tenure / first appointed</w:t>
            </w:r>
          </w:p>
        </w:tc>
        <w:tc>
          <w:tcPr>
            <w:tcW w:type="dxa" w:w="2123"/>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5"/>
                <w:szCs w:val="15"/>
              </w:rPr>
              <w:t xml:space="preserve">Professional background</w:t>
            </w:r>
          </w:p>
        </w:tc>
        <w:tc>
          <w:tcPr>
            <w:tcW w:type="dxa" w:w="1456"/>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5"/>
                <w:szCs w:val="15"/>
              </w:rPr>
              <w:t xml:space="preserve">Other affiliations</w:t>
            </w:r>
          </w:p>
        </w:tc>
      </w:tr>
      <w:tr>
        <w:trPr>
          <w:cantSplit/>
        </w:trPr>
        <w:tc>
          <w:tcPr>
            <w:tcW w:type="dxa" w:w="1194"/>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5"/>
                <w:szCs w:val="15"/>
              </w:rPr>
              <w:t xml:space="preserve">Tanehashi Makio</w:t>
            </w:r>
          </w:p>
        </w:tc>
        <w:tc>
          <w:tcPr>
            <w:tcW w:type="dxa" w:w="1627"/>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Director, Chairman of the Board</w:t>
            </w:r>
          </w:p>
        </w:tc>
        <w:tc>
          <w:tcPr>
            <w:tcW w:type="dxa" w:w="1540"/>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No (former Representative Chairman)</w:t>
            </w:r>
          </w:p>
        </w:tc>
        <w:tc>
          <w:tcPr>
            <w:tcW w:type="dxa" w:w="180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Long-serving; became chairman around 2016 (inferred); non-executive chair since Jan 2025</w:t>
            </w:r>
          </w:p>
        </w:tc>
        <w:tc>
          <w:tcPr>
            <w:tcW w:type="dxa" w:w="2123"/>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Fuji Bank (1979); Mizuho Corporate Bank Executive Officer, internal audit (2006)</w:t>
            </w:r>
          </w:p>
        </w:tc>
        <w:tc>
          <w:tcPr>
            <w:tcW w:type="dxa" w:w="145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5"/>
                <w:szCs w:val="15"/>
              </w:rPr>
              <w:t xml:space="preserve">n/a</w:t>
            </w:r>
          </w:p>
        </w:tc>
      </w:tr>
      <w:tr>
        <w:trPr>
          <w:cantSplit/>
        </w:trPr>
        <w:tc>
          <w:tcPr>
            <w:tcW w:type="dxa" w:w="1194"/>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5"/>
                <w:szCs w:val="15"/>
              </w:rPr>
              <w:t xml:space="preserve">Nomura Hitoshi</w:t>
            </w:r>
          </w:p>
        </w:tc>
        <w:tc>
          <w:tcPr>
            <w:tcW w:type="dxa" w:w="1627"/>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Representative Director, Chairman</w:t>
            </w:r>
          </w:p>
        </w:tc>
        <w:tc>
          <w:tcPr>
            <w:tcW w:type="dxa" w:w="1540"/>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No</w:t>
            </w:r>
          </w:p>
        </w:tc>
        <w:tc>
          <w:tcPr>
            <w:tcW w:type="dxa" w:w="1806"/>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Director for 10+ years; President 2016–24</w:t>
            </w:r>
          </w:p>
        </w:tc>
        <w:tc>
          <w:tcPr>
            <w:tcW w:type="dxa" w:w="2123"/>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Tokyo Tatemono since 1981; Building business</w:t>
            </w:r>
          </w:p>
        </w:tc>
        <w:tc>
          <w:tcPr>
            <w:tcW w:type="dxa" w:w="1456"/>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5"/>
                <w:szCs w:val="15"/>
              </w:rPr>
              <w:t xml:space="preserve">n/a</w:t>
            </w:r>
          </w:p>
        </w:tc>
      </w:tr>
      <w:tr>
        <w:trPr>
          <w:cantSplit/>
        </w:trPr>
        <w:tc>
          <w:tcPr>
            <w:tcW w:type="dxa" w:w="1194"/>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5"/>
                <w:szCs w:val="15"/>
              </w:rPr>
              <w:t xml:space="preserve">Ozawa Katsuhito</w:t>
            </w:r>
          </w:p>
        </w:tc>
        <w:tc>
          <w:tcPr>
            <w:tcW w:type="dxa" w:w="1627"/>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Representative Director, President &amp; CEO</w:t>
            </w:r>
          </w:p>
        </w:tc>
        <w:tc>
          <w:tcPr>
            <w:tcW w:type="dxa" w:w="1540"/>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No</w:t>
            </w:r>
          </w:p>
        </w:tc>
        <w:tc>
          <w:tcPr>
            <w:tcW w:type="dxa" w:w="180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Director since 2017 (≈9 years)</w:t>
            </w:r>
          </w:p>
        </w:tc>
        <w:tc>
          <w:tcPr>
            <w:tcW w:type="dxa" w:w="2123"/>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Tokyo Tatemono since 1987; corporate planning, finance, overseas, Building</w:t>
            </w:r>
          </w:p>
        </w:tc>
        <w:tc>
          <w:tcPr>
            <w:tcW w:type="dxa" w:w="145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5"/>
                <w:szCs w:val="15"/>
              </w:rPr>
              <w:t xml:space="preserve">n/a</w:t>
            </w:r>
          </w:p>
        </w:tc>
      </w:tr>
      <w:tr>
        <w:trPr>
          <w:cantSplit/>
        </w:trPr>
        <w:tc>
          <w:tcPr>
            <w:tcW w:type="dxa" w:w="1194"/>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5"/>
                <w:szCs w:val="15"/>
              </w:rPr>
              <w:t xml:space="preserve">Izumi Akira</w:t>
            </w:r>
          </w:p>
        </w:tc>
        <w:tc>
          <w:tcPr>
            <w:tcW w:type="dxa" w:w="1627"/>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Representative Director, EVP</w:t>
            </w:r>
          </w:p>
        </w:tc>
        <w:tc>
          <w:tcPr>
            <w:tcW w:type="dxa" w:w="1540"/>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No</w:t>
            </w:r>
          </w:p>
        </w:tc>
        <w:tc>
          <w:tcPr>
            <w:tcW w:type="dxa" w:w="1806"/>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Executive Officer since 2015</w:t>
            </w:r>
          </w:p>
        </w:tc>
        <w:tc>
          <w:tcPr>
            <w:tcW w:type="dxa" w:w="2123"/>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Tokyo Tatemono since 1987; commercial facilities, urban development</w:t>
            </w:r>
          </w:p>
        </w:tc>
        <w:tc>
          <w:tcPr>
            <w:tcW w:type="dxa" w:w="1456"/>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5"/>
                <w:szCs w:val="15"/>
              </w:rPr>
              <w:t xml:space="preserve">n/a</w:t>
            </w:r>
          </w:p>
        </w:tc>
      </w:tr>
      <w:tr>
        <w:trPr>
          <w:cantSplit/>
        </w:trPr>
        <w:tc>
          <w:tcPr>
            <w:tcW w:type="dxa" w:w="1194"/>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5"/>
                <w:szCs w:val="15"/>
              </w:rPr>
              <w:t xml:space="preserve">Akita Hideshi</w:t>
            </w:r>
          </w:p>
        </w:tc>
        <w:tc>
          <w:tcPr>
            <w:tcW w:type="dxa" w:w="1627"/>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Director, Senior Managing EO</w:t>
            </w:r>
          </w:p>
        </w:tc>
        <w:tc>
          <w:tcPr>
            <w:tcW w:type="dxa" w:w="1540"/>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No</w:t>
            </w:r>
          </w:p>
        </w:tc>
        <w:tc>
          <w:tcPr>
            <w:tcW w:type="dxa" w:w="180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Executive Officer since 2016</w:t>
            </w:r>
          </w:p>
        </w:tc>
        <w:tc>
          <w:tcPr>
            <w:tcW w:type="dxa" w:w="2123"/>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Tokyo Tatemono since 1987; RM, HR, Residential</w:t>
            </w:r>
          </w:p>
        </w:tc>
        <w:tc>
          <w:tcPr>
            <w:tcW w:type="dxa" w:w="145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5"/>
                <w:szCs w:val="15"/>
              </w:rPr>
              <w:t xml:space="preserve">n/a</w:t>
            </w:r>
          </w:p>
        </w:tc>
      </w:tr>
      <w:tr>
        <w:trPr>
          <w:cantSplit/>
        </w:trPr>
        <w:tc>
          <w:tcPr>
            <w:tcW w:type="dxa" w:w="1194"/>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5"/>
                <w:szCs w:val="15"/>
              </w:rPr>
              <w:t xml:space="preserve">Jinbo Takeshi</w:t>
            </w:r>
          </w:p>
        </w:tc>
        <w:tc>
          <w:tcPr>
            <w:tcW w:type="dxa" w:w="1627"/>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Director, Senior Managing EO</w:t>
            </w:r>
          </w:p>
        </w:tc>
        <w:tc>
          <w:tcPr>
            <w:tcW w:type="dxa" w:w="1540"/>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No</w:t>
            </w:r>
          </w:p>
        </w:tc>
        <w:tc>
          <w:tcPr>
            <w:tcW w:type="dxa" w:w="1806"/>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Executive Officer since 2018</w:t>
            </w:r>
          </w:p>
        </w:tc>
        <w:tc>
          <w:tcPr>
            <w:tcW w:type="dxa" w:w="2123"/>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Tokyo Tatemono since 1988; residential development</w:t>
            </w:r>
          </w:p>
        </w:tc>
        <w:tc>
          <w:tcPr>
            <w:tcW w:type="dxa" w:w="1456"/>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5"/>
                <w:szCs w:val="15"/>
              </w:rPr>
              <w:t xml:space="preserve">n/a</w:t>
            </w:r>
          </w:p>
        </w:tc>
      </w:tr>
      <w:tr>
        <w:trPr>
          <w:cantSplit/>
        </w:trPr>
        <w:tc>
          <w:tcPr>
            <w:tcW w:type="dxa" w:w="1194"/>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5"/>
                <w:szCs w:val="15"/>
              </w:rPr>
              <w:t xml:space="preserve">Kobayashi Shinjiro</w:t>
            </w:r>
          </w:p>
        </w:tc>
        <w:tc>
          <w:tcPr>
            <w:tcW w:type="dxa" w:w="1627"/>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Director, Managing EO</w:t>
            </w:r>
          </w:p>
        </w:tc>
        <w:tc>
          <w:tcPr>
            <w:tcW w:type="dxa" w:w="1540"/>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No</w:t>
            </w:r>
          </w:p>
        </w:tc>
        <w:tc>
          <w:tcPr>
            <w:tcW w:type="dxa" w:w="180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Director since at least 2023</w:t>
            </w:r>
          </w:p>
        </w:tc>
        <w:tc>
          <w:tcPr>
            <w:tcW w:type="dxa" w:w="2123"/>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n/a</w:t>
            </w:r>
          </w:p>
        </w:tc>
        <w:tc>
          <w:tcPr>
            <w:tcW w:type="dxa" w:w="145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5"/>
                <w:szCs w:val="15"/>
              </w:rPr>
              <w:t xml:space="preserve">n/a</w:t>
            </w:r>
          </w:p>
        </w:tc>
      </w:tr>
      <w:tr>
        <w:trPr>
          <w:cantSplit/>
        </w:trPr>
        <w:tc>
          <w:tcPr>
            <w:tcW w:type="dxa" w:w="1194"/>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5"/>
                <w:szCs w:val="15"/>
              </w:rPr>
              <w:t xml:space="preserve">Onji Yoshimitsu (b. 1954)</w:t>
            </w:r>
          </w:p>
        </w:tc>
        <w:tc>
          <w:tcPr>
            <w:tcW w:type="dxa" w:w="1627"/>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Outside Director</w:t>
            </w:r>
          </w:p>
        </w:tc>
        <w:tc>
          <w:tcPr>
            <w:tcW w:type="dxa" w:w="1540"/>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Yes</w:t>
            </w:r>
          </w:p>
        </w:tc>
        <w:tc>
          <w:tcPr>
            <w:tcW w:type="dxa" w:w="1806"/>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Since at least 2021</w:t>
            </w:r>
          </w:p>
        </w:tc>
        <w:tc>
          <w:tcPr>
            <w:tcW w:type="dxa" w:w="2123"/>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Daiei (1977; secretary to founder Nakauchi; head of corporate planning); RECOF (M&amp;A advisory, 1998)</w:t>
            </w:r>
          </w:p>
        </w:tc>
        <w:tc>
          <w:tcPr>
            <w:tcW w:type="dxa" w:w="1456"/>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5"/>
                <w:szCs w:val="15"/>
              </w:rPr>
              <w:t xml:space="preserve">Former director of M&amp;A Capital Partners (to 2017) (</w:t>
            </w:r>
            <w:hyperlink w:history="1" r:id="rIdoqdx3iibcf4a2-bo92qeh">
              <w:r>
                <w:rPr>
                  <w:rFonts w:ascii="Arial" w:cs="Arial" w:eastAsia="Yu Gothic" w:hAnsi="Arial"/>
                  <w:color w:val="2F6FD0"/>
                  <w:sz w:val="15"/>
                  <w:szCs w:val="15"/>
                  <w:u w:val="single"/>
                </w:rPr>
                <w:t xml:space="preserve">srdb 2021</w:t>
              </w:r>
            </w:hyperlink>
            <w:r>
              <w:rPr>
                <w:rFonts w:ascii="Arial" w:cs="Arial" w:eastAsia="Yu Gothic" w:hAnsi="Arial"/>
                <w:color w:val="1F2533"/>
                <w:sz w:val="15"/>
                <w:szCs w:val="15"/>
              </w:rPr>
              <w:t xml:space="preserve">)</w:t>
            </w:r>
          </w:p>
        </w:tc>
      </w:tr>
      <w:tr>
        <w:trPr>
          <w:cantSplit/>
        </w:trPr>
        <w:tc>
          <w:tcPr>
            <w:tcW w:type="dxa" w:w="1194"/>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5"/>
                <w:szCs w:val="15"/>
              </w:rPr>
              <w:t xml:space="preserve">Hattori Shuichi (b. 1953)</w:t>
            </w:r>
          </w:p>
        </w:tc>
        <w:tc>
          <w:tcPr>
            <w:tcW w:type="dxa" w:w="1627"/>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Outside Director</w:t>
            </w:r>
          </w:p>
        </w:tc>
        <w:tc>
          <w:tcPr>
            <w:tcW w:type="dxa" w:w="1540"/>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Yes</w:t>
            </w:r>
          </w:p>
        </w:tc>
        <w:tc>
          <w:tcPr>
            <w:tcW w:type="dxa" w:w="180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≈Mar 2019 (≈7 years)</w:t>
            </w:r>
          </w:p>
        </w:tc>
        <w:tc>
          <w:tcPr>
            <w:tcW w:type="dxa" w:w="2123"/>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Lawyer since 1984; founded Hattori Law Office (1988)</w:t>
            </w:r>
          </w:p>
        </w:tc>
        <w:tc>
          <w:tcPr>
            <w:tcW w:type="dxa" w:w="145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5"/>
                <w:szCs w:val="15"/>
              </w:rPr>
              <w:t xml:space="preserve">Hattori Sogo Law Office</w:t>
            </w:r>
          </w:p>
        </w:tc>
      </w:tr>
      <w:tr>
        <w:trPr>
          <w:cantSplit/>
        </w:trPr>
        <w:tc>
          <w:tcPr>
            <w:tcW w:type="dxa" w:w="1194"/>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5"/>
                <w:szCs w:val="15"/>
              </w:rPr>
              <w:t xml:space="preserve">Kinoshita Yumiko (b. 1961)</w:t>
            </w:r>
          </w:p>
        </w:tc>
        <w:tc>
          <w:tcPr>
            <w:tcW w:type="dxa" w:w="1627"/>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Outside Director</w:t>
            </w:r>
          </w:p>
        </w:tc>
        <w:tc>
          <w:tcPr>
            <w:tcW w:type="dxa" w:w="1540"/>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Yes</w:t>
            </w:r>
          </w:p>
        </w:tc>
        <w:tc>
          <w:tcPr>
            <w:tcW w:type="dxa" w:w="1806"/>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By Mar 2023</w:t>
            </w:r>
          </w:p>
        </w:tc>
        <w:tc>
          <w:tcPr>
            <w:tcW w:type="dxa" w:w="2123"/>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Bank of Japan (1984)</w:t>
            </w:r>
          </w:p>
        </w:tc>
        <w:tc>
          <w:tcPr>
            <w:tcW w:type="dxa" w:w="1456"/>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5"/>
                <w:szCs w:val="15"/>
              </w:rPr>
              <w:t xml:space="preserve">n/a</w:t>
            </w:r>
          </w:p>
        </w:tc>
      </w:tr>
      <w:tr>
        <w:trPr>
          <w:cantSplit/>
        </w:trPr>
        <w:tc>
          <w:tcPr>
            <w:tcW w:type="dxa" w:w="1194"/>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5"/>
                <w:szCs w:val="15"/>
              </w:rPr>
              <w:t xml:space="preserve">Nishizawa Junichi (b. 1956)</w:t>
            </w:r>
          </w:p>
        </w:tc>
        <w:tc>
          <w:tcPr>
            <w:tcW w:type="dxa" w:w="1627"/>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Outside Director</w:t>
            </w:r>
          </w:p>
        </w:tc>
        <w:tc>
          <w:tcPr>
            <w:tcW w:type="dxa" w:w="1540"/>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Yes (company designation; former Mizuho)</w:t>
            </w:r>
          </w:p>
        </w:tc>
        <w:tc>
          <w:tcPr>
            <w:tcW w:type="dxa" w:w="180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Joined ≈Mar 2025 (inferred)</w:t>
            </w:r>
          </w:p>
        </w:tc>
        <w:tc>
          <w:tcPr>
            <w:tcW w:type="dxa" w:w="2123"/>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Fuji Bank (1980); Mizuho FG Director and Deputy President (2011); President, Mizuho Information &amp; Research Institute (2013)</w:t>
            </w:r>
          </w:p>
        </w:tc>
        <w:tc>
          <w:tcPr>
            <w:tcW w:type="dxa" w:w="145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5"/>
                <w:szCs w:val="15"/>
              </w:rPr>
              <w:t xml:space="preserve">Outside director of azbil from Jun 2026 (</w:t>
            </w:r>
            <w:hyperlink w:history="1" r:id="rIduex5xvt-ebpxy53pzp51a">
              <w:r>
                <w:rPr>
                  <w:rFonts w:ascii="Arial" w:cs="Arial" w:eastAsia="Yu Gothic" w:hAnsi="Arial"/>
                  <w:color w:val="2F6FD0"/>
                  <w:sz w:val="15"/>
                  <w:szCs w:val="15"/>
                  <w:u w:val="single"/>
                </w:rPr>
                <w:t xml:space="preserve">donburi</w:t>
              </w:r>
            </w:hyperlink>
            <w:r>
              <w:rPr>
                <w:rFonts w:ascii="Arial" w:cs="Arial" w:eastAsia="Yu Gothic" w:hAnsi="Arial"/>
                <w:color w:val="1F2533"/>
                <w:sz w:val="15"/>
                <w:szCs w:val="15"/>
              </w:rPr>
              <w:t xml:space="preserve">)</w:t>
            </w:r>
          </w:p>
        </w:tc>
      </w:tr>
      <w:tr>
        <w:trPr>
          <w:cantSplit/>
        </w:trPr>
        <w:tc>
          <w:tcPr>
            <w:tcW w:type="dxa" w:w="1194"/>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5"/>
                <w:szCs w:val="15"/>
              </w:rPr>
              <w:t xml:space="preserve">Tauchi Naoko (b. 1965)</w:t>
            </w:r>
          </w:p>
        </w:tc>
        <w:tc>
          <w:tcPr>
            <w:tcW w:type="dxa" w:w="1627"/>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Outside Director</w:t>
            </w:r>
          </w:p>
        </w:tc>
        <w:tc>
          <w:tcPr>
            <w:tcW w:type="dxa" w:w="1540"/>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Yes</w:t>
            </w:r>
          </w:p>
        </w:tc>
        <w:tc>
          <w:tcPr>
            <w:tcW w:type="dxa" w:w="1806"/>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Joined ≈Mar 2025 (inferred)</w:t>
            </w:r>
          </w:p>
        </w:tc>
        <w:tc>
          <w:tcPr>
            <w:tcW w:type="dxa" w:w="2123"/>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Ajinomoto (1989); McKinsey &amp; Co. (1999)</w:t>
            </w:r>
          </w:p>
        </w:tc>
        <w:tc>
          <w:tcPr>
            <w:tcW w:type="dxa" w:w="1456"/>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5"/>
                <w:szCs w:val="15"/>
              </w:rPr>
              <w:t xml:space="preserve">Outside director of Sapporo Holdings</w:t>
            </w:r>
          </w:p>
        </w:tc>
      </w:tr>
      <w:tr>
        <w:trPr>
          <w:cantSplit/>
        </w:trPr>
        <w:tc>
          <w:tcPr>
            <w:tcW w:type="dxa" w:w="1194"/>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5"/>
                <w:szCs w:val="15"/>
              </w:rPr>
              <w:t xml:space="preserve">Yoshino Takashi</w:t>
            </w:r>
          </w:p>
        </w:tc>
        <w:tc>
          <w:tcPr>
            <w:tcW w:type="dxa" w:w="1627"/>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Full-time Audit &amp; Supervisory Board member</w:t>
            </w:r>
          </w:p>
        </w:tc>
        <w:tc>
          <w:tcPr>
            <w:tcW w:type="dxa" w:w="1540"/>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No</w:t>
            </w:r>
          </w:p>
        </w:tc>
        <w:tc>
          <w:tcPr>
            <w:tcW w:type="dxa" w:w="180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26 Mar 2026 (new)</w:t>
            </w:r>
          </w:p>
        </w:tc>
        <w:tc>
          <w:tcPr>
            <w:tcW w:type="dxa" w:w="2123"/>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n/a</w:t>
            </w:r>
          </w:p>
        </w:tc>
        <w:tc>
          <w:tcPr>
            <w:tcW w:type="dxa" w:w="145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5"/>
                <w:szCs w:val="15"/>
              </w:rPr>
              <w:t xml:space="preserve">n/a</w:t>
            </w:r>
          </w:p>
        </w:tc>
      </w:tr>
      <w:tr>
        <w:trPr>
          <w:cantSplit/>
        </w:trPr>
        <w:tc>
          <w:tcPr>
            <w:tcW w:type="dxa" w:w="1194"/>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5"/>
                <w:szCs w:val="15"/>
              </w:rPr>
              <w:t xml:space="preserve">(name not retrieved)</w:t>
            </w:r>
          </w:p>
        </w:tc>
        <w:tc>
          <w:tcPr>
            <w:tcW w:type="dxa" w:w="1627"/>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Full-time Audit &amp; Supervisory Board member</w:t>
            </w:r>
          </w:p>
        </w:tc>
        <w:tc>
          <w:tcPr>
            <w:tcW w:type="dxa" w:w="1540"/>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No</w:t>
            </w:r>
          </w:p>
        </w:tc>
        <w:tc>
          <w:tcPr>
            <w:tcW w:type="dxa" w:w="1806"/>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n/a</w:t>
            </w:r>
          </w:p>
        </w:tc>
        <w:tc>
          <w:tcPr>
            <w:tcW w:type="dxa" w:w="2123"/>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n/a</w:t>
            </w:r>
          </w:p>
        </w:tc>
        <w:tc>
          <w:tcPr>
            <w:tcW w:type="dxa" w:w="1456"/>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5"/>
                <w:szCs w:val="15"/>
              </w:rPr>
              <w:t xml:space="preserve">n/a</w:t>
            </w:r>
          </w:p>
        </w:tc>
      </w:tr>
      <w:tr>
        <w:trPr>
          <w:cantSplit/>
        </w:trPr>
        <w:tc>
          <w:tcPr>
            <w:tcW w:type="dxa" w:w="1194"/>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5"/>
                <w:szCs w:val="15"/>
              </w:rPr>
              <w:t xml:space="preserve">Hieda Sayaka</w:t>
            </w:r>
          </w:p>
        </w:tc>
        <w:tc>
          <w:tcPr>
            <w:tcW w:type="dxa" w:w="1627"/>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Outside Audit &amp; Supervisory Board member</w:t>
            </w:r>
          </w:p>
        </w:tc>
        <w:tc>
          <w:tcPr>
            <w:tcW w:type="dxa" w:w="1540"/>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Likely</w:t>
            </w:r>
          </w:p>
        </w:tc>
        <w:tc>
          <w:tcPr>
            <w:tcW w:type="dxa" w:w="180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n/a</w:t>
            </w:r>
          </w:p>
        </w:tc>
        <w:tc>
          <w:tcPr>
            <w:tcW w:type="dxa" w:w="2123"/>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Lawyer</w:t>
            </w:r>
          </w:p>
        </w:tc>
        <w:tc>
          <w:tcPr>
            <w:tcW w:type="dxa" w:w="145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5"/>
                <w:szCs w:val="15"/>
              </w:rPr>
              <w:t xml:space="preserve">n/a</w:t>
            </w:r>
          </w:p>
        </w:tc>
      </w:tr>
      <w:tr>
        <w:trPr>
          <w:cantSplit/>
        </w:trPr>
        <w:tc>
          <w:tcPr>
            <w:tcW w:type="dxa" w:w="1194"/>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5"/>
                <w:szCs w:val="15"/>
              </w:rPr>
              <w:t xml:space="preserve">Chikada Naohiro</w:t>
            </w:r>
          </w:p>
        </w:tc>
        <w:tc>
          <w:tcPr>
            <w:tcW w:type="dxa" w:w="1627"/>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Outside Audit &amp; Supervisory Board member</w:t>
            </w:r>
          </w:p>
        </w:tc>
        <w:tc>
          <w:tcPr>
            <w:tcW w:type="dxa" w:w="1540"/>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Likely</w:t>
            </w:r>
          </w:p>
        </w:tc>
        <w:tc>
          <w:tcPr>
            <w:tcW w:type="dxa" w:w="1806"/>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n/a</w:t>
            </w:r>
          </w:p>
        </w:tc>
        <w:tc>
          <w:tcPr>
            <w:tcW w:type="dxa" w:w="2123"/>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n/a</w:t>
            </w:r>
          </w:p>
        </w:tc>
        <w:tc>
          <w:tcPr>
            <w:tcW w:type="dxa" w:w="1456"/>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5"/>
                <w:szCs w:val="15"/>
              </w:rPr>
              <w:t xml:space="preserve">n/a</w:t>
            </w:r>
          </w:p>
        </w:tc>
      </w:tr>
    </w:tbl>
    <w:p>
      <w:pPr>
        <w:spacing w:after="120" w:before="0" w:line="276" w:lineRule="auto"/>
      </w:pPr>
    </w:p>
    <w:p>
      <w:pPr>
        <w:spacing w:after="110" w:before="0" w:line="276" w:lineRule="auto"/>
      </w:pPr>
      <w:r>
        <w:rPr>
          <w:rFonts w:ascii="Arial" w:cs="Arial" w:eastAsia="Yu Gothic" w:hAnsi="Arial"/>
          <w:color w:val="1F2533"/>
          <w:sz w:val="19"/>
          <w:szCs w:val="19"/>
        </w:rPr>
        <w:t xml:space="preserve">Sources: </w:t>
      </w:r>
      <w:hyperlink w:history="1" r:id="rIdoinp5hm9btimkjnoswtt2">
        <w:r>
          <w:rPr>
            <w:rFonts w:ascii="Arial" w:cs="Arial" w:eastAsia="Yu Gothic" w:hAnsi="Arial"/>
            <w:color w:val="2F6FD0"/>
            <w:sz w:val="19"/>
            <w:szCs w:val="19"/>
            <w:u w:val="single"/>
          </w:rPr>
          <w:t xml:space="preserve">208th AGM convocation notice</w:t>
        </w:r>
      </w:hyperlink>
      <w:r>
        <w:rPr>
          <w:rFonts w:ascii="Arial" w:cs="Arial" w:eastAsia="Yu Gothic" w:hAnsi="Arial"/>
          <w:color w:val="1F2533"/>
          <w:sz w:val="19"/>
          <w:szCs w:val="19"/>
        </w:rPr>
        <w:t xml:space="preserve">; </w:t>
      </w:r>
      <w:hyperlink w:history="1" r:id="rIdy4gpffurrazy-q6uvhb4o">
        <w:r>
          <w:rPr>
            <w:rFonts w:ascii="Arial" w:cs="Arial" w:eastAsia="Yu Gothic" w:hAnsi="Arial"/>
            <w:color w:val="2F6FD0"/>
            <w:sz w:val="19"/>
            <w:szCs w:val="19"/>
            <w:u w:val="single"/>
          </w:rPr>
          <w:t xml:space="preserve">srdb</w:t>
        </w:r>
      </w:hyperlink>
      <w:r>
        <w:rPr>
          <w:rFonts w:ascii="Arial" w:cs="Arial" w:eastAsia="Yu Gothic" w:hAnsi="Arial"/>
          <w:color w:val="1F2533"/>
          <w:sz w:val="19"/>
          <w:szCs w:val="19"/>
        </w:rPr>
        <w:t xml:space="preserve">; </w:t>
      </w:r>
      <w:hyperlink w:history="1" r:id="rIdtid4fksvkgustewsv33ib">
        <w:r>
          <w:rPr>
            <w:rFonts w:ascii="Arial" w:cs="Arial" w:eastAsia="Yu Gothic" w:hAnsi="Arial"/>
            <w:color w:val="2F6FD0"/>
            <w:sz w:val="19"/>
            <w:szCs w:val="19"/>
            <w:u w:val="single"/>
          </w:rPr>
          <w:t xml:space="preserve">j-lic</w:t>
        </w:r>
      </w:hyperlink>
      <w:r>
        <w:rPr>
          <w:rFonts w:ascii="Arial" w:cs="Arial" w:eastAsia="Yu Gothic" w:hAnsi="Arial"/>
          <w:color w:val="1F2533"/>
          <w:sz w:val="19"/>
          <w:szCs w:val="19"/>
        </w:rPr>
        <w:t xml:space="preserve">; </w:t>
      </w:r>
      <w:hyperlink w:history="1" r:id="rIdadqeltv7ewwskvtubkjst">
        <w:r>
          <w:rPr>
            <w:rFonts w:ascii="Arial" w:cs="Arial" w:eastAsia="Yu Gothic" w:hAnsi="Arial"/>
            <w:color w:val="2F6FD0"/>
            <w:sz w:val="19"/>
            <w:szCs w:val="19"/>
            <w:u w:val="single"/>
          </w:rPr>
          <w:t xml:space="preserve">Integrated Report 2026, p.70</w:t>
        </w:r>
      </w:hyperlink>
      <w:r>
        <w:rPr>
          <w:rFonts w:ascii="Arial" w:cs="Arial" w:eastAsia="Yu Gothic" w:hAnsi="Arial"/>
          <w:color w:val="1F2533"/>
          <w:sz w:val="19"/>
          <w:szCs w:val="19"/>
        </w:rPr>
        <w:t xml:space="preserve">. Readings of some names are unconfirmed.</w:t>
      </w:r>
    </w:p>
    <w:p>
      <w:pPr>
        <w:pStyle w:val="Heading2"/>
        <w:keepNext/>
        <w:keepLines/>
        <w:spacing w:after="90" w:before="260" w:line="252" w:lineRule="auto"/>
      </w:pPr>
      <w:r>
        <w:rPr>
          <w:rFonts w:ascii="Arial" w:cs="Arial" w:eastAsia="Yu Gothic" w:hAnsi="Arial"/>
          <w:b/>
          <w:bCs/>
          <w:color w:val="15233F"/>
          <w:sz w:val="25"/>
          <w:szCs w:val="25"/>
        </w:rPr>
        <w:t xml:space="preserve">Composition</w:t>
      </w:r>
    </w:p>
    <w:p>
      <w:pPr>
        <w:pStyle w:val="ListParagraph"/>
        <w:numPr>
          <w:ilvl w:val="0"/>
          <w:numId w:val="2"/>
        </w:numPr>
        <w:spacing w:after="60" w:line="264" w:lineRule="auto"/>
      </w:pPr>
      <w:r>
        <w:rPr>
          <w:rFonts w:ascii="Arial" w:cs="Arial" w:eastAsia="Yu Gothic" w:hAnsi="Arial"/>
          <w:b/>
          <w:bCs/>
          <w:color w:val="1F2533"/>
          <w:sz w:val="19"/>
          <w:szCs w:val="19"/>
        </w:rPr>
        <w:t xml:space="preserve">Independence:</w:t>
      </w:r>
      <w:r>
        <w:rPr>
          <w:rFonts w:ascii="Arial" w:cs="Arial" w:eastAsia="Yu Gothic" w:hAnsi="Arial"/>
          <w:color w:val="1F2533"/>
          <w:sz w:val="19"/>
          <w:szCs w:val="19"/>
        </w:rPr>
        <w:t xml:space="preserve"> 5 of 12 directors (41.7%). That meets the TSE Prime one-third guideline but is not a majority. If Nishizawa is treated as affiliated because Mizuho is a main lender, "true" independence falls to 4 of 12 (33%).</w:t>
      </w:r>
    </w:p>
    <w:p>
      <w:pPr>
        <w:pStyle w:val="ListParagraph"/>
        <w:numPr>
          <w:ilvl w:val="0"/>
          <w:numId w:val="2"/>
        </w:numPr>
        <w:spacing w:after="60" w:line="264" w:lineRule="auto"/>
      </w:pPr>
      <w:r>
        <w:rPr>
          <w:rFonts w:ascii="Arial" w:cs="Arial" w:eastAsia="Yu Gothic" w:hAnsi="Arial"/>
          <w:b/>
          <w:bCs/>
          <w:color w:val="1F2533"/>
          <w:sz w:val="19"/>
          <w:szCs w:val="19"/>
        </w:rPr>
        <w:t xml:space="preserve">Women:</w:t>
      </w:r>
      <w:r>
        <w:rPr>
          <w:rFonts w:ascii="Arial" w:cs="Arial" w:eastAsia="Yu Gothic" w:hAnsi="Arial"/>
          <w:color w:val="1F2533"/>
          <w:sz w:val="19"/>
          <w:szCs w:val="19"/>
        </w:rPr>
        <w:t xml:space="preserve"> 2 of 12 (16.7%).</w:t>
      </w:r>
    </w:p>
    <w:p>
      <w:pPr>
        <w:pStyle w:val="ListParagraph"/>
        <w:numPr>
          <w:ilvl w:val="0"/>
          <w:numId w:val="2"/>
        </w:numPr>
        <w:spacing w:after="60" w:line="264" w:lineRule="auto"/>
      </w:pPr>
      <w:r>
        <w:rPr>
          <w:rFonts w:ascii="Arial" w:cs="Arial" w:eastAsia="Yu Gothic" w:hAnsi="Arial"/>
          <w:b/>
          <w:bCs/>
          <w:color w:val="1F2533"/>
          <w:sz w:val="19"/>
          <w:szCs w:val="19"/>
        </w:rPr>
        <w:t xml:space="preserve">Chair:</w:t>
      </w:r>
      <w:r>
        <w:rPr>
          <w:rFonts w:ascii="Arial" w:cs="Arial" w:eastAsia="Yu Gothic" w:hAnsi="Arial"/>
          <w:color w:val="1F2533"/>
          <w:sz w:val="19"/>
          <w:szCs w:val="19"/>
        </w:rPr>
        <w:t xml:space="preserve"> not independent.</w:t>
      </w:r>
    </w:p>
    <w:p>
      <w:pPr>
        <w:pStyle w:val="ListParagraph"/>
        <w:numPr>
          <w:ilvl w:val="0"/>
          <w:numId w:val="2"/>
        </w:numPr>
        <w:spacing w:after="60" w:line="264" w:lineRule="auto"/>
      </w:pPr>
      <w:r>
        <w:rPr>
          <w:rFonts w:ascii="Arial" w:cs="Arial" w:eastAsia="Yu Gothic" w:hAnsi="Arial"/>
          <w:b/>
          <w:bCs/>
          <w:color w:val="1F2533"/>
          <w:sz w:val="19"/>
          <w:szCs w:val="19"/>
        </w:rPr>
        <w:t xml:space="preserve">Age:</w:t>
      </w:r>
      <w:r>
        <w:rPr>
          <w:rFonts w:ascii="Arial" w:cs="Arial" w:eastAsia="Yu Gothic" w:hAnsi="Arial"/>
          <w:color w:val="1F2533"/>
          <w:sz w:val="19"/>
          <w:szCs w:val="19"/>
        </w:rPr>
        <w:t xml:space="preserve"> outside directors average about 68.</w:t>
      </w:r>
    </w:p>
    <w:p>
      <w:pPr>
        <w:pStyle w:val="ListParagraph"/>
        <w:numPr>
          <w:ilvl w:val="0"/>
          <w:numId w:val="2"/>
        </w:numPr>
        <w:spacing w:after="60" w:line="264" w:lineRule="auto"/>
      </w:pPr>
      <w:r>
        <w:rPr>
          <w:rFonts w:ascii="Arial" w:cs="Arial" w:eastAsia="Yu Gothic" w:hAnsi="Arial"/>
          <w:b/>
          <w:bCs/>
          <w:color w:val="1F2533"/>
          <w:sz w:val="19"/>
          <w:szCs w:val="19"/>
        </w:rPr>
        <w:t xml:space="preserve">Structure:</w:t>
      </w:r>
      <w:r>
        <w:rPr>
          <w:rFonts w:ascii="Arial" w:cs="Arial" w:eastAsia="Yu Gothic" w:hAnsi="Arial"/>
          <w:color w:val="1F2533"/>
          <w:sz w:val="19"/>
          <w:szCs w:val="19"/>
        </w:rPr>
        <w:t xml:space="preserve"> the company has an Audit &amp; Supervisory Board (4 members, 2 from outside) and a Nomination &amp; Compensation Advisory Committee, whose composition was not retrieved.</w:t>
      </w:r>
    </w:p>
    <w:p>
      <w:pPr>
        <w:pStyle w:val="ListParagraph"/>
        <w:numPr>
          <w:ilvl w:val="0"/>
          <w:numId w:val="2"/>
        </w:numPr>
        <w:spacing w:after="60" w:line="264" w:lineRule="auto"/>
      </w:pPr>
      <w:r>
        <w:rPr>
          <w:rFonts w:ascii="Arial" w:cs="Arial" w:eastAsia="Yu Gothic" w:hAnsi="Arial"/>
          <w:b/>
          <w:bCs/>
          <w:color w:val="1F2533"/>
          <w:sz w:val="19"/>
          <w:szCs w:val="19"/>
        </w:rPr>
        <w:t xml:space="preserve">Voting:</w:t>
      </w:r>
      <w:r>
        <w:rPr>
          <w:rFonts w:ascii="Arial" w:cs="Arial" w:eastAsia="Yu Gothic" w:hAnsi="Arial"/>
          <w:color w:val="1F2533"/>
          <w:sz w:val="19"/>
          <w:szCs w:val="19"/>
        </w:rPr>
        <w:t xml:space="preserve"> support of about 93.0% for Nomura and 93.8% for Ozawa has been reported. That is below the 95%+ typical of uncontroversial large caps but well above the 80% concern level. The AGM year of these figures is uncertain.</w:t>
      </w:r>
    </w:p>
    <w:p>
      <w:pPr>
        <w:spacing w:after="40" w:before="0" w:line="276" w:lineRule="auto"/>
      </w:pPr>
    </w:p>
    <w:p>
      <w:pPr>
        <w:pStyle w:val="Heading2"/>
        <w:keepNext/>
        <w:keepLines/>
        <w:spacing w:after="90" w:before="260" w:line="252" w:lineRule="auto"/>
      </w:pPr>
      <w:r>
        <w:rPr>
          <w:rFonts w:ascii="Arial" w:cs="Arial" w:eastAsia="Yu Gothic" w:hAnsi="Arial"/>
          <w:b/>
          <w:bCs/>
          <w:color w:val="15233F"/>
          <w:sz w:val="25"/>
          <w:szCs w:val="25"/>
        </w:rPr>
        <w:t xml:space="preserve">Board changes, 2021–2026</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23"/>
        <w:gridCol w:w="7923"/>
      </w:tblGrid>
      <w:tr>
        <w:trPr>
          <w:cantSplit/>
          <w:tblHeader/>
        </w:trPr>
        <w:tc>
          <w:tcPr>
            <w:tcW w:type="dxa" w:w="1823"/>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bCs/>
                <w:color w:val="FFFFFF"/>
                <w:sz w:val="16"/>
                <w:szCs w:val="16"/>
              </w:rPr>
              <w:t xml:space="preserve">Date</w:t>
            </w:r>
          </w:p>
        </w:tc>
        <w:tc>
          <w:tcPr>
            <w:tcW w:type="dxa" w:w="7923"/>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6"/>
                <w:szCs w:val="16"/>
              </w:rPr>
              <w:t xml:space="preserve">Change</w:t>
            </w:r>
          </w:p>
        </w:tc>
      </w:tr>
      <w:tr>
        <w:trPr>
          <w:cantSplit/>
        </w:trPr>
        <w:tc>
          <w:tcPr>
            <w:tcW w:type="dxa" w:w="1823"/>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Mar 2021 (203rd AGM)</w:t>
            </w:r>
          </w:p>
        </w:tc>
        <w:tc>
          <w:tcPr>
            <w:tcW w:type="dxa" w:w="7923"/>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12 directors elected, including Tanehashi and Nomura; Hattori re-elected</w:t>
            </w:r>
          </w:p>
        </w:tc>
      </w:tr>
      <w:tr>
        <w:trPr>
          <w:cantSplit/>
        </w:trPr>
        <w:tc>
          <w:tcPr>
            <w:tcW w:type="dxa" w:w="1823"/>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Mar 2023 (205th AGM)</w:t>
            </w:r>
          </w:p>
        </w:tc>
        <w:tc>
          <w:tcPr>
            <w:tcW w:type="dxa" w:w="7923"/>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12 directors elected: Tanehashi, Nomura, Ozawa, Izumi, Akita, Jinbo, Kobayashi, Tajima Fumio, Hattori, Onji, </w:t>
            </w:r>
            <w:r>
              <w:rPr>
                <w:rFonts w:ascii="Arial" w:cs="Arial" w:eastAsia="Yu Gothic" w:hAnsi="Arial"/>
                <w:b/>
                <w:bCs/>
                <w:color w:val="1F2533"/>
                <w:sz w:val="16"/>
                <w:szCs w:val="16"/>
              </w:rPr>
              <w:t xml:space="preserve">Nakano Takeo</w:t>
            </w:r>
            <w:r>
              <w:rPr>
                <w:rFonts w:ascii="Arial" w:cs="Arial" w:eastAsia="Yu Gothic" w:hAnsi="Arial"/>
                <w:color w:val="1F2533"/>
                <w:sz w:val="16"/>
                <w:szCs w:val="16"/>
              </w:rPr>
              <w:t xml:space="preserve"> and Kinoshita (EDINET S100QJ5Q)</w:t>
            </w:r>
          </w:p>
        </w:tc>
      </w:tr>
      <w:tr>
        <w:trPr>
          <w:cantSplit/>
        </w:trPr>
        <w:tc>
          <w:tcPr>
            <w:tcW w:type="dxa" w:w="1823"/>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Mar 2024 (206th AGM)</w:t>
            </w:r>
          </w:p>
        </w:tc>
        <w:tc>
          <w:tcPr>
            <w:tcW w:type="dxa" w:w="7923"/>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No director election (two-year terms); 3 Audit &amp; Supervisory Board members plus 1 substitute elected</w:t>
            </w:r>
          </w:p>
        </w:tc>
      </w:tr>
      <w:tr>
        <w:trPr>
          <w:cantSplit/>
        </w:trPr>
        <w:tc>
          <w:tcPr>
            <w:tcW w:type="dxa" w:w="1823"/>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1 Jan 2025</w:t>
            </w:r>
          </w:p>
        </w:tc>
        <w:tc>
          <w:tcPr>
            <w:tcW w:type="dxa" w:w="7923"/>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Leadership roles reshuffled (CEO succession)</w:t>
            </w:r>
          </w:p>
        </w:tc>
      </w:tr>
      <w:tr>
        <w:trPr>
          <w:cantSplit/>
        </w:trPr>
        <w:tc>
          <w:tcPr>
            <w:tcW w:type="dxa" w:w="1823"/>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Mar 2025 (207th AGM)</w:t>
            </w:r>
          </w:p>
        </w:tc>
        <w:tc>
          <w:tcPr>
            <w:tcW w:type="dxa" w:w="7923"/>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12 directors elected; </w:t>
            </w:r>
            <w:r>
              <w:rPr>
                <w:rFonts w:ascii="Arial" w:cs="Arial" w:eastAsia="Yu Gothic" w:hAnsi="Arial"/>
                <w:b/>
                <w:bCs/>
                <w:color w:val="1F2533"/>
                <w:sz w:val="16"/>
                <w:szCs w:val="16"/>
              </w:rPr>
              <w:t xml:space="preserve">terms shortened to one year</w:t>
            </w:r>
            <w:r>
              <w:rPr>
                <w:rFonts w:ascii="Arial" w:cs="Arial" w:eastAsia="Yu Gothic" w:hAnsi="Arial"/>
                <w:color w:val="1F2533"/>
                <w:sz w:val="16"/>
                <w:szCs w:val="16"/>
              </w:rPr>
              <w:t xml:space="preserve"> (</w:t>
            </w:r>
            <w:hyperlink w:history="1" r:id="rIdyfvw1xmb17eql8nqnbtnz">
              <w:r>
                <w:rPr>
                  <w:rFonts w:ascii="Arial" w:cs="Arial" w:eastAsia="Yu Gothic" w:hAnsi="Arial"/>
                  <w:color w:val="2F6FD0"/>
                  <w:sz w:val="16"/>
                  <w:szCs w:val="16"/>
                  <w:u w:val="single"/>
                </w:rPr>
                <w:t xml:space="preserve">EDINET S100VIBB</w:t>
              </w:r>
            </w:hyperlink>
            <w:r>
              <w:rPr>
                <w:rFonts w:ascii="Arial" w:cs="Arial" w:eastAsia="Yu Gothic" w:hAnsi="Arial"/>
                <w:color w:val="1F2533"/>
                <w:sz w:val="16"/>
                <w:szCs w:val="16"/>
              </w:rPr>
              <w:t xml:space="preserve">). Inferred from the 2023 and 2026 slates: Nakano Takeo and Tajima Fumio left the board; </w:t>
            </w:r>
            <w:r>
              <w:rPr>
                <w:rFonts w:ascii="Arial" w:cs="Arial" w:eastAsia="Yu Gothic" w:hAnsi="Arial"/>
                <w:b/>
                <w:bCs/>
                <w:color w:val="1F2533"/>
                <w:sz w:val="16"/>
                <w:szCs w:val="16"/>
              </w:rPr>
              <w:t xml:space="preserve">Nishizawa Junichi and Tauchi Naoko joined</w:t>
            </w:r>
          </w:p>
        </w:tc>
      </w:tr>
      <w:tr>
        <w:trPr>
          <w:cantSplit/>
        </w:trPr>
        <w:tc>
          <w:tcPr>
            <w:tcW w:type="dxa" w:w="1823"/>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Mar 2026 (208th AGM)</w:t>
            </w:r>
          </w:p>
        </w:tc>
        <w:tc>
          <w:tcPr>
            <w:tcW w:type="dxa" w:w="7923"/>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All 12 directors re-elected; no joiners or leavers; Yoshino Takashi became a full-time Audit &amp; Supervisory Board member</w:t>
            </w:r>
          </w:p>
        </w:tc>
      </w:tr>
    </w:tbl>
    <w:p>
      <w:pPr>
        <w:spacing w:after="120" w:before="0" w:line="276" w:lineRule="auto"/>
      </w:pPr>
    </w:p>
    <w:p>
      <w:pPr>
        <w:pBdr>
          <w:left w:val="single" w:color="2F6FD0" w:sz="24" w:space="8"/>
        </w:pBdr>
        <w:shd w:fill="EEF3FA" w:color="auto" w:val="clear"/>
        <w:spacing w:after="160" w:before="60" w:line="264" w:lineRule="auto"/>
        <w:ind w:left="200" w:right="200"/>
      </w:pPr>
      <w:r>
        <w:rPr>
          <w:rFonts w:ascii="Arial" w:cs="Arial" w:eastAsia="Yu Gothic" w:hAnsi="Arial"/>
          <w:b/>
          <w:bCs/>
          <w:color w:val="15233F"/>
          <w:sz w:val="18"/>
          <w:szCs w:val="18"/>
        </w:rPr>
        <w:t xml:space="preserve">Key takeaway:</w:t>
      </w:r>
      <w:r>
        <w:rPr>
          <w:rFonts w:ascii="Arial" w:cs="Arial" w:eastAsia="Yu Gothic" w:hAnsi="Arial"/>
          <w:color w:val="15233F"/>
          <w:sz w:val="18"/>
          <w:szCs w:val="18"/>
        </w:rPr>
        <w:t xml:space="preserve"> The board is compliant but not shareholder-led. It has a non-independent ex-banker chair, five independent directors (one a former Mizuho executive) and three representative directors. The move to one-year terms (2025) is the main investor-friendly change of the period.</w:t>
      </w:r>
    </w:p>
    <w:p>
      <w:pPr>
        <w:pStyle w:val="Heading1"/>
        <w:keepNext/>
        <w:keepLines/>
        <w:pageBreakBefore/>
        <w:pBdr>
          <w:bottom w:val="single" w:color="2F6FD0" w:sz="12" w:space="6"/>
        </w:pBdr>
        <w:spacing w:after="160" w:before="0" w:line="252" w:lineRule="auto"/>
      </w:pPr>
      <w:r>
        <w:rPr>
          <w:rFonts w:ascii="Arial" w:cs="Arial" w:eastAsia="Yu Gothic" w:hAnsi="Arial"/>
          <w:b/>
          <w:bCs/>
          <w:color w:val="15233F"/>
          <w:sz w:val="32"/>
          <w:szCs w:val="32"/>
        </w:rPr>
        <w:t xml:space="preserve">14. Shareholders, activism and short interest: a passive register with no blocking holder</w:t>
      </w:r>
    </w:p>
    <w:p>
      <w:pPr>
        <w:pStyle w:val="Heading2"/>
        <w:keepNext/>
        <w:keepLines/>
        <w:spacing w:after="90" w:before="260" w:line="252" w:lineRule="auto"/>
      </w:pPr>
      <w:r>
        <w:rPr>
          <w:rFonts w:ascii="Arial" w:cs="Arial" w:eastAsia="Yu Gothic" w:hAnsi="Arial"/>
          <w:b/>
          <w:bCs/>
          <w:color w:val="15233F"/>
          <w:sz w:val="25"/>
          <w:szCs w:val="25"/>
        </w:rPr>
        <w:t xml:space="preserve">Top 10 shareholders (30 June 2026)</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59"/>
        <w:gridCol w:w="3729"/>
        <w:gridCol w:w="642"/>
        <w:gridCol w:w="4616"/>
      </w:tblGrid>
      <w:tr>
        <w:trPr>
          <w:cantSplit/>
          <w:tblHeader/>
        </w:trPr>
        <w:tc>
          <w:tcPr>
            <w:tcW w:type="dxa" w:w="759"/>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bCs/>
                <w:color w:val="FFFFFF"/>
                <w:sz w:val="16"/>
                <w:szCs w:val="16"/>
              </w:rPr>
              <w:t xml:space="preserve">Rank</w:t>
            </w:r>
          </w:p>
        </w:tc>
        <w:tc>
          <w:tcPr>
            <w:tcW w:type="dxa" w:w="3729"/>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6"/>
                <w:szCs w:val="16"/>
              </w:rPr>
              <w:t xml:space="preserve">Shareholder</w:t>
            </w:r>
          </w:p>
        </w:tc>
        <w:tc>
          <w:tcPr>
            <w:tcW w:type="dxa" w:w="642"/>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6"/>
                <w:szCs w:val="16"/>
              </w:rPr>
              <w:t xml:space="preserve">%</w:t>
            </w:r>
          </w:p>
        </w:tc>
        <w:tc>
          <w:tcPr>
            <w:tcW w:type="dxa" w:w="4616"/>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6"/>
                <w:szCs w:val="16"/>
              </w:rPr>
              <w:t xml:space="preserve">Type</w:t>
            </w:r>
          </w:p>
        </w:tc>
      </w:tr>
      <w:tr>
        <w:trPr>
          <w:cantSplit/>
        </w:trPr>
        <w:tc>
          <w:tcPr>
            <w:tcW w:type="dxa" w:w="759"/>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1</w:t>
            </w:r>
          </w:p>
        </w:tc>
        <w:tc>
          <w:tcPr>
            <w:tcW w:type="dxa" w:w="3729"/>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The Master Trust Bank of Japan (trust account)</w:t>
            </w:r>
          </w:p>
        </w:tc>
        <w:tc>
          <w:tcPr>
            <w:tcW w:type="dxa" w:w="642"/>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6"/>
                <w:szCs w:val="16"/>
              </w:rPr>
              <w:t xml:space="preserve">18.02</w:t>
            </w:r>
          </w:p>
        </w:tc>
        <w:tc>
          <w:tcPr>
            <w:tcW w:type="dxa" w:w="461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Domestic trust-bank custody (index, pension and investment trusts)</w:t>
            </w:r>
          </w:p>
        </w:tc>
      </w:tr>
      <w:tr>
        <w:trPr>
          <w:cantSplit/>
        </w:trPr>
        <w:tc>
          <w:tcPr>
            <w:tcW w:type="dxa" w:w="759"/>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2</w:t>
            </w:r>
          </w:p>
        </w:tc>
        <w:tc>
          <w:tcPr>
            <w:tcW w:type="dxa" w:w="3729"/>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Custody Bank of Japan (trust account)</w:t>
            </w:r>
          </w:p>
        </w:tc>
        <w:tc>
          <w:tcPr>
            <w:tcW w:type="dxa" w:w="642"/>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6"/>
                <w:szCs w:val="16"/>
              </w:rPr>
              <w:t xml:space="preserve">12.01</w:t>
            </w:r>
          </w:p>
        </w:tc>
        <w:tc>
          <w:tcPr>
            <w:tcW w:type="dxa" w:w="4616"/>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Domestic trust-bank custody</w:t>
            </w:r>
          </w:p>
        </w:tc>
      </w:tr>
      <w:tr>
        <w:trPr>
          <w:cantSplit/>
        </w:trPr>
        <w:tc>
          <w:tcPr>
            <w:tcW w:type="dxa" w:w="759"/>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3</w:t>
            </w:r>
          </w:p>
        </w:tc>
        <w:tc>
          <w:tcPr>
            <w:tcW w:type="dxa" w:w="3729"/>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Meiji Yasuda Life Insurance</w:t>
            </w:r>
          </w:p>
        </w:tc>
        <w:tc>
          <w:tcPr>
            <w:tcW w:type="dxa" w:w="642"/>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6"/>
                <w:szCs w:val="16"/>
              </w:rPr>
              <w:t xml:space="preserve">2.27</w:t>
            </w:r>
          </w:p>
        </w:tc>
        <w:tc>
          <w:tcPr>
            <w:tcW w:type="dxa" w:w="461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Life insurer; Fuyo-group stable holder</w:t>
            </w:r>
          </w:p>
        </w:tc>
      </w:tr>
      <w:tr>
        <w:trPr>
          <w:cantSplit/>
        </w:trPr>
        <w:tc>
          <w:tcPr>
            <w:tcW w:type="dxa" w:w="759"/>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4</w:t>
            </w:r>
          </w:p>
        </w:tc>
        <w:tc>
          <w:tcPr>
            <w:tcW w:type="dxa" w:w="3729"/>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Japan Securities Finance</w:t>
            </w:r>
          </w:p>
        </w:tc>
        <w:tc>
          <w:tcPr>
            <w:tcW w:type="dxa" w:w="642"/>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6"/>
                <w:szCs w:val="16"/>
              </w:rPr>
              <w:t xml:space="preserve">2.17</w:t>
            </w:r>
          </w:p>
        </w:tc>
        <w:tc>
          <w:tcPr>
            <w:tcW w:type="dxa" w:w="4616"/>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Margin-trading and stock-lending collateral (not a short position)</w:t>
            </w:r>
          </w:p>
        </w:tc>
      </w:tr>
      <w:tr>
        <w:trPr>
          <w:cantSplit/>
        </w:trPr>
        <w:tc>
          <w:tcPr>
            <w:tcW w:type="dxa" w:w="759"/>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5</w:t>
            </w:r>
          </w:p>
        </w:tc>
        <w:tc>
          <w:tcPr>
            <w:tcW w:type="dxa" w:w="3729"/>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State Street Bank and Trust Co. 505001</w:t>
            </w:r>
          </w:p>
        </w:tc>
        <w:tc>
          <w:tcPr>
            <w:tcW w:type="dxa" w:w="642"/>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6"/>
                <w:szCs w:val="16"/>
              </w:rPr>
              <w:t xml:space="preserve">2.16</w:t>
            </w:r>
          </w:p>
        </w:tc>
        <w:tc>
          <w:tcPr>
            <w:tcW w:type="dxa" w:w="461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Foreign custodian</w:t>
            </w:r>
          </w:p>
        </w:tc>
      </w:tr>
      <w:tr>
        <w:trPr>
          <w:cantSplit/>
        </w:trPr>
        <w:tc>
          <w:tcPr>
            <w:tcW w:type="dxa" w:w="759"/>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6</w:t>
            </w:r>
          </w:p>
        </w:tc>
        <w:tc>
          <w:tcPr>
            <w:tcW w:type="dxa" w:w="3729"/>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Sompo Japan Insurance</w:t>
            </w:r>
          </w:p>
        </w:tc>
        <w:tc>
          <w:tcPr>
            <w:tcW w:type="dxa" w:w="642"/>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6"/>
                <w:szCs w:val="16"/>
              </w:rPr>
              <w:t xml:space="preserve">2.00</w:t>
            </w:r>
          </w:p>
        </w:tc>
        <w:tc>
          <w:tcPr>
            <w:tcW w:type="dxa" w:w="4616"/>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Non-life insurer; Fuyo group; </w:t>
            </w:r>
            <w:r>
              <w:rPr>
                <w:rFonts w:ascii="Arial" w:cs="Arial" w:eastAsia="Yu Gothic" w:hAnsi="Arial"/>
                <w:b/>
                <w:bCs/>
                <w:color w:val="1F2533"/>
                <w:sz w:val="16"/>
                <w:szCs w:val="16"/>
              </w:rPr>
              <w:t xml:space="preserve">cut from 2.28% at Dec 2025</w:t>
            </w:r>
          </w:p>
        </w:tc>
      </w:tr>
      <w:tr>
        <w:trPr>
          <w:cantSplit/>
        </w:trPr>
        <w:tc>
          <w:tcPr>
            <w:tcW w:type="dxa" w:w="759"/>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7</w:t>
            </w:r>
          </w:p>
        </w:tc>
        <w:tc>
          <w:tcPr>
            <w:tcW w:type="dxa" w:w="3729"/>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JPMorgan Chase Bank 380055</w:t>
            </w:r>
          </w:p>
        </w:tc>
        <w:tc>
          <w:tcPr>
            <w:tcW w:type="dxa" w:w="642"/>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6"/>
                <w:szCs w:val="16"/>
              </w:rPr>
              <w:t xml:space="preserve">1.80</w:t>
            </w:r>
          </w:p>
        </w:tc>
        <w:tc>
          <w:tcPr>
            <w:tcW w:type="dxa" w:w="461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Foreign custodian</w:t>
            </w:r>
          </w:p>
        </w:tc>
      </w:tr>
      <w:tr>
        <w:trPr>
          <w:cantSplit/>
        </w:trPr>
        <w:tc>
          <w:tcPr>
            <w:tcW w:type="dxa" w:w="759"/>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8</w:t>
            </w:r>
          </w:p>
        </w:tc>
        <w:tc>
          <w:tcPr>
            <w:tcW w:type="dxa" w:w="3729"/>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State Street Bank and Trust Co. 505301</w:t>
            </w:r>
          </w:p>
        </w:tc>
        <w:tc>
          <w:tcPr>
            <w:tcW w:type="dxa" w:w="642"/>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6"/>
                <w:szCs w:val="16"/>
              </w:rPr>
              <w:t xml:space="preserve">1.40</w:t>
            </w:r>
          </w:p>
        </w:tc>
        <w:tc>
          <w:tcPr>
            <w:tcW w:type="dxa" w:w="4616"/>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Foreign custodian</w:t>
            </w:r>
          </w:p>
        </w:tc>
      </w:tr>
      <w:tr>
        <w:trPr>
          <w:cantSplit/>
        </w:trPr>
        <w:tc>
          <w:tcPr>
            <w:tcW w:type="dxa" w:w="759"/>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9</w:t>
            </w:r>
          </w:p>
        </w:tc>
        <w:tc>
          <w:tcPr>
            <w:tcW w:type="dxa" w:w="3729"/>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JPMorgan Chase Bank 385781</w:t>
            </w:r>
          </w:p>
        </w:tc>
        <w:tc>
          <w:tcPr>
            <w:tcW w:type="dxa" w:w="642"/>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6"/>
                <w:szCs w:val="16"/>
              </w:rPr>
              <w:t xml:space="preserve">1.36</w:t>
            </w:r>
          </w:p>
        </w:tc>
        <w:tc>
          <w:tcPr>
            <w:tcW w:type="dxa" w:w="461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Foreign custodian</w:t>
            </w:r>
          </w:p>
        </w:tc>
      </w:tr>
      <w:tr>
        <w:trPr>
          <w:cantSplit/>
        </w:trPr>
        <w:tc>
          <w:tcPr>
            <w:tcW w:type="dxa" w:w="759"/>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10</w:t>
            </w:r>
          </w:p>
        </w:tc>
        <w:tc>
          <w:tcPr>
            <w:tcW w:type="dxa" w:w="3729"/>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State Street Bank and Trust Co. 505103</w:t>
            </w:r>
          </w:p>
        </w:tc>
        <w:tc>
          <w:tcPr>
            <w:tcW w:type="dxa" w:w="642"/>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6"/>
                <w:szCs w:val="16"/>
              </w:rPr>
              <w:t xml:space="preserve">1.23</w:t>
            </w:r>
          </w:p>
        </w:tc>
        <w:tc>
          <w:tcPr>
            <w:tcW w:type="dxa" w:w="4616"/>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Foreign custodian</w:t>
            </w:r>
          </w:p>
        </w:tc>
      </w:tr>
    </w:tbl>
    <w:p>
      <w:pPr>
        <w:spacing w:after="120" w:before="0" w:line="276" w:lineRule="auto"/>
      </w:pPr>
    </w:p>
    <w:p>
      <w:pPr>
        <w:spacing w:after="110" w:before="0" w:line="276" w:lineRule="auto"/>
      </w:pPr>
      <w:r>
        <w:rPr>
          <w:rFonts w:ascii="Arial" w:cs="Arial" w:eastAsia="Yu Gothic" w:hAnsi="Arial"/>
          <w:color w:val="1F2533"/>
          <w:sz w:val="19"/>
          <w:szCs w:val="19"/>
        </w:rPr>
        <w:t xml:space="preserve">Sources: </w:t>
      </w:r>
      <w:hyperlink w:history="1" r:id="rIdxws32stoqdyup_zdme_ad">
        <w:r>
          <w:rPr>
            <w:rFonts w:ascii="Arial" w:cs="Arial" w:eastAsia="Yu Gothic" w:hAnsi="Arial"/>
            <w:color w:val="2F6FD0"/>
            <w:sz w:val="19"/>
            <w:szCs w:val="19"/>
            <w:u w:val="single"/>
          </w:rPr>
          <w:t xml:space="preserve">Yahoo! Finance Japan</w:t>
        </w:r>
      </w:hyperlink>
      <w:r>
        <w:rPr>
          <w:rFonts w:ascii="Arial" w:cs="Arial" w:eastAsia="Yu Gothic" w:hAnsi="Arial"/>
          <w:color w:val="1F2533"/>
          <w:sz w:val="19"/>
          <w:szCs w:val="19"/>
        </w:rPr>
        <w:t xml:space="preserve">; </w:t>
      </w:r>
      <w:hyperlink w:history="1" r:id="rId1akzhhdnw-ff8qb15enev">
        <w:r>
          <w:rPr>
            <w:rFonts w:ascii="Arial" w:cs="Arial" w:eastAsia="Yu Gothic" w:hAnsi="Arial"/>
            <w:color w:val="2F6FD0"/>
            <w:sz w:val="19"/>
            <w:szCs w:val="19"/>
            <w:u w:val="single"/>
          </w:rPr>
          <w:t xml:space="preserve">irbank</w:t>
        </w:r>
      </w:hyperlink>
      <w:r>
        <w:rPr>
          <w:rFonts w:ascii="Arial" w:cs="Arial" w:eastAsia="Yu Gothic" w:hAnsi="Arial"/>
          <w:color w:val="1F2533"/>
          <w:sz w:val="19"/>
          <w:szCs w:val="19"/>
        </w:rPr>
        <w:t xml:space="preserve">.</w:t>
      </w:r>
    </w:p>
    <w:p>
      <w:pPr>
        <w:spacing w:after="110" w:before="0" w:line="276" w:lineRule="auto"/>
      </w:pPr>
      <w:r>
        <w:rPr>
          <w:rFonts w:ascii="Arial" w:cs="Arial" w:eastAsia="Yu Gothic" w:hAnsi="Arial"/>
          <w:b/>
          <w:bCs/>
          <w:color w:val="1F2533"/>
          <w:sz w:val="19"/>
          <w:szCs w:val="19"/>
        </w:rPr>
        <w:t xml:space="preserve">Concentration.</w:t>
      </w:r>
      <w:r>
        <w:rPr>
          <w:rFonts w:ascii="Arial" w:cs="Arial" w:eastAsia="Yu Gothic" w:hAnsi="Arial"/>
          <w:color w:val="1F2533"/>
          <w:sz w:val="19"/>
          <w:szCs w:val="19"/>
        </w:rPr>
        <w:t xml:space="preserve"> The top 10 hold about 44%. Of that, domestic custody accounts hold about 30% and foreign custodians about 8%.</w:t>
      </w:r>
    </w:p>
    <w:p>
      <w:pPr>
        <w:spacing w:after="110" w:before="0" w:line="276" w:lineRule="auto"/>
      </w:pPr>
      <w:r>
        <w:rPr>
          <w:rFonts w:ascii="Arial" w:cs="Arial" w:eastAsia="Yu Gothic" w:hAnsi="Arial"/>
          <w:b/>
          <w:bCs/>
          <w:color w:val="1F2533"/>
          <w:sz w:val="19"/>
          <w:szCs w:val="19"/>
        </w:rPr>
        <w:t xml:space="preserve">Foreign and stable holders.</w:t>
      </w:r>
      <w:r>
        <w:rPr>
          <w:rFonts w:ascii="Arial" w:cs="Arial" w:eastAsia="Yu Gothic" w:hAnsi="Arial"/>
          <w:color w:val="1F2533"/>
          <w:sz w:val="19"/>
          <w:szCs w:val="19"/>
        </w:rPr>
        <w:t xml:space="preserve"> Foreign ownership was 33.2% and "specified/stable" holders 46.6% at June 2025 (</w:t>
      </w:r>
      <w:hyperlink w:history="1" r:id="rIdzyzmb3wbfcufvmqrzu8e5">
        <w:r>
          <w:rPr>
            <w:rFonts w:ascii="Arial" w:cs="Arial" w:eastAsia="Yu Gothic" w:hAnsi="Arial"/>
            <w:color w:val="2F6FD0"/>
            <w:sz w:val="19"/>
            <w:szCs w:val="19"/>
            <w:u w:val="single"/>
          </w:rPr>
          <w:t xml:space="preserve">Shikiho</w:t>
        </w:r>
      </w:hyperlink>
      <w:r>
        <w:rPr>
          <w:rFonts w:ascii="Arial" w:cs="Arial" w:eastAsia="Yu Gothic" w:hAnsi="Arial"/>
          <w:color w:val="1F2533"/>
          <w:sz w:val="19"/>
          <w:szCs w:val="19"/>
        </w:rPr>
        <w:t xml:space="preserve">).</w:t>
      </w:r>
    </w:p>
    <w:p>
      <w:pPr>
        <w:spacing w:after="110" w:before="0" w:line="276" w:lineRule="auto"/>
      </w:pPr>
      <w:r>
        <w:rPr>
          <w:rFonts w:ascii="Arial" w:cs="Arial" w:eastAsia="Yu Gothic" w:hAnsi="Arial"/>
          <w:b/>
          <w:bCs/>
          <w:color w:val="1F2533"/>
          <w:sz w:val="19"/>
          <w:szCs w:val="19"/>
        </w:rPr>
        <w:t xml:space="preserve">Other notable holders.</w:t>
      </w:r>
    </w:p>
    <w:p>
      <w:pPr>
        <w:pStyle w:val="ListParagraph"/>
        <w:numPr>
          <w:ilvl w:val="0"/>
          <w:numId w:val="2"/>
        </w:numPr>
        <w:spacing w:after="60" w:line="264" w:lineRule="auto"/>
      </w:pPr>
      <w:r>
        <w:rPr>
          <w:rFonts w:ascii="Arial" w:cs="Arial" w:eastAsia="Yu Gothic" w:hAnsi="Arial"/>
          <w:color w:val="1F2533"/>
          <w:sz w:val="19"/>
          <w:szCs w:val="19"/>
        </w:rPr>
        <w:t xml:space="preserve">Hulic, a cross-holder, owns 1.22% (2.64m shares) (</w:t>
      </w:r>
      <w:hyperlink w:history="1" r:id="rIdwi5y2w_qbpdx-sa0g94e7">
        <w:r>
          <w:rPr>
            <w:rFonts w:ascii="Arial" w:cs="Arial" w:eastAsia="Yu Gothic" w:hAnsi="Arial"/>
            <w:color w:val="2F6FD0"/>
            <w:sz w:val="19"/>
            <w:szCs w:val="19"/>
            <w:u w:val="single"/>
          </w:rPr>
          <w:t xml:space="preserve">Buffett Code</w:t>
        </w:r>
      </w:hyperlink>
      <w:r>
        <w:rPr>
          <w:rFonts w:ascii="Arial" w:cs="Arial" w:eastAsia="Yu Gothic" w:hAnsi="Arial"/>
          <w:color w:val="1F2533"/>
          <w:sz w:val="19"/>
          <w:szCs w:val="19"/>
        </w:rPr>
        <w:t xml:space="preserve">).</w:t>
      </w:r>
    </w:p>
    <w:p>
      <w:pPr>
        <w:pStyle w:val="ListParagraph"/>
        <w:numPr>
          <w:ilvl w:val="0"/>
          <w:numId w:val="2"/>
        </w:numPr>
        <w:spacing w:after="60" w:line="264" w:lineRule="auto"/>
      </w:pPr>
      <w:r>
        <w:rPr>
          <w:rFonts w:ascii="Arial" w:cs="Arial" w:eastAsia="Yu Gothic" w:hAnsi="Arial"/>
          <w:color w:val="1F2533"/>
          <w:sz w:val="19"/>
          <w:szCs w:val="19"/>
        </w:rPr>
        <w:t xml:space="preserve">Insiders hold about 0.08%.</w:t>
      </w:r>
    </w:p>
    <w:p>
      <w:pPr>
        <w:pStyle w:val="ListParagraph"/>
        <w:numPr>
          <w:ilvl w:val="0"/>
          <w:numId w:val="2"/>
        </w:numPr>
        <w:spacing w:after="60" w:line="264" w:lineRule="auto"/>
      </w:pPr>
      <w:r>
        <w:rPr>
          <w:rFonts w:ascii="Arial" w:cs="Arial" w:eastAsia="Yu Gothic" w:hAnsi="Arial"/>
          <w:color w:val="1F2533"/>
          <w:sz w:val="19"/>
          <w:szCs w:val="19"/>
        </w:rPr>
        <w:t xml:space="preserve">The stock-compensation trust holds 351,300 shares (0.17%).</w:t>
      </w:r>
    </w:p>
    <w:p>
      <w:pPr>
        <w:spacing w:after="40" w:before="0" w:line="276" w:lineRule="auto"/>
      </w:pPr>
    </w:p>
    <w:p>
      <w:pPr>
        <w:spacing w:after="110" w:before="0" w:line="276" w:lineRule="auto"/>
      </w:pPr>
      <w:r>
        <w:rPr>
          <w:rFonts w:ascii="Arial" w:cs="Arial" w:eastAsia="Yu Gothic" w:hAnsi="Arial"/>
          <w:b/>
          <w:bCs/>
          <w:color w:val="1F2533"/>
          <w:sz w:val="19"/>
          <w:szCs w:val="19"/>
        </w:rPr>
        <w:t xml:space="preserve">Large-shareholding filers are all passive or institutional:</w:t>
      </w:r>
    </w:p>
    <w:p>
      <w:pPr>
        <w:pStyle w:val="ListParagraph"/>
        <w:numPr>
          <w:ilvl w:val="0"/>
          <w:numId w:val="2"/>
        </w:numPr>
        <w:spacing w:after="60" w:line="264" w:lineRule="auto"/>
      </w:pPr>
      <w:r>
        <w:rPr>
          <w:rFonts w:ascii="Arial" w:cs="Arial" w:eastAsia="Yu Gothic" w:hAnsi="Arial"/>
          <w:b/>
          <w:bCs/>
          <w:color w:val="1F2533"/>
          <w:sz w:val="19"/>
          <w:szCs w:val="19"/>
        </w:rPr>
        <w:t xml:space="preserve">BlackRock Japan and joint holders:</w:t>
      </w:r>
      <w:r>
        <w:rPr>
          <w:rFonts w:ascii="Arial" w:cs="Arial" w:eastAsia="Yu Gothic" w:hAnsi="Arial"/>
          <w:color w:val="1F2533"/>
          <w:sz w:val="19"/>
          <w:szCs w:val="19"/>
        </w:rPr>
        <w:t xml:space="preserve"> 6.42%, down from 7.28% (change report filed 3 Dec 2025) (</w:t>
      </w:r>
      <w:hyperlink w:history="1" r:id="rIddzdaxsg_gehqn3-pkizuf">
        <w:r>
          <w:rPr>
            <w:rFonts w:ascii="Arial" w:cs="Arial" w:eastAsia="Yu Gothic" w:hAnsi="Arial"/>
            <w:color w:val="2F6FD0"/>
            <w:sz w:val="19"/>
            <w:szCs w:val="19"/>
            <w:u w:val="single"/>
          </w:rPr>
          <w:t xml:space="preserve">Kabutan</w:t>
        </w:r>
      </w:hyperlink>
      <w:r>
        <w:rPr>
          <w:rFonts w:ascii="Arial" w:cs="Arial" w:eastAsia="Yu Gothic" w:hAnsi="Arial"/>
          <w:color w:val="1F2533"/>
          <w:sz w:val="19"/>
          <w:szCs w:val="19"/>
        </w:rPr>
        <w:t xml:space="preserve">).</w:t>
      </w:r>
    </w:p>
    <w:p>
      <w:pPr>
        <w:pStyle w:val="ListParagraph"/>
        <w:numPr>
          <w:ilvl w:val="0"/>
          <w:numId w:val="2"/>
        </w:numPr>
        <w:spacing w:after="60" w:line="264" w:lineRule="auto"/>
      </w:pPr>
      <w:r>
        <w:rPr>
          <w:rFonts w:ascii="Arial" w:cs="Arial" w:eastAsia="Yu Gothic" w:hAnsi="Arial"/>
          <w:b/>
          <w:bCs/>
          <w:color w:val="1F2533"/>
          <w:sz w:val="19"/>
          <w:szCs w:val="19"/>
        </w:rPr>
        <w:t xml:space="preserve">Sumitomo Mitsui Trust Asset Management:</w:t>
      </w:r>
      <w:r>
        <w:rPr>
          <w:rFonts w:ascii="Arial" w:cs="Arial" w:eastAsia="Yu Gothic" w:hAnsi="Arial"/>
          <w:color w:val="1F2533"/>
          <w:sz w:val="19"/>
          <w:szCs w:val="19"/>
        </w:rPr>
        <w:t xml:space="preserve"> 5.07% (21 Apr 2026). It crossed 5% at 5.10% on 8 May 2025 (</w:t>
      </w:r>
      <w:hyperlink w:history="1" r:id="rIdvlucfxyvbxqnnoikodjw-">
        <w:r>
          <w:rPr>
            <w:rFonts w:ascii="Arial" w:cs="Arial" w:eastAsia="Yu Gothic" w:hAnsi="Arial"/>
            <w:color w:val="2F6FD0"/>
            <w:sz w:val="19"/>
            <w:szCs w:val="19"/>
            <w:u w:val="single"/>
          </w:rPr>
          <w:t xml:space="preserve">Kabutan</w:t>
        </w:r>
      </w:hyperlink>
      <w:r>
        <w:rPr>
          <w:rFonts w:ascii="Arial" w:cs="Arial" w:eastAsia="Yu Gothic" w:hAnsi="Arial"/>
          <w:color w:val="1F2533"/>
          <w:sz w:val="19"/>
          <w:szCs w:val="19"/>
        </w:rPr>
        <w:t xml:space="preserve">).</w:t>
      </w:r>
    </w:p>
    <w:p>
      <w:pPr>
        <w:pStyle w:val="ListParagraph"/>
        <w:numPr>
          <w:ilvl w:val="0"/>
          <w:numId w:val="2"/>
        </w:numPr>
        <w:spacing w:after="60" w:line="264" w:lineRule="auto"/>
      </w:pPr>
      <w:r>
        <w:rPr>
          <w:rFonts w:ascii="Arial" w:cs="Arial" w:eastAsia="Yu Gothic" w:hAnsi="Arial"/>
          <w:b/>
          <w:bCs/>
          <w:color w:val="1F2533"/>
          <w:sz w:val="19"/>
          <w:szCs w:val="19"/>
        </w:rPr>
        <w:t xml:space="preserve">Nomura Asset Management:</w:t>
      </w:r>
      <w:r>
        <w:rPr>
          <w:rFonts w:ascii="Arial" w:cs="Arial" w:eastAsia="Yu Gothic" w:hAnsi="Arial"/>
          <w:color w:val="1F2533"/>
          <w:sz w:val="19"/>
          <w:szCs w:val="19"/>
        </w:rPr>
        <w:t xml:space="preserve"> several change reports; percentages unverified (</w:t>
      </w:r>
      <w:hyperlink w:history="1" r:id="rIdil3l_jqcz6c8ohy2qk2g_">
        <w:r>
          <w:rPr>
            <w:rFonts w:ascii="Arial" w:cs="Arial" w:eastAsia="Yu Gothic" w:hAnsi="Arial"/>
            <w:color w:val="2F6FD0"/>
            <w:sz w:val="19"/>
            <w:szCs w:val="19"/>
            <w:u w:val="single"/>
          </w:rPr>
          <w:t xml:space="preserve">MAonline</w:t>
        </w:r>
      </w:hyperlink>
      <w:r>
        <w:rPr>
          <w:rFonts w:ascii="Arial" w:cs="Arial" w:eastAsia="Yu Gothic" w:hAnsi="Arial"/>
          <w:color w:val="1F2533"/>
          <w:sz w:val="19"/>
          <w:szCs w:val="19"/>
        </w:rPr>
        <w:t xml:space="preserve">).</w:t>
      </w:r>
    </w:p>
    <w:p>
      <w:pPr>
        <w:pStyle w:val="ListParagraph"/>
        <w:numPr>
          <w:ilvl w:val="0"/>
          <w:numId w:val="2"/>
        </w:numPr>
        <w:spacing w:after="60" w:line="264" w:lineRule="auto"/>
      </w:pPr>
      <w:r>
        <w:rPr>
          <w:rFonts w:ascii="Arial" w:cs="Arial" w:eastAsia="Yu Gothic" w:hAnsi="Arial"/>
          <w:b/>
          <w:bCs/>
          <w:color w:val="1F2533"/>
          <w:sz w:val="19"/>
          <w:szCs w:val="19"/>
        </w:rPr>
        <w:t xml:space="preserve">Broker and bank group reports:</w:t>
      </w:r>
      <w:r>
        <w:rPr>
          <w:rFonts w:ascii="Arial" w:cs="Arial" w:eastAsia="Yu Gothic" w:hAnsi="Arial"/>
          <w:color w:val="1F2533"/>
          <w:sz w:val="19"/>
          <w:szCs w:val="19"/>
        </w:rPr>
        <w:t xml:space="preserve"> MUFG (1.95% as a joint group, reporting date 26 Aug 2024); SMBC Nikko (change report No.10, July 2024) (</w:t>
      </w:r>
      <w:hyperlink w:history="1" r:id="rIdseorpvfxcdu0ircl9gntv">
        <w:r>
          <w:rPr>
            <w:rFonts w:ascii="Arial" w:cs="Arial" w:eastAsia="Yu Gothic" w:hAnsi="Arial"/>
            <w:color w:val="2F6FD0"/>
            <w:sz w:val="19"/>
            <w:szCs w:val="19"/>
            <w:u w:val="single"/>
          </w:rPr>
          <w:t xml:space="preserve">MAonline</w:t>
        </w:r>
      </w:hyperlink>
      <w:r>
        <w:rPr>
          <w:rFonts w:ascii="Arial" w:cs="Arial" w:eastAsia="Yu Gothic" w:hAnsi="Arial"/>
          <w:color w:val="1F2533"/>
          <w:sz w:val="19"/>
          <w:szCs w:val="19"/>
        </w:rPr>
        <w:t xml:space="preserve">); Société Générale Securities and Fidelity (dates not visible). These reflect trading books or asset management, not strategic stakes.</w:t>
      </w:r>
    </w:p>
    <w:p>
      <w:pPr>
        <w:spacing w:after="40" w:before="0" w:line="276" w:lineRule="auto"/>
      </w:pPr>
    </w:p>
    <w:p>
      <w:pPr>
        <w:pStyle w:val="Heading2"/>
        <w:keepNext/>
        <w:keepLines/>
        <w:spacing w:after="90" w:before="260" w:line="252" w:lineRule="auto"/>
      </w:pPr>
      <w:r>
        <w:rPr>
          <w:rFonts w:ascii="Arial" w:cs="Arial" w:eastAsia="Yu Gothic" w:hAnsi="Arial"/>
          <w:b/>
          <w:bCs/>
          <w:color w:val="15233F"/>
          <w:sz w:val="25"/>
          <w:szCs w:val="25"/>
        </w:rPr>
        <w:t xml:space="preserve">Activism</w:t>
      </w:r>
    </w:p>
    <w:p>
      <w:pPr>
        <w:spacing w:after="110" w:before="0" w:line="276" w:lineRule="auto"/>
      </w:pPr>
      <w:r>
        <w:rPr>
          <w:rFonts w:ascii="Arial" w:cs="Arial" w:eastAsia="Yu Gothic" w:hAnsi="Arial"/>
          <w:b/>
          <w:bCs/>
          <w:color w:val="1F2533"/>
          <w:sz w:val="19"/>
          <w:szCs w:val="19"/>
        </w:rPr>
        <w:t xml:space="preserve">No activist campaign, stake, letter or shareholder proposal at Tokyo Tatemono was found for 2018–2026.</w:t>
      </w:r>
      <w:r>
        <w:rPr>
          <w:rFonts w:ascii="Arial" w:cs="Arial" w:eastAsia="Yu Gothic" w:hAnsi="Arial"/>
          <w:color w:val="1F2533"/>
          <w:sz w:val="19"/>
          <w:szCs w:val="19"/>
        </w:rPr>
        <w:t xml:space="preserve"> Two caveats: this is a negative finding from limited searches, not exhaustive proof, and it means there are no activist demands or outcomes to break down.</w:t>
      </w:r>
    </w:p>
    <w:p>
      <w:pPr>
        <w:spacing w:after="110" w:before="0" w:line="276" w:lineRule="auto"/>
      </w:pPr>
      <w:r>
        <w:rPr>
          <w:rFonts w:ascii="Arial" w:cs="Arial" w:eastAsia="Yu Gothic" w:hAnsi="Arial"/>
          <w:b/>
          <w:bCs/>
          <w:color w:val="1F2533"/>
          <w:sz w:val="19"/>
          <w:szCs w:val="19"/>
        </w:rPr>
        <w:t xml:space="preserve">Activism is rising across Japan.</w:t>
      </w:r>
      <w:r>
        <w:rPr>
          <w:rFonts w:ascii="Arial" w:cs="Arial" w:eastAsia="Yu Gothic" w:hAnsi="Arial"/>
          <w:color w:val="1F2533"/>
          <w:sz w:val="19"/>
          <w:szCs w:val="19"/>
        </w:rPr>
        <w:t xml:space="preserve"> A record 50 Japanese companies received activist shareholder proposals by mid-2025 (</w:t>
      </w:r>
      <w:hyperlink w:history="1" r:id="rId0orga_x_nr4o5uepypvwl">
        <w:r>
          <w:rPr>
            <w:rFonts w:ascii="Arial" w:cs="Arial" w:eastAsia="Yu Gothic" w:hAnsi="Arial"/>
            <w:color w:val="2F6FD0"/>
            <w:sz w:val="19"/>
            <w:szCs w:val="19"/>
            <w:u w:val="single"/>
          </w:rPr>
          <w:t xml:space="preserve">Nikkei Asia</w:t>
        </w:r>
      </w:hyperlink>
      <w:r>
        <w:rPr>
          <w:rFonts w:ascii="Arial" w:cs="Arial" w:eastAsia="Yu Gothic" w:hAnsi="Arial"/>
          <w:color w:val="1F2533"/>
          <w:sz w:val="19"/>
          <w:szCs w:val="19"/>
        </w:rPr>
        <w:t xml:space="preserve">).</w:t>
      </w:r>
    </w:p>
    <w:p>
      <w:pPr>
        <w:spacing w:after="110" w:before="0" w:line="276" w:lineRule="auto"/>
      </w:pPr>
      <w:r>
        <w:rPr>
          <w:rFonts w:ascii="Arial" w:cs="Arial" w:eastAsia="Yu Gothic" w:hAnsi="Arial"/>
          <w:b/>
          <w:bCs/>
          <w:color w:val="1F2533"/>
          <w:sz w:val="19"/>
          <w:szCs w:val="19"/>
        </w:rPr>
        <w:t xml:space="preserve">Peers have already been targeted:</w:t>
      </w:r>
    </w:p>
    <w:p>
      <w:pPr>
        <w:pStyle w:val="ListParagraph"/>
        <w:numPr>
          <w:ilvl w:val="0"/>
          <w:numId w:val="2"/>
        </w:numPr>
        <w:spacing w:after="60" w:line="264" w:lineRule="auto"/>
      </w:pPr>
      <w:r>
        <w:rPr>
          <w:rFonts w:ascii="Arial" w:cs="Arial" w:eastAsia="Yu Gothic" w:hAnsi="Arial"/>
          <w:color w:val="1F2533"/>
          <w:sz w:val="19"/>
          <w:szCs w:val="19"/>
        </w:rPr>
        <w:t xml:space="preserve">Mitsui Fudosan (2024): pressed to sell its Oriental Land stake and buy back shares. It responded with a total-payout target of at least 50%.</w:t>
      </w:r>
    </w:p>
    <w:p>
      <w:pPr>
        <w:pStyle w:val="ListParagraph"/>
        <w:numPr>
          <w:ilvl w:val="0"/>
          <w:numId w:val="2"/>
        </w:numPr>
        <w:spacing w:after="60" w:line="264" w:lineRule="auto"/>
      </w:pPr>
      <w:r>
        <w:rPr>
          <w:rFonts w:ascii="Arial" w:cs="Arial" w:eastAsia="Yu Gothic" w:hAnsi="Arial"/>
          <w:color w:val="1F2533"/>
          <w:sz w:val="19"/>
          <w:szCs w:val="19"/>
        </w:rPr>
        <w:t xml:space="preserve">Sumitomo Realty: Elliott holds 3.5%.</w:t>
      </w:r>
    </w:p>
    <w:p>
      <w:pPr>
        <w:pStyle w:val="ListParagraph"/>
        <w:numPr>
          <w:ilvl w:val="0"/>
          <w:numId w:val="2"/>
        </w:numPr>
        <w:spacing w:after="60" w:line="264" w:lineRule="auto"/>
      </w:pPr>
      <w:r>
        <w:rPr>
          <w:rFonts w:ascii="Arial" w:cs="Arial" w:eastAsia="Yu Gothic" w:hAnsi="Arial"/>
          <w:color w:val="1F2533"/>
          <w:sz w:val="19"/>
          <w:szCs w:val="19"/>
        </w:rPr>
        <w:t xml:space="preserve">Tokyo Dome (2020): the Oasis campaign ended in a sale to Mitsui Fudosan.</w:t>
      </w:r>
    </w:p>
    <w:p>
      <w:pPr>
        <w:spacing w:after="40" w:before="0" w:line="276" w:lineRule="auto"/>
      </w:pPr>
    </w:p>
    <w:p>
      <w:pPr>
        <w:spacing w:after="110" w:before="0" w:line="276" w:lineRule="auto"/>
      </w:pPr>
      <w:r>
        <w:rPr>
          <w:rFonts w:ascii="Arial" w:cs="Arial" w:eastAsia="Yu Gothic" w:hAnsi="Arial"/>
          <w:b/>
          <w:bCs/>
          <w:color w:val="1F2533"/>
          <w:sz w:val="19"/>
          <w:szCs w:val="19"/>
        </w:rPr>
        <w:t xml:space="preserve">Tokyo Tatemono fits the template on four counts:</w:t>
      </w:r>
    </w:p>
    <w:p>
      <w:pPr>
        <w:pStyle w:val="ListParagraph"/>
        <w:numPr>
          <w:ilvl w:val="0"/>
          <w:numId w:val="11"/>
        </w:numPr>
        <w:spacing w:after="60" w:line="264" w:lineRule="auto"/>
      </w:pPr>
      <w:r>
        <w:rPr>
          <w:rFonts w:ascii="Arial" w:cs="Arial" w:eastAsia="Yu Gothic" w:hAnsi="Arial"/>
          <w:color w:val="1F2533"/>
          <w:sz w:val="19"/>
          <w:szCs w:val="19"/>
        </w:rPr>
        <w:t xml:space="preserve">a 0.65x P/NAV;</w:t>
      </w:r>
    </w:p>
    <w:p>
      <w:pPr>
        <w:pStyle w:val="ListParagraph"/>
        <w:numPr>
          <w:ilvl w:val="0"/>
          <w:numId w:val="11"/>
        </w:numPr>
        <w:spacing w:after="60" w:line="264" w:lineRule="auto"/>
      </w:pPr>
      <w:r>
        <w:rPr>
          <w:rFonts w:ascii="Arial" w:cs="Arial" w:eastAsia="Yu Gothic" w:hAnsi="Arial"/>
          <w:color w:val="1F2533"/>
          <w:sz w:val="19"/>
          <w:szCs w:val="19"/>
        </w:rPr>
        <w:t xml:space="preserve">a return policy that lags Mitsui's (40% payout plus token buybacks, against a ≥50% total payout);</w:t>
      </w:r>
    </w:p>
    <w:p>
      <w:pPr>
        <w:pStyle w:val="ListParagraph"/>
        <w:numPr>
          <w:ilvl w:val="0"/>
          <w:numId w:val="11"/>
        </w:numPr>
        <w:spacing w:after="60" w:line="264" w:lineRule="auto"/>
      </w:pPr>
      <w:r>
        <w:rPr>
          <w:rFonts w:ascii="Arial" w:cs="Arial" w:eastAsia="Yu Gothic" w:hAnsi="Arial"/>
          <w:color w:val="1F2533"/>
          <w:sz w:val="19"/>
          <w:szCs w:val="19"/>
        </w:rPr>
        <w:t xml:space="preserve">cross-shareholdings still being unwound;</w:t>
      </w:r>
    </w:p>
    <w:p>
      <w:pPr>
        <w:pStyle w:val="ListParagraph"/>
        <w:numPr>
          <w:ilvl w:val="0"/>
          <w:numId w:val="11"/>
        </w:numPr>
        <w:spacing w:after="60" w:line="264" w:lineRule="auto"/>
      </w:pPr>
      <w:r>
        <w:rPr>
          <w:rFonts w:ascii="Arial" w:cs="Arial" w:eastAsia="Yu Gothic" w:hAnsi="Arial"/>
          <w:color w:val="1F2533"/>
          <w:sz w:val="19"/>
          <w:szCs w:val="19"/>
        </w:rPr>
        <w:t xml:space="preserve">bank-linked governance, a thin stable-shareholder base (≈4.3%, and falling) and passive-dominated ownership.</w:t>
      </w:r>
    </w:p>
    <w:p>
      <w:pPr>
        <w:spacing w:after="40" w:before="0" w:line="276" w:lineRule="auto"/>
      </w:pPr>
    </w:p>
    <w:p>
      <w:pPr>
        <w:spacing w:after="110" w:before="0" w:line="276" w:lineRule="auto"/>
      </w:pPr>
      <w:r>
        <w:rPr>
          <w:rFonts w:ascii="Arial" w:cs="Arial" w:eastAsia="Yu Gothic" w:hAnsi="Arial"/>
          <w:b/>
          <w:bCs/>
          <w:color w:val="1F2533"/>
          <w:sz w:val="19"/>
          <w:szCs w:val="19"/>
        </w:rPr>
        <w:t xml:space="preserve">Pre-emptive steps blunt the typical demands:</w:t>
      </w:r>
      <w:r>
        <w:rPr>
          <w:rFonts w:ascii="Arial" w:cs="Arial" w:eastAsia="Yu Gothic" w:hAnsi="Arial"/>
          <w:color w:val="1F2533"/>
          <w:sz w:val="19"/>
          <w:szCs w:val="19"/>
        </w:rPr>
        <w:t xml:space="preserve"> the 40% payout, one-year director terms and the ≥¥130bn sales target.</w:t>
      </w:r>
    </w:p>
    <w:p>
      <w:pPr>
        <w:spacing w:after="110" w:before="0" w:line="276" w:lineRule="auto"/>
      </w:pPr>
      <w:r>
        <w:rPr>
          <w:rFonts w:ascii="Arial" w:cs="Arial" w:eastAsia="Yu Gothic" w:hAnsi="Arial"/>
          <w:b/>
          <w:bCs/>
          <w:color w:val="1F2533"/>
          <w:sz w:val="19"/>
          <w:szCs w:val="19"/>
        </w:rPr>
        <w:t xml:space="preserve">Watch-points:</w:t>
      </w:r>
    </w:p>
    <w:p>
      <w:pPr>
        <w:pStyle w:val="ListParagraph"/>
        <w:numPr>
          <w:ilvl w:val="0"/>
          <w:numId w:val="2"/>
        </w:numPr>
        <w:spacing w:after="60" w:line="264" w:lineRule="auto"/>
      </w:pPr>
      <w:r>
        <w:rPr>
          <w:rFonts w:ascii="Arial" w:cs="Arial" w:eastAsia="Yu Gothic" w:hAnsi="Arial"/>
          <w:color w:val="1F2533"/>
          <w:sz w:val="19"/>
          <w:szCs w:val="19"/>
        </w:rPr>
        <w:t xml:space="preserve">any new ≥5% filing by a non-index manager;</w:t>
      </w:r>
    </w:p>
    <w:p>
      <w:pPr>
        <w:pStyle w:val="ListParagraph"/>
        <w:numPr>
          <w:ilvl w:val="0"/>
          <w:numId w:val="2"/>
        </w:numPr>
        <w:spacing w:after="60" w:line="264" w:lineRule="auto"/>
      </w:pPr>
      <w:r>
        <w:rPr>
          <w:rFonts w:ascii="Arial" w:cs="Arial" w:eastAsia="Yu Gothic" w:hAnsi="Arial"/>
          <w:color w:val="1F2533"/>
          <w:sz w:val="19"/>
          <w:szCs w:val="19"/>
        </w:rPr>
        <w:t xml:space="preserve">shareholder proposals in the AGM notice (published about eight weeks before the late-March AGM);</w:t>
      </w:r>
    </w:p>
    <w:p>
      <w:pPr>
        <w:pStyle w:val="ListParagraph"/>
        <w:numPr>
          <w:ilvl w:val="0"/>
          <w:numId w:val="2"/>
        </w:numPr>
        <w:spacing w:after="60" w:line="264" w:lineRule="auto"/>
      </w:pPr>
      <w:r>
        <w:rPr>
          <w:rFonts w:ascii="Arial" w:cs="Arial" w:eastAsia="Yu Gothic" w:hAnsi="Arial"/>
          <w:color w:val="1F2533"/>
          <w:sz w:val="19"/>
          <w:szCs w:val="19"/>
        </w:rPr>
        <w:t xml:space="preserve">support for the CEO or chairman falling below about 85%.</w:t>
      </w:r>
    </w:p>
    <w:p>
      <w:pPr>
        <w:spacing w:after="40" w:before="0" w:line="276" w:lineRule="auto"/>
      </w:pPr>
    </w:p>
    <w:p>
      <w:pPr>
        <w:pStyle w:val="Heading2"/>
        <w:keepNext/>
        <w:keepLines/>
        <w:spacing w:after="90" w:before="260" w:line="252" w:lineRule="auto"/>
      </w:pPr>
      <w:r>
        <w:rPr>
          <w:rFonts w:ascii="Arial" w:cs="Arial" w:eastAsia="Yu Gothic" w:hAnsi="Arial"/>
          <w:b/>
          <w:bCs/>
          <w:color w:val="15233F"/>
          <w:sz w:val="25"/>
          <w:szCs w:val="25"/>
        </w:rPr>
        <w:t xml:space="preserve">Short interest and key short sellers</w:t>
      </w:r>
    </w:p>
    <w:p>
      <w:pPr>
        <w:spacing w:after="110" w:before="0" w:line="276" w:lineRule="auto"/>
      </w:pPr>
      <w:r>
        <w:rPr>
          <w:rFonts w:ascii="Arial" w:cs="Arial" w:eastAsia="Yu Gothic" w:hAnsi="Arial"/>
          <w:b/>
          <w:bCs/>
          <w:color w:val="1F2533"/>
          <w:sz w:val="19"/>
          <w:szCs w:val="19"/>
        </w:rPr>
        <w:t xml:space="preserve">Reportable short positions.</w:t>
      </w:r>
      <w:r>
        <w:rPr>
          <w:rFonts w:ascii="Arial" w:cs="Arial" w:eastAsia="Yu Gothic" w:hAnsi="Arial"/>
          <w:color w:val="1F2533"/>
          <w:sz w:val="19"/>
          <w:szCs w:val="19"/>
        </w:rPr>
        <w:t xml:space="preserve"> Under JPX/EDINET short-position rules, </w:t>
      </w:r>
      <w:r>
        <w:rPr>
          <w:rFonts w:ascii="Arial" w:cs="Arial" w:eastAsia="Yu Gothic" w:hAnsi="Arial"/>
          <w:b/>
          <w:bCs/>
          <w:color w:val="1F2533"/>
          <w:sz w:val="19"/>
          <w:szCs w:val="19"/>
        </w:rPr>
        <w:t xml:space="preserve">Goldman Sachs International held a reportable net short of up to about 1.1% of shares in 2025</w:t>
      </w:r>
      <w:r>
        <w:rPr>
          <w:rFonts w:ascii="Arial" w:cs="Arial" w:eastAsia="Yu Gothic" w:hAnsi="Arial"/>
          <w:color w:val="1F2533"/>
          <w:sz w:val="19"/>
          <w:szCs w:val="19"/>
        </w:rPr>
        <w:t xml:space="preserve">. It fell below the 0.5% reporting threshold in April 2025 (</w:t>
      </w:r>
      <w:hyperlink w:history="1" r:id="rIdapgxjbqok4urkyqxapn04">
        <w:r>
          <w:rPr>
            <w:rFonts w:ascii="Arial" w:cs="Arial" w:eastAsia="Yu Gothic" w:hAnsi="Arial"/>
            <w:color w:val="2F6FD0"/>
            <w:sz w:val="19"/>
            <w:szCs w:val="19"/>
            <w:u w:val="single"/>
          </w:rPr>
          <w:t xml:space="preserve">irbank short data</w:t>
        </w:r>
      </w:hyperlink>
      <w:r>
        <w:rPr>
          <w:rFonts w:ascii="Arial" w:cs="Arial" w:eastAsia="Yu Gothic" w:hAnsi="Arial"/>
          <w:color w:val="1F2533"/>
          <w:sz w:val="19"/>
          <w:szCs w:val="19"/>
        </w:rPr>
        <w:t xml:space="preserve">). No other holder at or above 0.5% was found, so there is currently </w:t>
      </w:r>
      <w:r>
        <w:rPr>
          <w:rFonts w:ascii="Arial" w:cs="Arial" w:eastAsia="Yu Gothic" w:hAnsi="Arial"/>
          <w:b/>
          <w:bCs/>
          <w:color w:val="1F2533"/>
          <w:sz w:val="19"/>
          <w:szCs w:val="19"/>
        </w:rPr>
        <w:t xml:space="preserve">no disclosed large short position</w:t>
      </w:r>
      <w:r>
        <w:rPr>
          <w:rFonts w:ascii="Arial" w:cs="Arial" w:eastAsia="Yu Gothic" w:hAnsi="Arial"/>
          <w:color w:val="1F2533"/>
          <w:sz w:val="19"/>
          <w:szCs w:val="19"/>
        </w:rPr>
        <w:t xml:space="preserve">.</w:t>
      </w:r>
    </w:p>
    <w:p>
      <w:pPr>
        <w:spacing w:after="110" w:before="0" w:line="276" w:lineRule="auto"/>
      </w:pPr>
      <w:r>
        <w:rPr>
          <w:rFonts w:ascii="Arial" w:cs="Arial" w:eastAsia="Yu Gothic" w:hAnsi="Arial"/>
          <w:b/>
          <w:bCs/>
          <w:color w:val="1F2533"/>
          <w:sz w:val="19"/>
          <w:szCs w:val="19"/>
        </w:rPr>
        <w:t xml:space="preserve">Margin positions are negligible.</w:t>
      </w:r>
      <w:r>
        <w:rPr>
          <w:rFonts w:ascii="Arial" w:cs="Arial" w:eastAsia="Yu Gothic" w:hAnsi="Arial"/>
          <w:color w:val="1F2533"/>
          <w:sz w:val="19"/>
          <w:szCs w:val="19"/>
        </w:rPr>
        <w:t xml:space="preserve"> For the week of 24 July 2026, margin sales were 45,800 shares against margin purchases of 129,000, a margin ratio of 2.82x (</w:t>
      </w:r>
      <w:hyperlink w:history="1" r:id="rIduo4ovicgg3nezk5xnpv5b">
        <w:r>
          <w:rPr>
            <w:rFonts w:ascii="Arial" w:cs="Arial" w:eastAsia="Yu Gothic" w:hAnsi="Arial"/>
            <w:color w:val="2F6FD0"/>
            <w:sz w:val="19"/>
            <w:szCs w:val="19"/>
            <w:u w:val="single"/>
          </w:rPr>
          <w:t xml:space="preserve">Kabutan</w:t>
        </w:r>
      </w:hyperlink>
      <w:r>
        <w:rPr>
          <w:rFonts w:ascii="Arial" w:cs="Arial" w:eastAsia="Yu Gothic" w:hAnsi="Arial"/>
          <w:color w:val="1F2533"/>
          <w:sz w:val="19"/>
          <w:szCs w:val="19"/>
        </w:rPr>
        <w:t xml:space="preserve">). Both are tiny against 208m shares outstanding.</w:t>
      </w:r>
    </w:p>
    <w:p>
      <w:pPr>
        <w:spacing w:after="110" w:before="0" w:line="276" w:lineRule="auto"/>
      </w:pPr>
      <w:r>
        <w:rPr>
          <w:rFonts w:ascii="Arial" w:cs="Arial" w:eastAsia="Yu Gothic" w:hAnsi="Arial"/>
          <w:b/>
          <w:bCs/>
          <w:color w:val="1F2533"/>
          <w:sz w:val="19"/>
          <w:szCs w:val="19"/>
        </w:rPr>
        <w:t xml:space="preserve">Japan Securities Finance's 2.17% stake reflects margin collateral, not short interest.</w:t>
      </w:r>
      <w:r>
        <w:rPr>
          <w:rFonts w:ascii="Arial" w:cs="Arial" w:eastAsia="Yu Gothic" w:hAnsi="Arial"/>
          <w:color w:val="1F2533"/>
          <w:sz w:val="19"/>
          <w:szCs w:val="19"/>
        </w:rPr>
        <w:t xml:space="preserve"> The stock is a 貸借銘柄, i.e. it can be shorted on margin. No short-seller report on Tokyo Tatemono was found.</w:t>
      </w:r>
    </w:p>
    <w:p>
      <w:pPr>
        <w:pBdr>
          <w:left w:val="single" w:color="2F6FD0" w:sz="24" w:space="8"/>
        </w:pBdr>
        <w:shd w:fill="EEF3FA" w:color="auto" w:val="clear"/>
        <w:spacing w:after="160" w:before="60" w:line="264" w:lineRule="auto"/>
        <w:ind w:left="200" w:right="200"/>
      </w:pPr>
      <w:r>
        <w:rPr>
          <w:rFonts w:ascii="Arial" w:cs="Arial" w:eastAsia="Yu Gothic" w:hAnsi="Arial"/>
          <w:b/>
          <w:bCs/>
          <w:color w:val="15233F"/>
          <w:sz w:val="18"/>
          <w:szCs w:val="18"/>
        </w:rPr>
        <w:t xml:space="preserve">Key takeaway:</w:t>
      </w:r>
      <w:r>
        <w:rPr>
          <w:rFonts w:ascii="Arial" w:cs="Arial" w:eastAsia="Yu Gothic" w:hAnsi="Arial"/>
          <w:color w:val="15233F"/>
          <w:sz w:val="18"/>
          <w:szCs w:val="18"/>
        </w:rPr>
        <w:t xml:space="preserve"> The register is passive (≈44% custodians), Fuyo-group support is thin and shrinking, and there is no activist or meaningful short position. That makes Tokyo Tatemono an open door for an activist, but there is no live campaign to price.</w:t>
      </w:r>
    </w:p>
    <w:p>
      <w:pPr>
        <w:pStyle w:val="Heading1"/>
        <w:keepNext/>
        <w:keepLines/>
        <w:pageBreakBefore/>
        <w:pBdr>
          <w:bottom w:val="single" w:color="2F6FD0" w:sz="12" w:space="6"/>
        </w:pBdr>
        <w:spacing w:after="160" w:before="0" w:line="252" w:lineRule="auto"/>
      </w:pPr>
      <w:r>
        <w:rPr>
          <w:rFonts w:ascii="Arial" w:cs="Arial" w:eastAsia="Yu Gothic" w:hAnsi="Arial"/>
          <w:b/>
          <w:bCs/>
          <w:color w:val="15233F"/>
          <w:sz w:val="32"/>
          <w:szCs w:val="32"/>
        </w:rPr>
        <w:t xml:space="preserve">15. Strategic initiatives 2016–2026: plans delivered, the overseas business the weak link</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55"/>
        <w:gridCol w:w="1674"/>
        <w:gridCol w:w="2201"/>
        <w:gridCol w:w="2165"/>
        <w:gridCol w:w="1751"/>
      </w:tblGrid>
      <w:tr>
        <w:trPr>
          <w:cantSplit/>
          <w:tblHeader/>
        </w:trPr>
        <w:tc>
          <w:tcPr>
            <w:tcW w:type="dxa" w:w="1955"/>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bCs/>
                <w:color w:val="FFFFFF"/>
                <w:sz w:val="15"/>
                <w:szCs w:val="15"/>
              </w:rPr>
              <w:t xml:space="preserve">Initiative</w:t>
            </w:r>
          </w:p>
        </w:tc>
        <w:tc>
          <w:tcPr>
            <w:tcW w:type="dxa" w:w="1674"/>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5"/>
                <w:szCs w:val="15"/>
              </w:rPr>
              <w:t xml:space="preserve">Period</w:t>
            </w:r>
          </w:p>
        </w:tc>
        <w:tc>
          <w:tcPr>
            <w:tcW w:type="dxa" w:w="2201"/>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5"/>
                <w:szCs w:val="15"/>
              </w:rPr>
              <w:t xml:space="preserve">Target / intent</w:t>
            </w:r>
          </w:p>
        </w:tc>
        <w:tc>
          <w:tcPr>
            <w:tcW w:type="dxa" w:w="2165"/>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5"/>
                <w:szCs w:val="15"/>
              </w:rPr>
              <w:t xml:space="preserve">Outcome</w:t>
            </w:r>
          </w:p>
        </w:tc>
        <w:tc>
          <w:tcPr>
            <w:tcW w:type="dxa" w:w="1751"/>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5"/>
                <w:szCs w:val="15"/>
              </w:rPr>
              <w:t xml:space="preserve">Verdict</w:t>
            </w:r>
          </w:p>
        </w:tc>
      </w:tr>
      <w:tr>
        <w:trPr>
          <w:cantSplit/>
        </w:trPr>
        <w:tc>
          <w:tcPr>
            <w:tcW w:type="dxa" w:w="1955"/>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5"/>
                <w:szCs w:val="15"/>
              </w:rPr>
              <w:t xml:space="preserve">2015–19 medium-term plan</w:t>
            </w:r>
          </w:p>
        </w:tc>
        <w:tc>
          <w:tcPr>
            <w:tcW w:type="dxa" w:w="1674"/>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FY2015–19</w:t>
            </w:r>
          </w:p>
        </w:tc>
        <w:tc>
          <w:tcPr>
            <w:tcW w:type="dxa" w:w="2201"/>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Operating income ¥50bn; debt/equity ≈3x; debt/EBITDA ≈13x</w:t>
            </w:r>
          </w:p>
        </w:tc>
        <w:tc>
          <w:tcPr>
            <w:tcW w:type="dxa" w:w="2165"/>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Operating income ¥52.4bn; debt/equity 2.5x; debt/EBITDA 12.6x; ROE 5.6% → 8.2% (</w:t>
            </w:r>
            <w:hyperlink w:history="1" r:id="rIdsmfud9cohhw4mwmr-tbqx">
              <w:r>
                <w:rPr>
                  <w:rFonts w:ascii="Arial" w:cs="Arial" w:eastAsia="Yu Gothic" w:hAnsi="Arial"/>
                  <w:color w:val="2F6FD0"/>
                  <w:sz w:val="15"/>
                  <w:szCs w:val="15"/>
                  <w:u w:val="single"/>
                </w:rPr>
                <w:t xml:space="preserve">plan PDF</w:t>
              </w:r>
            </w:hyperlink>
            <w:r>
              <w:rPr>
                <w:rFonts w:ascii="Arial" w:cs="Arial" w:eastAsia="Yu Gothic" w:hAnsi="Arial"/>
                <w:color w:val="1F2533"/>
                <w:sz w:val="15"/>
                <w:szCs w:val="15"/>
              </w:rPr>
              <w:t xml:space="preserve">)</w:t>
            </w:r>
          </w:p>
        </w:tc>
        <w:tc>
          <w:tcPr>
            <w:tcW w:type="dxa" w:w="1751"/>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bCs/>
                <w:color w:val="1F2533"/>
                <w:sz w:val="15"/>
                <w:szCs w:val="15"/>
              </w:rPr>
              <w:t xml:space="preserve">Success</w:t>
            </w:r>
          </w:p>
        </w:tc>
      </w:tr>
      <w:tr>
        <w:trPr>
          <w:cantSplit/>
        </w:trPr>
        <w:tc>
          <w:tcPr>
            <w:tcW w:type="dxa" w:w="1955"/>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5"/>
                <w:szCs w:val="15"/>
              </w:rPr>
              <w:t xml:space="preserve">Long-term vision 「次世代デベロッパーへ」 and 2020–24 plan</w:t>
            </w:r>
          </w:p>
        </w:tc>
        <w:tc>
          <w:tcPr>
            <w:tcW w:type="dxa" w:w="1674"/>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FY2020–24</w:t>
            </w:r>
          </w:p>
        </w:tc>
        <w:tc>
          <w:tcPr>
            <w:tcW w:type="dxa" w:w="2201"/>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Business profit ¥75bn; ROE 8–10%; debt/equity ≈2.4x; ≈¥1.4tn gross investment (</w:t>
            </w:r>
            <w:hyperlink w:history="1" r:id="rIdblziaz3f9pz-ifllpitii">
              <w:r>
                <w:rPr>
                  <w:rFonts w:ascii="Arial" w:cs="Arial" w:eastAsia="Yu Gothic" w:hAnsi="Arial"/>
                  <w:color w:val="2F6FD0"/>
                  <w:sz w:val="15"/>
                  <w:szCs w:val="15"/>
                  <w:u w:val="single"/>
                </w:rPr>
                <w:t xml:space="preserve">Kensetsu Tsushin</w:t>
              </w:r>
            </w:hyperlink>
            <w:r>
              <w:rPr>
                <w:rFonts w:ascii="Arial" w:cs="Arial" w:eastAsia="Yu Gothic" w:hAnsi="Arial"/>
                <w:color w:val="1F2533"/>
                <w:sz w:val="15"/>
                <w:szCs w:val="15"/>
              </w:rPr>
              <w:t xml:space="preserve">)</w:t>
            </w:r>
          </w:p>
        </w:tc>
        <w:tc>
          <w:tcPr>
            <w:tcW w:type="dxa" w:w="2165"/>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Business profit ¥80.5bn (old definition); ROE 12.8%; debt/equity ≈2.2x</w:t>
            </w:r>
          </w:p>
        </w:tc>
        <w:tc>
          <w:tcPr>
            <w:tcW w:type="dxa" w:w="1751"/>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bCs/>
                <w:color w:val="1F2533"/>
                <w:sz w:val="15"/>
                <w:szCs w:val="15"/>
              </w:rPr>
              <w:t xml:space="preserve">Success</w:t>
            </w:r>
            <w:r>
              <w:rPr>
                <w:rFonts w:ascii="Arial" w:cs="Arial" w:eastAsia="Yu Gothic" w:hAnsi="Arial"/>
                <w:color w:val="1F2533"/>
                <w:sz w:val="15"/>
                <w:szCs w:val="15"/>
              </w:rPr>
              <w:t xml:space="preserve">, flattered by FY2024 one-offs</w:t>
            </w:r>
          </w:p>
        </w:tc>
      </w:tr>
      <w:tr>
        <w:trPr>
          <w:cantSplit/>
        </w:trPr>
        <w:tc>
          <w:tcPr>
            <w:tcW w:type="dxa" w:w="1955"/>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5"/>
                <w:szCs w:val="15"/>
              </w:rPr>
              <w:t xml:space="preserve">2025–27 plan</w:t>
            </w:r>
          </w:p>
        </w:tc>
        <w:tc>
          <w:tcPr>
            <w:tcW w:type="dxa" w:w="1674"/>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FY2025–27</w:t>
            </w:r>
          </w:p>
        </w:tc>
        <w:tc>
          <w:tcPr>
            <w:tcW w:type="dxa" w:w="2201"/>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Business profit ¥95bn; ROE 10%; 40% payout; ≈¥200bn of redevelopment; ≥¥130bn of asset and policy-share sales</w:t>
            </w:r>
          </w:p>
        </w:tc>
        <w:tc>
          <w:tcPr>
            <w:tcW w:type="dxa" w:w="2165"/>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FY2026 guidance (business profit ≈¥102–105bn) beats the FY2027 target; targets "one year early" (</w:t>
            </w:r>
            <w:hyperlink w:history="1" r:id="rIdz4sveyjgri9cvc7u_1rgi">
              <w:r>
                <w:rPr>
                  <w:rFonts w:ascii="Arial" w:cs="Arial" w:eastAsia="Yu Gothic" w:hAnsi="Arial"/>
                  <w:color w:val="2F6FD0"/>
                  <w:sz w:val="15"/>
                  <w:szCs w:val="15"/>
                  <w:u w:val="single"/>
                </w:rPr>
                <w:t xml:space="preserve">logmi</w:t>
              </w:r>
            </w:hyperlink>
            <w:r>
              <w:rPr>
                <w:rFonts w:ascii="Arial" w:cs="Arial" w:eastAsia="Yu Gothic" w:hAnsi="Arial"/>
                <w:color w:val="1F2533"/>
                <w:sz w:val="15"/>
                <w:szCs w:val="15"/>
              </w:rPr>
              <w:t xml:space="preserve">)</w:t>
            </w:r>
          </w:p>
        </w:tc>
        <w:tc>
          <w:tcPr>
            <w:tcW w:type="dxa" w:w="1751"/>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bCs/>
                <w:color w:val="1F2533"/>
                <w:sz w:val="15"/>
                <w:szCs w:val="15"/>
              </w:rPr>
              <w:t xml:space="preserve">Ahead of plan</w:t>
            </w:r>
          </w:p>
        </w:tc>
      </w:tr>
      <w:tr>
        <w:trPr>
          <w:cantSplit/>
        </w:trPr>
        <w:tc>
          <w:tcPr>
            <w:tcW w:type="dxa" w:w="1955"/>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5"/>
                <w:szCs w:val="15"/>
              </w:rPr>
              <w:t xml:space="preserve">2030 vision</w:t>
            </w:r>
          </w:p>
        </w:tc>
        <w:tc>
          <w:tcPr>
            <w:tcW w:type="dxa" w:w="1674"/>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To ≈2030</w:t>
            </w:r>
          </w:p>
        </w:tc>
        <w:tc>
          <w:tcPr>
            <w:tcW w:type="dxa" w:w="2201"/>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Business profit ≈¥120bn</w:t>
            </w:r>
          </w:p>
        </w:tc>
        <w:tc>
          <w:tcPr>
            <w:tcW w:type="dxa" w:w="2165"/>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Needs only ≈4% a year from FY2026 guidance</w:t>
            </w:r>
          </w:p>
        </w:tc>
        <w:tc>
          <w:tcPr>
            <w:tcW w:type="dxa" w:w="1751"/>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bCs/>
                <w:color w:val="1F2533"/>
                <w:sz w:val="15"/>
                <w:szCs w:val="15"/>
              </w:rPr>
              <w:t xml:space="preserve">On track</w:t>
            </w:r>
            <w:r>
              <w:rPr>
                <w:rFonts w:ascii="Arial" w:cs="Arial" w:eastAsia="Yu Gothic" w:hAnsi="Arial"/>
                <w:color w:val="1F2533"/>
                <w:sz w:val="15"/>
                <w:szCs w:val="15"/>
              </w:rPr>
              <w:t xml:space="preserve"> if the cycle holds</w:t>
            </w:r>
          </w:p>
        </w:tc>
      </w:tr>
      <w:tr>
        <w:trPr>
          <w:cantSplit/>
        </w:trPr>
        <w:tc>
          <w:tcPr>
            <w:tcW w:type="dxa" w:w="1955"/>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5"/>
                <w:szCs w:val="15"/>
              </w:rPr>
              <w:t xml:space="preserve">TOFROM YAESU (Yaesu 1-chome East)</w:t>
            </w:r>
          </w:p>
        </w:tc>
        <w:tc>
          <w:tcPr>
            <w:tcW w:type="dxa" w:w="1674"/>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Rights conversion 2020 → completion 2026</w:t>
            </w:r>
          </w:p>
        </w:tc>
        <w:tc>
          <w:tcPr>
            <w:tcW w:type="dxa" w:w="2201"/>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Flagship 250m tower, bus terminal, medical, theatre; ≈¥210.4bn project</w:t>
            </w:r>
          </w:p>
        </w:tc>
        <w:tc>
          <w:tcPr>
            <w:tcW w:type="dxa" w:w="2165"/>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Tower completed 28 Feb 2026 (vs a 31 Jul 2025 schedule); THE FRONT 15 Jul 2026; retail opened 10 Sep 2026</w:t>
            </w:r>
          </w:p>
        </w:tc>
        <w:tc>
          <w:tcPr>
            <w:tcW w:type="dxa" w:w="1751"/>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bCs/>
                <w:color w:val="1F2533"/>
                <w:sz w:val="15"/>
                <w:szCs w:val="15"/>
              </w:rPr>
              <w:t xml:space="preserve">Delivered, about seven months late;</w:t>
            </w:r>
            <w:r>
              <w:rPr>
                <w:rFonts w:ascii="Arial" w:cs="Arial" w:eastAsia="Yu Gothic" w:hAnsi="Arial"/>
                <w:color w:val="1F2533"/>
                <w:sz w:val="15"/>
                <w:szCs w:val="15"/>
              </w:rPr>
              <w:t xml:space="preserve"> leasing outcome undisclosed</w:t>
            </w:r>
          </w:p>
        </w:tc>
      </w:tr>
      <w:tr>
        <w:trPr>
          <w:cantSplit/>
        </w:trPr>
        <w:tc>
          <w:tcPr>
            <w:tcW w:type="dxa" w:w="1955"/>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5"/>
                <w:szCs w:val="15"/>
              </w:rPr>
              <w:t xml:space="preserve">Kyobashi 3-chome East</w:t>
            </w:r>
          </w:p>
        </w:tc>
        <w:tc>
          <w:tcPr>
            <w:tcW w:type="dxa" w:w="1674"/>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Promoted since 2017; completion FY2029</w:t>
            </w:r>
          </w:p>
        </w:tc>
        <w:tc>
          <w:tcPr>
            <w:tcW w:type="dxa" w:w="2201"/>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≈166,800 m² of offices, hotel and retail</w:t>
            </w:r>
          </w:p>
        </w:tc>
        <w:tc>
          <w:tcPr>
            <w:tcW w:type="dxa" w:w="2165"/>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Redevelopment association formed Apr 2024; construction from FY2025 (</w:t>
            </w:r>
            <w:hyperlink w:history="1" r:id="rId3dus6aozjrd5bveubgwdb">
              <w:r>
                <w:rPr>
                  <w:rFonts w:ascii="Arial" w:cs="Arial" w:eastAsia="Yu Gothic" w:hAnsi="Arial"/>
                  <w:color w:val="2F6FD0"/>
                  <w:sz w:val="15"/>
                  <w:szCs w:val="15"/>
                  <w:u w:val="single"/>
                </w:rPr>
                <w:t xml:space="preserve">Nikkei xTECH</w:t>
              </w:r>
            </w:hyperlink>
            <w:r>
              <w:rPr>
                <w:rFonts w:ascii="Arial" w:cs="Arial" w:eastAsia="Yu Gothic" w:hAnsi="Arial"/>
                <w:color w:val="1F2533"/>
                <w:sz w:val="15"/>
                <w:szCs w:val="15"/>
              </w:rPr>
              <w:t xml:space="preserve">)</w:t>
            </w:r>
          </w:p>
        </w:tc>
        <w:tc>
          <w:tcPr>
            <w:tcW w:type="dxa" w:w="1751"/>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bCs/>
                <w:color w:val="1F2533"/>
                <w:sz w:val="15"/>
                <w:szCs w:val="15"/>
              </w:rPr>
              <w:t xml:space="preserve">Ongoing</w:t>
            </w:r>
          </w:p>
        </w:tc>
      </w:tr>
      <w:tr>
        <w:trPr>
          <w:cantSplit/>
        </w:trPr>
        <w:tc>
          <w:tcPr>
            <w:tcW w:type="dxa" w:w="1955"/>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5"/>
                <w:szCs w:val="15"/>
              </w:rPr>
              <w:t xml:space="preserve">Asset turnover (investor sales)</w:t>
            </w:r>
          </w:p>
        </w:tc>
        <w:tc>
          <w:tcPr>
            <w:tcW w:type="dxa" w:w="1674"/>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Strategic priority since 2020; accelerated from 2025</w:t>
            </w:r>
          </w:p>
        </w:tc>
        <w:tc>
          <w:tcPr>
            <w:tcW w:type="dxa" w:w="2201"/>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Recycle capital; raise ROE</w:t>
            </w:r>
          </w:p>
        </w:tc>
        <w:tc>
          <w:tcPr>
            <w:tcW w:type="dxa" w:w="2165"/>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Drove FY2025–26 profit growth; record FY2026 programme</w:t>
            </w:r>
          </w:p>
        </w:tc>
        <w:tc>
          <w:tcPr>
            <w:tcW w:type="dxa" w:w="1751"/>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bCs/>
                <w:color w:val="1F2533"/>
                <w:sz w:val="15"/>
                <w:szCs w:val="15"/>
              </w:rPr>
              <w:t xml:space="preserve">Success so far;</w:t>
            </w:r>
            <w:r>
              <w:rPr>
                <w:rFonts w:ascii="Arial" w:cs="Arial" w:eastAsia="Yu Gothic" w:hAnsi="Arial"/>
                <w:color w:val="1F2533"/>
                <w:sz w:val="15"/>
                <w:szCs w:val="15"/>
              </w:rPr>
              <w:t xml:space="preserve"> sustainability is the question (</w:t>
            </w:r>
            <w:hyperlink w:history="1" r:id="rIdpfkgv1ropkhx1ftlvuvy9">
              <w:r>
                <w:rPr>
                  <w:rFonts w:ascii="Arial" w:cs="Arial" w:eastAsia="Yu Gothic" w:hAnsi="Arial"/>
                  <w:color w:val="2F6FD0"/>
                  <w:sz w:val="15"/>
                  <w:szCs w:val="15"/>
                  <w:u w:val="single"/>
                </w:rPr>
                <w:t xml:space="preserve">Nikkei Veritas</w:t>
              </w:r>
            </w:hyperlink>
            <w:r>
              <w:rPr>
                <w:rFonts w:ascii="Arial" w:cs="Arial" w:eastAsia="Yu Gothic" w:hAnsi="Arial"/>
                <w:color w:val="1F2533"/>
                <w:sz w:val="15"/>
                <w:szCs w:val="15"/>
              </w:rPr>
              <w:t xml:space="preserve">)</w:t>
            </w:r>
          </w:p>
        </w:tc>
      </w:tr>
      <w:tr>
        <w:trPr>
          <w:cantSplit/>
        </w:trPr>
        <w:tc>
          <w:tcPr>
            <w:tcW w:type="dxa" w:w="1955"/>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5"/>
                <w:szCs w:val="15"/>
              </w:rPr>
              <w:t xml:space="preserve">T-LOGI logistics</w:t>
            </w:r>
          </w:p>
        </w:tc>
        <w:tc>
          <w:tcPr>
            <w:tcW w:type="dxa" w:w="1674"/>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Since 2019</w:t>
            </w:r>
          </w:p>
        </w:tc>
        <w:tc>
          <w:tcPr>
            <w:tcW w:type="dxa" w:w="2201"/>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New asset class for develop-to-sell</w:t>
            </w:r>
          </w:p>
        </w:tc>
        <w:tc>
          <w:tcPr>
            <w:tcW w:type="dxa" w:w="2165"/>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Projects in Saitama, Chiba, Fukuoka, Kyoto, Aichi; Sendai completed Jun 2026</w:t>
            </w:r>
          </w:p>
        </w:tc>
        <w:tc>
          <w:tcPr>
            <w:tcW w:type="dxa" w:w="1751"/>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bCs/>
                <w:color w:val="1F2533"/>
                <w:sz w:val="15"/>
                <w:szCs w:val="15"/>
              </w:rPr>
              <w:t xml:space="preserve">Established</w:t>
            </w:r>
          </w:p>
        </w:tc>
      </w:tr>
      <w:tr>
        <w:trPr>
          <w:cantSplit/>
        </w:trPr>
        <w:tc>
          <w:tcPr>
            <w:tcW w:type="dxa" w:w="1955"/>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5"/>
                <w:szCs w:val="15"/>
              </w:rPr>
              <w:t xml:space="preserve">Data centres</w:t>
            </w:r>
          </w:p>
        </w:tc>
        <w:tc>
          <w:tcPr>
            <w:tcW w:type="dxa" w:w="1674"/>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Since 2025</w:t>
            </w:r>
          </w:p>
        </w:tc>
        <w:tc>
          <w:tcPr>
            <w:tcW w:type="dxa" w:w="2201"/>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New asset class</w:t>
            </w:r>
          </w:p>
        </w:tc>
        <w:tc>
          <w:tcPr>
            <w:tcW w:type="dxa" w:w="2165"/>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Zeus OSA1 (25MW, 2028)</w:t>
            </w:r>
          </w:p>
        </w:tc>
        <w:tc>
          <w:tcPr>
            <w:tcW w:type="dxa" w:w="1751"/>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bCs/>
                <w:color w:val="1F2533"/>
                <w:sz w:val="15"/>
                <w:szCs w:val="15"/>
              </w:rPr>
              <w:t xml:space="preserve">Early</w:t>
            </w:r>
          </w:p>
        </w:tc>
      </w:tr>
      <w:tr>
        <w:trPr>
          <w:cantSplit/>
        </w:trPr>
        <w:tc>
          <w:tcPr>
            <w:tcW w:type="dxa" w:w="1955"/>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5"/>
                <w:szCs w:val="15"/>
              </w:rPr>
              <w:t xml:space="preserve">REIT and fund platform</w:t>
            </w:r>
          </w:p>
        </w:tc>
        <w:tc>
          <w:tcPr>
            <w:tcW w:type="dxa" w:w="1674"/>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JPR (since 2001); private REIT (2015); sole JPR sponsor (2023)</w:t>
            </w:r>
          </w:p>
        </w:tc>
        <w:tc>
          <w:tcPr>
            <w:tcW w:type="dxa" w:w="2201"/>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Exit channel and fee income</w:t>
            </w:r>
          </w:p>
        </w:tc>
        <w:tc>
          <w:tcPr>
            <w:tcW w:type="dxa" w:w="2165"/>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JPR ≈¥534bn of assets; private REIT ¥16bn → ¥47bn by 2018</w:t>
            </w:r>
          </w:p>
        </w:tc>
        <w:tc>
          <w:tcPr>
            <w:tcW w:type="dxa" w:w="1751"/>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bCs/>
                <w:color w:val="1F2533"/>
                <w:sz w:val="15"/>
                <w:szCs w:val="15"/>
              </w:rPr>
              <w:t xml:space="preserve">Stable</w:t>
            </w:r>
            <w:r>
              <w:rPr>
                <w:rFonts w:ascii="Arial" w:cs="Arial" w:eastAsia="Yu Gothic" w:hAnsi="Arial"/>
                <w:color w:val="1F2533"/>
                <w:sz w:val="15"/>
                <w:szCs w:val="15"/>
              </w:rPr>
              <w:t xml:space="preserve">; depends on capital markets</w:t>
            </w:r>
          </w:p>
        </w:tc>
      </w:tr>
      <w:tr>
        <w:trPr>
          <w:cantSplit/>
        </w:trPr>
        <w:tc>
          <w:tcPr>
            <w:tcW w:type="dxa" w:w="1955"/>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5"/>
                <w:szCs w:val="15"/>
              </w:rPr>
              <w:t xml:space="preserve">Parking (NPC24H)</w:t>
            </w:r>
          </w:p>
        </w:tc>
        <w:tc>
          <w:tcPr>
            <w:tcW w:type="dxa" w:w="1674"/>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Reorganised 2016</w:t>
            </w:r>
          </w:p>
        </w:tc>
        <w:tc>
          <w:tcPr>
            <w:tcW w:type="dxa" w:w="2201"/>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Grow through management contracts</w:t>
            </w:r>
          </w:p>
        </w:tc>
        <w:tc>
          <w:tcPr>
            <w:tcW w:type="dxa" w:w="2165"/>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75,618 spaces → ≈90,000</w:t>
            </w:r>
          </w:p>
        </w:tc>
        <w:tc>
          <w:tcPr>
            <w:tcW w:type="dxa" w:w="1751"/>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bCs/>
                <w:color w:val="1F2533"/>
                <w:sz w:val="15"/>
                <w:szCs w:val="15"/>
              </w:rPr>
              <w:t xml:space="preserve">Steady success</w:t>
            </w:r>
          </w:p>
        </w:tc>
      </w:tr>
      <w:tr>
        <w:trPr>
          <w:cantSplit/>
        </w:trPr>
        <w:tc>
          <w:tcPr>
            <w:tcW w:type="dxa" w:w="1955"/>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5"/>
                <w:szCs w:val="15"/>
              </w:rPr>
              <w:t xml:space="preserve">Overseas</w:t>
            </w:r>
          </w:p>
        </w:tc>
        <w:tc>
          <w:tcPr>
            <w:tcW w:type="dxa" w:w="1674"/>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China (since the early 1900s); Indonesia 2018; US 2023; Thailand; Australia; London 2025</w:t>
            </w:r>
          </w:p>
        </w:tc>
        <w:tc>
          <w:tcPr>
            <w:tcW w:type="dxa" w:w="2201"/>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Diversify growth</w:t>
            </w:r>
          </w:p>
        </w:tc>
        <w:tc>
          <w:tcPr>
            <w:tcW w:type="dxa" w:w="2165"/>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FY2025 equity-method loss of −¥6.9bn; guidance cut again in Aug 2026; Thailand expanding</w:t>
            </w:r>
          </w:p>
        </w:tc>
        <w:tc>
          <w:tcPr>
            <w:tcW w:type="dxa" w:w="1751"/>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bCs/>
                <w:color w:val="1F2533"/>
                <w:sz w:val="15"/>
                <w:szCs w:val="15"/>
              </w:rPr>
              <w:t xml:space="preserve">Mixed; partial failure</w:t>
            </w:r>
          </w:p>
        </w:tc>
      </w:tr>
      <w:tr>
        <w:trPr>
          <w:cantSplit/>
        </w:trPr>
        <w:tc>
          <w:tcPr>
            <w:tcW w:type="dxa" w:w="1955"/>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5"/>
                <w:szCs w:val="15"/>
              </w:rPr>
              <w:t xml:space="preserve">Cross-shareholding reduction</w:t>
            </w:r>
          </w:p>
        </w:tc>
        <w:tc>
          <w:tcPr>
            <w:tcW w:type="dxa" w:w="1674"/>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FY2025–27</w:t>
            </w:r>
          </w:p>
        </w:tc>
        <w:tc>
          <w:tcPr>
            <w:tcW w:type="dxa" w:w="2201"/>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≤10% of net assets; ≥¥130bn of sales (with fixed assets)</w:t>
            </w:r>
          </w:p>
        </w:tc>
        <w:tc>
          <w:tcPr>
            <w:tcW w:type="dxa" w:w="2165"/>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Hulic stake cut Dec 2024; FY2024 gains on securities sales; progress figures not disclosed</w:t>
            </w:r>
          </w:p>
        </w:tc>
        <w:tc>
          <w:tcPr>
            <w:tcW w:type="dxa" w:w="1751"/>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bCs/>
                <w:color w:val="1F2533"/>
                <w:sz w:val="15"/>
                <w:szCs w:val="15"/>
              </w:rPr>
              <w:t xml:space="preserve">Ongoing</w:t>
            </w:r>
          </w:p>
        </w:tc>
      </w:tr>
      <w:tr>
        <w:trPr>
          <w:cantSplit/>
        </w:trPr>
        <w:tc>
          <w:tcPr>
            <w:tcW w:type="dxa" w:w="1955"/>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5"/>
                <w:szCs w:val="15"/>
              </w:rPr>
              <w:t xml:space="preserve">Shareholder returns</w:t>
            </w:r>
          </w:p>
        </w:tc>
        <w:tc>
          <w:tcPr>
            <w:tcW w:type="dxa" w:w="1674"/>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2025–</w:t>
            </w:r>
          </w:p>
        </w:tc>
        <w:tc>
          <w:tcPr>
            <w:tcW w:type="dxa" w:w="2201"/>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Payout from ≥30% to 40%</w:t>
            </w:r>
          </w:p>
        </w:tc>
        <w:tc>
          <w:tcPr>
            <w:tcW w:type="dxa" w:w="2165"/>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Payout 30% → 37% → ≈40%; dividend ¥95 → ¥126; ¥3bn buyback</w:t>
            </w:r>
          </w:p>
        </w:tc>
        <w:tc>
          <w:tcPr>
            <w:tcW w:type="dxa" w:w="1751"/>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bCs/>
                <w:color w:val="1F2533"/>
                <w:sz w:val="15"/>
                <w:szCs w:val="15"/>
              </w:rPr>
              <w:t xml:space="preserve">Ahead of plan</w:t>
            </w:r>
          </w:p>
        </w:tc>
      </w:tr>
      <w:tr>
        <w:trPr>
          <w:cantSplit/>
        </w:trPr>
        <w:tc>
          <w:tcPr>
            <w:tcW w:type="dxa" w:w="1955"/>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5"/>
                <w:szCs w:val="15"/>
              </w:rPr>
              <w:t xml:space="preserve">ESG</w:t>
            </w:r>
          </w:p>
        </w:tc>
        <w:tc>
          <w:tcPr>
            <w:tcW w:type="dxa" w:w="1674"/>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2020s</w:t>
            </w:r>
          </w:p>
        </w:tc>
        <w:tc>
          <w:tcPr>
            <w:tcW w:type="dxa" w:w="2201"/>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SBT-certified targets; RE100; CO2 −40% by 2030; net zero by 2050</w:t>
            </w:r>
          </w:p>
        </w:tc>
        <w:tc>
          <w:tcPr>
            <w:tcW w:type="dxa" w:w="2165"/>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SOMPO Sustainability Index constituent (2024)</w:t>
            </w:r>
          </w:p>
        </w:tc>
        <w:tc>
          <w:tcPr>
            <w:tcW w:type="dxa" w:w="1751"/>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bCs/>
                <w:color w:val="1F2533"/>
                <w:sz w:val="15"/>
                <w:szCs w:val="15"/>
              </w:rPr>
              <w:t xml:space="preserve">On track (limited data)</w:t>
            </w:r>
          </w:p>
        </w:tc>
      </w:tr>
      <w:tr>
        <w:trPr>
          <w:cantSplit/>
        </w:trPr>
        <w:tc>
          <w:tcPr>
            <w:tcW w:type="dxa" w:w="1955"/>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5"/>
                <w:szCs w:val="15"/>
              </w:rPr>
              <w:t xml:space="preserve">Star Mica alliance</w:t>
            </w:r>
          </w:p>
        </w:tc>
        <w:tc>
          <w:tcPr>
            <w:tcW w:type="dxa" w:w="1674"/>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2026</w:t>
            </w:r>
          </w:p>
        </w:tc>
        <w:tc>
          <w:tcPr>
            <w:tcW w:type="dxa" w:w="2201"/>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Enter pre-owned condo renovation and resale</w:t>
            </w:r>
          </w:p>
        </w:tc>
        <w:tc>
          <w:tcPr>
            <w:tcW w:type="dxa" w:w="2165"/>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13.74% stake</w:t>
            </w:r>
          </w:p>
        </w:tc>
        <w:tc>
          <w:tcPr>
            <w:tcW w:type="dxa" w:w="1751"/>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bCs/>
                <w:color w:val="1F2533"/>
                <w:sz w:val="15"/>
                <w:szCs w:val="15"/>
              </w:rPr>
              <w:t xml:space="preserve">Too early</w:t>
            </w:r>
          </w:p>
        </w:tc>
      </w:tr>
    </w:tbl>
    <w:p>
      <w:pPr>
        <w:spacing w:after="120" w:before="0" w:line="276" w:lineRule="auto"/>
      </w:pPr>
    </w:p>
    <w:p>
      <w:pPr>
        <w:pBdr>
          <w:left w:val="single" w:color="2F6FD0" w:sz="24" w:space="8"/>
        </w:pBdr>
        <w:shd w:fill="EEF3FA" w:color="auto" w:val="clear"/>
        <w:spacing w:after="160" w:before="60" w:line="264" w:lineRule="auto"/>
        <w:ind w:left="200" w:right="200"/>
      </w:pPr>
      <w:r>
        <w:rPr>
          <w:rFonts w:ascii="Arial" w:cs="Arial" w:eastAsia="Yu Gothic" w:hAnsi="Arial"/>
          <w:b/>
          <w:bCs/>
          <w:color w:val="15233F"/>
          <w:sz w:val="18"/>
          <w:szCs w:val="18"/>
        </w:rPr>
        <w:t xml:space="preserve">Key takeaway:</w:t>
      </w:r>
      <w:r>
        <w:rPr>
          <w:rFonts w:ascii="Arial" w:cs="Arial" w:eastAsia="Yu Gothic" w:hAnsi="Arial"/>
          <w:color w:val="15233F"/>
          <w:sz w:val="18"/>
          <w:szCs w:val="18"/>
        </w:rPr>
        <w:t xml:space="preserve"> Tokyo Tatemono reliably hits its domestic plans and has built a credible asset-turnover platform. Overseas is the persistent disappointment. The next plan (due by early 2028, possibly earlier because targets are being met early) is the main strategic catalyst.</w:t>
      </w:r>
    </w:p>
    <w:p>
      <w:pPr>
        <w:pStyle w:val="Heading1"/>
        <w:keepNext/>
        <w:keepLines/>
        <w:pageBreakBefore/>
        <w:pBdr>
          <w:bottom w:val="single" w:color="2F6FD0" w:sz="12" w:space="6"/>
        </w:pBdr>
        <w:spacing w:after="160" w:before="0" w:line="252" w:lineRule="auto"/>
      </w:pPr>
      <w:r>
        <w:rPr>
          <w:rFonts w:ascii="Arial" w:cs="Arial" w:eastAsia="Yu Gothic" w:hAnsi="Arial"/>
          <w:b/>
          <w:bCs/>
          <w:color w:val="15233F"/>
          <w:sz w:val="32"/>
          <w:szCs w:val="32"/>
        </w:rPr>
        <w:t xml:space="preserve">16. Stakes in other companies: a ≈¥56–61bn listed portfolio, mostly relationship holdings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2"/>
        <w:gridCol w:w="2348"/>
        <w:gridCol w:w="1825"/>
        <w:gridCol w:w="2272"/>
        <w:gridCol w:w="1699"/>
      </w:tblGrid>
      <w:tr>
        <w:trPr>
          <w:cantSplit/>
          <w:tblHeader/>
        </w:trPr>
        <w:tc>
          <w:tcPr>
            <w:tcW w:type="dxa" w:w="1602"/>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bCs/>
                <w:color w:val="FFFFFF"/>
                <w:sz w:val="15"/>
                <w:szCs w:val="15"/>
              </w:rPr>
              <w:t xml:space="preserve">Holding</w:t>
            </w:r>
          </w:p>
        </w:tc>
        <w:tc>
          <w:tcPr>
            <w:tcW w:type="dxa" w:w="2348"/>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5"/>
                <w:szCs w:val="15"/>
              </w:rPr>
              <w:t xml:space="preserve">Stake</w:t>
            </w:r>
          </w:p>
        </w:tc>
        <w:tc>
          <w:tcPr>
            <w:tcW w:type="dxa" w:w="1825"/>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5"/>
                <w:szCs w:val="15"/>
              </w:rPr>
              <w:t xml:space="preserve">Estimated value</w:t>
            </w:r>
          </w:p>
        </w:tc>
        <w:tc>
          <w:tcPr>
            <w:tcW w:type="dxa" w:w="2272"/>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5"/>
                <w:szCs w:val="15"/>
              </w:rPr>
              <w:t xml:space="preserve">Strategic relevance</w:t>
            </w:r>
          </w:p>
        </w:tc>
        <w:tc>
          <w:tcPr>
            <w:tcW w:type="dxa" w:w="1699"/>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5"/>
                <w:szCs w:val="15"/>
              </w:rPr>
              <w:t xml:space="preserve">Financial relevance</w:t>
            </w:r>
          </w:p>
        </w:tc>
      </w:tr>
      <w:tr>
        <w:trPr>
          <w:cantSplit/>
        </w:trPr>
        <w:tc>
          <w:tcPr>
            <w:tcW w:type="dxa" w:w="1602"/>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5"/>
                <w:szCs w:val="15"/>
              </w:rPr>
              <w:t xml:space="preserve">Japan Prime Realty Investment Corp (8955)</w:t>
            </w:r>
          </w:p>
        </w:tc>
        <w:tc>
          <w:tcPr>
            <w:tcW w:type="dxa" w:w="2348"/>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122,700 units, 3.03% (</w:t>
            </w:r>
            <w:hyperlink w:history="1" r:id="rIddywg1b_z1n7db5d7v9yzp">
              <w:r>
                <w:rPr>
                  <w:rFonts w:ascii="Arial" w:cs="Arial" w:eastAsia="Yu Gothic" w:hAnsi="Arial"/>
                  <w:color w:val="2F6FD0"/>
                  <w:sz w:val="15"/>
                  <w:szCs w:val="15"/>
                  <w:u w:val="single"/>
                </w:rPr>
                <w:t xml:space="preserve">JPR governance report</w:t>
              </w:r>
            </w:hyperlink>
            <w:r>
              <w:rPr>
                <w:rFonts w:ascii="Arial" w:cs="Arial" w:eastAsia="Yu Gothic" w:hAnsi="Arial"/>
                <w:color w:val="1F2533"/>
                <w:sz w:val="15"/>
                <w:szCs w:val="15"/>
              </w:rPr>
              <w:t xml:space="preserve">)</w:t>
            </w:r>
          </w:p>
        </w:tc>
        <w:tc>
          <w:tcPr>
            <w:tcW w:type="dxa" w:w="1825"/>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≈¥9.8–13.5bn (illustrative: ¥80,000–110,000 per unit)</w:t>
            </w:r>
          </w:p>
        </w:tc>
        <w:tc>
          <w:tcPr>
            <w:tcW w:type="dxa" w:w="2272"/>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bCs/>
                <w:color w:val="1F2533"/>
                <w:sz w:val="15"/>
                <w:szCs w:val="15"/>
              </w:rPr>
              <w:t xml:space="preserve">High.</w:t>
            </w:r>
            <w:r>
              <w:rPr>
                <w:rFonts w:ascii="Arial" w:cs="Arial" w:eastAsia="Yu Gothic" w:hAnsi="Arial"/>
                <w:color w:val="1F2533"/>
                <w:sz w:val="15"/>
                <w:szCs w:val="15"/>
              </w:rPr>
              <w:t xml:space="preserve"> Sponsor commitment; the main exit channel for completed assets; fees through 100%-owned TRIM</w:t>
            </w:r>
          </w:p>
        </w:tc>
        <w:tc>
          <w:tcPr>
            <w:tcW w:type="dxa" w:w="1699"/>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Low (≈1.5–2% of market cap)</w:t>
            </w:r>
          </w:p>
        </w:tc>
      </w:tr>
      <w:tr>
        <w:trPr>
          <w:cantSplit/>
        </w:trPr>
        <w:tc>
          <w:tcPr>
            <w:tcW w:type="dxa" w:w="1602"/>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5"/>
                <w:szCs w:val="15"/>
              </w:rPr>
              <w:t xml:space="preserve">Hulic (3003)</w:t>
            </w:r>
          </w:p>
        </w:tc>
        <w:tc>
          <w:tcPr>
            <w:tcW w:type="dxa" w:w="2348"/>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20,374,433 shares, 2.65% (</w:t>
            </w:r>
            <w:hyperlink w:history="1" r:id="rIdhqghd_qfrsd_nyi4bfhww">
              <w:r>
                <w:rPr>
                  <w:rFonts w:ascii="Arial" w:cs="Arial" w:eastAsia="Yu Gothic" w:hAnsi="Arial"/>
                  <w:color w:val="2F6FD0"/>
                  <w:sz w:val="15"/>
                  <w:szCs w:val="15"/>
                  <w:u w:val="single"/>
                </w:rPr>
                <w:t xml:space="preserve">Kabutan</w:t>
              </w:r>
            </w:hyperlink>
            <w:r>
              <w:rPr>
                <w:rFonts w:ascii="Arial" w:cs="Arial" w:eastAsia="Yu Gothic" w:hAnsi="Arial"/>
                <w:color w:val="1F2533"/>
                <w:sz w:val="15"/>
                <w:szCs w:val="15"/>
              </w:rPr>
              <w:t xml:space="preserve">)</w:t>
            </w:r>
          </w:p>
        </w:tc>
        <w:tc>
          <w:tcPr>
            <w:tcW w:type="dxa" w:w="1825"/>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≈¥35.3bn at ¥1,734</w:t>
            </w:r>
          </w:p>
        </w:tc>
        <w:tc>
          <w:tcPr>
            <w:tcW w:type="dxa" w:w="2272"/>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Fuyo/Yasuda relationship; reciprocal holding (Hulic owns 1.22% of Tokyo Tatemono)</w:t>
            </w:r>
          </w:p>
        </w:tc>
        <w:tc>
          <w:tcPr>
            <w:tcW w:type="dxa" w:w="1699"/>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bCs/>
                <w:color w:val="1F2533"/>
                <w:sz w:val="15"/>
                <w:szCs w:val="15"/>
              </w:rPr>
              <w:t xml:space="preserve">Material:</w:t>
            </w:r>
            <w:r>
              <w:rPr>
                <w:rFonts w:ascii="Arial" w:cs="Arial" w:eastAsia="Yu Gothic" w:hAnsi="Arial"/>
                <w:color w:val="1F2533"/>
                <w:sz w:val="15"/>
                <w:szCs w:val="15"/>
              </w:rPr>
              <w:t xml:space="preserve"> ≈5% of market cap; prime candidate for the ≥¥130bn sale programme</w:t>
            </w:r>
          </w:p>
        </w:tc>
      </w:tr>
      <w:tr>
        <w:trPr>
          <w:cantSplit/>
        </w:trPr>
        <w:tc>
          <w:tcPr>
            <w:tcW w:type="dxa" w:w="1602"/>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5"/>
                <w:szCs w:val="15"/>
              </w:rPr>
              <w:t xml:space="preserve">Yasuda Logistics (9324)</w:t>
            </w:r>
          </w:p>
        </w:tc>
        <w:tc>
          <w:tcPr>
            <w:tcW w:type="dxa" w:w="2348"/>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1.60m shares, 5.53% (</w:t>
            </w:r>
            <w:hyperlink w:history="1" r:id="rIdmhzin5ato0zrsmzesjxdb">
              <w:r>
                <w:rPr>
                  <w:rFonts w:ascii="Arial" w:cs="Arial" w:eastAsia="Yu Gothic" w:hAnsi="Arial"/>
                  <w:color w:val="2F6FD0"/>
                  <w:sz w:val="15"/>
                  <w:szCs w:val="15"/>
                  <w:u w:val="single"/>
                </w:rPr>
                <w:t xml:space="preserve">Kabutan</w:t>
              </w:r>
            </w:hyperlink>
            <w:r>
              <w:rPr>
                <w:rFonts w:ascii="Arial" w:cs="Arial" w:eastAsia="Yu Gothic" w:hAnsi="Arial"/>
                <w:color w:val="1F2533"/>
                <w:sz w:val="15"/>
                <w:szCs w:val="15"/>
              </w:rPr>
              <w:t xml:space="preserve">)</w:t>
            </w:r>
          </w:p>
        </w:tc>
        <w:tc>
          <w:tcPr>
            <w:tcW w:type="dxa" w:w="1825"/>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≈¥3.9bn (estimate)</w:t>
            </w:r>
          </w:p>
        </w:tc>
        <w:tc>
          <w:tcPr>
            <w:tcW w:type="dxa" w:w="2272"/>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Relationship; possible logistics partner</w:t>
            </w:r>
          </w:p>
        </w:tc>
        <w:tc>
          <w:tcPr>
            <w:tcW w:type="dxa" w:w="1699"/>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Small</w:t>
            </w:r>
          </w:p>
        </w:tc>
      </w:tr>
      <w:tr>
        <w:trPr>
          <w:cantSplit/>
        </w:trPr>
        <w:tc>
          <w:tcPr>
            <w:tcW w:type="dxa" w:w="1602"/>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5"/>
                <w:szCs w:val="15"/>
              </w:rPr>
              <w:t xml:space="preserve">Star Mica HD (2975)</w:t>
            </w:r>
          </w:p>
        </w:tc>
        <w:tc>
          <w:tcPr>
            <w:tcW w:type="dxa" w:w="2348"/>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13.74% (filed 2 Jun 2026)</w:t>
            </w:r>
          </w:p>
        </w:tc>
        <w:tc>
          <w:tcPr>
            <w:tcW w:type="dxa" w:w="1825"/>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≈¥7–8bn (estimate)</w:t>
            </w:r>
          </w:p>
        </w:tc>
        <w:tc>
          <w:tcPr>
            <w:tcW w:type="dxa" w:w="2272"/>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bCs/>
                <w:color w:val="1F2533"/>
                <w:sz w:val="15"/>
                <w:szCs w:val="15"/>
              </w:rPr>
              <w:t xml:space="preserve">Strategic:</w:t>
            </w:r>
            <w:r>
              <w:rPr>
                <w:rFonts w:ascii="Arial" w:cs="Arial" w:eastAsia="Yu Gothic" w:hAnsi="Arial"/>
                <w:color w:val="1F2533"/>
                <w:sz w:val="15"/>
                <w:szCs w:val="15"/>
              </w:rPr>
              <w:t xml:space="preserve"> pre-owned condo renovation, linking Brillia to brokerage</w:t>
            </w:r>
          </w:p>
        </w:tc>
        <w:tc>
          <w:tcPr>
            <w:tcW w:type="dxa" w:w="1699"/>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Small</w:t>
            </w:r>
          </w:p>
        </w:tc>
      </w:tr>
      <w:tr>
        <w:trPr>
          <w:cantSplit/>
        </w:trPr>
        <w:tc>
          <w:tcPr>
            <w:tcW w:type="dxa" w:w="1602"/>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5"/>
                <w:szCs w:val="15"/>
              </w:rPr>
              <w:t xml:space="preserve">Other listed holdings</w:t>
            </w:r>
          </w:p>
        </w:tc>
        <w:tc>
          <w:tcPr>
            <w:tcW w:type="dxa" w:w="2348"/>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Tokyo Tatemono is a major holder in eight listed securities in total; five are unidentified (</w:t>
            </w:r>
            <w:hyperlink w:history="1" r:id="rIduufagimpljm-diqqzlcto">
              <w:r>
                <w:rPr>
                  <w:rFonts w:ascii="Arial" w:cs="Arial" w:eastAsia="Yu Gothic" w:hAnsi="Arial"/>
                  <w:color w:val="2F6FD0"/>
                  <w:sz w:val="15"/>
                  <w:szCs w:val="15"/>
                  <w:u w:val="single"/>
                </w:rPr>
                <w:t xml:space="preserve">Kabutan</w:t>
              </w:r>
            </w:hyperlink>
            <w:r>
              <w:rPr>
                <w:rFonts w:ascii="Arial" w:cs="Arial" w:eastAsia="Yu Gothic" w:hAnsi="Arial"/>
                <w:color w:val="1F2533"/>
                <w:sz w:val="15"/>
                <w:szCs w:val="15"/>
              </w:rPr>
              <w:t xml:space="preserve">)</w:t>
            </w:r>
          </w:p>
        </w:tc>
        <w:tc>
          <w:tcPr>
            <w:tcW w:type="dxa" w:w="1825"/>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n/a</w:t>
            </w:r>
          </w:p>
        </w:tc>
        <w:tc>
          <w:tcPr>
            <w:tcW w:type="dxa" w:w="2272"/>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Policy holdings being reduced</w:t>
            </w:r>
          </w:p>
        </w:tc>
        <w:tc>
          <w:tcPr>
            <w:tcW w:type="dxa" w:w="1699"/>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n/a</w:t>
            </w:r>
          </w:p>
        </w:tc>
      </w:tr>
      <w:tr>
        <w:trPr>
          <w:cantSplit/>
        </w:trPr>
        <w:tc>
          <w:tcPr>
            <w:tcW w:type="dxa" w:w="1602"/>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5"/>
                <w:szCs w:val="15"/>
              </w:rPr>
              <w:t xml:space="preserve">Equity-method affiliates</w:t>
            </w:r>
          </w:p>
        </w:tc>
        <w:tc>
          <w:tcPr>
            <w:tcW w:type="dxa" w:w="2348"/>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22 at FY2022, including Chinese condo affiliates (Yangzhou Wanyi and six others), MTC Japan Investment, Yangon Museum Development, PT Dharma Tatemono Property/Residences and Kasumigaseki Development TMK (</w:t>
            </w:r>
            <w:hyperlink w:history="1" r:id="rIdcvnb02khrrmhdp8gvmeyh">
              <w:r>
                <w:rPr>
                  <w:rFonts w:ascii="Arial" w:cs="Arial" w:eastAsia="Yu Gothic" w:hAnsi="Arial"/>
                  <w:color w:val="2F6FD0"/>
                  <w:sz w:val="15"/>
                  <w:szCs w:val="15"/>
                  <w:u w:val="single"/>
                </w:rPr>
                <w:t xml:space="preserve">FY2022 Yuho</w:t>
              </w:r>
            </w:hyperlink>
            <w:r>
              <w:rPr>
                <w:rFonts w:ascii="Arial" w:cs="Arial" w:eastAsia="Yu Gothic" w:hAnsi="Arial"/>
                <w:color w:val="1F2533"/>
                <w:sz w:val="15"/>
                <w:szCs w:val="15"/>
              </w:rPr>
              <w:t xml:space="preserve">)</w:t>
            </w:r>
          </w:p>
        </w:tc>
        <w:tc>
          <w:tcPr>
            <w:tcW w:type="dxa" w:w="1825"/>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Not disclosed</w:t>
            </w:r>
          </w:p>
        </w:tc>
        <w:tc>
          <w:tcPr>
            <w:tcW w:type="dxa" w:w="2272"/>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Overseas growth; SPC-based development</w:t>
            </w:r>
          </w:p>
        </w:tc>
        <w:tc>
          <w:tcPr>
            <w:tcW w:type="dxa" w:w="1699"/>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bCs/>
                <w:color w:val="1F2533"/>
                <w:sz w:val="15"/>
                <w:szCs w:val="15"/>
              </w:rPr>
              <w:t xml:space="preserve">Negative recently:</w:t>
            </w:r>
            <w:r>
              <w:rPr>
                <w:rFonts w:ascii="Arial" w:cs="Arial" w:eastAsia="Yu Gothic" w:hAnsi="Arial"/>
                <w:color w:val="1F2533"/>
                <w:sz w:val="15"/>
                <w:szCs w:val="15"/>
              </w:rPr>
              <w:t xml:space="preserve"> −¥6.9bn in FY2025</w:t>
            </w:r>
          </w:p>
        </w:tc>
      </w:tr>
      <w:tr>
        <w:trPr>
          <w:cantSplit/>
        </w:trPr>
        <w:tc>
          <w:tcPr>
            <w:tcW w:type="dxa" w:w="1602"/>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5"/>
                <w:szCs w:val="15"/>
              </w:rPr>
              <w:t xml:space="preserve">Overseas joint ventures</w:t>
            </w:r>
          </w:p>
        </w:tc>
        <w:tc>
          <w:tcPr>
            <w:tcW w:type="dxa" w:w="2348"/>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SC Asset/SCX (Thailand); WHA–KW (Bangkok offices); Lendlease and Nippon Steel Kowa (Melbourne); Charter Hall/UBS (Australian industrial); PT Farpoint (Indonesia); US rental and logistics projects; London</w:t>
            </w:r>
          </w:p>
        </w:tc>
        <w:tc>
          <w:tcPr>
            <w:tcW w:type="dxa" w:w="1825"/>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Not disclosed</w:t>
            </w:r>
          </w:p>
        </w:tc>
        <w:tc>
          <w:tcPr>
            <w:tcW w:type="dxa" w:w="2272"/>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Diversification</w:t>
            </w:r>
          </w:p>
        </w:tc>
        <w:tc>
          <w:tcPr>
            <w:tcW w:type="dxa" w:w="1699"/>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Loss-making in aggregate in FY2025</w:t>
            </w:r>
          </w:p>
        </w:tc>
      </w:tr>
      <w:tr>
        <w:trPr>
          <w:cantSplit/>
        </w:trPr>
        <w:tc>
          <w:tcPr>
            <w:tcW w:type="dxa" w:w="1602"/>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5"/>
                <w:szCs w:val="15"/>
              </w:rPr>
              <w:t xml:space="preserve">Data-centre joint venture</w:t>
            </w:r>
          </w:p>
        </w:tc>
        <w:tc>
          <w:tcPr>
            <w:tcW w:type="dxa" w:w="2348"/>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Zeus OSA1 with SC Zeus Data Centers</w:t>
            </w:r>
          </w:p>
        </w:tc>
        <w:tc>
          <w:tcPr>
            <w:tcW w:type="dxa" w:w="1825"/>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Not disclosed</w:t>
            </w:r>
          </w:p>
        </w:tc>
        <w:tc>
          <w:tcPr>
            <w:tcW w:type="dxa" w:w="2272"/>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New asset class</w:t>
            </w:r>
          </w:p>
        </w:tc>
        <w:tc>
          <w:tcPr>
            <w:tcW w:type="dxa" w:w="1699"/>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5"/>
                <w:szCs w:val="15"/>
              </w:rPr>
              <w:t xml:space="preserve">Not yet earning</w:t>
            </w:r>
          </w:p>
        </w:tc>
      </w:tr>
    </w:tbl>
    <w:p>
      <w:pPr>
        <w:spacing w:after="120" w:before="0" w:line="276" w:lineRule="auto"/>
      </w:pPr>
    </w:p>
    <w:p>
      <w:pPr>
        <w:spacing w:after="110" w:before="0" w:line="276" w:lineRule="auto"/>
      </w:pPr>
      <w:r>
        <w:rPr>
          <w:rFonts w:ascii="Arial" w:cs="Arial" w:eastAsia="Yu Gothic" w:hAnsi="Arial"/>
          <w:b/>
          <w:bCs/>
          <w:color w:val="1F2533"/>
          <w:sz w:val="19"/>
          <w:szCs w:val="19"/>
        </w:rPr>
        <w:t xml:space="preserve">Listed stakes total about ¥56–61bn, or about 8–9% of Tokyo Tatemono's market cap.</w:t>
      </w:r>
    </w:p>
    <w:p>
      <w:pPr>
        <w:pStyle w:val="ListParagraph"/>
        <w:numPr>
          <w:ilvl w:val="0"/>
          <w:numId w:val="2"/>
        </w:numPr>
        <w:spacing w:after="60" w:line="264" w:lineRule="auto"/>
      </w:pPr>
      <w:r>
        <w:rPr>
          <w:rFonts w:ascii="Arial" w:cs="Arial" w:eastAsia="Yu Gothic" w:hAnsi="Arial"/>
          <w:b/>
          <w:bCs/>
          <w:color w:val="1F2533"/>
          <w:sz w:val="19"/>
          <w:szCs w:val="19"/>
        </w:rPr>
        <w:t xml:space="preserve">Only JPR is truly strategic.</w:t>
      </w:r>
      <w:r>
        <w:rPr>
          <w:rFonts w:ascii="Arial" w:cs="Arial" w:eastAsia="Yu Gothic" w:hAnsi="Arial"/>
          <w:color w:val="1F2533"/>
          <w:sz w:val="19"/>
          <w:szCs w:val="19"/>
        </w:rPr>
        <w:t xml:space="preserve"> It is the exit valve for the asset-turnover model.</w:t>
      </w:r>
    </w:p>
    <w:p>
      <w:pPr>
        <w:pStyle w:val="ListParagraph"/>
        <w:numPr>
          <w:ilvl w:val="0"/>
          <w:numId w:val="2"/>
        </w:numPr>
        <w:spacing w:after="60" w:line="264" w:lineRule="auto"/>
      </w:pPr>
      <w:r>
        <w:rPr>
          <w:rFonts w:ascii="Arial" w:cs="Arial" w:eastAsia="Yu Gothic" w:hAnsi="Arial"/>
          <w:b/>
          <w:bCs/>
          <w:color w:val="1F2533"/>
          <w:sz w:val="19"/>
          <w:szCs w:val="19"/>
        </w:rPr>
        <w:t xml:space="preserve">Hulic is the main financial lever.</w:t>
      </w:r>
      <w:r>
        <w:rPr>
          <w:rFonts w:ascii="Arial" w:cs="Arial" w:eastAsia="Yu Gothic" w:hAnsi="Arial"/>
          <w:color w:val="1F2533"/>
          <w:sz w:val="19"/>
          <w:szCs w:val="19"/>
        </w:rPr>
        <w:t xml:space="preserve"> Selling it would fund roughly ¥35bn of buybacks or debt reduction and help dismantle the Fuyo cross-holding web.</w:t>
      </w:r>
    </w:p>
    <w:p>
      <w:pPr>
        <w:pStyle w:val="ListParagraph"/>
        <w:numPr>
          <w:ilvl w:val="0"/>
          <w:numId w:val="2"/>
        </w:numPr>
        <w:spacing w:after="60" w:line="264" w:lineRule="auto"/>
      </w:pPr>
      <w:r>
        <w:rPr>
          <w:rFonts w:ascii="Arial" w:cs="Arial" w:eastAsia="Yu Gothic" w:hAnsi="Arial"/>
          <w:b/>
          <w:bCs/>
          <w:color w:val="1F2533"/>
          <w:sz w:val="19"/>
          <w:szCs w:val="19"/>
        </w:rPr>
        <w:t xml:space="preserve">The equity-method book is a source of risk rather than value.</w:t>
      </w:r>
      <w:r>
        <w:rPr>
          <w:rFonts w:ascii="Arial" w:cs="Arial" w:eastAsia="Yu Gothic" w:hAnsi="Arial"/>
          <w:color w:val="1F2533"/>
          <w:sz w:val="19"/>
          <w:szCs w:val="19"/>
        </w:rPr>
        <w:t xml:space="preserve"> Its losses have flowed straight to net income.</w:t>
      </w:r>
    </w:p>
    <w:p>
      <w:pPr>
        <w:pStyle w:val="ListParagraph"/>
        <w:numPr>
          <w:ilvl w:val="0"/>
          <w:numId w:val="2"/>
        </w:numPr>
        <w:spacing w:after="60" w:line="264" w:lineRule="auto"/>
      </w:pPr>
      <w:r>
        <w:rPr>
          <w:rFonts w:ascii="Arial" w:cs="Arial" w:eastAsia="Yu Gothic" w:hAnsi="Arial"/>
          <w:b/>
          <w:bCs/>
          <w:color w:val="1F2533"/>
          <w:sz w:val="19"/>
          <w:szCs w:val="19"/>
        </w:rPr>
        <w:t xml:space="preserve">The ≥¥130bn sale target implies a larger total pool.</w:t>
      </w:r>
      <w:r>
        <w:rPr>
          <w:rFonts w:ascii="Arial" w:cs="Arial" w:eastAsia="Yu Gothic" w:hAnsi="Arial"/>
          <w:color w:val="1F2533"/>
          <w:sz w:val="19"/>
          <w:szCs w:val="19"/>
        </w:rPr>
        <w:t xml:space="preserve"> The target covers policy shares plus fixed assets, so the full investment-securities balance is larger than the listed stakes identified here.</w:t>
      </w:r>
    </w:p>
    <w:p>
      <w:pPr>
        <w:spacing w:after="40" w:before="0" w:line="276" w:lineRule="auto"/>
      </w:pPr>
    </w:p>
    <w:p>
      <w:pPr>
        <w:pBdr>
          <w:left w:val="single" w:color="2F6FD0" w:sz="24" w:space="8"/>
        </w:pBdr>
        <w:shd w:fill="EEF3FA" w:color="auto" w:val="clear"/>
        <w:spacing w:after="160" w:before="60" w:line="264" w:lineRule="auto"/>
        <w:ind w:left="200" w:right="200"/>
      </w:pPr>
      <w:r>
        <w:rPr>
          <w:rFonts w:ascii="Arial" w:cs="Arial" w:eastAsia="Yu Gothic" w:hAnsi="Arial"/>
          <w:b/>
          <w:bCs/>
          <w:color w:val="15233F"/>
          <w:sz w:val="18"/>
          <w:szCs w:val="18"/>
        </w:rPr>
        <w:t xml:space="preserve">Key takeaway:</w:t>
      </w:r>
      <w:r>
        <w:rPr>
          <w:rFonts w:ascii="Arial" w:cs="Arial" w:eastAsia="Yu Gothic" w:hAnsi="Arial"/>
          <w:color w:val="15233F"/>
          <w:sz w:val="18"/>
          <w:szCs w:val="18"/>
        </w:rPr>
        <w:t xml:space="preserve"> Stakes add about ¥270–290 per share of liquid value (mostly Hulic and JPR). They are better read as a funding source for capital returns than as a hidden-value story.</w:t>
      </w:r>
    </w:p>
    <w:p>
      <w:pPr>
        <w:pStyle w:val="Heading1"/>
        <w:keepNext/>
        <w:keepLines/>
        <w:pageBreakBefore/>
        <w:pBdr>
          <w:bottom w:val="single" w:color="2F6FD0" w:sz="12" w:space="6"/>
        </w:pBdr>
        <w:spacing w:after="160" w:before="0" w:line="252" w:lineRule="auto"/>
      </w:pPr>
      <w:r>
        <w:rPr>
          <w:rFonts w:ascii="Arial" w:cs="Arial" w:eastAsia="Yu Gothic" w:hAnsi="Arial"/>
          <w:b/>
          <w:bCs/>
          <w:color w:val="15233F"/>
          <w:sz w:val="32"/>
          <w:szCs w:val="32"/>
        </w:rPr>
        <w:t xml:space="preserve">17. Dividends, buybacks and treasury shares, FY2021–FY2026E</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5"/>
        <w:gridCol w:w="781"/>
        <w:gridCol w:w="1364"/>
        <w:gridCol w:w="1366"/>
        <w:gridCol w:w="1150"/>
        <w:gridCol w:w="1393"/>
        <w:gridCol w:w="1402"/>
        <w:gridCol w:w="1525"/>
      </w:tblGrid>
      <w:tr>
        <w:trPr>
          <w:cantSplit/>
          <w:tblHeader/>
        </w:trPr>
        <w:tc>
          <w:tcPr>
            <w:tcW w:type="dxa" w:w="765"/>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bCs/>
                <w:color w:val="FFFFFF"/>
                <w:sz w:val="14"/>
                <w:szCs w:val="14"/>
              </w:rPr>
              <w:t xml:space="preserve">FY</w:t>
            </w:r>
          </w:p>
        </w:tc>
        <w:tc>
          <w:tcPr>
            <w:tcW w:type="dxa" w:w="781"/>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4"/>
                <w:szCs w:val="14"/>
              </w:rPr>
              <w:t xml:space="preserve">Interim DPS</w:t>
            </w:r>
          </w:p>
        </w:tc>
        <w:tc>
          <w:tcPr>
            <w:tcW w:type="dxa" w:w="1364"/>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4"/>
                <w:szCs w:val="14"/>
              </w:rPr>
              <w:t xml:space="preserve">Year-end DPS</w:t>
            </w:r>
          </w:p>
        </w:tc>
        <w:tc>
          <w:tcPr>
            <w:tcW w:type="dxa" w:w="1366"/>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4"/>
                <w:szCs w:val="14"/>
              </w:rPr>
              <w:t xml:space="preserve">Annual DPS</w:t>
            </w:r>
          </w:p>
        </w:tc>
        <w:tc>
          <w:tcPr>
            <w:tcW w:type="dxa" w:w="1150"/>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4"/>
                <w:szCs w:val="14"/>
              </w:rPr>
              <w:t xml:space="preserve">Payout (total payout)</w:t>
            </w:r>
          </w:p>
        </w:tc>
        <w:tc>
          <w:tcPr>
            <w:tcW w:type="dxa" w:w="1393"/>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4"/>
                <w:szCs w:val="14"/>
              </w:rPr>
              <w:t xml:space="preserve">Buyback</w:t>
            </w:r>
          </w:p>
        </w:tc>
        <w:tc>
          <w:tcPr>
            <w:tcW w:type="dxa" w:w="1402"/>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4"/>
                <w:szCs w:val="14"/>
              </w:rPr>
              <w:t xml:space="preserve">Shares cancelled</w:t>
            </w:r>
          </w:p>
        </w:tc>
        <w:tc>
          <w:tcPr>
            <w:tcW w:type="dxa" w:w="1525"/>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4"/>
                <w:szCs w:val="14"/>
              </w:rPr>
              <w:t xml:space="preserve">Treasury shares at period-end</w:t>
            </w:r>
          </w:p>
        </w:tc>
      </w:tr>
      <w:tr>
        <w:trPr>
          <w:cantSplit/>
        </w:trPr>
        <w:tc>
          <w:tcPr>
            <w:tcW w:type="dxa" w:w="765"/>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4"/>
                <w:szCs w:val="14"/>
              </w:rPr>
              <w:t xml:space="preserve">FY2021</w:t>
            </w:r>
          </w:p>
        </w:tc>
        <w:tc>
          <w:tcPr>
            <w:tcW w:type="dxa" w:w="781"/>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¥24</w:t>
            </w:r>
          </w:p>
        </w:tc>
        <w:tc>
          <w:tcPr>
            <w:tcW w:type="dxa" w:w="1364"/>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¥27</w:t>
            </w:r>
          </w:p>
        </w:tc>
        <w:tc>
          <w:tcPr>
            <w:tcW w:type="dxa" w:w="136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b/>
                <w:bCs/>
                <w:color w:val="1F2533"/>
                <w:sz w:val="14"/>
                <w:szCs w:val="14"/>
              </w:rPr>
              <w:t xml:space="preserve">¥51</w:t>
            </w:r>
          </w:p>
        </w:tc>
        <w:tc>
          <w:tcPr>
            <w:tcW w:type="dxa" w:w="1150"/>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30.5%</w:t>
            </w:r>
          </w:p>
        </w:tc>
        <w:tc>
          <w:tcPr>
            <w:tcW w:type="dxa" w:w="1393"/>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4"/>
                <w:szCs w:val="14"/>
              </w:rPr>
              <w:t xml:space="preserve">None found</w:t>
            </w:r>
          </w:p>
        </w:tc>
        <w:tc>
          <w:tcPr>
            <w:tcW w:type="dxa" w:w="1402"/>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4"/>
                <w:szCs w:val="14"/>
              </w:rPr>
              <w:t xml:space="preserve">None found</w:t>
            </w:r>
          </w:p>
        </w:tc>
        <w:tc>
          <w:tcPr>
            <w:tcW w:type="dxa" w:w="1525"/>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n/a</w:t>
            </w:r>
          </w:p>
        </w:tc>
      </w:tr>
      <w:tr>
        <w:trPr>
          <w:cantSplit/>
        </w:trPr>
        <w:tc>
          <w:tcPr>
            <w:tcW w:type="dxa" w:w="765"/>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4"/>
                <w:szCs w:val="14"/>
              </w:rPr>
              <w:t xml:space="preserve">FY2022</w:t>
            </w:r>
          </w:p>
        </w:tc>
        <w:tc>
          <w:tcPr>
            <w:tcW w:type="dxa" w:w="781"/>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¥29</w:t>
            </w:r>
          </w:p>
        </w:tc>
        <w:tc>
          <w:tcPr>
            <w:tcW w:type="dxa" w:w="1364"/>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¥36</w:t>
            </w:r>
          </w:p>
        </w:tc>
        <w:tc>
          <w:tcPr>
            <w:tcW w:type="dxa" w:w="1366"/>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b/>
                <w:bCs/>
                <w:color w:val="1F2533"/>
                <w:sz w:val="14"/>
                <w:szCs w:val="14"/>
              </w:rPr>
              <w:t xml:space="preserve">¥65</w:t>
            </w:r>
          </w:p>
        </w:tc>
        <w:tc>
          <w:tcPr>
            <w:tcW w:type="dxa" w:w="1150"/>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31.5%</w:t>
            </w:r>
          </w:p>
        </w:tc>
        <w:tc>
          <w:tcPr>
            <w:tcW w:type="dxa" w:w="1393"/>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4"/>
                <w:szCs w:val="14"/>
              </w:rPr>
              <w:t xml:space="preserve">None found</w:t>
            </w:r>
          </w:p>
        </w:tc>
        <w:tc>
          <w:tcPr>
            <w:tcW w:type="dxa" w:w="1402"/>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4"/>
                <w:szCs w:val="14"/>
              </w:rPr>
              <w:t xml:space="preserve">None found</w:t>
            </w:r>
          </w:p>
        </w:tc>
        <w:tc>
          <w:tcPr>
            <w:tcW w:type="dxa" w:w="1525"/>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n/a</w:t>
            </w:r>
          </w:p>
        </w:tc>
      </w:tr>
      <w:tr>
        <w:trPr>
          <w:cantSplit/>
        </w:trPr>
        <w:tc>
          <w:tcPr>
            <w:tcW w:type="dxa" w:w="765"/>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4"/>
                <w:szCs w:val="14"/>
              </w:rPr>
              <w:t xml:space="preserve">FY2023</w:t>
            </w:r>
          </w:p>
        </w:tc>
        <w:tc>
          <w:tcPr>
            <w:tcW w:type="dxa" w:w="781"/>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¥36</w:t>
            </w:r>
          </w:p>
        </w:tc>
        <w:tc>
          <w:tcPr>
            <w:tcW w:type="dxa" w:w="1364"/>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¥37</w:t>
            </w:r>
          </w:p>
        </w:tc>
        <w:tc>
          <w:tcPr>
            <w:tcW w:type="dxa" w:w="136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b/>
                <w:bCs/>
                <w:color w:val="1F2533"/>
                <w:sz w:val="14"/>
                <w:szCs w:val="14"/>
              </w:rPr>
              <w:t xml:space="preserve">¥73</w:t>
            </w:r>
          </w:p>
        </w:tc>
        <w:tc>
          <w:tcPr>
            <w:tcW w:type="dxa" w:w="1150"/>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33.8%</w:t>
            </w:r>
          </w:p>
        </w:tc>
        <w:tc>
          <w:tcPr>
            <w:tcW w:type="dxa" w:w="1393"/>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4"/>
                <w:szCs w:val="14"/>
              </w:rPr>
              <w:t xml:space="preserve">None found</w:t>
            </w:r>
          </w:p>
        </w:tc>
        <w:tc>
          <w:tcPr>
            <w:tcW w:type="dxa" w:w="1402"/>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4"/>
                <w:szCs w:val="14"/>
              </w:rPr>
              <w:t xml:space="preserve">None found</w:t>
            </w:r>
          </w:p>
        </w:tc>
        <w:tc>
          <w:tcPr>
            <w:tcW w:type="dxa" w:w="1525"/>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n/a</w:t>
            </w:r>
          </w:p>
        </w:tc>
      </w:tr>
      <w:tr>
        <w:trPr>
          <w:cantSplit/>
        </w:trPr>
        <w:tc>
          <w:tcPr>
            <w:tcW w:type="dxa" w:w="765"/>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4"/>
                <w:szCs w:val="14"/>
              </w:rPr>
              <w:t xml:space="preserve">FY2024</w:t>
            </w:r>
          </w:p>
        </w:tc>
        <w:tc>
          <w:tcPr>
            <w:tcW w:type="dxa" w:w="781"/>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¥37</w:t>
            </w:r>
          </w:p>
        </w:tc>
        <w:tc>
          <w:tcPr>
            <w:tcW w:type="dxa" w:w="1364"/>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¥58</w:t>
            </w:r>
          </w:p>
        </w:tc>
        <w:tc>
          <w:tcPr>
            <w:tcW w:type="dxa" w:w="1366"/>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b/>
                <w:bCs/>
                <w:color w:val="1F2533"/>
                <w:sz w:val="14"/>
                <w:szCs w:val="14"/>
              </w:rPr>
              <w:t xml:space="preserve">¥95</w:t>
            </w:r>
          </w:p>
        </w:tc>
        <w:tc>
          <w:tcPr>
            <w:tcW w:type="dxa" w:w="1150"/>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30.1% (30.6%)</w:t>
            </w:r>
          </w:p>
        </w:tc>
        <w:tc>
          <w:tcPr>
            <w:tcW w:type="dxa" w:w="1393"/>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4"/>
                <w:szCs w:val="14"/>
              </w:rPr>
              <w:t xml:space="preserve">≈¥0.34bn (derived; odd-lot/minor purchases)</w:t>
            </w:r>
          </w:p>
        </w:tc>
        <w:tc>
          <w:tcPr>
            <w:tcW w:type="dxa" w:w="1402"/>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4"/>
                <w:szCs w:val="14"/>
              </w:rPr>
              <w:t xml:space="preserve">None</w:t>
            </w:r>
          </w:p>
        </w:tc>
        <w:tc>
          <w:tcPr>
            <w:tcW w:type="dxa" w:w="1525"/>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n/a</w:t>
            </w:r>
          </w:p>
        </w:tc>
      </w:tr>
      <w:tr>
        <w:trPr>
          <w:cantSplit/>
        </w:trPr>
        <w:tc>
          <w:tcPr>
            <w:tcW w:type="dxa" w:w="765"/>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4"/>
                <w:szCs w:val="14"/>
              </w:rPr>
              <w:t xml:space="preserve">FY2025</w:t>
            </w:r>
          </w:p>
        </w:tc>
        <w:tc>
          <w:tcPr>
            <w:tcW w:type="dxa" w:w="781"/>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¥48</w:t>
            </w:r>
          </w:p>
        </w:tc>
        <w:tc>
          <w:tcPr>
            <w:tcW w:type="dxa" w:w="1364"/>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¥57</w:t>
            </w:r>
          </w:p>
        </w:tc>
        <w:tc>
          <w:tcPr>
            <w:tcW w:type="dxa" w:w="136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b/>
                <w:bCs/>
                <w:color w:val="1F2533"/>
                <w:sz w:val="14"/>
                <w:szCs w:val="14"/>
              </w:rPr>
              <w:t xml:space="preserve">¥105</w:t>
            </w:r>
          </w:p>
        </w:tc>
        <w:tc>
          <w:tcPr>
            <w:tcW w:type="dxa" w:w="1150"/>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37.1% (42.2%)</w:t>
            </w:r>
          </w:p>
        </w:tc>
        <w:tc>
          <w:tcPr>
            <w:tcW w:type="dxa" w:w="1393"/>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bCs/>
                <w:color w:val="1F2533"/>
                <w:sz w:val="14"/>
                <w:szCs w:val="14"/>
              </w:rPr>
              <w:t xml:space="preserve">¥3.0bn: 1,189,100 shares at an average ¥2,523</w:t>
            </w:r>
            <w:r>
              <w:rPr>
                <w:rFonts w:ascii="Arial" w:cs="Arial" w:eastAsia="Yu Gothic" w:hAnsi="Arial"/>
                <w:color w:val="1F2533"/>
                <w:sz w:val="14"/>
                <w:szCs w:val="14"/>
              </w:rPr>
              <w:t xml:space="preserve"> (13 Feb–31 Aug 2025)</w:t>
            </w:r>
          </w:p>
        </w:tc>
        <w:tc>
          <w:tcPr>
            <w:tcW w:type="dxa" w:w="1402"/>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bCs/>
                <w:color w:val="1F2533"/>
                <w:sz w:val="14"/>
                <w:szCs w:val="14"/>
              </w:rPr>
              <w:t xml:space="preserve">1,189,100 (Nov 2025)</w:t>
            </w:r>
            <w:r>
              <w:rPr>
                <w:rFonts w:ascii="Arial" w:cs="Arial" w:eastAsia="Yu Gothic" w:hAnsi="Arial"/>
                <w:color w:val="1F2533"/>
                <w:sz w:val="14"/>
                <w:szCs w:val="14"/>
              </w:rPr>
              <w:t xml:space="preserve">; issued shares 209,167,674 → 207,978,574</w:t>
            </w:r>
          </w:p>
        </w:tc>
        <w:tc>
          <w:tcPr>
            <w:tcW w:type="dxa" w:w="1525"/>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b/>
                <w:bCs/>
                <w:color w:val="1F2533"/>
                <w:sz w:val="14"/>
                <w:szCs w:val="14"/>
              </w:rPr>
              <w:t xml:space="preserve">839,526 (0.40%)</w:t>
            </w:r>
            <w:r>
              <w:rPr>
                <w:rFonts w:ascii="Arial" w:cs="Arial" w:eastAsia="Yu Gothic" w:hAnsi="Arial"/>
                <w:color w:val="1F2533"/>
                <w:sz w:val="14"/>
                <w:szCs w:val="14"/>
              </w:rPr>
              <w:t xml:space="preserve"> at 31 Dec 2025, plus 351,300 in the stock-compensation trust</w:t>
            </w:r>
          </w:p>
        </w:tc>
      </w:tr>
      <w:tr>
        <w:trPr>
          <w:cantSplit/>
        </w:trPr>
        <w:tc>
          <w:tcPr>
            <w:tcW w:type="dxa" w:w="765"/>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4"/>
                <w:szCs w:val="14"/>
              </w:rPr>
              <w:t xml:space="preserve">FY2026E</w:t>
            </w:r>
          </w:p>
        </w:tc>
        <w:tc>
          <w:tcPr>
            <w:tcW w:type="dxa" w:w="781"/>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¥61</w:t>
            </w:r>
          </w:p>
        </w:tc>
        <w:tc>
          <w:tcPr>
            <w:tcW w:type="dxa" w:w="1364"/>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¥65 (raised from ¥61)</w:t>
            </w:r>
          </w:p>
        </w:tc>
        <w:tc>
          <w:tcPr>
            <w:tcW w:type="dxa" w:w="1366"/>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b/>
                <w:bCs/>
                <w:color w:val="1F2533"/>
                <w:sz w:val="14"/>
                <w:szCs w:val="14"/>
              </w:rPr>
              <w:t xml:space="preserve">¥126</w:t>
            </w:r>
            <w:r>
              <w:rPr>
                <w:rFonts w:ascii="Arial" w:cs="Arial" w:eastAsia="Yu Gothic" w:hAnsi="Arial"/>
                <w:color w:val="1F2533"/>
                <w:sz w:val="14"/>
                <w:szCs w:val="14"/>
              </w:rPr>
              <w:t xml:space="preserve"> (guidance; initially ¥122)</w:t>
            </w:r>
          </w:p>
        </w:tc>
        <w:tc>
          <w:tcPr>
            <w:tcW w:type="dxa" w:w="1150"/>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≈40.2%</w:t>
            </w:r>
          </w:p>
        </w:tc>
        <w:tc>
          <w:tcPr>
            <w:tcW w:type="dxa" w:w="1393"/>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4"/>
                <w:szCs w:val="14"/>
              </w:rPr>
              <w:t xml:space="preserve">None announced as of Oct 2026</w:t>
            </w:r>
          </w:p>
        </w:tc>
        <w:tc>
          <w:tcPr>
            <w:tcW w:type="dxa" w:w="1402"/>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4"/>
                <w:szCs w:val="14"/>
              </w:rPr>
              <w:t xml:space="preserve">—</w:t>
            </w:r>
          </w:p>
        </w:tc>
        <w:tc>
          <w:tcPr>
            <w:tcW w:type="dxa" w:w="1525"/>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4"/>
                <w:szCs w:val="14"/>
              </w:rPr>
              <w:t xml:space="preserve">n/a</w:t>
            </w:r>
          </w:p>
        </w:tc>
      </w:tr>
    </w:tbl>
    <w:p>
      <w:pPr>
        <w:spacing w:after="120" w:before="0" w:line="276" w:lineRule="auto"/>
      </w:pPr>
    </w:p>
    <w:p>
      <w:pPr>
        <w:spacing w:after="110" w:before="0" w:line="276" w:lineRule="auto"/>
      </w:pPr>
      <w:r>
        <w:rPr>
          <w:rFonts w:ascii="Arial" w:cs="Arial" w:eastAsia="Yu Gothic" w:hAnsi="Arial"/>
          <w:color w:val="1F2533"/>
          <w:sz w:val="19"/>
          <w:szCs w:val="19"/>
        </w:rPr>
        <w:t xml:space="preserve">Sources: FY2021–23 DPS from coordinator extracts of dividend-history pages (kabuhai-db, strainer, finboard), tying to EPS-based payouts; FY2024–26 DPS from </w:t>
      </w:r>
      <w:hyperlink w:history="1" r:id="rIdzjhqmb91_yibocrifxv00">
        <w:r>
          <w:rPr>
            <w:rFonts w:ascii="Arial" w:cs="Arial" w:eastAsia="Yu Gothic" w:hAnsi="Arial"/>
            <w:color w:val="2F6FD0"/>
            <w:sz w:val="19"/>
            <w:szCs w:val="19"/>
            <w:u w:val="single"/>
          </w:rPr>
          <w:t xml:space="preserve">f-p.jp</w:t>
        </w:r>
      </w:hyperlink>
      <w:r>
        <w:rPr>
          <w:rFonts w:ascii="Arial" w:cs="Arial" w:eastAsia="Yu Gothic" w:hAnsi="Arial"/>
          <w:color w:val="1F2533"/>
          <w:sz w:val="19"/>
          <w:szCs w:val="19"/>
        </w:rPr>
        <w:t xml:space="preserve"> and </w:t>
      </w:r>
      <w:hyperlink w:history="1" r:id="rId1wlcektdfpjugom_1wvwu">
        <w:r>
          <w:rPr>
            <w:rFonts w:ascii="Arial" w:cs="Arial" w:eastAsia="Yu Gothic" w:hAnsi="Arial"/>
            <w:color w:val="2F6FD0"/>
            <w:sz w:val="19"/>
            <w:szCs w:val="19"/>
            <w:u w:val="single"/>
          </w:rPr>
          <w:t xml:space="preserve">Nikkei</w:t>
        </w:r>
      </w:hyperlink>
      <w:r>
        <w:rPr>
          <w:rFonts w:ascii="Arial" w:cs="Arial" w:eastAsia="Yu Gothic" w:hAnsi="Arial"/>
          <w:color w:val="1F2533"/>
          <w:sz w:val="19"/>
          <w:szCs w:val="19"/>
        </w:rPr>
        <w:t xml:space="preserve">; buyback from </w:t>
      </w:r>
      <w:hyperlink w:history="1" r:id="rIdnny47sonjazhxz0r05dvk">
        <w:r>
          <w:rPr>
            <w:rFonts w:ascii="Arial" w:cs="Arial" w:eastAsia="Yu Gothic" w:hAnsi="Arial"/>
            <w:color w:val="2F6FD0"/>
            <w:sz w:val="19"/>
            <w:szCs w:val="19"/>
            <w:u w:val="single"/>
          </w:rPr>
          <w:t xml:space="preserve">FilingReader</w:t>
        </w:r>
      </w:hyperlink>
      <w:r>
        <w:rPr>
          <w:rFonts w:ascii="Arial" w:cs="Arial" w:eastAsia="Yu Gothic" w:hAnsi="Arial"/>
          <w:color w:val="1F2533"/>
          <w:sz w:val="19"/>
          <w:szCs w:val="19"/>
        </w:rPr>
        <w:t xml:space="preserve"> and </w:t>
      </w:r>
      <w:hyperlink w:history="1" r:id="rIdwwuzuwiq9jilmlt2wl907">
        <w:r>
          <w:rPr>
            <w:rFonts w:ascii="Arial" w:cs="Arial" w:eastAsia="Yu Gothic" w:hAnsi="Arial"/>
            <w:color w:val="2F6FD0"/>
            <w:sz w:val="19"/>
            <w:szCs w:val="19"/>
            <w:u w:val="single"/>
          </w:rPr>
          <w:t xml:space="preserve">convocation notice</w:t>
        </w:r>
      </w:hyperlink>
      <w:r>
        <w:rPr>
          <w:rFonts w:ascii="Arial" w:cs="Arial" w:eastAsia="Yu Gothic" w:hAnsi="Arial"/>
          <w:color w:val="1F2533"/>
          <w:sz w:val="19"/>
          <w:szCs w:val="19"/>
        </w:rPr>
        <w:t xml:space="preserve">; share counts from </w:t>
      </w:r>
      <w:hyperlink w:history="1" r:id="rIddlbatmxaoomlvyle7v6ql">
        <w:r>
          <w:rPr>
            <w:rFonts w:ascii="Arial" w:cs="Arial" w:eastAsia="Yu Gothic" w:hAnsi="Arial"/>
            <w:color w:val="2F6FD0"/>
            <w:sz w:val="19"/>
            <w:szCs w:val="19"/>
            <w:u w:val="single"/>
          </w:rPr>
          <w:t xml:space="preserve">j-lic</w:t>
        </w:r>
      </w:hyperlink>
      <w:r>
        <w:rPr>
          <w:rFonts w:ascii="Arial" w:cs="Arial" w:eastAsia="Yu Gothic" w:hAnsi="Arial"/>
          <w:color w:val="1F2533"/>
          <w:sz w:val="19"/>
          <w:szCs w:val="19"/>
        </w:rPr>
        <w:t xml:space="preserve">; total payout from </w:t>
      </w:r>
      <w:hyperlink w:history="1" r:id="rIdgcqiynwzkpqn7sob8ggof">
        <w:r>
          <w:rPr>
            <w:rFonts w:ascii="Arial" w:cs="Arial" w:eastAsia="Yu Gothic" w:hAnsi="Arial"/>
            <w:color w:val="2F6FD0"/>
            <w:sz w:val="19"/>
            <w:szCs w:val="19"/>
            <w:u w:val="single"/>
          </w:rPr>
          <w:t xml:space="preserve">Monex</w:t>
        </w:r>
      </w:hyperlink>
      <w:r>
        <w:rPr>
          <w:rFonts w:ascii="Arial" w:cs="Arial" w:eastAsia="Yu Gothic" w:hAnsi="Arial"/>
          <w:color w:val="1F2533"/>
          <w:sz w:val="19"/>
          <w:szCs w:val="19"/>
        </w:rPr>
        <w:t xml:space="preserve">.</w:t>
      </w:r>
    </w:p>
    <w:p>
      <w:pPr>
        <w:keepNext/>
        <w:spacing w:after="40" w:before="80" w:line="240" w:lineRule="auto"/>
        <w:jc w:val="center"/>
      </w:pPr>
      <w:r>
        <w:drawing>
          <wp:inline distT="0" distB="0" distL="0" distR="0">
            <wp:extent cx="6191250" cy="2828925"/>
            <wp:effectExtent t="0" r="0" b="0" l="0"/>
            <wp:docPr id="1" name="fig05_dividends.png" descr="Figure 10: Dividend per share FY2020–FY2026E and payout ratio." title="Figure 10: Dividend per share FY2020–FY2026E and payout rat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191250" cy="2828925"/>
                    </a:xfrm>
                    <a:prstGeom prst="rect">
                      <a:avLst/>
                    </a:prstGeom>
                  </pic:spPr>
                </pic:pic>
              </a:graphicData>
            </a:graphic>
          </wp:inline>
        </w:drawing>
      </w:r>
    </w:p>
    <w:p>
      <w:pPr>
        <w:spacing w:after="160" w:before="0" w:line="276" w:lineRule="auto"/>
        <w:jc w:val="left"/>
      </w:pPr>
      <w:r>
        <w:rPr>
          <w:rFonts w:ascii="Arial" w:cs="Arial" w:eastAsia="Yu Gothic" w:hAnsi="Arial"/>
          <w:i/>
          <w:iCs/>
          <w:color w:val="5B6577"/>
          <w:sz w:val="16"/>
          <w:szCs w:val="16"/>
        </w:rPr>
        <w:t xml:space="preserve">Figure 10: Dividend per share FY2020–FY2026E and payout ratio.</w:t>
      </w:r>
    </w:p>
    <w:p>
      <w:pPr>
        <w:spacing w:after="110" w:before="0" w:line="276" w:lineRule="auto"/>
      </w:pPr>
      <w:r>
        <w:rPr>
          <w:rFonts w:ascii="Arial" w:cs="Arial" w:eastAsia="Yu Gothic" w:hAnsi="Arial"/>
          <w:b/>
          <w:bCs/>
          <w:color w:val="1F2533"/>
          <w:sz w:val="19"/>
          <w:szCs w:val="19"/>
        </w:rPr>
        <w:t xml:space="preserve">Dividends.</w:t>
      </w:r>
      <w:r>
        <w:rPr>
          <w:rFonts w:ascii="Arial" w:cs="Arial" w:eastAsia="Yu Gothic" w:hAnsi="Arial"/>
          <w:color w:val="1F2533"/>
          <w:sz w:val="19"/>
          <w:szCs w:val="19"/>
        </w:rPr>
        <w:t xml:space="preserve"> DPS has risen for </w:t>
      </w:r>
      <w:r>
        <w:rPr>
          <w:rFonts w:ascii="Arial" w:cs="Arial" w:eastAsia="Yu Gothic" w:hAnsi="Arial"/>
          <w:b/>
          <w:bCs/>
          <w:color w:val="1F2533"/>
          <w:sz w:val="19"/>
          <w:szCs w:val="19"/>
        </w:rPr>
        <w:t xml:space="preserve">12 consecutive years</w:t>
      </w:r>
      <w:r>
        <w:rPr>
          <w:rFonts w:ascii="Arial" w:cs="Arial" w:eastAsia="Yu Gothic" w:hAnsi="Arial"/>
          <w:color w:val="1F2533"/>
          <w:sz w:val="19"/>
          <w:szCs w:val="19"/>
        </w:rPr>
        <w:t xml:space="preserve"> through FY2025, and is up </w:t>
      </w:r>
      <w:r>
        <w:rPr>
          <w:rFonts w:ascii="Arial" w:cs="Arial" w:eastAsia="Yu Gothic" w:hAnsi="Arial"/>
          <w:b/>
          <w:bCs/>
          <w:color w:val="1F2533"/>
          <w:sz w:val="19"/>
          <w:szCs w:val="19"/>
        </w:rPr>
        <w:t xml:space="preserve">147% from FY2021 to FY2026E</w:t>
      </w:r>
      <w:r>
        <w:rPr>
          <w:rFonts w:ascii="Arial" w:cs="Arial" w:eastAsia="Yu Gothic" w:hAnsi="Arial"/>
          <w:color w:val="1F2533"/>
          <w:sz w:val="19"/>
          <w:szCs w:val="19"/>
        </w:rPr>
        <w:t xml:space="preserve"> (¥51 → ¥126). The payout ratio moved from about 30% to 40% under the 2025–27 plan, one year ahead of schedule (</w:t>
      </w:r>
      <w:hyperlink w:history="1" r:id="rIdigqvan1jgmgftfgjpevm6">
        <w:r>
          <w:rPr>
            <w:rFonts w:ascii="Arial" w:cs="Arial" w:eastAsia="Yu Gothic" w:hAnsi="Arial"/>
            <w:color w:val="2F6FD0"/>
            <w:sz w:val="19"/>
            <w:szCs w:val="19"/>
            <w:u w:val="single"/>
          </w:rPr>
          <w:t xml:space="preserve">Tokyo Tatemono return policy</w:t>
        </w:r>
      </w:hyperlink>
      <w:r>
        <w:rPr>
          <w:rFonts w:ascii="Arial" w:cs="Arial" w:eastAsia="Yu Gothic" w:hAnsi="Arial"/>
          <w:color w:val="1F2533"/>
          <w:sz w:val="19"/>
          <w:szCs w:val="19"/>
        </w:rPr>
        <w:t xml:space="preserve">). Dividends were raised mid-year in both FY2025 and FY2026, alongside profit upgrades.</w:t>
      </w:r>
    </w:p>
    <w:p>
      <w:pPr>
        <w:spacing w:after="110" w:before="0" w:line="276" w:lineRule="auto"/>
      </w:pPr>
      <w:r>
        <w:rPr>
          <w:rFonts w:ascii="Arial" w:cs="Arial" w:eastAsia="Yu Gothic" w:hAnsi="Arial"/>
          <w:b/>
          <w:bCs/>
          <w:color w:val="1F2533"/>
          <w:sz w:val="19"/>
          <w:szCs w:val="19"/>
        </w:rPr>
        <w:t xml:space="preserve">Buybacks.</w:t>
      </w:r>
      <w:r>
        <w:rPr>
          <w:rFonts w:ascii="Arial" w:cs="Arial" w:eastAsia="Yu Gothic" w:hAnsi="Arial"/>
          <w:color w:val="1F2533"/>
          <w:sz w:val="19"/>
          <w:szCs w:val="19"/>
        </w:rPr>
        <w:t xml:space="preserve"> The only formal programme was 2025's ¥3.0bn, about 0.6% of market cap at the time. All 1,189,100 repurchased shares were cancelled in November 2025.</w:t>
      </w:r>
    </w:p>
    <w:p>
      <w:pPr>
        <w:spacing w:after="110" w:before="0" w:line="276" w:lineRule="auto"/>
      </w:pPr>
      <w:r>
        <w:rPr>
          <w:rFonts w:ascii="Arial" w:cs="Arial" w:eastAsia="Yu Gothic" w:hAnsi="Arial"/>
          <w:b/>
          <w:bCs/>
          <w:color w:val="1F2533"/>
          <w:sz w:val="19"/>
          <w:szCs w:val="19"/>
        </w:rPr>
        <w:t xml:space="preserve">Treasury shares.</w:t>
      </w:r>
      <w:r>
        <w:rPr>
          <w:rFonts w:ascii="Arial" w:cs="Arial" w:eastAsia="Yu Gothic" w:hAnsi="Arial"/>
          <w:color w:val="1F2533"/>
          <w:sz w:val="19"/>
          <w:szCs w:val="19"/>
        </w:rPr>
        <w:t xml:space="preserve"> The residual treasury holding is small (0.40%).</w:t>
      </w:r>
    </w:p>
    <w:p>
      <w:pPr>
        <w:spacing w:after="110" w:before="0" w:line="276" w:lineRule="auto"/>
      </w:pPr>
      <w:r>
        <w:rPr>
          <w:rFonts w:ascii="Arial" w:cs="Arial" w:eastAsia="Yu Gothic" w:hAnsi="Arial"/>
          <w:b/>
          <w:bCs/>
          <w:color w:val="1F2533"/>
          <w:sz w:val="19"/>
          <w:szCs w:val="19"/>
        </w:rPr>
        <w:t xml:space="preserve">No dilution.</w:t>
      </w:r>
      <w:r>
        <w:rPr>
          <w:rFonts w:ascii="Arial" w:cs="Arial" w:eastAsia="Yu Gothic" w:hAnsi="Arial"/>
          <w:color w:val="1F2533"/>
          <w:sz w:val="19"/>
          <w:szCs w:val="19"/>
        </w:rPr>
        <w:t xml:space="preserve"> No stock splits, equity issuance or convertibles were found over the period.</w:t>
      </w:r>
    </w:p>
    <w:p>
      <w:pPr>
        <w:spacing w:after="110" w:before="0" w:line="276" w:lineRule="auto"/>
      </w:pPr>
      <w:r>
        <w:rPr>
          <w:rFonts w:ascii="Arial" w:cs="Arial" w:eastAsia="Yu Gothic" w:hAnsi="Arial"/>
          <w:b/>
          <w:bCs/>
          <w:color w:val="1F2533"/>
          <w:sz w:val="19"/>
          <w:szCs w:val="19"/>
        </w:rPr>
        <w:t xml:space="preserve">Capital return is dividend-led.</w:t>
      </w:r>
      <w:r>
        <w:rPr>
          <w:rFonts w:ascii="Arial" w:cs="Arial" w:eastAsia="Yu Gothic" w:hAnsi="Arial"/>
          <w:color w:val="1F2533"/>
          <w:sz w:val="19"/>
          <w:szCs w:val="19"/>
        </w:rPr>
        <w:t xml:space="preserve"> Against a 0.65x P/NAV, the absence of a programmatic buyback is the most obvious gap in capital policy.</w:t>
      </w:r>
    </w:p>
    <w:p>
      <w:pPr>
        <w:pBdr>
          <w:left w:val="single" w:color="2F6FD0" w:sz="24" w:space="8"/>
        </w:pBdr>
        <w:shd w:fill="EEF3FA" w:color="auto" w:val="clear"/>
        <w:spacing w:after="160" w:before="60" w:line="264" w:lineRule="auto"/>
        <w:ind w:left="200" w:right="200"/>
      </w:pPr>
      <w:r>
        <w:rPr>
          <w:rFonts w:ascii="Arial" w:cs="Arial" w:eastAsia="Yu Gothic" w:hAnsi="Arial"/>
          <w:b/>
          <w:bCs/>
          <w:color w:val="15233F"/>
          <w:sz w:val="18"/>
          <w:szCs w:val="18"/>
        </w:rPr>
        <w:t xml:space="preserve">Key takeaway:</w:t>
      </w:r>
      <w:r>
        <w:rPr>
          <w:rFonts w:ascii="Arial" w:cs="Arial" w:eastAsia="Yu Gothic" w:hAnsi="Arial"/>
          <w:color w:val="15233F"/>
          <w:sz w:val="18"/>
          <w:szCs w:val="18"/>
        </w:rPr>
        <w:t xml:space="preserve"> Dividends are the shareholder-return engine: DPS is up 2.5 times in five years at a 40% payout. Buybacks are token. A funded buyback, paid for from the ≥¥130bn sale programme, is the most likely catalyst in the next capital plan.</w:t>
      </w:r>
    </w:p>
    <w:p>
      <w:pPr>
        <w:pStyle w:val="Heading1"/>
        <w:keepNext/>
        <w:keepLines/>
        <w:pageBreakBefore/>
        <w:pBdr>
          <w:bottom w:val="single" w:color="2F6FD0" w:sz="12" w:space="6"/>
        </w:pBdr>
        <w:spacing w:after="160" w:before="0" w:line="252" w:lineRule="auto"/>
      </w:pPr>
      <w:r>
        <w:rPr>
          <w:rFonts w:ascii="Arial" w:cs="Arial" w:eastAsia="Yu Gothic" w:hAnsi="Arial"/>
          <w:b/>
          <w:bCs/>
          <w:color w:val="15233F"/>
          <w:sz w:val="32"/>
          <w:szCs w:val="32"/>
        </w:rPr>
        <w:t xml:space="preserve">18. Adversarial deep-dive: rent growth against the cost of money</w:t>
      </w:r>
    </w:p>
    <w:p>
      <w:pPr>
        <w:pStyle w:val="Heading2"/>
        <w:keepNext/>
        <w:keepLines/>
        <w:spacing w:after="90" w:before="260" w:line="252" w:lineRule="auto"/>
      </w:pPr>
      <w:r>
        <w:rPr>
          <w:rFonts w:ascii="Arial" w:cs="Arial" w:eastAsia="Yu Gothic" w:hAnsi="Arial"/>
          <w:b/>
          <w:bCs/>
          <w:color w:val="15233F"/>
          <w:sz w:val="25"/>
          <w:szCs w:val="25"/>
        </w:rPr>
        <w:t xml:space="preserve">Bull case: an inflation-linked landlord with a scarce land bank, valued at 0.65x NAV</w:t>
      </w:r>
    </w:p>
    <w:p>
      <w:pPr>
        <w:spacing w:after="110" w:before="0" w:line="276" w:lineRule="auto"/>
      </w:pPr>
      <w:r>
        <w:rPr>
          <w:rFonts w:ascii="Arial" w:cs="Arial" w:eastAsia="Yu Gothic" w:hAnsi="Arial"/>
          <w:b/>
          <w:bCs/>
          <w:color w:val="1F2533"/>
          <w:sz w:val="19"/>
          <w:szCs w:val="19"/>
        </w:rPr>
        <w:t xml:space="preserve">The moat is durable where it matters.</w:t>
      </w:r>
      <w:r>
        <w:rPr>
          <w:rFonts w:ascii="Arial" w:cs="Arial" w:eastAsia="Yu Gothic" w:hAnsi="Arial"/>
          <w:color w:val="1F2533"/>
          <w:sz w:val="19"/>
          <w:szCs w:val="19"/>
        </w:rPr>
        <w:t xml:space="preserve"> The Tokyo Station Yaesu–Kyobashi cluster took more than a decade of land assembly and statutory process to build. It cannot be replicated, and the next phase is already secured: Kyobashi 3-chome East, ≈166,800 m², completing in FY2029. Brillia's resale value (93.1% average appreciation) supports pricing on good sites.</w:t>
      </w:r>
    </w:p>
    <w:p>
      <w:pPr>
        <w:spacing w:after="110" w:before="0" w:line="276" w:lineRule="auto"/>
      </w:pPr>
      <w:r>
        <w:rPr>
          <w:rFonts w:ascii="Arial" w:cs="Arial" w:eastAsia="Yu Gothic" w:hAnsi="Arial"/>
          <w:b/>
          <w:bCs/>
          <w:color w:val="1F2533"/>
          <w:sz w:val="19"/>
          <w:szCs w:val="19"/>
        </w:rPr>
        <w:t xml:space="preserve">Growth levers are visible and partly locked in:</w:t>
      </w:r>
    </w:p>
    <w:p>
      <w:pPr>
        <w:pStyle w:val="ListParagraph"/>
        <w:numPr>
          <w:ilvl w:val="0"/>
          <w:numId w:val="2"/>
        </w:numPr>
        <w:spacing w:after="60" w:line="264" w:lineRule="auto"/>
      </w:pPr>
      <w:r>
        <w:rPr>
          <w:rFonts w:ascii="Arial" w:cs="Arial" w:eastAsia="Yu Gothic" w:hAnsi="Arial"/>
          <w:b/>
          <w:bCs/>
          <w:color w:val="1F2533"/>
          <w:sz w:val="19"/>
          <w:szCs w:val="19"/>
        </w:rPr>
        <w:t xml:space="preserve">Rents.</w:t>
      </w:r>
      <w:r>
        <w:rPr>
          <w:rFonts w:ascii="Arial" w:cs="Arial" w:eastAsia="Yu Gothic" w:hAnsi="Arial"/>
          <w:color w:val="1F2533"/>
          <w:sz w:val="19"/>
          <w:szCs w:val="19"/>
        </w:rPr>
        <w:t xml:space="preserve"> Central-Tokyo vacancy is 1.87% and asking rents are rising 12.5% a year. Short leases reprice towards market at each renewal, and management already reports "firm confidence" in inflation-driven rent growth.</w:t>
      </w:r>
    </w:p>
    <w:p>
      <w:pPr>
        <w:pStyle w:val="ListParagraph"/>
        <w:numPr>
          <w:ilvl w:val="0"/>
          <w:numId w:val="2"/>
        </w:numPr>
        <w:spacing w:after="60" w:line="264" w:lineRule="auto"/>
      </w:pPr>
      <w:r>
        <w:rPr>
          <w:rFonts w:ascii="Arial" w:cs="Arial" w:eastAsia="Yu Gothic" w:hAnsi="Arial"/>
          <w:b/>
          <w:bCs/>
          <w:color w:val="1F2533"/>
          <w:sz w:val="19"/>
          <w:szCs w:val="19"/>
        </w:rPr>
        <w:t xml:space="preserve">TOFROM YAESU.</w:t>
      </w:r>
      <w:r>
        <w:rPr>
          <w:rFonts w:ascii="Arial" w:cs="Arial" w:eastAsia="Yu Gothic" w:hAnsi="Arial"/>
          <w:color w:val="1F2533"/>
          <w:sz w:val="19"/>
          <w:szCs w:val="19"/>
        </w:rPr>
        <w:t xml:space="preserve"> FY2027 is its first full year of operation, including retail opened in September 2026.</w:t>
      </w:r>
    </w:p>
    <w:p>
      <w:pPr>
        <w:pStyle w:val="ListParagraph"/>
        <w:numPr>
          <w:ilvl w:val="0"/>
          <w:numId w:val="2"/>
        </w:numPr>
        <w:spacing w:after="60" w:line="264" w:lineRule="auto"/>
      </w:pPr>
      <w:r>
        <w:rPr>
          <w:rFonts w:ascii="Arial" w:cs="Arial" w:eastAsia="Yu Gothic" w:hAnsi="Arial"/>
          <w:b/>
          <w:bCs/>
          <w:color w:val="1F2533"/>
          <w:sz w:val="19"/>
          <w:szCs w:val="19"/>
        </w:rPr>
        <w:t xml:space="preserve">Hotels.</w:t>
      </w:r>
      <w:r>
        <w:rPr>
          <w:rFonts w:ascii="Arial" w:cs="Arial" w:eastAsia="Yu Gothic" w:hAnsi="Arial"/>
          <w:color w:val="1F2533"/>
          <w:sz w:val="19"/>
          <w:szCs w:val="19"/>
        </w:rPr>
        <w:t xml:space="preserve"> Commission-based hotel rents capture inbound tourism.</w:t>
      </w:r>
    </w:p>
    <w:p>
      <w:pPr>
        <w:pStyle w:val="ListParagraph"/>
        <w:numPr>
          <w:ilvl w:val="0"/>
          <w:numId w:val="2"/>
        </w:numPr>
        <w:spacing w:after="60" w:line="264" w:lineRule="auto"/>
      </w:pPr>
      <w:r>
        <w:rPr>
          <w:rFonts w:ascii="Arial" w:cs="Arial" w:eastAsia="Yu Gothic" w:hAnsi="Arial"/>
          <w:b/>
          <w:bCs/>
          <w:color w:val="1F2533"/>
          <w:sz w:val="19"/>
          <w:szCs w:val="19"/>
        </w:rPr>
        <w:t xml:space="preserve">Condos.</w:t>
      </w:r>
      <w:r>
        <w:rPr>
          <w:rFonts w:ascii="Arial" w:cs="Arial" w:eastAsia="Yu Gothic" w:hAnsi="Arial"/>
          <w:color w:val="1F2533"/>
          <w:sz w:val="19"/>
          <w:szCs w:val="19"/>
        </w:rPr>
        <w:t xml:space="preserve"> The ≈7,600-unit landbank is being sold into record prices.</w:t>
      </w:r>
    </w:p>
    <w:p>
      <w:pPr>
        <w:pStyle w:val="ListParagraph"/>
        <w:numPr>
          <w:ilvl w:val="0"/>
          <w:numId w:val="2"/>
        </w:numPr>
        <w:spacing w:after="60" w:line="264" w:lineRule="auto"/>
      </w:pPr>
      <w:r>
        <w:rPr>
          <w:rFonts w:ascii="Arial" w:cs="Arial" w:eastAsia="Yu Gothic" w:hAnsi="Arial"/>
          <w:b/>
          <w:bCs/>
          <w:color w:val="1F2533"/>
          <w:sz w:val="19"/>
          <w:szCs w:val="19"/>
        </w:rPr>
        <w:t xml:space="preserve">Fees.</w:t>
      </w:r>
      <w:r>
        <w:rPr>
          <w:rFonts w:ascii="Arial" w:cs="Arial" w:eastAsia="Yu Gothic" w:hAnsi="Arial"/>
          <w:color w:val="1F2533"/>
          <w:sz w:val="19"/>
          <w:szCs w:val="19"/>
        </w:rPr>
        <w:t xml:space="preserve"> Sales into JPR, which targets more than ¥600bn of assets, grow AUM and fees.</w:t>
      </w:r>
    </w:p>
    <w:p>
      <w:pPr>
        <w:pStyle w:val="ListParagraph"/>
        <w:numPr>
          <w:ilvl w:val="0"/>
          <w:numId w:val="2"/>
        </w:numPr>
        <w:spacing w:after="60" w:line="264" w:lineRule="auto"/>
      </w:pPr>
      <w:r>
        <w:rPr>
          <w:rFonts w:ascii="Arial" w:cs="Arial" w:eastAsia="Yu Gothic" w:hAnsi="Arial"/>
          <w:b/>
          <w:bCs/>
          <w:color w:val="1F2533"/>
          <w:sz w:val="19"/>
          <w:szCs w:val="19"/>
        </w:rPr>
        <w:t xml:space="preserve">New asset classes.</w:t>
      </w:r>
      <w:r>
        <w:rPr>
          <w:rFonts w:ascii="Arial" w:cs="Arial" w:eastAsia="Yu Gothic" w:hAnsi="Arial"/>
          <w:color w:val="1F2533"/>
          <w:sz w:val="19"/>
          <w:szCs w:val="19"/>
        </w:rPr>
        <w:t xml:space="preserve"> Logistics and data centres add develop-to-sell options.</w:t>
      </w:r>
    </w:p>
    <w:p>
      <w:pPr>
        <w:spacing w:after="40" w:before="0" w:line="276" w:lineRule="auto"/>
      </w:pPr>
    </w:p>
    <w:p>
      <w:pPr>
        <w:spacing w:after="110" w:before="0" w:line="276" w:lineRule="auto"/>
      </w:pPr>
      <w:r>
        <w:rPr>
          <w:rFonts w:ascii="Arial" w:cs="Arial" w:eastAsia="Yu Gothic" w:hAnsi="Arial"/>
          <w:b/>
          <w:bCs/>
          <w:color w:val="1F2533"/>
          <w:sz w:val="19"/>
          <w:szCs w:val="19"/>
        </w:rPr>
        <w:t xml:space="preserve">Earnings surprise is a habit.</w:t>
      </w:r>
    </w:p>
    <w:p>
      <w:pPr>
        <w:pStyle w:val="ListParagraph"/>
        <w:numPr>
          <w:ilvl w:val="0"/>
          <w:numId w:val="2"/>
        </w:numPr>
        <w:spacing w:after="60" w:line="264" w:lineRule="auto"/>
      </w:pPr>
      <w:r>
        <w:rPr>
          <w:rFonts w:ascii="Arial" w:cs="Arial" w:eastAsia="Yu Gothic" w:hAnsi="Arial"/>
          <w:color w:val="1F2533"/>
          <w:sz w:val="19"/>
          <w:szCs w:val="19"/>
        </w:rPr>
        <w:t xml:space="preserve">FY2025 operating income beat revised guidance by 3.5%.</w:t>
      </w:r>
    </w:p>
    <w:p>
      <w:pPr>
        <w:pStyle w:val="ListParagraph"/>
        <w:numPr>
          <w:ilvl w:val="0"/>
          <w:numId w:val="2"/>
        </w:numPr>
        <w:spacing w:after="60" w:line="264" w:lineRule="auto"/>
      </w:pPr>
      <w:r>
        <w:rPr>
          <w:rFonts w:ascii="Arial" w:cs="Arial" w:eastAsia="Yu Gothic" w:hAnsi="Arial"/>
          <w:color w:val="1F2533"/>
          <w:sz w:val="19"/>
          <w:szCs w:val="19"/>
        </w:rPr>
        <w:t xml:space="preserve">FY2026 guidance has already been raised once (in August, a quarter earlier than FY2025's upgrade), and first-half progress is ahead of last year's pace.</w:t>
      </w:r>
    </w:p>
    <w:p>
      <w:pPr>
        <w:pStyle w:val="ListParagraph"/>
        <w:numPr>
          <w:ilvl w:val="0"/>
          <w:numId w:val="2"/>
        </w:numPr>
        <w:spacing w:after="60" w:line="264" w:lineRule="auto"/>
      </w:pPr>
      <w:r>
        <w:rPr>
          <w:rFonts w:ascii="Arial" w:cs="Arial" w:eastAsia="Yu Gothic" w:hAnsi="Arial"/>
          <w:color w:val="1F2533"/>
          <w:sz w:val="19"/>
          <w:szCs w:val="19"/>
        </w:rPr>
        <w:t xml:space="preserve">Operating income of ¥107–110bn in FY2026 would be a further beat.</w:t>
      </w:r>
    </w:p>
    <w:p>
      <w:pPr>
        <w:spacing w:after="40" w:before="0" w:line="276" w:lineRule="auto"/>
      </w:pPr>
    </w:p>
    <w:p>
      <w:pPr>
        <w:spacing w:after="110" w:before="0" w:line="276" w:lineRule="auto"/>
      </w:pPr>
      <w:r>
        <w:rPr>
          <w:rFonts w:ascii="Arial" w:cs="Arial" w:eastAsia="Yu Gothic" w:hAnsi="Arial"/>
          <w:b/>
          <w:bCs/>
          <w:color w:val="1F2533"/>
          <w:sz w:val="19"/>
          <w:szCs w:val="19"/>
        </w:rPr>
        <w:t xml:space="preserve">Capital allocation is improving.</w:t>
      </w:r>
      <w:r>
        <w:rPr>
          <w:rFonts w:ascii="Arial" w:cs="Arial" w:eastAsia="Yu Gothic" w:hAnsi="Arial"/>
          <w:color w:val="1F2533"/>
          <w:sz w:val="19"/>
          <w:szCs w:val="19"/>
        </w:rPr>
        <w:t xml:space="preserve"> The payout reached 40% a year early, and the ≥¥130bn sale programme can fund buybacks. The Hulic stake alone (≈¥35bn) is worth about 5% of the market cap. Because the 2025–27 targets are already met, a capital-policy update with the FY2026 results (February 2027) or the next plan could add an ROE target above 10% and a buyback.</w:t>
      </w:r>
    </w:p>
    <w:p>
      <w:pPr>
        <w:spacing w:after="110" w:before="0" w:line="276" w:lineRule="auto"/>
      </w:pPr>
      <w:r>
        <w:rPr>
          <w:rFonts w:ascii="Arial" w:cs="Arial" w:eastAsia="Yu Gothic" w:hAnsi="Arial"/>
          <w:b/>
          <w:bCs/>
          <w:color w:val="1F2533"/>
          <w:sz w:val="19"/>
          <w:szCs w:val="19"/>
        </w:rPr>
        <w:t xml:space="preserve">Valuation offers support.</w:t>
      </w:r>
      <w:r>
        <w:rPr>
          <w:rFonts w:ascii="Arial" w:cs="Arial" w:eastAsia="Yu Gothic" w:hAnsi="Arial"/>
          <w:color w:val="1F2533"/>
          <w:sz w:val="19"/>
          <w:szCs w:val="19"/>
        </w:rPr>
        <w:t xml:space="preserve"> The shares trade at 0.65x NAV with a 3.9% yield, while private capital pays full prices for Tokyo assets. In the bull case, a 12.5x P/E on ¥347 FY2027E EPS gives </w:t>
      </w:r>
      <w:r>
        <w:rPr>
          <w:rFonts w:ascii="Arial" w:cs="Arial" w:eastAsia="Yu Gothic" w:hAnsi="Arial"/>
          <w:b/>
          <w:bCs/>
          <w:color w:val="1F2533"/>
          <w:sz w:val="19"/>
          <w:szCs w:val="19"/>
        </w:rPr>
        <w:t xml:space="preserve">¥4,400 (+37%)</w:t>
      </w:r>
      <w:r>
        <w:rPr>
          <w:rFonts w:ascii="Arial" w:cs="Arial" w:eastAsia="Yu Gothic" w:hAnsi="Arial"/>
          <w:color w:val="1F2533"/>
          <w:sz w:val="19"/>
          <w:szCs w:val="19"/>
        </w:rPr>
        <w:t xml:space="preserve">, roughly back to the February 2026 high.</w:t>
      </w:r>
    </w:p>
    <w:p>
      <w:pPr>
        <w:pStyle w:val="Heading2"/>
        <w:keepNext/>
        <w:keepLines/>
        <w:spacing w:after="90" w:before="260" w:line="252" w:lineRule="auto"/>
      </w:pPr>
      <w:r>
        <w:rPr>
          <w:rFonts w:ascii="Arial" w:cs="Arial" w:eastAsia="Yu Gothic" w:hAnsi="Arial"/>
          <w:b/>
          <w:bCs/>
          <w:color w:val="15233F"/>
          <w:sz w:val="25"/>
          <w:szCs w:val="25"/>
        </w:rPr>
        <w:t xml:space="preserve">Bear case: a levered conveyor belt in a rising-rate world</w:t>
      </w:r>
    </w:p>
    <w:p>
      <w:pPr>
        <w:spacing w:after="110" w:before="0" w:line="276" w:lineRule="auto"/>
      </w:pPr>
      <w:r>
        <w:rPr>
          <w:rFonts w:ascii="Arial" w:cs="Arial" w:eastAsia="Yu Gothic" w:hAnsi="Arial"/>
          <w:b/>
          <w:bCs/>
          <w:color w:val="1F2533"/>
          <w:sz w:val="19"/>
          <w:szCs w:val="19"/>
        </w:rPr>
        <w:t xml:space="preserve">Three risks could permanently impair the business:</w:t>
      </w:r>
    </w:p>
    <w:p>
      <w:pPr>
        <w:pStyle w:val="ListParagraph"/>
        <w:numPr>
          <w:ilvl w:val="0"/>
          <w:numId w:val="12"/>
        </w:numPr>
        <w:spacing w:after="60" w:line="264" w:lineRule="auto"/>
      </w:pPr>
      <w:r>
        <w:rPr>
          <w:rFonts w:ascii="Arial" w:cs="Arial" w:eastAsia="Yu Gothic" w:hAnsi="Arial"/>
          <w:b/>
          <w:bCs/>
          <w:color w:val="1F2533"/>
          <w:sz w:val="19"/>
          <w:szCs w:val="19"/>
        </w:rPr>
        <w:t xml:space="preserve">Closure of the exit channel.</w:t>
      </w:r>
      <w:r>
        <w:rPr>
          <w:rFonts w:ascii="Arial" w:cs="Arial" w:eastAsia="Yu Gothic" w:hAnsi="Arial"/>
          <w:color w:val="1F2533"/>
          <w:sz w:val="19"/>
          <w:szCs w:val="19"/>
        </w:rPr>
        <w:t xml:space="preserve"> Higher JGB yields keep J-REIT equity windows shut and widen cap rates. The record hotel-led sale programme, and the "&gt;¥100bn stock of gains" behind it, would then stall just as debt reprices. The impairment becomes permanent if management must sell core assets, or issue equity, at around 0.5x NAV.</w:t>
      </w:r>
    </w:p>
    <w:p>
      <w:pPr>
        <w:pStyle w:val="ListParagraph"/>
        <w:numPr>
          <w:ilvl w:val="0"/>
          <w:numId w:val="12"/>
        </w:numPr>
        <w:spacing w:after="60" w:line="264" w:lineRule="auto"/>
      </w:pPr>
      <w:r>
        <w:rPr>
          <w:rFonts w:ascii="Arial" w:cs="Arial" w:eastAsia="Yu Gothic" w:hAnsi="Arial"/>
          <w:b/>
          <w:bCs/>
          <w:color w:val="1F2533"/>
          <w:sz w:val="19"/>
          <w:szCs w:val="19"/>
        </w:rPr>
        <w:t xml:space="preserve">A leverage ratchet.</w:t>
      </w:r>
      <w:r>
        <w:rPr>
          <w:rFonts w:ascii="Arial" w:cs="Arial" w:eastAsia="Yu Gothic" w:hAnsi="Arial"/>
          <w:color w:val="1F2533"/>
          <w:sz w:val="19"/>
          <w:szCs w:val="19"/>
        </w:rPr>
        <w:t xml:space="preserve"> Interest-bearing debt has grown faster than recurring EBITDA: +¥191bn in 1H FY2026, with debt/equity at 2.53x against a ≈2.4x guide. If the A rating comes under pressure, the cost of capital steps up and the asset-turnover model loses its spread.</w:t>
      </w:r>
    </w:p>
    <w:p>
      <w:pPr>
        <w:pStyle w:val="ListParagraph"/>
        <w:numPr>
          <w:ilvl w:val="0"/>
          <w:numId w:val="12"/>
        </w:numPr>
        <w:spacing w:after="60" w:line="264" w:lineRule="auto"/>
      </w:pPr>
      <w:r>
        <w:rPr>
          <w:rFonts w:ascii="Arial" w:cs="Arial" w:eastAsia="Yu Gothic" w:hAnsi="Arial"/>
          <w:b/>
          <w:bCs/>
          <w:color w:val="1F2533"/>
          <w:sz w:val="19"/>
          <w:szCs w:val="19"/>
        </w:rPr>
        <w:t xml:space="preserve">New supply meeting a cooling cycle.</w:t>
      </w:r>
      <w:r>
        <w:rPr>
          <w:rFonts w:ascii="Arial" w:cs="Arial" w:eastAsia="Yu Gothic" w:hAnsi="Arial"/>
          <w:color w:val="1F2533"/>
          <w:sz w:val="19"/>
          <w:szCs w:val="19"/>
        </w:rPr>
        <w:t xml:space="preserve"> New Yaesu office supply (the Yaesu 2-chome Central district, January 2029) and Tokyo Tatemono's own Kyobashi project will arrive in a market that has already re-priced rents by +12%. Construction costs keep rising (+5.1%).</w:t>
      </w:r>
    </w:p>
    <w:p>
      <w:pPr>
        <w:spacing w:after="40" w:before="0" w:line="276" w:lineRule="auto"/>
      </w:pPr>
    </w:p>
    <w:p>
      <w:pPr>
        <w:spacing w:after="110" w:before="0" w:line="276" w:lineRule="auto"/>
      </w:pPr>
      <w:r>
        <w:rPr>
          <w:rFonts w:ascii="Arial" w:cs="Arial" w:eastAsia="Yu Gothic" w:hAnsi="Arial"/>
          <w:b/>
          <w:bCs/>
          <w:color w:val="1F2533"/>
          <w:sz w:val="19"/>
          <w:szCs w:val="19"/>
        </w:rPr>
        <w:t xml:space="preserve">Margins can compress:</w:t>
      </w:r>
    </w:p>
    <w:p>
      <w:pPr>
        <w:pStyle w:val="ListParagraph"/>
        <w:numPr>
          <w:ilvl w:val="0"/>
          <w:numId w:val="2"/>
        </w:numPr>
        <w:spacing w:after="60" w:line="264" w:lineRule="auto"/>
      </w:pPr>
      <w:r>
        <w:rPr>
          <w:rFonts w:ascii="Arial" w:cs="Arial" w:eastAsia="Yu Gothic" w:hAnsi="Arial"/>
          <w:color w:val="1F2533"/>
          <w:sz w:val="19"/>
          <w:szCs w:val="19"/>
        </w:rPr>
        <w:t xml:space="preserve">The condo gross margin is already down from 30.4% to 27.8%.</w:t>
      </w:r>
    </w:p>
    <w:p>
      <w:pPr>
        <w:pStyle w:val="ListParagraph"/>
        <w:numPr>
          <w:ilvl w:val="0"/>
          <w:numId w:val="2"/>
        </w:numPr>
        <w:spacing w:after="60" w:line="264" w:lineRule="auto"/>
      </w:pPr>
      <w:r>
        <w:rPr>
          <w:rFonts w:ascii="Arial" w:cs="Arial" w:eastAsia="Yu Gothic" w:hAnsi="Arial"/>
          <w:color w:val="1F2533"/>
          <w:sz w:val="19"/>
          <w:szCs w:val="19"/>
        </w:rPr>
        <w:t xml:space="preserve">Corporate costs are rising.</w:t>
      </w:r>
    </w:p>
    <w:p>
      <w:pPr>
        <w:pStyle w:val="ListParagraph"/>
        <w:numPr>
          <w:ilvl w:val="0"/>
          <w:numId w:val="2"/>
        </w:numPr>
        <w:spacing w:after="60" w:line="264" w:lineRule="auto"/>
      </w:pPr>
      <w:r>
        <w:rPr>
          <w:rFonts w:ascii="Arial" w:cs="Arial" w:eastAsia="Yu Gothic" w:hAnsi="Arial"/>
          <w:color w:val="1F2533"/>
          <w:sz w:val="19"/>
          <w:szCs w:val="19"/>
        </w:rPr>
        <w:t xml:space="preserve">Sale margins should normalise as cap rates move.</w:t>
      </w:r>
    </w:p>
    <w:p>
      <w:pPr>
        <w:spacing w:after="40" w:before="0" w:line="276" w:lineRule="auto"/>
      </w:pPr>
    </w:p>
    <w:p>
      <w:pPr>
        <w:spacing w:after="110" w:before="0" w:line="276" w:lineRule="auto"/>
      </w:pPr>
      <w:r>
        <w:rPr>
          <w:rFonts w:ascii="Arial" w:cs="Arial" w:eastAsia="Yu Gothic" w:hAnsi="Arial"/>
          <w:b/>
          <w:bCs/>
          <w:color w:val="1F2533"/>
          <w:sz w:val="19"/>
          <w:szCs w:val="19"/>
        </w:rPr>
        <w:t xml:space="preserve">Revenue is decelerating.</w:t>
      </w:r>
      <w:r>
        <w:rPr>
          <w:rFonts w:ascii="Arial" w:cs="Arial" w:eastAsia="Yu Gothic" w:hAnsi="Arial"/>
          <w:color w:val="1F2533"/>
          <w:sz w:val="19"/>
          <w:szCs w:val="19"/>
        </w:rPr>
        <w:t xml:space="preserve"> FY2025 revenue grew only 2.3%, 1H FY2026 revenue fell 6.9%, and full-year revenue guidance of ¥524bn needs a 24% higher second half.</w:t>
      </w:r>
    </w:p>
    <w:p>
      <w:pPr>
        <w:spacing w:after="110" w:before="0" w:line="276" w:lineRule="auto"/>
      </w:pPr>
      <w:r>
        <w:rPr>
          <w:rFonts w:ascii="Arial" w:cs="Arial" w:eastAsia="Yu Gothic" w:hAnsi="Arial"/>
          <w:b/>
          <w:bCs/>
          <w:color w:val="1F2533"/>
          <w:sz w:val="19"/>
          <w:szCs w:val="19"/>
        </w:rPr>
        <w:t xml:space="preserve">Expectations are already above guidance.</w:t>
      </w:r>
    </w:p>
    <w:p>
      <w:pPr>
        <w:pStyle w:val="ListParagraph"/>
        <w:numPr>
          <w:ilvl w:val="0"/>
          <w:numId w:val="2"/>
        </w:numPr>
        <w:spacing w:after="60" w:line="264" w:lineRule="auto"/>
      </w:pPr>
      <w:r>
        <w:rPr>
          <w:rFonts w:ascii="Arial" w:cs="Arial" w:eastAsia="Yu Gothic" w:hAnsi="Arial"/>
          <w:color w:val="1F2533"/>
          <w:sz w:val="19"/>
          <w:szCs w:val="19"/>
        </w:rPr>
        <w:t xml:space="preserve">Consensus FY2026 net income is ¥66.5bn, against guidance of ¥65.0bn.</w:t>
      </w:r>
    </w:p>
    <w:p>
      <w:pPr>
        <w:pStyle w:val="ListParagraph"/>
        <w:numPr>
          <w:ilvl w:val="0"/>
          <w:numId w:val="2"/>
        </w:numPr>
        <w:spacing w:after="60" w:line="264" w:lineRule="auto"/>
      </w:pPr>
      <w:r>
        <w:rPr>
          <w:rFonts w:ascii="Arial" w:cs="Arial" w:eastAsia="Yu Gothic" w:hAnsi="Arial"/>
          <w:color w:val="1F2533"/>
          <w:sz w:val="19"/>
          <w:szCs w:val="19"/>
        </w:rPr>
        <w:t xml:space="preserve">The average target price of ¥3,985 assumes the P/E discount keeps narrowing.</w:t>
      </w:r>
    </w:p>
    <w:p>
      <w:pPr>
        <w:pStyle w:val="ListParagraph"/>
        <w:numPr>
          <w:ilvl w:val="0"/>
          <w:numId w:val="2"/>
        </w:numPr>
        <w:spacing w:after="60" w:line="264" w:lineRule="auto"/>
      </w:pPr>
      <w:r>
        <w:rPr>
          <w:rFonts w:ascii="Arial" w:cs="Arial" w:eastAsia="Yu Gothic" w:hAnsi="Arial"/>
          <w:color w:val="1F2533"/>
          <w:sz w:val="19"/>
          <w:szCs w:val="19"/>
        </w:rPr>
        <w:t xml:space="preserve">In the bear case, an 8.0x P/E on ¥280 FY2027E EPS gives </w:t>
      </w:r>
      <w:r>
        <w:rPr>
          <w:rFonts w:ascii="Arial" w:cs="Arial" w:eastAsia="Yu Gothic" w:hAnsi="Arial"/>
          <w:b/>
          <w:bCs/>
          <w:color w:val="1F2533"/>
          <w:sz w:val="19"/>
          <w:szCs w:val="19"/>
        </w:rPr>
        <w:t xml:space="preserve">¥2,300 (−28%)</w:t>
      </w:r>
      <w:r>
        <w:rPr>
          <w:rFonts w:ascii="Arial" w:cs="Arial" w:eastAsia="Yu Gothic" w:hAnsi="Arial"/>
          <w:color w:val="1F2533"/>
          <w:sz w:val="19"/>
          <w:szCs w:val="19"/>
        </w:rPr>
        <w:t xml:space="preserve">. That is 0.5x stressed NAV, in line with Sumitomo Realty's current discount.</w:t>
      </w:r>
    </w:p>
    <w:p>
      <w:pPr>
        <w:spacing w:after="40" w:before="0" w:line="276" w:lineRule="auto"/>
      </w:pPr>
    </w:p>
    <w:p>
      <w:pPr>
        <w:pStyle w:val="Heading2"/>
        <w:keepNext/>
        <w:keepLines/>
        <w:spacing w:after="90" w:before="260" w:line="252" w:lineRule="auto"/>
      </w:pPr>
      <w:r>
        <w:rPr>
          <w:rFonts w:ascii="Arial" w:cs="Arial" w:eastAsia="Yu Gothic" w:hAnsi="Arial"/>
          <w:b/>
          <w:bCs/>
          <w:color w:val="15233F"/>
          <w:sz w:val="25"/>
          <w:szCs w:val="25"/>
        </w:rPr>
        <w:t xml:space="preserve">Pre-mortem: it is October 2027 and the shares are at ¥2,300. What went wrong?</w:t>
      </w:r>
    </w:p>
    <w:p>
      <w:pPr>
        <w:pStyle w:val="ListParagraph"/>
        <w:numPr>
          <w:ilvl w:val="0"/>
          <w:numId w:val="13"/>
        </w:numPr>
        <w:spacing w:after="60" w:line="264" w:lineRule="auto"/>
      </w:pPr>
      <w:r>
        <w:rPr>
          <w:rFonts w:ascii="Arial" w:cs="Arial" w:eastAsia="Yu Gothic" w:hAnsi="Arial"/>
          <w:b/>
          <w:bCs/>
          <w:color w:val="1F2533"/>
          <w:sz w:val="19"/>
          <w:szCs w:val="19"/>
        </w:rPr>
        <w:t xml:space="preserve">Second-half FY2026 sales slipped.</w:t>
      </w:r>
      <w:r>
        <w:rPr>
          <w:rFonts w:ascii="Arial" w:cs="Arial" w:eastAsia="Yu Gothic" w:hAnsi="Arial"/>
          <w:color w:val="1F2533"/>
          <w:sz w:val="19"/>
          <w:szCs w:val="19"/>
        </w:rPr>
        <w:t xml:space="preserve"> The hotel-led disposals slid into 2027 as J-REIT unit prices made public offerings uneconomic. FY2026 operating income landed near ¥98bn, the first miss in years, and year-end debt stayed above ¥1.5tn.</w:t>
      </w:r>
    </w:p>
    <w:p>
      <w:pPr>
        <w:pStyle w:val="ListParagraph"/>
        <w:numPr>
          <w:ilvl w:val="0"/>
          <w:numId w:val="13"/>
        </w:numPr>
        <w:spacing w:after="60" w:line="264" w:lineRule="auto"/>
      </w:pPr>
      <w:r>
        <w:rPr>
          <w:rFonts w:ascii="Arial" w:cs="Arial" w:eastAsia="Yu Gothic" w:hAnsi="Arial"/>
          <w:b/>
          <w:bCs/>
          <w:color w:val="1F2533"/>
          <w:sz w:val="19"/>
          <w:szCs w:val="19"/>
        </w:rPr>
        <w:t xml:space="preserve">February 2027 guidance disappointed.</w:t>
      </w:r>
      <w:r>
        <w:rPr>
          <w:rFonts w:ascii="Arial" w:cs="Arial" w:eastAsia="Yu Gothic" w:hAnsi="Arial"/>
          <w:color w:val="1F2533"/>
          <w:sz w:val="19"/>
          <w:szCs w:val="19"/>
        </w:rPr>
        <w:t xml:space="preserve"> FY2027 operating income was guided flat because sale gains normalised. Net income fell below ¥60bn as net non-operating cost jumped past ¥25bn.</w:t>
      </w:r>
    </w:p>
    <w:p>
      <w:pPr>
        <w:pStyle w:val="ListParagraph"/>
        <w:numPr>
          <w:ilvl w:val="0"/>
          <w:numId w:val="13"/>
        </w:numPr>
        <w:spacing w:after="60" w:line="264" w:lineRule="auto"/>
      </w:pPr>
      <w:r>
        <w:rPr>
          <w:rFonts w:ascii="Arial" w:cs="Arial" w:eastAsia="Yu Gothic" w:hAnsi="Arial"/>
          <w:b/>
          <w:bCs/>
          <w:color w:val="1F2533"/>
          <w:sz w:val="19"/>
          <w:szCs w:val="19"/>
        </w:rPr>
        <w:t xml:space="preserve">Rates kept rising.</w:t>
      </w:r>
      <w:r>
        <w:rPr>
          <w:rFonts w:ascii="Arial" w:cs="Arial" w:eastAsia="Yu Gothic" w:hAnsi="Arial"/>
          <w:color w:val="1F2533"/>
          <w:sz w:val="19"/>
          <w:szCs w:val="19"/>
        </w:rPr>
        <w:t xml:space="preserve"> The BOJ moved to 1.5–1.75% and the 10-year JGB rose above 3.25%. JREI's survey finally showed cap rates widening. NAV fell by about ¥600 per share, and the market applied a "Sumitomo discount" (0.5x NAV).</w:t>
      </w:r>
    </w:p>
    <w:p>
      <w:pPr>
        <w:pStyle w:val="ListParagraph"/>
        <w:numPr>
          <w:ilvl w:val="0"/>
          <w:numId w:val="13"/>
        </w:numPr>
        <w:spacing w:after="60" w:line="264" w:lineRule="auto"/>
      </w:pPr>
      <w:r>
        <w:rPr>
          <w:rFonts w:ascii="Arial" w:cs="Arial" w:eastAsia="Yu Gothic" w:hAnsi="Arial"/>
          <w:b/>
          <w:bCs/>
          <w:color w:val="1F2533"/>
          <w:sz w:val="19"/>
          <w:szCs w:val="19"/>
        </w:rPr>
        <w:t xml:space="preserve">The rating came under pressure.</w:t>
      </w:r>
      <w:r>
        <w:rPr>
          <w:rFonts w:ascii="Arial" w:cs="Arial" w:eastAsia="Yu Gothic" w:hAnsi="Arial"/>
          <w:color w:val="1F2533"/>
          <w:sz w:val="19"/>
          <w:szCs w:val="19"/>
        </w:rPr>
        <w:t xml:space="preserve"> Debt/equity rose above 2.6x, JCR moved the outlook to negative, and the equity credit on the hybrids came into question.</w:t>
      </w:r>
    </w:p>
    <w:p>
      <w:pPr>
        <w:pStyle w:val="ListParagraph"/>
        <w:numPr>
          <w:ilvl w:val="0"/>
          <w:numId w:val="13"/>
        </w:numPr>
        <w:spacing w:after="60" w:line="264" w:lineRule="auto"/>
      </w:pPr>
      <w:r>
        <w:rPr>
          <w:rFonts w:ascii="Arial" w:cs="Arial" w:eastAsia="Yu Gothic" w:hAnsi="Arial"/>
          <w:b/>
          <w:bCs/>
          <w:color w:val="1F2533"/>
          <w:sz w:val="19"/>
          <w:szCs w:val="19"/>
        </w:rPr>
        <w:t xml:space="preserve">Condos stalled.</w:t>
      </w:r>
      <w:r>
        <w:rPr>
          <w:rFonts w:ascii="Arial" w:cs="Arial" w:eastAsia="Yu Gothic" w:hAnsi="Arial"/>
          <w:color w:val="1F2533"/>
          <w:sz w:val="19"/>
          <w:szCs w:val="19"/>
        </w:rPr>
        <w:t xml:space="preserve"> Greater Tokyo contract rates fell below 60% and inventory built up. The condo gross margin fell below 25%, and the first write-downs appeared.</w:t>
      </w:r>
    </w:p>
    <w:p>
      <w:pPr>
        <w:pStyle w:val="ListParagraph"/>
        <w:numPr>
          <w:ilvl w:val="0"/>
          <w:numId w:val="13"/>
        </w:numPr>
        <w:spacing w:after="60" w:line="264" w:lineRule="auto"/>
      </w:pPr>
      <w:r>
        <w:rPr>
          <w:rFonts w:ascii="Arial" w:cs="Arial" w:eastAsia="Yu Gothic" w:hAnsi="Arial"/>
          <w:b/>
          <w:bCs/>
          <w:color w:val="1F2533"/>
          <w:sz w:val="19"/>
          <w:szCs w:val="19"/>
        </w:rPr>
        <w:t xml:space="preserve">Overseas losses recurred</w:t>
      </w:r>
      <w:r>
        <w:rPr>
          <w:rFonts w:ascii="Arial" w:cs="Arial" w:eastAsia="Yu Gothic" w:hAnsi="Arial"/>
          <w:color w:val="1F2533"/>
          <w:sz w:val="19"/>
          <w:szCs w:val="19"/>
        </w:rPr>
        <w:t xml:space="preserve"> from the London refurbishment and US joint ventures.</w:t>
      </w:r>
    </w:p>
    <w:p>
      <w:pPr>
        <w:pStyle w:val="ListParagraph"/>
        <w:numPr>
          <w:ilvl w:val="0"/>
          <w:numId w:val="13"/>
        </w:numPr>
        <w:spacing w:after="60" w:line="264" w:lineRule="auto"/>
      </w:pPr>
      <w:r>
        <w:rPr>
          <w:rFonts w:ascii="Arial" w:cs="Arial" w:eastAsia="Yu Gothic" w:hAnsi="Arial"/>
          <w:b/>
          <w:bCs/>
          <w:color w:val="1F2533"/>
          <w:sz w:val="19"/>
          <w:szCs w:val="19"/>
        </w:rPr>
        <w:t xml:space="preserve">Capital policy disappointed.</w:t>
      </w:r>
      <w:r>
        <w:rPr>
          <w:rFonts w:ascii="Arial" w:cs="Arial" w:eastAsia="Yu Gothic" w:hAnsi="Arial"/>
          <w:color w:val="1F2533"/>
          <w:sz w:val="19"/>
          <w:szCs w:val="19"/>
        </w:rPr>
        <w:t xml:space="preserve"> The new plan offered no buyback, and the P/E de-rated to the bottom of its three-year band (7–8x).</w:t>
      </w:r>
    </w:p>
    <w:p>
      <w:pPr>
        <w:spacing w:after="40" w:before="0" w:line="276" w:lineRule="auto"/>
      </w:pPr>
    </w:p>
    <w:p>
      <w:pPr>
        <w:spacing w:after="110" w:before="0" w:line="276" w:lineRule="auto"/>
      </w:pPr>
      <w:r>
        <w:rPr>
          <w:rFonts w:ascii="Arial" w:cs="Arial" w:eastAsia="Yu Gothic" w:hAnsi="Arial"/>
          <w:b/>
          <w:bCs/>
          <w:color w:val="1F2533"/>
          <w:sz w:val="19"/>
          <w:szCs w:val="19"/>
        </w:rPr>
        <w:t xml:space="preserve">Leading indicators to monitor:</w:t>
      </w:r>
    </w:p>
    <w:p>
      <w:pPr>
        <w:pStyle w:val="ListParagraph"/>
        <w:numPr>
          <w:ilvl w:val="0"/>
          <w:numId w:val="2"/>
        </w:numPr>
        <w:spacing w:after="60" w:line="264" w:lineRule="auto"/>
      </w:pPr>
      <w:r>
        <w:rPr>
          <w:rFonts w:ascii="Arial" w:cs="Arial" w:eastAsia="Yu Gothic" w:hAnsi="Arial"/>
          <w:color w:val="1F2533"/>
          <w:sz w:val="19"/>
          <w:szCs w:val="19"/>
        </w:rPr>
        <w:t xml:space="preserve">9M progress at the Q3 release (mid-November 2026), against FY2025's 52.8% of full-year operating income;</w:t>
      </w:r>
    </w:p>
    <w:p>
      <w:pPr>
        <w:pStyle w:val="ListParagraph"/>
        <w:numPr>
          <w:ilvl w:val="0"/>
          <w:numId w:val="2"/>
        </w:numPr>
        <w:spacing w:after="60" w:line="264" w:lineRule="auto"/>
      </w:pPr>
      <w:r>
        <w:rPr>
          <w:rFonts w:ascii="Arial" w:cs="Arial" w:eastAsia="Yu Gothic" w:hAnsi="Arial"/>
          <w:color w:val="1F2533"/>
          <w:sz w:val="19"/>
          <w:szCs w:val="19"/>
        </w:rPr>
        <w:t xml:space="preserve">year-end interest-bearing debt and equity ratio;</w:t>
      </w:r>
    </w:p>
    <w:p>
      <w:pPr>
        <w:pStyle w:val="ListParagraph"/>
        <w:numPr>
          <w:ilvl w:val="0"/>
          <w:numId w:val="2"/>
        </w:numPr>
        <w:spacing w:after="60" w:line="264" w:lineRule="auto"/>
      </w:pPr>
      <w:r>
        <w:rPr>
          <w:rFonts w:ascii="Arial" w:cs="Arial" w:eastAsia="Yu Gothic" w:hAnsi="Arial"/>
          <w:color w:val="1F2533"/>
          <w:sz w:val="19"/>
          <w:szCs w:val="19"/>
        </w:rPr>
        <w:t xml:space="preserve">the TSE REIT index and JPR equity issuance;</w:t>
      </w:r>
    </w:p>
    <w:p>
      <w:pPr>
        <w:pStyle w:val="ListParagraph"/>
        <w:numPr>
          <w:ilvl w:val="0"/>
          <w:numId w:val="2"/>
        </w:numPr>
        <w:spacing w:after="60" w:line="264" w:lineRule="auto"/>
      </w:pPr>
      <w:r>
        <w:rPr>
          <w:rFonts w:ascii="Arial" w:cs="Arial" w:eastAsia="Yu Gothic" w:hAnsi="Arial"/>
          <w:color w:val="1F2533"/>
          <w:sz w:val="19"/>
          <w:szCs w:val="19"/>
        </w:rPr>
        <w:t xml:space="preserve">the 10-year JGB;</w:t>
      </w:r>
    </w:p>
    <w:p>
      <w:pPr>
        <w:pStyle w:val="ListParagraph"/>
        <w:numPr>
          <w:ilvl w:val="0"/>
          <w:numId w:val="2"/>
        </w:numPr>
        <w:spacing w:after="60" w:line="264" w:lineRule="auto"/>
      </w:pPr>
      <w:r>
        <w:rPr>
          <w:rFonts w:ascii="Arial" w:cs="Arial" w:eastAsia="Yu Gothic" w:hAnsi="Arial"/>
          <w:color w:val="1F2533"/>
          <w:sz w:val="19"/>
          <w:szCs w:val="19"/>
        </w:rPr>
        <w:t xml:space="preserve">Miki Shoji's monthly vacancy data;</w:t>
      </w:r>
    </w:p>
    <w:p>
      <w:pPr>
        <w:pStyle w:val="ListParagraph"/>
        <w:numPr>
          <w:ilvl w:val="0"/>
          <w:numId w:val="2"/>
        </w:numPr>
        <w:spacing w:after="60" w:line="264" w:lineRule="auto"/>
      </w:pPr>
      <w:r>
        <w:rPr>
          <w:rFonts w:ascii="Arial" w:cs="Arial" w:eastAsia="Yu Gothic" w:hAnsi="Arial"/>
          <w:color w:val="1F2533"/>
          <w:sz w:val="19"/>
          <w:szCs w:val="19"/>
        </w:rPr>
        <w:t xml:space="preserve">REEI's monthly condo contract rate;</w:t>
      </w:r>
    </w:p>
    <w:p>
      <w:pPr>
        <w:pStyle w:val="ListParagraph"/>
        <w:numPr>
          <w:ilvl w:val="0"/>
          <w:numId w:val="2"/>
        </w:numPr>
        <w:spacing w:after="60" w:line="264" w:lineRule="auto"/>
      </w:pPr>
      <w:r>
        <w:rPr>
          <w:rFonts w:ascii="Arial" w:cs="Arial" w:eastAsia="Yu Gothic" w:hAnsi="Arial"/>
          <w:color w:val="1F2533"/>
          <w:sz w:val="19"/>
          <w:szCs w:val="19"/>
        </w:rPr>
        <w:t xml:space="preserve">the equity-method line.</w:t>
      </w:r>
    </w:p>
    <w:p>
      <w:pPr>
        <w:spacing w:after="40" w:before="0" w:line="276" w:lineRule="auto"/>
      </w:pPr>
    </w:p>
    <w:p>
      <w:pPr>
        <w:pStyle w:val="Heading2"/>
        <w:keepNext/>
        <w:keepLines/>
        <w:spacing w:after="90" w:before="260" w:line="252" w:lineRule="auto"/>
      </w:pPr>
      <w:r>
        <w:rPr>
          <w:rFonts w:ascii="Arial" w:cs="Arial" w:eastAsia="Yu Gothic" w:hAnsi="Arial"/>
          <w:b/>
          <w:bCs/>
          <w:color w:val="15233F"/>
          <w:sz w:val="25"/>
          <w:szCs w:val="25"/>
        </w:rPr>
        <w:t xml:space="preserve">Are current multiples too high?</w:t>
      </w:r>
    </w:p>
    <w:p>
      <w:pPr>
        <w:spacing w:after="110" w:before="0" w:line="276" w:lineRule="auto"/>
      </w:pPr>
      <w:r>
        <w:rPr>
          <w:rFonts w:ascii="Arial" w:cs="Arial" w:eastAsia="Yu Gothic" w:hAnsi="Arial"/>
          <w:b/>
          <w:bCs/>
          <w:color w:val="1F2533"/>
          <w:sz w:val="19"/>
          <w:szCs w:val="19"/>
        </w:rPr>
        <w:t xml:space="preserve">Not on equity measures.</w:t>
      </w:r>
      <w:r>
        <w:rPr>
          <w:rFonts w:ascii="Arial" w:cs="Arial" w:eastAsia="Yu Gothic" w:hAnsi="Arial"/>
          <w:color w:val="1F2533"/>
          <w:sz w:val="19"/>
          <w:szCs w:val="19"/>
        </w:rPr>
        <w:t xml:space="preserve"> A 10.3x P/E and 0.65x NAV are not demanding.</w:t>
      </w:r>
    </w:p>
    <w:p>
      <w:pPr>
        <w:spacing w:after="110" w:before="0" w:line="276" w:lineRule="auto"/>
      </w:pPr>
      <w:r>
        <w:rPr>
          <w:rFonts w:ascii="Arial" w:cs="Arial" w:eastAsia="Yu Gothic" w:hAnsi="Arial"/>
          <w:b/>
          <w:bCs/>
          <w:color w:val="1F2533"/>
          <w:sz w:val="19"/>
          <w:szCs w:val="19"/>
        </w:rPr>
        <w:t xml:space="preserve">But they are not cheap once leverage and earnings quality are considered.</w:t>
      </w:r>
    </w:p>
    <w:p>
      <w:pPr>
        <w:pStyle w:val="ListParagraph"/>
        <w:numPr>
          <w:ilvl w:val="0"/>
          <w:numId w:val="2"/>
        </w:numPr>
        <w:spacing w:after="60" w:line="264" w:lineRule="auto"/>
      </w:pPr>
      <w:r>
        <w:rPr>
          <w:rFonts w:ascii="Arial" w:cs="Arial" w:eastAsia="Yu Gothic" w:hAnsi="Arial"/>
          <w:color w:val="1F2533"/>
          <w:sz w:val="19"/>
          <w:szCs w:val="19"/>
        </w:rPr>
        <w:t xml:space="preserve">EV/EBITDA of 17.7x is above the stock's own 15.1–16.2x year-end range (15.6x on the December 2025 balance sheet).</w:t>
      </w:r>
    </w:p>
    <w:p>
      <w:pPr>
        <w:pStyle w:val="ListParagraph"/>
        <w:numPr>
          <w:ilvl w:val="0"/>
          <w:numId w:val="2"/>
        </w:numPr>
        <w:spacing w:after="60" w:line="264" w:lineRule="auto"/>
      </w:pPr>
      <w:r>
        <w:rPr>
          <w:rFonts w:ascii="Arial" w:cs="Arial" w:eastAsia="Yu Gothic" w:hAnsi="Arial"/>
          <w:color w:val="1F2533"/>
          <w:sz w:val="19"/>
          <w:szCs w:val="19"/>
        </w:rPr>
        <w:t xml:space="preserve">EV/Sales of 4.47x is above the own-history range of 3.53–4.09x.</w:t>
      </w:r>
    </w:p>
    <w:p>
      <w:pPr>
        <w:pStyle w:val="ListParagraph"/>
        <w:numPr>
          <w:ilvl w:val="0"/>
          <w:numId w:val="2"/>
        </w:numPr>
        <w:spacing w:after="60" w:line="264" w:lineRule="auto"/>
      </w:pPr>
      <w:r>
        <w:rPr>
          <w:rFonts w:ascii="Arial" w:cs="Arial" w:eastAsia="Yu Gothic" w:hAnsi="Arial"/>
          <w:color w:val="1F2533"/>
          <w:sz w:val="19"/>
          <w:szCs w:val="19"/>
        </w:rPr>
        <w:t xml:space="preserve">The forward P/E sits above the three-year band of 7.0–9.9x.</w:t>
      </w:r>
    </w:p>
    <w:p>
      <w:pPr>
        <w:pStyle w:val="ListParagraph"/>
        <w:numPr>
          <w:ilvl w:val="0"/>
          <w:numId w:val="2"/>
        </w:numPr>
        <w:spacing w:after="60" w:line="264" w:lineRule="auto"/>
      </w:pPr>
      <w:r>
        <w:rPr>
          <w:rFonts w:ascii="Arial" w:cs="Arial" w:eastAsia="Yu Gothic" w:hAnsi="Arial"/>
          <w:b/>
          <w:bCs/>
          <w:color w:val="1F2533"/>
          <w:sz w:val="19"/>
          <w:szCs w:val="19"/>
        </w:rPr>
        <w:t xml:space="preserve">The 2025 re-rating has not fully unwound.</w:t>
      </w:r>
    </w:p>
    <w:p>
      <w:pPr>
        <w:spacing w:after="40" w:before="0" w:line="276" w:lineRule="auto"/>
      </w:pPr>
    </w:p>
    <w:p>
      <w:pPr>
        <w:spacing w:after="110" w:before="0" w:line="276" w:lineRule="auto"/>
      </w:pPr>
      <w:r>
        <w:rPr>
          <w:rFonts w:ascii="Arial" w:cs="Arial" w:eastAsia="Yu Gothic" w:hAnsi="Arial"/>
          <w:b/>
          <w:bCs/>
          <w:color w:val="1F2533"/>
          <w:sz w:val="19"/>
          <w:szCs w:val="19"/>
        </w:rPr>
        <w:t xml:space="preserve">What the market price implies:</w:t>
      </w:r>
    </w:p>
    <w:p>
      <w:pPr>
        <w:pStyle w:val="ListParagraph"/>
        <w:numPr>
          <w:ilvl w:val="0"/>
          <w:numId w:val="2"/>
        </w:numPr>
        <w:spacing w:after="60" w:line="264" w:lineRule="auto"/>
      </w:pPr>
      <w:r>
        <w:rPr>
          <w:rFonts w:ascii="Arial" w:cs="Arial" w:eastAsia="Yu Gothic" w:hAnsi="Arial"/>
          <w:b/>
          <w:bCs/>
          <w:color w:val="1F2533"/>
          <w:sz w:val="19"/>
          <w:szCs w:val="19"/>
        </w:rPr>
        <w:t xml:space="preserve">Book value.</w:t>
      </w:r>
      <w:r>
        <w:rPr>
          <w:rFonts w:ascii="Arial" w:cs="Arial" w:eastAsia="Yu Gothic" w:hAnsi="Arial"/>
          <w:color w:val="1F2533"/>
          <w:sz w:val="19"/>
          <w:szCs w:val="19"/>
        </w:rPr>
        <w:t xml:space="preserve"> A 1.10x P/B with ROE of ≈10.7% implies near-zero long-run growth at a 9–10% cost of equity. The market is treating the 10% ROE target as roughly the ceiling.</w:t>
      </w:r>
    </w:p>
    <w:p>
      <w:pPr>
        <w:pStyle w:val="ListParagraph"/>
        <w:numPr>
          <w:ilvl w:val="0"/>
          <w:numId w:val="2"/>
        </w:numPr>
        <w:spacing w:after="60" w:line="264" w:lineRule="auto"/>
      </w:pPr>
      <w:r>
        <w:rPr>
          <w:rFonts w:ascii="Arial" w:cs="Arial" w:eastAsia="Yu Gothic" w:hAnsi="Arial"/>
          <w:b/>
          <w:bCs/>
          <w:color w:val="1F2533"/>
          <w:sz w:val="19"/>
          <w:szCs w:val="19"/>
        </w:rPr>
        <w:t xml:space="preserve">NAV.</w:t>
      </w:r>
      <w:r>
        <w:rPr>
          <w:rFonts w:ascii="Arial" w:cs="Arial" w:eastAsia="Yu Gothic" w:hAnsi="Arial"/>
          <w:color w:val="1F2533"/>
          <w:sz w:val="19"/>
          <w:szCs w:val="19"/>
        </w:rPr>
        <w:t xml:space="preserve"> A 0.65x P/NAV implies a 31% haircut to appraised fair value. That is equivalent to roughly +136–181bp of cap-rate expansion, depending on the starting cap rate assumed (3.0–4.0%).</w:t>
      </w:r>
    </w:p>
    <w:p>
      <w:pPr>
        <w:spacing w:after="40" w:before="0" w:line="276" w:lineRule="auto"/>
      </w:pPr>
    </w:p>
    <w:p>
      <w:pPr>
        <w:spacing w:after="110" w:before="0" w:line="276" w:lineRule="auto"/>
      </w:pPr>
      <w:r>
        <w:rPr>
          <w:rFonts w:ascii="Arial" w:cs="Arial" w:eastAsia="Yu Gothic" w:hAnsi="Arial"/>
          <w:b/>
          <w:bCs/>
          <w:color w:val="1F2533"/>
          <w:sz w:val="19"/>
          <w:szCs w:val="19"/>
        </w:rPr>
        <w:t xml:space="preserve">Verdict: not too high, but no margin of safety.</w:t>
      </w:r>
      <w:r>
        <w:rPr>
          <w:rFonts w:ascii="Arial" w:cs="Arial" w:eastAsia="Yu Gothic" w:hAnsi="Arial"/>
          <w:color w:val="1F2533"/>
          <w:sz w:val="19"/>
          <w:szCs w:val="19"/>
        </w:rPr>
        <w:t xml:space="preserve"> The margin of safety lives in the NAV, and the NAV is only as good as the exit market.</w:t>
      </w:r>
    </w:p>
    <w:p>
      <w:pPr>
        <w:pStyle w:val="Heading2"/>
        <w:keepNext/>
        <w:keepLines/>
        <w:spacing w:after="90" w:before="260" w:line="252" w:lineRule="auto"/>
      </w:pPr>
      <w:r>
        <w:rPr>
          <w:rFonts w:ascii="Arial" w:cs="Arial" w:eastAsia="Yu Gothic" w:hAnsi="Arial"/>
          <w:b/>
          <w:bCs/>
          <w:color w:val="15233F"/>
          <w:sz w:val="25"/>
          <w:szCs w:val="25"/>
        </w:rPr>
        <w:t xml:space="preserve">Contrarian view: the market is pricing a cap-rate shock that the private market is not delivering, and Tokyo Tatemono is the developer that can monetise the gap</w:t>
      </w:r>
    </w:p>
    <w:p>
      <w:pPr>
        <w:spacing w:after="110" w:before="0" w:line="276" w:lineRule="auto"/>
      </w:pPr>
      <w:r>
        <w:rPr>
          <w:rFonts w:ascii="Arial" w:cs="Arial" w:eastAsia="Yu Gothic" w:hAnsi="Arial"/>
          <w:b/>
          <w:bCs/>
          <w:color w:val="1F2533"/>
          <w:sz w:val="19"/>
          <w:szCs w:val="19"/>
        </w:rPr>
        <w:t xml:space="preserve">The public market</w:t>
      </w:r>
      <w:r>
        <w:rPr>
          <w:rFonts w:ascii="Arial" w:cs="Arial" w:eastAsia="Yu Gothic" w:hAnsi="Arial"/>
          <w:color w:val="1F2533"/>
          <w:sz w:val="19"/>
          <w:szCs w:val="19"/>
        </w:rPr>
        <w:t xml:space="preserve"> prices Tokyo Tatemono as if its ¥1.66tn rental portfolio were worth about 31% less than appraised. That implies roughly 140–180bp of cap-rate expansion.</w:t>
      </w:r>
    </w:p>
    <w:p>
      <w:pPr>
        <w:spacing w:after="110" w:before="0" w:line="276" w:lineRule="auto"/>
      </w:pPr>
      <w:r>
        <w:rPr>
          <w:rFonts w:ascii="Arial" w:cs="Arial" w:eastAsia="Yu Gothic" w:hAnsi="Arial"/>
          <w:b/>
          <w:bCs/>
          <w:color w:val="1F2533"/>
          <w:sz w:val="19"/>
          <w:szCs w:val="19"/>
        </w:rPr>
        <w:t xml:space="preserve">The private market is not marking anything like that.</w:t>
      </w:r>
    </w:p>
    <w:p>
      <w:pPr>
        <w:pStyle w:val="ListParagraph"/>
        <w:numPr>
          <w:ilvl w:val="0"/>
          <w:numId w:val="2"/>
        </w:numPr>
        <w:spacing w:after="60" w:line="264" w:lineRule="auto"/>
      </w:pPr>
      <w:r>
        <w:rPr>
          <w:rFonts w:ascii="Arial" w:cs="Arial" w:eastAsia="Yu Gothic" w:hAnsi="Arial"/>
          <w:color w:val="1F2533"/>
          <w:sz w:val="19"/>
          <w:szCs w:val="19"/>
        </w:rPr>
        <w:t xml:space="preserve">JREI's prime cap rate has been unchanged at 3.2% for seven consecutive surveys.</w:t>
      </w:r>
    </w:p>
    <w:p>
      <w:pPr>
        <w:pStyle w:val="ListParagraph"/>
        <w:numPr>
          <w:ilvl w:val="0"/>
          <w:numId w:val="2"/>
        </w:numPr>
        <w:spacing w:after="60" w:line="264" w:lineRule="auto"/>
      </w:pPr>
      <w:r>
        <w:rPr>
          <w:rFonts w:ascii="Arial" w:cs="Arial" w:eastAsia="Yu Gothic" w:hAnsi="Arial"/>
          <w:color w:val="1F2533"/>
          <w:sz w:val="19"/>
          <w:szCs w:val="19"/>
        </w:rPr>
        <w:t xml:space="preserve">Blackstone paid about ¥400bn for Tokyo Garden Terrace in 2025, roughly 2.9x the seller's book value.</w:t>
      </w:r>
    </w:p>
    <w:p>
      <w:pPr>
        <w:pStyle w:val="ListParagraph"/>
        <w:numPr>
          <w:ilvl w:val="0"/>
          <w:numId w:val="2"/>
        </w:numPr>
        <w:spacing w:after="60" w:line="264" w:lineRule="auto"/>
      </w:pPr>
      <w:r>
        <w:rPr>
          <w:rFonts w:ascii="Arial" w:cs="Arial" w:eastAsia="Yu Gothic" w:hAnsi="Arial"/>
          <w:color w:val="1F2533"/>
          <w:sz w:val="19"/>
          <w:szCs w:val="19"/>
        </w:rPr>
        <w:t xml:space="preserve">Leopalace21 is being taken private at a 45% premium, and Sankei REIT has attracted competing bids.</w:t>
      </w:r>
    </w:p>
    <w:p>
      <w:pPr>
        <w:pStyle w:val="ListParagraph"/>
        <w:numPr>
          <w:ilvl w:val="0"/>
          <w:numId w:val="2"/>
        </w:numPr>
        <w:spacing w:after="60" w:line="264" w:lineRule="auto"/>
      </w:pPr>
      <w:r>
        <w:rPr>
          <w:rFonts w:ascii="Arial" w:cs="Arial" w:eastAsia="Yu Gothic" w:hAnsi="Arial"/>
          <w:color w:val="1F2533"/>
          <w:sz w:val="19"/>
          <w:szCs w:val="19"/>
        </w:rPr>
        <w:t xml:space="preserve">Tokyo Tatemono itself booked "higher margins" on investor sales in FY2025 and is executing its largest-ever programme in FY2026.</w:t>
      </w:r>
    </w:p>
    <w:p>
      <w:pPr>
        <w:spacing w:after="40" w:before="0" w:line="276" w:lineRule="auto"/>
      </w:pPr>
    </w:p>
    <w:p>
      <w:pPr>
        <w:spacing w:after="110" w:before="0" w:line="276" w:lineRule="auto"/>
      </w:pPr>
      <w:r>
        <w:rPr>
          <w:rFonts w:ascii="Arial" w:cs="Arial" w:eastAsia="Yu Gothic" w:hAnsi="Arial"/>
          <w:b/>
          <w:bCs/>
          <w:color w:val="1F2533"/>
          <w:sz w:val="19"/>
          <w:szCs w:val="19"/>
        </w:rPr>
        <w:t xml:space="preserve">What the market refuses to see.</w:t>
      </w:r>
      <w:r>
        <w:rPr>
          <w:rFonts w:ascii="Arial" w:cs="Arial" w:eastAsia="Yu Gothic" w:hAnsi="Arial"/>
          <w:color w:val="1F2533"/>
          <w:sz w:val="19"/>
          <w:szCs w:val="19"/>
        </w:rPr>
        <w:t xml:space="preserve"> Tokyo Tatemono's high earnings yield on NAV (≈6.3%, against ≈2.7–3.6% implied for the majors) is not low-quality "liquidation" income. It is a public-private valuation arbitrage being harvested for shareholders. Every sale crystallises appraisal-level values into book equity, which the market values at 1.1x, and into dividends paid at a 40% payout.</w:t>
      </w:r>
    </w:p>
    <w:p>
      <w:pPr>
        <w:spacing w:after="110" w:before="0" w:line="276" w:lineRule="auto"/>
      </w:pPr>
      <w:r>
        <w:rPr>
          <w:rFonts w:ascii="Arial" w:cs="Arial" w:eastAsia="Yu Gothic" w:hAnsi="Arial"/>
          <w:b/>
          <w:bCs/>
          <w:color w:val="1F2533"/>
          <w:sz w:val="19"/>
          <w:szCs w:val="19"/>
        </w:rPr>
        <w:t xml:space="preserve">What would prove it.</w:t>
      </w:r>
      <w:r>
        <w:rPr>
          <w:rFonts w:ascii="Arial" w:cs="Arial" w:eastAsia="Yu Gothic" w:hAnsi="Arial"/>
          <w:color w:val="1F2533"/>
          <w:sz w:val="19"/>
          <w:szCs w:val="19"/>
        </w:rPr>
        <w:t xml:space="preserve"> If second-half FY2026 sales close at margin, management could recycle part of the proceeds into buybacks at 0.65x NAV. The NAV discount should then compress towards 0.8x, which implies more than ¥4,000.</w:t>
      </w:r>
    </w:p>
    <w:p>
      <w:pPr>
        <w:spacing w:after="110" w:before="0" w:line="276" w:lineRule="auto"/>
      </w:pPr>
      <w:r>
        <w:rPr>
          <w:rFonts w:ascii="Arial" w:cs="Arial" w:eastAsia="Yu Gothic" w:hAnsi="Arial"/>
          <w:b/>
          <w:bCs/>
          <w:color w:val="1F2533"/>
          <w:sz w:val="19"/>
          <w:szCs w:val="19"/>
        </w:rPr>
        <w:t xml:space="preserve">What would disprove it.</w:t>
      </w:r>
      <w:r>
        <w:rPr>
          <w:rFonts w:ascii="Arial" w:cs="Arial" w:eastAsia="Yu Gothic" w:hAnsi="Arial"/>
          <w:color w:val="1F2533"/>
          <w:sz w:val="19"/>
          <w:szCs w:val="19"/>
        </w:rPr>
        <w:t xml:space="preserve"> The contrarian view fails if private markets are simply lagging and the public market is right. The second-half sale closings, and the margins achieved, are the test. </w:t>
      </w:r>
      <w:r>
        <w:rPr>
          <w:rFonts w:ascii="Arial" w:cs="Arial" w:eastAsia="Yu Gothic" w:hAnsi="Arial"/>
          <w:b/>
          <w:bCs/>
          <w:color w:val="1F2533"/>
          <w:sz w:val="19"/>
          <w:szCs w:val="19"/>
        </w:rPr>
        <w:t xml:space="preserve">This view is why we skew our Hold positively and set explicit upgrade triggers, rather than recommending Sell.</w:t>
      </w:r>
    </w:p>
    <w:p>
      <w:pPr>
        <w:pBdr>
          <w:left w:val="single" w:color="2F6FD0" w:sz="24" w:space="8"/>
        </w:pBdr>
        <w:shd w:fill="EEF3FA" w:color="auto" w:val="clear"/>
        <w:spacing w:after="160" w:before="60" w:line="264" w:lineRule="auto"/>
        <w:ind w:left="200" w:right="200"/>
      </w:pPr>
      <w:r>
        <w:rPr>
          <w:rFonts w:ascii="Arial" w:cs="Arial" w:eastAsia="Yu Gothic" w:hAnsi="Arial"/>
          <w:b/>
          <w:bCs/>
          <w:color w:val="15233F"/>
          <w:sz w:val="18"/>
          <w:szCs w:val="18"/>
        </w:rPr>
        <w:t xml:space="preserve">Key takeaway:</w:t>
      </w:r>
      <w:r>
        <w:rPr>
          <w:rFonts w:ascii="Arial" w:cs="Arial" w:eastAsia="Yu Gothic" w:hAnsi="Arial"/>
          <w:color w:val="15233F"/>
          <w:sz w:val="18"/>
          <w:szCs w:val="18"/>
        </w:rPr>
        <w:t xml:space="preserve"> The bull and bear cases share a single hinge: whether the private market keeps clearing Tokyo assets at about a 3.2% cap rate while rates rise. Watch for second-half sales and year-end debt to decide the argument.</w:t>
      </w:r>
    </w:p>
    <w:p>
      <w:pPr>
        <w:pStyle w:val="Heading1"/>
        <w:keepNext/>
        <w:keepLines/>
        <w:pageBreakBefore/>
        <w:pBdr>
          <w:bottom w:val="single" w:color="2F6FD0" w:sz="12" w:space="6"/>
        </w:pBdr>
        <w:spacing w:after="160" w:before="0" w:line="252" w:lineRule="auto"/>
      </w:pPr>
      <w:r>
        <w:rPr>
          <w:rFonts w:ascii="Arial" w:cs="Arial" w:eastAsia="Yu Gothic" w:hAnsi="Arial"/>
          <w:b/>
          <w:bCs/>
          <w:color w:val="15233F"/>
          <w:sz w:val="32"/>
          <w:szCs w:val="32"/>
        </w:rPr>
        <w:t xml:space="preserve">19. Scenario analysis: ¥2,300 to ¥4,400, probability-weighted at ¥3,400</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88"/>
        <w:gridCol w:w="2774"/>
        <w:gridCol w:w="2840"/>
        <w:gridCol w:w="2344"/>
      </w:tblGrid>
      <w:tr>
        <w:trPr>
          <w:cantSplit/>
          <w:tblHeader/>
        </w:trPr>
        <w:tc>
          <w:tcPr>
            <w:tcW w:type="dxa" w:w="1788"/>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bCs/>
                <w:color w:val="FFFFFF"/>
                <w:sz w:val="16"/>
                <w:szCs w:val="16"/>
              </w:rPr>
              <w:t xml:space="preserve">Assumption</w:t>
            </w:r>
          </w:p>
        </w:tc>
        <w:tc>
          <w:tcPr>
            <w:tcW w:type="dxa" w:w="2774"/>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6"/>
                <w:szCs w:val="16"/>
              </w:rPr>
              <w:t xml:space="preserve">Bear (25%)</w:t>
            </w:r>
          </w:p>
        </w:tc>
        <w:tc>
          <w:tcPr>
            <w:tcW w:type="dxa" w:w="2840"/>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6"/>
                <w:szCs w:val="16"/>
              </w:rPr>
              <w:t xml:space="preserve">Base (50%)</w:t>
            </w:r>
          </w:p>
        </w:tc>
        <w:tc>
          <w:tcPr>
            <w:tcW w:type="dxa" w:w="2344"/>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6"/>
                <w:szCs w:val="16"/>
              </w:rPr>
              <w:t xml:space="preserve">Bull (25%)</w:t>
            </w:r>
          </w:p>
        </w:tc>
      </w:tr>
      <w:tr>
        <w:trPr>
          <w:cantSplit/>
        </w:trPr>
        <w:tc>
          <w:tcPr>
            <w:tcW w:type="dxa" w:w="1788"/>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Macro</w:t>
            </w:r>
          </w:p>
        </w:tc>
        <w:tc>
          <w:tcPr>
            <w:tcW w:type="dxa" w:w="2774"/>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10-year JGB above 3.25%; BOJ at 1.75% or higher; prime cap rates +50bp; J-REIT equity window shut</w:t>
            </w:r>
          </w:p>
        </w:tc>
        <w:tc>
          <w:tcPr>
            <w:tcW w:type="dxa" w:w="2840"/>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10-year JGB around 3%; BOJ 1.25–1.5%; cap rates stable at ≈3.2%</w:t>
            </w:r>
          </w:p>
        </w:tc>
        <w:tc>
          <w:tcPr>
            <w:tcW w:type="dxa" w:w="2344"/>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10-year JGB below 2.75%; strong private bid; cap rates stable or tighter</w:t>
            </w:r>
          </w:p>
        </w:tc>
      </w:tr>
      <w:tr>
        <w:trPr>
          <w:cantSplit/>
        </w:trPr>
        <w:tc>
          <w:tcPr>
            <w:tcW w:type="dxa" w:w="1788"/>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Growth drivers vs base</w:t>
            </w:r>
          </w:p>
        </w:tc>
        <w:tc>
          <w:tcPr>
            <w:tcW w:type="dxa" w:w="2774"/>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Investor-sale profit −¥8bn; residential −¥3bn; second-half FY2026 sales slip</w:t>
            </w:r>
          </w:p>
        </w:tc>
        <w:tc>
          <w:tcPr>
            <w:tcW w:type="dxa" w:w="2840"/>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Leasing +¥5.5bn (FY2027E); sale profit normalises (−¥4bn); residential recovers to ¥27bn</w:t>
            </w:r>
          </w:p>
        </w:tc>
        <w:tc>
          <w:tcPr>
            <w:tcW w:type="dxa" w:w="2344"/>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Investor sales +¥4bn; residential +¥2bn; rent reversion faster than 3% a year</w:t>
            </w:r>
          </w:p>
        </w:tc>
      </w:tr>
      <w:tr>
        <w:trPr>
          <w:cantSplit/>
        </w:trPr>
        <w:tc>
          <w:tcPr>
            <w:tcW w:type="dxa" w:w="1788"/>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Margins</w:t>
            </w:r>
          </w:p>
        </w:tc>
        <w:tc>
          <w:tcPr>
            <w:tcW w:type="dxa" w:w="2774"/>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Condo gross margin ≈24%; group operating margin below 20%</w:t>
            </w:r>
          </w:p>
        </w:tc>
        <w:tc>
          <w:tcPr>
            <w:tcW w:type="dxa" w:w="2840"/>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Condo gross margin 25–27%; operating margin ≈20–21%</w:t>
            </w:r>
          </w:p>
        </w:tc>
        <w:tc>
          <w:tcPr>
            <w:tcW w:type="dxa" w:w="2344"/>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Condo gross margin ≈28%; operating margin ≈22%</w:t>
            </w:r>
          </w:p>
        </w:tc>
      </w:tr>
      <w:tr>
        <w:trPr>
          <w:cantSplit/>
        </w:trPr>
        <w:tc>
          <w:tcPr>
            <w:tcW w:type="dxa" w:w="1788"/>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FY2027E operating income</w:t>
            </w:r>
          </w:p>
        </w:tc>
        <w:tc>
          <w:tcPr>
            <w:tcW w:type="dxa" w:w="2774"/>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¥102bn</w:t>
            </w:r>
          </w:p>
        </w:tc>
        <w:tc>
          <w:tcPr>
            <w:tcW w:type="dxa" w:w="2840"/>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¥113bn</w:t>
            </w:r>
          </w:p>
        </w:tc>
        <w:tc>
          <w:tcPr>
            <w:tcW w:type="dxa" w:w="2344"/>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¥119bn</w:t>
            </w:r>
          </w:p>
        </w:tc>
      </w:tr>
      <w:tr>
        <w:trPr>
          <w:cantSplit/>
        </w:trPr>
        <w:tc>
          <w:tcPr>
            <w:tcW w:type="dxa" w:w="1788"/>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FY2027E net non-operating cost</w:t>
            </w:r>
          </w:p>
        </w:tc>
        <w:tc>
          <w:tcPr>
            <w:tcW w:type="dxa" w:w="2774"/>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¥26bn</w:t>
            </w:r>
          </w:p>
        </w:tc>
        <w:tc>
          <w:tcPr>
            <w:tcW w:type="dxa" w:w="2840"/>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¥24bn</w:t>
            </w:r>
          </w:p>
        </w:tc>
        <w:tc>
          <w:tcPr>
            <w:tcW w:type="dxa" w:w="2344"/>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¥23bn</w:t>
            </w:r>
          </w:p>
        </w:tc>
      </w:tr>
      <w:tr>
        <w:trPr>
          <w:cantSplit/>
        </w:trPr>
        <w:tc>
          <w:tcPr>
            <w:tcW w:type="dxa" w:w="1788"/>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FY2027E / FY2028E EPS</w:t>
            </w:r>
          </w:p>
        </w:tc>
        <w:tc>
          <w:tcPr>
            <w:tcW w:type="dxa" w:w="2774"/>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¥280 / ¥286</w:t>
            </w:r>
          </w:p>
        </w:tc>
        <w:tc>
          <w:tcPr>
            <w:tcW w:type="dxa" w:w="2840"/>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¥323 / ¥330</w:t>
            </w:r>
          </w:p>
        </w:tc>
        <w:tc>
          <w:tcPr>
            <w:tcW w:type="dxa" w:w="2344"/>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¥347 / ¥354</w:t>
            </w:r>
          </w:p>
        </w:tc>
      </w:tr>
      <w:tr>
        <w:trPr>
          <w:cantSplit/>
        </w:trPr>
        <w:tc>
          <w:tcPr>
            <w:tcW w:type="dxa" w:w="1788"/>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End-2027 balance sheet</w:t>
            </w:r>
          </w:p>
        </w:tc>
        <w:tc>
          <w:tcPr>
            <w:tcW w:type="dxa" w:w="2774"/>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Debt/equity above 2.6x; rating outlook at risk</w:t>
            </w:r>
          </w:p>
        </w:tc>
        <w:tc>
          <w:tcPr>
            <w:tcW w:type="dxa" w:w="2840"/>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Debt/equity ≈2.4–2.5x</w:t>
            </w:r>
          </w:p>
        </w:tc>
        <w:tc>
          <w:tcPr>
            <w:tcW w:type="dxa" w:w="2344"/>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Debt/equity ≈2.3x; buyback funded from sales</w:t>
            </w:r>
          </w:p>
        </w:tc>
      </w:tr>
      <w:tr>
        <w:trPr>
          <w:cantSplit/>
        </w:trPr>
        <w:tc>
          <w:tcPr>
            <w:tcW w:type="dxa" w:w="1788"/>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Valuation basis</w:t>
            </w:r>
          </w:p>
        </w:tc>
        <w:tc>
          <w:tcPr>
            <w:tcW w:type="dxa" w:w="2774"/>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8.0x FY2027E EPS (¥2,240); 0.5x stressed NAV (¥2,294)</w:t>
            </w:r>
          </w:p>
        </w:tc>
        <w:tc>
          <w:tcPr>
            <w:tcW w:type="dxa" w:w="2840"/>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10.5x FY2027E EPS (¥3,396); 0.65x end-2027E NAV (¥3,405); 1.10x end-2027E book (¥3,555); 10.5x FY2028E EPS (¥3,464)</w:t>
            </w:r>
          </w:p>
        </w:tc>
        <w:tc>
          <w:tcPr>
            <w:tcW w:type="dxa" w:w="2344"/>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12.5x FY2027E EPS (¥4,338); 12.5x FY2028E EPS (¥4,425); 0.85x NAV (¥4,453)</w:t>
            </w:r>
          </w:p>
        </w:tc>
      </w:tr>
      <w:tr>
        <w:trPr>
          <w:cantSplit/>
        </w:trPr>
        <w:tc>
          <w:tcPr>
            <w:tcW w:type="dxa" w:w="1788"/>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bCs/>
                <w:color w:val="1F2533"/>
                <w:sz w:val="16"/>
                <w:szCs w:val="16"/>
              </w:rPr>
              <w:t xml:space="preserve">Value per share</w:t>
            </w:r>
          </w:p>
        </w:tc>
        <w:tc>
          <w:tcPr>
            <w:tcW w:type="dxa" w:w="2774"/>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bCs/>
                <w:color w:val="1F2533"/>
                <w:sz w:val="16"/>
                <w:szCs w:val="16"/>
              </w:rPr>
              <w:t xml:space="preserve">¥2,300</w:t>
            </w:r>
          </w:p>
        </w:tc>
        <w:tc>
          <w:tcPr>
            <w:tcW w:type="dxa" w:w="2840"/>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bCs/>
                <w:color w:val="1F2533"/>
                <w:sz w:val="16"/>
                <w:szCs w:val="16"/>
              </w:rPr>
              <w:t xml:space="preserve">¥3,450</w:t>
            </w:r>
          </w:p>
        </w:tc>
        <w:tc>
          <w:tcPr>
            <w:tcW w:type="dxa" w:w="2344"/>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bCs/>
                <w:color w:val="1F2533"/>
                <w:sz w:val="16"/>
                <w:szCs w:val="16"/>
              </w:rPr>
              <w:t xml:space="preserve">¥4,400</w:t>
            </w:r>
          </w:p>
        </w:tc>
      </w:tr>
      <w:tr>
        <w:trPr>
          <w:cantSplit/>
        </w:trPr>
        <w:tc>
          <w:tcPr>
            <w:tcW w:type="dxa" w:w="1788"/>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bCs/>
                <w:color w:val="1F2533"/>
                <w:sz w:val="16"/>
                <w:szCs w:val="16"/>
              </w:rPr>
              <w:t xml:space="preserve">vs ¥3,211</w:t>
            </w:r>
          </w:p>
        </w:tc>
        <w:tc>
          <w:tcPr>
            <w:tcW w:type="dxa" w:w="2774"/>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bCs/>
                <w:color w:val="1F2533"/>
                <w:sz w:val="16"/>
                <w:szCs w:val="16"/>
              </w:rPr>
              <w:t xml:space="preserve">−28%</w:t>
            </w:r>
          </w:p>
        </w:tc>
        <w:tc>
          <w:tcPr>
            <w:tcW w:type="dxa" w:w="2840"/>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bCs/>
                <w:color w:val="1F2533"/>
                <w:sz w:val="16"/>
                <w:szCs w:val="16"/>
              </w:rPr>
              <w:t xml:space="preserve">+7%</w:t>
            </w:r>
          </w:p>
        </w:tc>
        <w:tc>
          <w:tcPr>
            <w:tcW w:type="dxa" w:w="2344"/>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bCs/>
                <w:color w:val="1F2533"/>
                <w:sz w:val="16"/>
                <w:szCs w:val="16"/>
              </w:rPr>
              <w:t xml:space="preserve">+37%</w:t>
            </w:r>
          </w:p>
        </w:tc>
      </w:tr>
    </w:tbl>
    <w:p>
      <w:pPr>
        <w:spacing w:after="120" w:before="0" w:line="276" w:lineRule="auto"/>
      </w:pPr>
    </w:p>
    <w:p>
      <w:pPr>
        <w:spacing w:after="110" w:before="0" w:line="276" w:lineRule="auto"/>
      </w:pPr>
      <w:r>
        <w:rPr>
          <w:rFonts w:ascii="Arial" w:cs="Arial" w:eastAsia="Yu Gothic" w:hAnsi="Arial"/>
          <w:color w:val="1F2533"/>
          <w:sz w:val="19"/>
          <w:szCs w:val="19"/>
        </w:rPr>
        <w:t xml:space="preserve">Notes:</w:t>
      </w:r>
    </w:p>
    <w:p>
      <w:pPr>
        <w:pStyle w:val="ListParagraph"/>
        <w:numPr>
          <w:ilvl w:val="0"/>
          <w:numId w:val="2"/>
        </w:numPr>
        <w:spacing w:after="60" w:line="264" w:lineRule="auto"/>
      </w:pPr>
      <w:r>
        <w:rPr>
          <w:rFonts w:ascii="Arial" w:cs="Arial" w:eastAsia="Yu Gothic" w:hAnsi="Arial"/>
          <w:color w:val="1F2533"/>
          <w:sz w:val="19"/>
          <w:szCs w:val="19"/>
        </w:rPr>
        <w:t xml:space="preserve">End-2027E book value per share (≈¥3,232) and NAV (≈¥5,239) roll forward forecast earnings, less dividends and ≈¥3bn a year of buybacks, and hold the after-tax unrealised gain at ¥2,007 per share.</w:t>
      </w:r>
    </w:p>
    <w:p>
      <w:pPr>
        <w:pStyle w:val="ListParagraph"/>
        <w:numPr>
          <w:ilvl w:val="0"/>
          <w:numId w:val="2"/>
        </w:numPr>
        <w:spacing w:after="60" w:line="264" w:lineRule="auto"/>
      </w:pPr>
      <w:r>
        <w:rPr>
          <w:rFonts w:ascii="Arial" w:cs="Arial" w:eastAsia="Yu Gothic" w:hAnsi="Arial"/>
          <w:color w:val="1F2533"/>
          <w:sz w:val="19"/>
          <w:szCs w:val="19"/>
        </w:rPr>
        <w:t xml:space="preserve">The stressed NAV deducts ≈¥650 per share for +50bp on cap rates.</w:t>
      </w:r>
    </w:p>
    <w:p>
      <w:pPr>
        <w:spacing w:after="40" w:before="0" w:line="276" w:lineRule="auto"/>
      </w:pPr>
    </w:p>
    <w:p>
      <w:pPr>
        <w:keepNext/>
        <w:spacing w:after="40" w:before="80" w:line="240" w:lineRule="auto"/>
        <w:jc w:val="center"/>
      </w:pPr>
      <w:r>
        <w:drawing>
          <wp:inline distT="0" distB="0" distL="0" distR="0">
            <wp:extent cx="6191250" cy="2724150"/>
            <wp:effectExtent t="0" r="0" b="0" l="0"/>
            <wp:docPr id="1" name="fig10_football_field.png" descr="Figure 11: Valuation football field — trading range, historical bands, NAV, regression, scenarios, sell-side targets and takeout zone." title="Figure 11: Valuation football field — trading range, historical bands, NAV, regression, scenarios, sell-side targets and takeout z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191250" cy="2724150"/>
                    </a:xfrm>
                    <a:prstGeom prst="rect">
                      <a:avLst/>
                    </a:prstGeom>
                  </pic:spPr>
                </pic:pic>
              </a:graphicData>
            </a:graphic>
          </wp:inline>
        </w:drawing>
      </w:r>
    </w:p>
    <w:p>
      <w:pPr>
        <w:spacing w:after="160" w:before="0" w:line="276" w:lineRule="auto"/>
        <w:jc w:val="left"/>
      </w:pPr>
      <w:r>
        <w:rPr>
          <w:rFonts w:ascii="Arial" w:cs="Arial" w:eastAsia="Yu Gothic" w:hAnsi="Arial"/>
          <w:i/>
          <w:iCs/>
          <w:color w:val="5B6577"/>
          <w:sz w:val="16"/>
          <w:szCs w:val="16"/>
        </w:rPr>
        <w:t xml:space="preserve">Figure 11: Valuation football field — trading range, historical bands, NAV, regression, scenarios, sell-side targets and takeout zone.</w:t>
      </w:r>
    </w:p>
    <w:p>
      <w:pPr>
        <w:spacing w:after="110" w:before="0" w:line="276" w:lineRule="auto"/>
      </w:pPr>
      <w:r>
        <w:rPr>
          <w:rFonts w:ascii="Arial" w:cs="Arial" w:eastAsia="Yu Gothic" w:hAnsi="Arial"/>
          <w:b/>
          <w:bCs/>
          <w:color w:val="1F2533"/>
          <w:sz w:val="19"/>
          <w:szCs w:val="19"/>
        </w:rPr>
        <w:t xml:space="preserve">Probability-weighted value: ¥3,400 (+5.9%).</w:t>
      </w:r>
      <w:r>
        <w:rPr>
          <w:rFonts w:ascii="Arial" w:cs="Arial" w:eastAsia="Yu Gothic" w:hAnsi="Arial"/>
          <w:color w:val="1F2533"/>
          <w:sz w:val="19"/>
          <w:szCs w:val="19"/>
        </w:rPr>
        <w:t xml:space="preserve"> Adding about ¥130 of dividends over 12 months gives an expected total return of about +10%.</w:t>
      </w:r>
    </w:p>
    <w:p>
      <w:pPr>
        <w:spacing w:after="110" w:before="0" w:line="276" w:lineRule="auto"/>
      </w:pPr>
      <w:r>
        <w:rPr>
          <w:rFonts w:ascii="Arial" w:cs="Arial" w:eastAsia="Yu Gothic" w:hAnsi="Arial"/>
          <w:b/>
          <w:bCs/>
          <w:color w:val="1F2533"/>
          <w:sz w:val="19"/>
          <w:szCs w:val="19"/>
        </w:rPr>
        <w:t xml:space="preserve">The implied valuation range is ¥2,300–4,400.</w:t>
      </w:r>
      <w:r>
        <w:rPr>
          <w:rFonts w:ascii="Arial" w:cs="Arial" w:eastAsia="Yu Gothic" w:hAnsi="Arial"/>
          <w:color w:val="1F2533"/>
          <w:sz w:val="19"/>
          <w:szCs w:val="19"/>
        </w:rPr>
        <w:t xml:space="preserve"> Other reference points:</w:t>
      </w:r>
    </w:p>
    <w:p>
      <w:pPr>
        <w:pStyle w:val="ListParagraph"/>
        <w:numPr>
          <w:ilvl w:val="0"/>
          <w:numId w:val="2"/>
        </w:numPr>
        <w:spacing w:after="60" w:line="264" w:lineRule="auto"/>
      </w:pPr>
      <w:r>
        <w:rPr>
          <w:rFonts w:ascii="Arial" w:cs="Arial" w:eastAsia="Yu Gothic" w:hAnsi="Arial"/>
          <w:color w:val="1F2533"/>
          <w:sz w:val="19"/>
          <w:szCs w:val="19"/>
        </w:rPr>
        <w:t xml:space="preserve">the regression-implied value (¥3,271);</w:t>
      </w:r>
    </w:p>
    <w:p>
      <w:pPr>
        <w:pStyle w:val="ListParagraph"/>
        <w:numPr>
          <w:ilvl w:val="0"/>
          <w:numId w:val="2"/>
        </w:numPr>
        <w:spacing w:after="60" w:line="264" w:lineRule="auto"/>
      </w:pPr>
      <w:r>
        <w:rPr>
          <w:rFonts w:ascii="Arial" w:cs="Arial" w:eastAsia="Yu Gothic" w:hAnsi="Arial"/>
          <w:color w:val="1F2533"/>
          <w:sz w:val="19"/>
          <w:szCs w:val="19"/>
        </w:rPr>
        <w:t xml:space="preserve">the consensus target (¥3,985);</w:t>
      </w:r>
    </w:p>
    <w:p>
      <w:pPr>
        <w:pStyle w:val="ListParagraph"/>
        <w:numPr>
          <w:ilvl w:val="0"/>
          <w:numId w:val="2"/>
        </w:numPr>
        <w:spacing w:after="60" w:line="264" w:lineRule="auto"/>
      </w:pPr>
      <w:r>
        <w:rPr>
          <w:rFonts w:ascii="Arial" w:cs="Arial" w:eastAsia="Yu Gothic" w:hAnsi="Arial"/>
          <w:color w:val="1F2533"/>
          <w:sz w:val="19"/>
          <w:szCs w:val="19"/>
        </w:rPr>
        <w:t xml:space="preserve">the takeout zone (¥4,170–4,820).</w:t>
      </w:r>
    </w:p>
    <w:p>
      <w:pPr>
        <w:spacing w:after="40" w:before="0" w:line="276" w:lineRule="auto"/>
      </w:pPr>
    </w:p>
    <w:p>
      <w:pPr>
        <w:spacing w:after="110" w:before="0" w:line="276" w:lineRule="auto"/>
      </w:pPr>
      <w:r>
        <w:rPr>
          <w:rFonts w:ascii="Arial" w:cs="Arial" w:eastAsia="Yu Gothic" w:hAnsi="Arial"/>
          <w:b/>
          <w:bCs/>
          <w:color w:val="1F2533"/>
          <w:sz w:val="19"/>
          <w:szCs w:val="19"/>
        </w:rPr>
        <w:t xml:space="preserve">The distribution is skewed mildly positive.</w:t>
      </w:r>
      <w:r>
        <w:rPr>
          <w:rFonts w:ascii="Arial" w:cs="Arial" w:eastAsia="Yu Gothic" w:hAnsi="Arial"/>
          <w:color w:val="1F2533"/>
          <w:sz w:val="19"/>
          <w:szCs w:val="19"/>
        </w:rPr>
        <w:t xml:space="preserve"> Upside of +37% sits against downside of −28%. But the bear case is the more probable direction of travel for rates, so we keep equal 25% tails rather than tilting towards the bull case.</w:t>
      </w:r>
    </w:p>
    <w:p>
      <w:pPr>
        <w:pBdr>
          <w:left w:val="single" w:color="2F6FD0" w:sz="24" w:space="8"/>
        </w:pBdr>
        <w:shd w:fill="EEF3FA" w:color="auto" w:val="clear"/>
        <w:spacing w:after="160" w:before="60" w:line="264" w:lineRule="auto"/>
        <w:ind w:left="200" w:right="200"/>
      </w:pPr>
      <w:r>
        <w:rPr>
          <w:rFonts w:ascii="Arial" w:cs="Arial" w:eastAsia="Yu Gothic" w:hAnsi="Arial"/>
          <w:b/>
          <w:bCs/>
          <w:color w:val="15233F"/>
          <w:sz w:val="18"/>
          <w:szCs w:val="18"/>
        </w:rPr>
        <w:t xml:space="preserve">Key takeaway:</w:t>
      </w:r>
      <w:r>
        <w:rPr>
          <w:rFonts w:ascii="Arial" w:cs="Arial" w:eastAsia="Yu Gothic" w:hAnsi="Arial"/>
          <w:color w:val="15233F"/>
          <w:sz w:val="18"/>
          <w:szCs w:val="18"/>
        </w:rPr>
        <w:t xml:space="preserve"> The expected value of ¥3,400 sits only modestly above the price. The skew is positive but depends on rates. This is a Hold with an upgrade trigger, not a Buy.</w:t>
      </w:r>
    </w:p>
    <w:p>
      <w:pPr>
        <w:pStyle w:val="Heading1"/>
        <w:keepNext/>
        <w:keepLines/>
        <w:pageBreakBefore/>
        <w:pBdr>
          <w:bottom w:val="single" w:color="2F6FD0" w:sz="12" w:space="6"/>
        </w:pBdr>
        <w:spacing w:after="160" w:before="0" w:line="252" w:lineRule="auto"/>
      </w:pPr>
      <w:r>
        <w:rPr>
          <w:rFonts w:ascii="Arial" w:cs="Arial" w:eastAsia="Yu Gothic" w:hAnsi="Arial"/>
          <w:b/>
          <w:bCs/>
          <w:color w:val="15233F"/>
          <w:sz w:val="32"/>
          <w:szCs w:val="32"/>
        </w:rPr>
        <w:t xml:space="preserve">20. Fifteen questions for the CEO and Chairman, ranked by information value</w:t>
      </w:r>
    </w:p>
    <w:p>
      <w:pPr>
        <w:pStyle w:val="ListParagraph"/>
        <w:numPr>
          <w:ilvl w:val="0"/>
          <w:numId w:val="14"/>
        </w:numPr>
        <w:spacing w:after="60" w:line="264" w:lineRule="auto"/>
      </w:pPr>
      <w:r>
        <w:rPr>
          <w:rFonts w:ascii="Arial" w:cs="Arial" w:eastAsia="Yu Gothic" w:hAnsi="Arial"/>
          <w:color w:val="1F2533"/>
          <w:sz w:val="19"/>
          <w:szCs w:val="19"/>
        </w:rPr>
        <w:t xml:space="preserve">Of the FY2026 operating-income guidance of ¥105.5bn, how much is gains on investor and fixed-asset sales, and how much is recurring leasing and fee profit? What recurring run-rate would you underwrite for FY2027 if the sale market closed for a year?</w:t>
      </w:r>
    </w:p>
    <w:p>
      <w:pPr>
        <w:pStyle w:val="ListParagraph"/>
        <w:numPr>
          <w:ilvl w:val="0"/>
          <w:numId w:val="14"/>
        </w:numPr>
        <w:spacing w:after="60" w:line="264" w:lineRule="auto"/>
      </w:pPr>
      <w:r>
        <w:rPr>
          <w:rFonts w:ascii="Arial" w:cs="Arial" w:eastAsia="Yu Gothic" w:hAnsi="Arial"/>
          <w:color w:val="1F2533"/>
          <w:sz w:val="19"/>
          <w:szCs w:val="19"/>
        </w:rPr>
        <w:t xml:space="preserve">What is the maturity ladder, average remaining tenor and fixed/floating mix of the ¥1.54tn of interest-bearing debt? What is today's all-in marginal cost of 10-year funding compared with the portfolio average? At what JGB yield does the asset-turnover model stop creating value?</w:t>
      </w:r>
    </w:p>
    <w:p>
      <w:pPr>
        <w:pStyle w:val="ListParagraph"/>
        <w:numPr>
          <w:ilvl w:val="0"/>
          <w:numId w:val="14"/>
        </w:numPr>
        <w:spacing w:after="60" w:line="264" w:lineRule="auto"/>
      </w:pPr>
      <w:r>
        <w:rPr>
          <w:rFonts w:ascii="Arial" w:cs="Arial" w:eastAsia="Yu Gothic" w:hAnsi="Arial"/>
          <w:color w:val="1F2533"/>
          <w:sz w:val="19"/>
          <w:szCs w:val="19"/>
        </w:rPr>
        <w:t xml:space="preserve">Debt/equity was about 2.5x at June against a ≈2.4x guide. What interest-bearing debt and equity ratio do you expect at December 2026 once second-half sales close? Is the JCR "A" rating a binding constraint on growth and on returns?</w:t>
      </w:r>
    </w:p>
    <w:p>
      <w:pPr>
        <w:pStyle w:val="ListParagraph"/>
        <w:numPr>
          <w:ilvl w:val="0"/>
          <w:numId w:val="14"/>
        </w:numPr>
        <w:spacing w:after="60" w:line="264" w:lineRule="auto"/>
      </w:pPr>
      <w:r>
        <w:rPr>
          <w:rFonts w:ascii="Arial" w:cs="Arial" w:eastAsia="Yu Gothic" w:hAnsi="Arial"/>
          <w:color w:val="1F2533"/>
          <w:sz w:val="19"/>
          <w:szCs w:val="19"/>
        </w:rPr>
        <w:t xml:space="preserve">What share of 2025–26 disposals went to vehicles you sponsor (JPR, the private REIT, funds)? At what premium to appraisal were they priced? Do you keep any exposure through master leases, rent guarantees or co-investment?</w:t>
      </w:r>
    </w:p>
    <w:p>
      <w:pPr>
        <w:pStyle w:val="ListParagraph"/>
        <w:numPr>
          <w:ilvl w:val="0"/>
          <w:numId w:val="14"/>
        </w:numPr>
        <w:spacing w:after="60" w:line="264" w:lineRule="auto"/>
      </w:pPr>
      <w:r>
        <w:rPr>
          <w:rFonts w:ascii="Arial" w:cs="Arial" w:eastAsia="Yu Gothic" w:hAnsi="Arial"/>
          <w:color w:val="1F2533"/>
          <w:sz w:val="19"/>
          <w:szCs w:val="19"/>
        </w:rPr>
        <w:t xml:space="preserve">The 2025–27 targets were reached a year early. Will the next plan set an ROE target above 10%, a total-payout or buyback commitment, and a NAV-per-share objective? When will it be announced?</w:t>
      </w:r>
    </w:p>
    <w:p>
      <w:pPr>
        <w:pStyle w:val="ListParagraph"/>
        <w:numPr>
          <w:ilvl w:val="0"/>
          <w:numId w:val="14"/>
        </w:numPr>
        <w:spacing w:after="60" w:line="264" w:lineRule="auto"/>
      </w:pPr>
      <w:r>
        <w:rPr>
          <w:rFonts w:ascii="Arial" w:cs="Arial" w:eastAsia="Yu Gothic" w:hAnsi="Arial"/>
          <w:color w:val="1F2533"/>
          <w:sz w:val="19"/>
          <w:szCs w:val="19"/>
        </w:rPr>
        <w:t xml:space="preserve">The shares trade at about 0.65x NAV. Why not sell more mature assets, or the Hulic stake (≈¥35bn), and buy back shares at this discount? What cost of equity does the board use?</w:t>
      </w:r>
    </w:p>
    <w:p>
      <w:pPr>
        <w:pStyle w:val="ListParagraph"/>
        <w:numPr>
          <w:ilvl w:val="0"/>
          <w:numId w:val="14"/>
        </w:numPr>
        <w:spacing w:after="60" w:line="264" w:lineRule="auto"/>
      </w:pPr>
      <w:r>
        <w:rPr>
          <w:rFonts w:ascii="Arial" w:cs="Arial" w:eastAsia="Yu Gothic" w:hAnsi="Arial"/>
          <w:color w:val="1F2533"/>
          <w:sz w:val="19"/>
          <w:szCs w:val="19"/>
        </w:rPr>
        <w:t xml:space="preserve">What is your economic ownership of TOFROM YAESU, its office occupancy and achieved rents against underwriting, and its stabilised yield on cost? How will the new Yaesu 2-chome supply in 2029 affect it?</w:t>
      </w:r>
    </w:p>
    <w:p>
      <w:pPr>
        <w:pStyle w:val="ListParagraph"/>
        <w:numPr>
          <w:ilvl w:val="0"/>
          <w:numId w:val="14"/>
        </w:numPr>
        <w:spacing w:after="60" w:line="264" w:lineRule="auto"/>
      </w:pPr>
      <w:r>
        <w:rPr>
          <w:rFonts w:ascii="Arial" w:cs="Arial" w:eastAsia="Yu Gothic" w:hAnsi="Arial"/>
          <w:color w:val="1F2533"/>
          <w:sz w:val="19"/>
          <w:szCs w:val="19"/>
        </w:rPr>
        <w:t xml:space="preserve">What share of office leases renews each year, and what uplift are you achieving on renewals compared with the roughly +12% rise in market asking rents?</w:t>
      </w:r>
    </w:p>
    <w:p>
      <w:pPr>
        <w:pStyle w:val="ListParagraph"/>
        <w:numPr>
          <w:ilvl w:val="0"/>
          <w:numId w:val="14"/>
        </w:numPr>
        <w:spacing w:after="60" w:line="264" w:lineRule="auto"/>
      </w:pPr>
      <w:r>
        <w:rPr>
          <w:rFonts w:ascii="Arial" w:cs="Arial" w:eastAsia="Yu Gothic" w:hAnsi="Arial"/>
          <w:color w:val="1F2533"/>
          <w:sz w:val="19"/>
          <w:szCs w:val="19"/>
        </w:rPr>
        <w:t xml:space="preserve">What is the contract ratio for FY2026–27 condo handovers? How are landbank margins holding up against construction inflation of about 5%? What is your exposure to central-ward resale or foreign-buyer restrictions?</w:t>
      </w:r>
    </w:p>
    <w:p>
      <w:pPr>
        <w:pStyle w:val="ListParagraph"/>
        <w:numPr>
          <w:ilvl w:val="0"/>
          <w:numId w:val="14"/>
        </w:numPr>
        <w:spacing w:after="60" w:line="264" w:lineRule="auto"/>
      </w:pPr>
      <w:r>
        <w:rPr>
          <w:rFonts w:ascii="Arial" w:cs="Arial" w:eastAsia="Yu Gothic" w:hAnsi="Arial"/>
          <w:color w:val="1F2533"/>
          <w:sz w:val="19"/>
          <w:szCs w:val="19"/>
        </w:rPr>
        <w:t xml:space="preserve">What caused the FY2025 overseas equity-method loss of ¥6.9bn? How much capital is invested overseas (US, Thailand, Australia, London)? What return hurdle and exit plan apply, and why a London office refurbishment?</w:t>
      </w:r>
    </w:p>
    <w:p>
      <w:pPr>
        <w:pStyle w:val="ListParagraph"/>
        <w:numPr>
          <w:ilvl w:val="0"/>
          <w:numId w:val="14"/>
        </w:numPr>
        <w:spacing w:after="60" w:line="264" w:lineRule="auto"/>
      </w:pPr>
      <w:r>
        <w:rPr>
          <w:rFonts w:ascii="Arial" w:cs="Arial" w:eastAsia="Yu Gothic" w:hAnsi="Arial"/>
          <w:color w:val="1F2533"/>
          <w:sz w:val="19"/>
          <w:szCs w:val="19"/>
        </w:rPr>
        <w:t xml:space="preserve">How far have you progressed against the cross-shareholding target (≤10% of net assets, ≥¥130bn sold)? Do you expect Fuyo-linked holders such as Sompo and Meiji Yasuda to sell their Tokyo Tatemono shares?</w:t>
      </w:r>
    </w:p>
    <w:p>
      <w:pPr>
        <w:pStyle w:val="ListParagraph"/>
        <w:numPr>
          <w:ilvl w:val="0"/>
          <w:numId w:val="14"/>
        </w:numPr>
        <w:spacing w:after="60" w:line="264" w:lineRule="auto"/>
      </w:pPr>
      <w:r>
        <w:rPr>
          <w:rFonts w:ascii="Arial" w:cs="Arial" w:eastAsia="Yu Gothic" w:hAnsi="Arial"/>
          <w:color w:val="1F2533"/>
          <w:sz w:val="19"/>
          <w:szCs w:val="19"/>
        </w:rPr>
        <w:t xml:space="preserve">What hurdle rate do you apply to redevelopment compared with buying back your own shares? How was the 13.74% Star Mica stake priced, and what return do you expect?</w:t>
      </w:r>
    </w:p>
    <w:p>
      <w:pPr>
        <w:pStyle w:val="ListParagraph"/>
        <w:numPr>
          <w:ilvl w:val="0"/>
          <w:numId w:val="14"/>
        </w:numPr>
        <w:spacing w:after="60" w:line="264" w:lineRule="auto"/>
      </w:pPr>
      <w:r>
        <w:rPr>
          <w:rFonts w:ascii="Arial" w:cs="Arial" w:eastAsia="Yu Gothic" w:hAnsi="Arial"/>
          <w:color w:val="1F2533"/>
          <w:sz w:val="19"/>
          <w:szCs w:val="19"/>
        </w:rPr>
        <w:t xml:space="preserve">Why keep three representative directors, with the former CEO as Representative Chairman and a non-independent board chair? Would you consider an independent chair or an independent majority, given Mizuho's roles as lender, tenant and former board pipeline?</w:t>
      </w:r>
    </w:p>
    <w:p>
      <w:pPr>
        <w:pStyle w:val="ListParagraph"/>
        <w:numPr>
          <w:ilvl w:val="0"/>
          <w:numId w:val="14"/>
        </w:numPr>
        <w:spacing w:after="60" w:line="264" w:lineRule="auto"/>
      </w:pPr>
      <w:r>
        <w:rPr>
          <w:rFonts w:ascii="Arial" w:cs="Arial" w:eastAsia="Yu Gothic" w:hAnsi="Arial"/>
          <w:color w:val="1F2533"/>
          <w:sz w:val="19"/>
          <w:szCs w:val="19"/>
        </w:rPr>
        <w:t xml:space="preserve">Which KPIs drive the bonus and the stock-compensation trust (business profit, ROE, TSR)? Why was business profit redefined in 2025 to include gains on fixed-asset sales?</w:t>
      </w:r>
    </w:p>
    <w:p>
      <w:pPr>
        <w:pStyle w:val="ListParagraph"/>
        <w:numPr>
          <w:ilvl w:val="0"/>
          <w:numId w:val="14"/>
        </w:numPr>
        <w:spacing w:after="60" w:line="264" w:lineRule="auto"/>
      </w:pPr>
      <w:r>
        <w:rPr>
          <w:rFonts w:ascii="Arial" w:cs="Arial" w:eastAsia="Yu Gothic" w:hAnsi="Arial"/>
          <w:color w:val="1F2533"/>
          <w:sz w:val="19"/>
          <w:szCs w:val="19"/>
        </w:rPr>
        <w:t xml:space="preserve">How exposed are your projects to construction-capacity limits? TOFROM YAESU completed in February 2026 against a 2025 schedule. What contingency is built into Kyobashi 3-chome East (FY2029)? And how prepared is the board for an unsolicited approach or activist campaign, given that no shareholder can block one?</w:t>
      </w:r>
    </w:p>
    <w:p>
      <w:pPr>
        <w:spacing w:after="40" w:before="0" w:line="276" w:lineRule="auto"/>
      </w:pPr>
    </w:p>
    <w:p>
      <w:pPr>
        <w:pStyle w:val="Heading1"/>
        <w:keepNext/>
        <w:keepLines/>
        <w:pageBreakBefore/>
        <w:pBdr>
          <w:bottom w:val="single" w:color="2F6FD0" w:sz="12" w:space="6"/>
        </w:pBdr>
        <w:spacing w:after="160" w:before="0" w:line="252" w:lineRule="auto"/>
      </w:pPr>
      <w:r>
        <w:rPr>
          <w:rFonts w:ascii="Arial" w:cs="Arial" w:eastAsia="Yu Gothic" w:hAnsi="Arial"/>
          <w:b/>
          <w:bCs/>
          <w:color w:val="15233F"/>
          <w:sz w:val="32"/>
          <w:szCs w:val="32"/>
        </w:rPr>
        <w:t xml:space="preserve">21. Short-seller's case: what the bulls are missing</w:t>
      </w:r>
    </w:p>
    <w:p>
      <w:pPr>
        <w:pStyle w:val="Heading2"/>
        <w:keepNext/>
        <w:keepLines/>
        <w:spacing w:after="90" w:before="260" w:line="252" w:lineRule="auto"/>
      </w:pPr>
      <w:r>
        <w:rPr>
          <w:rFonts w:ascii="Arial" w:cs="Arial" w:eastAsia="Yu Gothic" w:hAnsi="Arial"/>
          <w:b/>
          <w:bCs/>
          <w:color w:val="15233F"/>
          <w:sz w:val="25"/>
          <w:szCs w:val="25"/>
        </w:rPr>
        <w:t xml:space="preserve">What could structurally break the earnings model</w:t>
      </w:r>
    </w:p>
    <w:p>
      <w:pPr>
        <w:spacing w:after="110" w:before="0" w:line="276" w:lineRule="auto"/>
      </w:pPr>
      <w:r>
        <w:rPr>
          <w:rFonts w:ascii="Arial" w:cs="Arial" w:eastAsia="Yu Gothic" w:hAnsi="Arial"/>
          <w:b/>
          <w:bCs/>
          <w:color w:val="1F2533"/>
          <w:sz w:val="19"/>
          <w:szCs w:val="19"/>
        </w:rPr>
        <w:t xml:space="preserve">The model is a conveyor belt.</w:t>
      </w:r>
      <w:r>
        <w:rPr>
          <w:rFonts w:ascii="Arial" w:cs="Arial" w:eastAsia="Yu Gothic" w:hAnsi="Arial"/>
          <w:color w:val="1F2533"/>
          <w:sz w:val="19"/>
          <w:szCs w:val="19"/>
        </w:rPr>
        <w:t xml:space="preserve"> Land and buildings are bought with debt, built or repositioned, leased up, and sold to investors (often a vehicle the company sponsors). Proceeds and gains are then recycled into new land.</w:t>
      </w:r>
    </w:p>
    <w:p>
      <w:pPr>
        <w:spacing w:after="110" w:before="0" w:line="276" w:lineRule="auto"/>
      </w:pPr>
      <w:r>
        <w:rPr>
          <w:rFonts w:ascii="Arial" w:cs="Arial" w:eastAsia="Yu Gothic" w:hAnsi="Arial"/>
          <w:b/>
          <w:bCs/>
          <w:color w:val="1F2533"/>
          <w:sz w:val="19"/>
          <w:szCs w:val="19"/>
        </w:rPr>
        <w:t xml:space="preserve">It needs three conditions at once:</w:t>
      </w:r>
    </w:p>
    <w:p>
      <w:pPr>
        <w:pStyle w:val="ListParagraph"/>
        <w:numPr>
          <w:ilvl w:val="0"/>
          <w:numId w:val="2"/>
        </w:numPr>
        <w:spacing w:after="60" w:line="264" w:lineRule="auto"/>
      </w:pPr>
      <w:r>
        <w:rPr>
          <w:rFonts w:ascii="Arial" w:cs="Arial" w:eastAsia="Yu Gothic" w:hAnsi="Arial"/>
          <w:color w:val="1F2533"/>
          <w:sz w:val="19"/>
          <w:szCs w:val="19"/>
        </w:rPr>
        <w:t xml:space="preserve">cheap debt;</w:t>
      </w:r>
    </w:p>
    <w:p>
      <w:pPr>
        <w:pStyle w:val="ListParagraph"/>
        <w:numPr>
          <w:ilvl w:val="0"/>
          <w:numId w:val="2"/>
        </w:numPr>
        <w:spacing w:after="60" w:line="264" w:lineRule="auto"/>
      </w:pPr>
      <w:r>
        <w:rPr>
          <w:rFonts w:ascii="Arial" w:cs="Arial" w:eastAsia="Yu Gothic" w:hAnsi="Arial"/>
          <w:color w:val="1F2533"/>
          <w:sz w:val="19"/>
          <w:szCs w:val="19"/>
        </w:rPr>
        <w:t xml:space="preserve">a buyer pool with access to cheap capital;</w:t>
      </w:r>
    </w:p>
    <w:p>
      <w:pPr>
        <w:pStyle w:val="ListParagraph"/>
        <w:numPr>
          <w:ilvl w:val="0"/>
          <w:numId w:val="2"/>
        </w:numPr>
        <w:spacing w:after="60" w:line="264" w:lineRule="auto"/>
      </w:pPr>
      <w:r>
        <w:rPr>
          <w:rFonts w:ascii="Arial" w:cs="Arial" w:eastAsia="Yu Gothic" w:hAnsi="Arial"/>
          <w:color w:val="1F2533"/>
          <w:sz w:val="19"/>
          <w:szCs w:val="19"/>
        </w:rPr>
        <w:t xml:space="preserve">rising asset values.</w:t>
      </w:r>
    </w:p>
    <w:p>
      <w:pPr>
        <w:spacing w:after="40" w:before="0" w:line="276" w:lineRule="auto"/>
      </w:pPr>
    </w:p>
    <w:p>
      <w:pPr>
        <w:spacing w:after="110" w:before="0" w:line="276" w:lineRule="auto"/>
      </w:pPr>
      <w:r>
        <w:rPr>
          <w:rFonts w:ascii="Arial" w:cs="Arial" w:eastAsia="Yu Gothic" w:hAnsi="Arial"/>
          <w:b/>
          <w:bCs/>
          <w:color w:val="1F2533"/>
          <w:sz w:val="19"/>
          <w:szCs w:val="19"/>
        </w:rPr>
        <w:t xml:space="preserve">All three are now under pressure:</w:t>
      </w:r>
    </w:p>
    <w:p>
      <w:pPr>
        <w:pStyle w:val="ListParagraph"/>
        <w:numPr>
          <w:ilvl w:val="0"/>
          <w:numId w:val="2"/>
        </w:numPr>
        <w:spacing w:after="60" w:line="264" w:lineRule="auto"/>
      </w:pPr>
      <w:r>
        <w:rPr>
          <w:rFonts w:ascii="Arial" w:cs="Arial" w:eastAsia="Yu Gothic" w:hAnsi="Arial"/>
          <w:b/>
          <w:bCs/>
          <w:color w:val="1F2533"/>
          <w:sz w:val="19"/>
          <w:szCs w:val="19"/>
        </w:rPr>
        <w:t xml:space="preserve">Debt.</w:t>
      </w:r>
      <w:r>
        <w:rPr>
          <w:rFonts w:ascii="Arial" w:cs="Arial" w:eastAsia="Yu Gothic" w:hAnsi="Arial"/>
          <w:color w:val="1F2533"/>
          <w:sz w:val="19"/>
          <w:szCs w:val="19"/>
        </w:rPr>
        <w:t xml:space="preserve"> The BOJ policy rate is 1.25%, the highest since 1995, after hikes in December 2025, June 2026 and September 2026.</w:t>
      </w:r>
    </w:p>
    <w:p>
      <w:pPr>
        <w:pStyle w:val="ListParagraph"/>
        <w:numPr>
          <w:ilvl w:val="0"/>
          <w:numId w:val="2"/>
        </w:numPr>
        <w:spacing w:after="60" w:line="264" w:lineRule="auto"/>
      </w:pPr>
      <w:r>
        <w:rPr>
          <w:rFonts w:ascii="Arial" w:cs="Arial" w:eastAsia="Yu Gothic" w:hAnsi="Arial"/>
          <w:b/>
          <w:bCs/>
          <w:color w:val="1F2533"/>
          <w:sz w:val="19"/>
          <w:szCs w:val="19"/>
        </w:rPr>
        <w:t xml:space="preserve">Buyers.</w:t>
      </w:r>
      <w:r>
        <w:rPr>
          <w:rFonts w:ascii="Arial" w:cs="Arial" w:eastAsia="Yu Gothic" w:hAnsi="Arial"/>
          <w:color w:val="1F2533"/>
          <w:sz w:val="19"/>
          <w:szCs w:val="19"/>
        </w:rPr>
        <w:t xml:space="preserve"> The REIT index hit year-to-date lows in May–June 2026 (</w:t>
      </w:r>
      <w:hyperlink w:history="1" r:id="rIdisk8qrjeaeoxlryv7hnoo">
        <w:r>
          <w:rPr>
            <w:rFonts w:ascii="Arial" w:cs="Arial" w:eastAsia="Yu Gothic" w:hAnsi="Arial"/>
            <w:color w:val="2F6FD0"/>
            <w:sz w:val="19"/>
            <w:szCs w:val="19"/>
            <w:u w:val="single"/>
          </w:rPr>
          <w:t xml:space="preserve">Nikkei</w:t>
        </w:r>
      </w:hyperlink>
      <w:r>
        <w:rPr>
          <w:rFonts w:ascii="Arial" w:cs="Arial" w:eastAsia="Yu Gothic" w:hAnsi="Arial"/>
          <w:color w:val="1F2533"/>
          <w:sz w:val="19"/>
          <w:szCs w:val="19"/>
        </w:rPr>
        <w:t xml:space="preserve">).</w:t>
      </w:r>
    </w:p>
    <w:p>
      <w:pPr>
        <w:pStyle w:val="ListParagraph"/>
        <w:numPr>
          <w:ilvl w:val="0"/>
          <w:numId w:val="2"/>
        </w:numPr>
        <w:spacing w:after="60" w:line="264" w:lineRule="auto"/>
      </w:pPr>
      <w:r>
        <w:rPr>
          <w:rFonts w:ascii="Arial" w:cs="Arial" w:eastAsia="Yu Gothic" w:hAnsi="Arial"/>
          <w:b/>
          <w:bCs/>
          <w:color w:val="1F2533"/>
          <w:sz w:val="19"/>
          <w:szCs w:val="19"/>
        </w:rPr>
        <w:t xml:space="preserve">Asset values.</w:t>
      </w:r>
      <w:r>
        <w:rPr>
          <w:rFonts w:ascii="Arial" w:cs="Arial" w:eastAsia="Yu Gothic" w:hAnsi="Arial"/>
          <w:color w:val="1F2533"/>
          <w:sz w:val="19"/>
          <w:szCs w:val="19"/>
        </w:rPr>
        <w:t xml:space="preserve"> The prime cap rate (3.2%) is only 20–30bp above the 10-year JGB.</w:t>
      </w:r>
    </w:p>
    <w:p>
      <w:pPr>
        <w:spacing w:after="40" w:before="0" w:line="276" w:lineRule="auto"/>
      </w:pPr>
    </w:p>
    <w:p>
      <w:pPr>
        <w:spacing w:after="110" w:before="0" w:line="276" w:lineRule="auto"/>
      </w:pPr>
      <w:r>
        <w:rPr>
          <w:rFonts w:ascii="Arial" w:cs="Arial" w:eastAsia="Yu Gothic" w:hAnsi="Arial"/>
          <w:b/>
          <w:bCs/>
          <w:color w:val="1F2533"/>
          <w:sz w:val="19"/>
          <w:szCs w:val="19"/>
        </w:rPr>
        <w:t xml:space="preserve">Profit growth is already being eaten below the operating line.</w:t>
      </w:r>
      <w:r>
        <w:rPr>
          <w:rFonts w:ascii="Arial" w:cs="Arial" w:eastAsia="Yu Gothic" w:hAnsi="Arial"/>
          <w:color w:val="1F2533"/>
          <w:sz w:val="19"/>
          <w:szCs w:val="19"/>
        </w:rPr>
        <w:t xml:space="preserve"> From FY2024 to FY2026E, operating income rises ¥25.8bn but ordinary income only ¥11.8bn, so </w:t>
      </w:r>
      <w:r>
        <w:rPr>
          <w:rFonts w:ascii="Arial" w:cs="Arial" w:eastAsia="Yu Gothic" w:hAnsi="Arial"/>
          <w:b/>
          <w:bCs/>
          <w:color w:val="1F2533"/>
          <w:sz w:val="19"/>
          <w:szCs w:val="19"/>
        </w:rPr>
        <w:t xml:space="preserve">54% of the gain is absorbed</w:t>
      </w:r>
      <w:r>
        <w:rPr>
          <w:rFonts w:ascii="Arial" w:cs="Arial" w:eastAsia="Yu Gothic" w:hAnsi="Arial"/>
          <w:color w:val="1F2533"/>
          <w:sz w:val="19"/>
          <w:szCs w:val="19"/>
        </w:rPr>
        <w:t xml:space="preserve">. The net non-operating drag nearly triples, from ¥7.9bn to ¥22.0bn. That is the cleanest quantitative bear signal in the data.</w:t>
      </w:r>
    </w:p>
    <w:p>
      <w:pPr>
        <w:pStyle w:val="Heading2"/>
        <w:keepNext/>
        <w:keepLines/>
        <w:spacing w:after="90" w:before="260" w:line="252" w:lineRule="auto"/>
      </w:pPr>
      <w:r>
        <w:rPr>
          <w:rFonts w:ascii="Arial" w:cs="Arial" w:eastAsia="Yu Gothic" w:hAnsi="Arial"/>
          <w:b/>
          <w:bCs/>
          <w:color w:val="15233F"/>
          <w:sz w:val="25"/>
          <w:szCs w:val="25"/>
        </w:rPr>
        <w:t xml:space="preserve">Where revenue and profit are concentrated</w:t>
      </w:r>
    </w:p>
    <w:p>
      <w:pPr>
        <w:spacing w:after="110" w:before="0" w:line="276" w:lineRule="auto"/>
      </w:pPr>
      <w:r>
        <w:rPr>
          <w:rFonts w:ascii="Arial" w:cs="Arial" w:eastAsia="Yu Gothic" w:hAnsi="Arial"/>
          <w:b/>
          <w:bCs/>
          <w:color w:val="1F2533"/>
          <w:sz w:val="19"/>
          <w:szCs w:val="19"/>
        </w:rPr>
        <w:t xml:space="preserve">By segment.</w:t>
      </w:r>
      <w:r>
        <w:rPr>
          <w:rFonts w:ascii="Arial" w:cs="Arial" w:eastAsia="Yu Gothic" w:hAnsi="Arial"/>
          <w:color w:val="1F2533"/>
          <w:sz w:val="19"/>
          <w:szCs w:val="19"/>
        </w:rPr>
        <w:t xml:space="preserve"> Building delivered 62% of FY2025 segment operating profit, and </w:t>
      </w:r>
      <w:r>
        <w:rPr>
          <w:rFonts w:ascii="Arial" w:cs="Arial" w:eastAsia="Yu Gothic" w:hAnsi="Arial"/>
          <w:b/>
          <w:bCs/>
          <w:color w:val="1F2533"/>
          <w:sz w:val="19"/>
          <w:szCs w:val="19"/>
        </w:rPr>
        <w:t xml:space="preserve">101% of group operating profit in 1H FY2026</w:t>
      </w:r>
      <w:r>
        <w:rPr>
          <w:rFonts w:ascii="Arial" w:cs="Arial" w:eastAsia="Yu Gothic" w:hAnsi="Arial"/>
          <w:color w:val="1F2533"/>
          <w:sz w:val="19"/>
          <w:szCs w:val="19"/>
        </w:rPr>
        <w:t xml:space="preserve">.</w:t>
      </w:r>
    </w:p>
    <w:p>
      <w:pPr>
        <w:spacing w:after="110" w:before="0" w:line="276" w:lineRule="auto"/>
      </w:pPr>
      <w:r>
        <w:rPr>
          <w:rFonts w:ascii="Arial" w:cs="Arial" w:eastAsia="Yu Gothic" w:hAnsi="Arial"/>
          <w:b/>
          <w:bCs/>
          <w:color w:val="1F2533"/>
          <w:sz w:val="19"/>
          <w:szCs w:val="19"/>
        </w:rPr>
        <w:t xml:space="preserve">By activity.</w:t>
      </w:r>
      <w:r>
        <w:rPr>
          <w:rFonts w:ascii="Arial" w:cs="Arial" w:eastAsia="Yu Gothic" w:hAnsi="Arial"/>
          <w:color w:val="1F2533"/>
          <w:sz w:val="19"/>
          <w:szCs w:val="19"/>
        </w:rPr>
        <w:t xml:space="preserve"> Within Building, FY2026's growth is more than fully explained by investor-sale profit: in our build, +¥14bn of sales against +¥11bn of total operating-income growth.</w:t>
      </w:r>
    </w:p>
    <w:p>
      <w:pPr>
        <w:spacing w:after="110" w:before="0" w:line="276" w:lineRule="auto"/>
      </w:pPr>
      <w:r>
        <w:rPr>
          <w:rFonts w:ascii="Arial" w:cs="Arial" w:eastAsia="Yu Gothic" w:hAnsi="Arial"/>
          <w:b/>
          <w:bCs/>
          <w:color w:val="1F2533"/>
          <w:sz w:val="19"/>
          <w:szCs w:val="19"/>
        </w:rPr>
        <w:t xml:space="preserve">By asset class and geography.</w:t>
      </w:r>
    </w:p>
    <w:p>
      <w:pPr>
        <w:pStyle w:val="ListParagraph"/>
        <w:numPr>
          <w:ilvl w:val="0"/>
          <w:numId w:val="2"/>
        </w:numPr>
        <w:spacing w:after="60" w:line="264" w:lineRule="auto"/>
      </w:pPr>
      <w:r>
        <w:rPr>
          <w:rFonts w:ascii="Arial" w:cs="Arial" w:eastAsia="Yu Gothic" w:hAnsi="Arial"/>
          <w:color w:val="1F2533"/>
          <w:sz w:val="19"/>
          <w:szCs w:val="19"/>
        </w:rPr>
        <w:t xml:space="preserve">The FY2026 sale programme is concentrated in </w:t>
      </w:r>
      <w:r>
        <w:rPr>
          <w:rFonts w:ascii="Arial" w:cs="Arial" w:eastAsia="Yu Gothic" w:hAnsi="Arial"/>
          <w:b/>
          <w:bCs/>
          <w:color w:val="1F2533"/>
          <w:sz w:val="19"/>
          <w:szCs w:val="19"/>
        </w:rPr>
        <w:t xml:space="preserve">hotels</w:t>
      </w:r>
      <w:r>
        <w:rPr>
          <w:rFonts w:ascii="Arial" w:cs="Arial" w:eastAsia="Yu Gothic" w:hAnsi="Arial"/>
          <w:color w:val="1F2533"/>
          <w:sz w:val="19"/>
          <w:szCs w:val="19"/>
        </w:rPr>
        <w:t xml:space="preserve">. That asset class is exposed to inbound tourism and is being sold at what may be a cyclical peak.</w:t>
      </w:r>
    </w:p>
    <w:p>
      <w:pPr>
        <w:pStyle w:val="ListParagraph"/>
        <w:numPr>
          <w:ilvl w:val="0"/>
          <w:numId w:val="2"/>
        </w:numPr>
        <w:spacing w:after="60" w:line="264" w:lineRule="auto"/>
      </w:pPr>
      <w:r>
        <w:rPr>
          <w:rFonts w:ascii="Arial" w:cs="Arial" w:eastAsia="Yu Gothic" w:hAnsi="Arial"/>
          <w:color w:val="1F2533"/>
          <w:sz w:val="19"/>
          <w:szCs w:val="19"/>
        </w:rPr>
        <w:t xml:space="preserve">The rental base is overwhelmingly central-Tokyo offices.</w:t>
      </w:r>
    </w:p>
    <w:p>
      <w:pPr>
        <w:spacing w:after="40" w:before="0" w:line="276" w:lineRule="auto"/>
      </w:pPr>
    </w:p>
    <w:p>
      <w:pPr>
        <w:spacing w:after="110" w:before="0" w:line="276" w:lineRule="auto"/>
      </w:pPr>
      <w:r>
        <w:rPr>
          <w:rFonts w:ascii="Arial" w:cs="Arial" w:eastAsia="Yu Gothic" w:hAnsi="Arial"/>
          <w:b/>
          <w:bCs/>
          <w:color w:val="1F2533"/>
          <w:sz w:val="19"/>
          <w:szCs w:val="19"/>
        </w:rPr>
        <w:t xml:space="preserve">If the concentration shifts.</w:t>
      </w:r>
      <w:r>
        <w:rPr>
          <w:rFonts w:ascii="Arial" w:cs="Arial" w:eastAsia="Yu Gothic" w:hAnsi="Arial"/>
          <w:color w:val="1F2533"/>
          <w:sz w:val="19"/>
          <w:szCs w:val="19"/>
        </w:rPr>
        <w:t xml:space="preserve"> If investor demand migrates away from Tokyo hotels and offices, the "growth" disappears. What remains is a rental business growing a few percent a year, carrying ¥1.5tn of debt that reprices upwards.</w:t>
      </w:r>
    </w:p>
    <w:p>
      <w:pPr>
        <w:pStyle w:val="Heading2"/>
        <w:keepNext/>
        <w:keepLines/>
        <w:spacing w:after="90" w:before="260" w:line="252" w:lineRule="auto"/>
      </w:pPr>
      <w:r>
        <w:rPr>
          <w:rFonts w:ascii="Arial" w:cs="Arial" w:eastAsia="Yu Gothic" w:hAnsi="Arial"/>
          <w:b/>
          <w:bCs/>
          <w:color w:val="15233F"/>
          <w:sz w:val="25"/>
          <w:szCs w:val="25"/>
        </w:rPr>
        <w:t xml:space="preserve">Why the moat is weaker than bulls think</w:t>
      </w:r>
    </w:p>
    <w:p>
      <w:pPr>
        <w:spacing w:after="110" w:before="0" w:line="276" w:lineRule="auto"/>
      </w:pPr>
      <w:r>
        <w:rPr>
          <w:rFonts w:ascii="Arial" w:cs="Arial" w:eastAsia="Yu Gothic" w:hAnsi="Arial"/>
          <w:b/>
          <w:bCs/>
          <w:color w:val="1F2533"/>
          <w:sz w:val="19"/>
          <w:szCs w:val="19"/>
        </w:rPr>
        <w:t xml:space="preserve">Scarcity does not stop rents falling.</w:t>
      </w:r>
      <w:r>
        <w:rPr>
          <w:rFonts w:ascii="Arial" w:cs="Arial" w:eastAsia="Yu Gothic" w:hAnsi="Arial"/>
          <w:color w:val="1F2533"/>
          <w:sz w:val="19"/>
          <w:szCs w:val="19"/>
        </w:rPr>
        <w:t xml:space="preserve"> The Yaesu land is scarce, but scarcity protects occupancy, not rents. Tokyo leases are short, so the +12% rent tailwind reverses just as fast in a downturn.</w:t>
      </w:r>
    </w:p>
    <w:p>
      <w:pPr>
        <w:spacing w:after="110" w:before="0" w:line="276" w:lineRule="auto"/>
      </w:pPr>
      <w:r>
        <w:rPr>
          <w:rFonts w:ascii="Arial" w:cs="Arial" w:eastAsia="Yu Gothic" w:hAnsi="Arial"/>
          <w:b/>
          <w:bCs/>
          <w:color w:val="1F2533"/>
          <w:sz w:val="19"/>
          <w:szCs w:val="19"/>
        </w:rPr>
        <w:t xml:space="preserve">The district is about to get more crowded.</w:t>
      </w:r>
      <w:r>
        <w:rPr>
          <w:rFonts w:ascii="Arial" w:cs="Arial" w:eastAsia="Yu Gothic" w:hAnsi="Arial"/>
          <w:color w:val="1F2533"/>
          <w:sz w:val="19"/>
          <w:szCs w:val="19"/>
        </w:rPr>
        <w:t xml:space="preserve"> Yaesu's own new supply (Yaesu 2-chome Central, 2029) and Tokyo Tatemono's Kyobashi tower will compete for the same tenants.</w:t>
      </w:r>
    </w:p>
    <w:p>
      <w:pPr>
        <w:spacing w:after="110" w:before="0" w:line="276" w:lineRule="auto"/>
      </w:pPr>
      <w:r>
        <w:rPr>
          <w:rFonts w:ascii="Arial" w:cs="Arial" w:eastAsia="Yu Gothic" w:hAnsi="Arial"/>
          <w:b/>
          <w:bCs/>
          <w:color w:val="1F2533"/>
          <w:sz w:val="19"/>
          <w:szCs w:val="19"/>
        </w:rPr>
        <w:t xml:space="preserve">Brand barely matters.</w:t>
      </w:r>
      <w:r>
        <w:rPr>
          <w:rFonts w:ascii="Arial" w:cs="Arial" w:eastAsia="Yu Gothic" w:hAnsi="Arial"/>
          <w:color w:val="1F2533"/>
          <w:sz w:val="19"/>
          <w:szCs w:val="19"/>
        </w:rPr>
        <w:t xml:space="preserve"> Brillia is a mid-volume brand (#19 nationally). In this cycle, condo prices are set by land and location, not by brand.</w:t>
      </w:r>
    </w:p>
    <w:p>
      <w:pPr>
        <w:spacing w:after="110" w:before="0" w:line="276" w:lineRule="auto"/>
      </w:pPr>
      <w:r>
        <w:rPr>
          <w:rFonts w:ascii="Arial" w:cs="Arial" w:eastAsia="Yu Gothic" w:hAnsi="Arial"/>
          <w:b/>
          <w:bCs/>
          <w:color w:val="1F2533"/>
          <w:sz w:val="19"/>
          <w:szCs w:val="19"/>
        </w:rPr>
        <w:t xml:space="preserve">Cash conversion is poor.</w:t>
      </w:r>
      <w:r>
        <w:rPr>
          <w:rFonts w:ascii="Arial" w:cs="Arial" w:eastAsia="Yu Gothic" w:hAnsi="Arial"/>
          <w:color w:val="1F2533"/>
          <w:sz w:val="19"/>
          <w:szCs w:val="19"/>
        </w:rPr>
        <w:t xml:space="preserve"> Operating cash flow was ¥32bn on ¥96bn of operating income in FY2025, and free cash flow was −¥123bn in FY2024. A business that needs fresh debt every year to stand still does not have a cash-flow moat.</w:t>
      </w:r>
    </w:p>
    <w:p>
      <w:pPr>
        <w:pStyle w:val="Heading2"/>
        <w:keepNext/>
        <w:keepLines/>
        <w:spacing w:after="90" w:before="260" w:line="252" w:lineRule="auto"/>
      </w:pPr>
      <w:r>
        <w:rPr>
          <w:rFonts w:ascii="Arial" w:cs="Arial" w:eastAsia="Yu Gothic" w:hAnsi="Arial"/>
          <w:b/>
          <w:bCs/>
          <w:color w:val="15233F"/>
          <w:sz w:val="25"/>
          <w:szCs w:val="25"/>
        </w:rPr>
        <w:t xml:space="preserve">The most dangerous competitor: Mitsubishi Estate</w:t>
      </w:r>
    </w:p>
    <w:p>
      <w:pPr>
        <w:spacing w:after="110" w:before="0" w:line="276" w:lineRule="auto"/>
      </w:pPr>
      <w:r>
        <w:rPr>
          <w:rFonts w:ascii="Arial" w:cs="Arial" w:eastAsia="Yu Gothic" w:hAnsi="Arial"/>
          <w:color w:val="1F2533"/>
          <w:sz w:val="19"/>
          <w:szCs w:val="19"/>
        </w:rPr>
        <w:t xml:space="preserve">Mitsubishi Estate's Marunouchi and Otemachi holdings surround Tokyo Tatemono's core around Tokyo Station. It holds about nine times the unrealised gains (≈¥5.6tn against ≈¥0.6tn), runs at lower leverage (net debt/EBITDA 7.4x against 12.0x), and depends far less on asset sales to fund growth (</w:t>
      </w:r>
      <w:hyperlink w:history="1" r:id="rIdasvb25tjxqtwx-u9s6apl">
        <w:r>
          <w:rPr>
            <w:rFonts w:ascii="Arial" w:cs="Arial" w:eastAsia="Yu Gothic" w:hAnsi="Arial"/>
            <w:color w:val="2F6FD0"/>
            <w:sz w:val="19"/>
            <w:szCs w:val="19"/>
            <w:u w:val="single"/>
          </w:rPr>
          <w:t xml:space="preserve">kabu.tagu-blog</w:t>
        </w:r>
      </w:hyperlink>
      <w:r>
        <w:rPr>
          <w:rFonts w:ascii="Arial" w:cs="Arial" w:eastAsia="Yu Gothic" w:hAnsi="Arial"/>
          <w:color w:val="1F2533"/>
          <w:sz w:val="19"/>
          <w:szCs w:val="19"/>
        </w:rPr>
        <w:t xml:space="preserve">).</w:t>
      </w:r>
    </w:p>
    <w:p>
      <w:pPr>
        <w:spacing w:after="110" w:before="0" w:line="276" w:lineRule="auto"/>
      </w:pPr>
      <w:r>
        <w:rPr>
          <w:rFonts w:ascii="Arial" w:cs="Arial" w:eastAsia="Yu Gothic" w:hAnsi="Arial"/>
          <w:color w:val="1F2533"/>
          <w:sz w:val="19"/>
          <w:szCs w:val="19"/>
        </w:rPr>
        <w:t xml:space="preserve">In a tenant market that turns, Mitsubishi Estate can outspend on incentives and amenities. Mitsui Fudosan, with Nihonbashi and Yaesu, is a close second.</w:t>
      </w:r>
    </w:p>
    <w:p>
      <w:pPr>
        <w:spacing w:after="110" w:before="0" w:line="276" w:lineRule="auto"/>
      </w:pPr>
      <w:r>
        <w:rPr>
          <w:rFonts w:ascii="Arial" w:cs="Arial" w:eastAsia="Yu Gothic" w:hAnsi="Arial"/>
          <w:b/>
          <w:bCs/>
          <w:color w:val="1F2533"/>
          <w:sz w:val="19"/>
          <w:szCs w:val="19"/>
        </w:rPr>
        <w:t xml:space="preserve">Bulls underestimate this rivalry</w:t>
      </w:r>
      <w:r>
        <w:rPr>
          <w:rFonts w:ascii="Arial" w:cs="Arial" w:eastAsia="Yu Gothic" w:hAnsi="Arial"/>
          <w:color w:val="1F2533"/>
          <w:sz w:val="19"/>
          <w:szCs w:val="19"/>
        </w:rPr>
        <w:t xml:space="preserve"> because 2024–26 demand has been strong enough for everyone. The contest only becomes visible when vacancy rises.</w:t>
      </w:r>
    </w:p>
    <w:p>
      <w:pPr>
        <w:pStyle w:val="Heading2"/>
        <w:keepNext/>
        <w:keepLines/>
        <w:spacing w:after="90" w:before="260" w:line="252" w:lineRule="auto"/>
      </w:pPr>
      <w:r>
        <w:rPr>
          <w:rFonts w:ascii="Arial" w:cs="Arial" w:eastAsia="Yu Gothic" w:hAnsi="Arial"/>
          <w:b/>
          <w:bCs/>
          <w:color w:val="15233F"/>
          <w:sz w:val="25"/>
          <w:szCs w:val="25"/>
        </w:rPr>
        <w:t xml:space="preserve">The worst capital-allocation decisions</w:t>
      </w:r>
    </w:p>
    <w:p>
      <w:pPr>
        <w:pStyle w:val="ListParagraph"/>
        <w:numPr>
          <w:ilvl w:val="0"/>
          <w:numId w:val="15"/>
        </w:numPr>
        <w:spacing w:after="60" w:line="264" w:lineRule="auto"/>
      </w:pPr>
      <w:r>
        <w:rPr>
          <w:rFonts w:ascii="Arial" w:cs="Arial" w:eastAsia="Yu Gothic" w:hAnsi="Arial"/>
          <w:b/>
          <w:bCs/>
          <w:color w:val="1F2533"/>
          <w:sz w:val="19"/>
          <w:szCs w:val="19"/>
        </w:rPr>
        <w:t xml:space="preserve">Overseas.</w:t>
      </w:r>
      <w:r>
        <w:rPr>
          <w:rFonts w:ascii="Arial" w:cs="Arial" w:eastAsia="Yu Gothic" w:hAnsi="Arial"/>
          <w:color w:val="1F2533"/>
          <w:sz w:val="19"/>
          <w:szCs w:val="19"/>
        </w:rPr>
        <w:t xml:space="preserve"> Chinese condo affiliates and South-East Asian joint ventures preceded a ¥6.9bn equity-method loss in FY2025, and guidance was cut again in August 2026. Since then the company has launched a London office refurbishment (125 Shaftesbury Avenue, December 2025), taking a leveraged Japanese developer into a weak foreign office market.</w:t>
      </w:r>
    </w:p>
    <w:p>
      <w:pPr>
        <w:pStyle w:val="ListParagraph"/>
        <w:numPr>
          <w:ilvl w:val="0"/>
          <w:numId w:val="15"/>
        </w:numPr>
        <w:spacing w:after="60" w:line="264" w:lineRule="auto"/>
      </w:pPr>
      <w:r>
        <w:rPr>
          <w:rFonts w:ascii="Arial" w:cs="Arial" w:eastAsia="Yu Gothic" w:hAnsi="Arial"/>
          <w:b/>
          <w:bCs/>
          <w:color w:val="1F2533"/>
          <w:sz w:val="19"/>
          <w:szCs w:val="19"/>
        </w:rPr>
        <w:t xml:space="preserve">Growing the balance sheet at the top of the cycle.</w:t>
      </w:r>
      <w:r>
        <w:rPr>
          <w:rFonts w:ascii="Arial" w:cs="Arial" w:eastAsia="Yu Gothic" w:hAnsi="Arial"/>
          <w:color w:val="1F2533"/>
          <w:sz w:val="19"/>
          <w:szCs w:val="19"/>
        </w:rPr>
        <w:t xml:space="preserve"> In 1H FY2026, debt rose ¥191bn, including buildings bought from Blackstone and Yellow Hat, while the BOJ was hiking.</w:t>
      </w:r>
    </w:p>
    <w:p>
      <w:pPr>
        <w:pStyle w:val="ListParagraph"/>
        <w:numPr>
          <w:ilvl w:val="0"/>
          <w:numId w:val="15"/>
        </w:numPr>
        <w:spacing w:after="60" w:line="264" w:lineRule="auto"/>
      </w:pPr>
      <w:r>
        <w:rPr>
          <w:rFonts w:ascii="Arial" w:cs="Arial" w:eastAsia="Yu Gothic" w:hAnsi="Arial"/>
          <w:b/>
          <w:bCs/>
          <w:color w:val="1F2533"/>
          <w:sz w:val="19"/>
          <w:szCs w:val="19"/>
        </w:rPr>
        <w:t xml:space="preserve">Paying dividends in place of buybacks.</w:t>
      </w:r>
      <w:r>
        <w:rPr>
          <w:rFonts w:ascii="Arial" w:cs="Arial" w:eastAsia="Yu Gothic" w:hAnsi="Arial"/>
          <w:color w:val="1F2533"/>
          <w:sz w:val="19"/>
          <w:szCs w:val="19"/>
        </w:rPr>
        <w:t xml:space="preserve"> The payout rose to 40%, but only ¥3bn of buybacks was done at 0.65x NAV. Dividends are effectively financed by asset sales and debt.</w:t>
      </w:r>
    </w:p>
    <w:p>
      <w:pPr>
        <w:spacing w:after="40" w:before="0" w:line="276" w:lineRule="auto"/>
      </w:pPr>
    </w:p>
    <w:p>
      <w:pPr>
        <w:pStyle w:val="Heading2"/>
        <w:keepNext/>
        <w:keepLines/>
        <w:spacing w:after="90" w:before="260" w:line="252" w:lineRule="auto"/>
      </w:pPr>
      <w:r>
        <w:rPr>
          <w:rFonts w:ascii="Arial" w:cs="Arial" w:eastAsia="Yu Gothic" w:hAnsi="Arial"/>
          <w:b/>
          <w:bCs/>
          <w:color w:val="15233F"/>
          <w:sz w:val="25"/>
          <w:szCs w:val="25"/>
        </w:rPr>
        <w:t xml:space="preserve">Related parties, accounting and incentives</w:t>
      </w:r>
    </w:p>
    <w:p>
      <w:pPr>
        <w:spacing w:after="110" w:before="0" w:line="276" w:lineRule="auto"/>
      </w:pPr>
      <w:r>
        <w:rPr>
          <w:rFonts w:ascii="Arial" w:cs="Arial" w:eastAsia="Yu Gothic" w:hAnsi="Arial"/>
          <w:b/>
          <w:bCs/>
          <w:color w:val="1F2533"/>
          <w:sz w:val="19"/>
          <w:szCs w:val="19"/>
        </w:rPr>
        <w:t xml:space="preserve">Sponsor conflicts.</w:t>
      </w:r>
      <w:r>
        <w:rPr>
          <w:rFonts w:ascii="Arial" w:cs="Arial" w:eastAsia="Yu Gothic" w:hAnsi="Arial"/>
          <w:color w:val="1F2533"/>
          <w:sz w:val="19"/>
          <w:szCs w:val="19"/>
        </w:rPr>
        <w:t xml:space="preserve"> Tokyo Tatemono sells assets into JPR and its private REIT, owns 100% of JPR's asset manager and 3.03% of its units, and can therefore book a gain </w:t>
      </w:r>
      <w:r>
        <w:rPr>
          <w:rFonts w:ascii="Arial" w:cs="Arial" w:eastAsia="Yu Gothic" w:hAnsi="Arial"/>
          <w:i/>
          <w:iCs/>
          <w:color w:val="1F2533"/>
          <w:sz w:val="19"/>
          <w:szCs w:val="19"/>
        </w:rPr>
        <w:t xml:space="preserve">and</w:t>
      </w:r>
      <w:r>
        <w:rPr>
          <w:rFonts w:ascii="Arial" w:cs="Arial" w:eastAsia="Yu Gothic" w:hAnsi="Arial"/>
          <w:color w:val="1F2533"/>
          <w:sz w:val="19"/>
          <w:szCs w:val="19"/>
        </w:rPr>
        <w:t xml:space="preserve"> earn ongoing fees. The plan explicitly aims to grow AUM "through sales to REITs and other management firms" (</w:t>
      </w:r>
      <w:hyperlink w:history="1" r:id="rId6vmwwerycq1hpcy4dvrx1">
        <w:r>
          <w:rPr>
            <w:rFonts w:ascii="Arial" w:cs="Arial" w:eastAsia="Yu Gothic" w:hAnsi="Arial"/>
            <w:color w:val="2F6FD0"/>
            <w:sz w:val="19"/>
            <w:szCs w:val="19"/>
            <w:u w:val="single"/>
          </w:rPr>
          <w:t xml:space="preserve">MTP</w:t>
        </w:r>
      </w:hyperlink>
      <w:r>
        <w:rPr>
          <w:rFonts w:ascii="Arial" w:cs="Arial" w:eastAsia="Yu Gothic" w:hAnsi="Arial"/>
          <w:color w:val="1F2533"/>
          <w:sz w:val="19"/>
          <w:szCs w:val="19"/>
        </w:rPr>
        <w:t xml:space="preserve">). Sale prices are anchored to appraisals that the seller influences.</w:t>
      </w:r>
    </w:p>
    <w:p>
      <w:pPr>
        <w:spacing w:after="110" w:before="0" w:line="276" w:lineRule="auto"/>
      </w:pPr>
      <w:r>
        <w:rPr>
          <w:rFonts w:ascii="Arial" w:cs="Arial" w:eastAsia="Yu Gothic" w:hAnsi="Arial"/>
          <w:b/>
          <w:bCs/>
          <w:color w:val="1F2533"/>
          <w:sz w:val="19"/>
          <w:szCs w:val="19"/>
        </w:rPr>
        <w:t xml:space="preserve">Moving goalposts on the headline KPI.</w:t>
      </w:r>
      <w:r>
        <w:rPr>
          <w:rFonts w:ascii="Arial" w:cs="Arial" w:eastAsia="Yu Gothic" w:hAnsi="Arial"/>
          <w:color w:val="1F2533"/>
          <w:sz w:val="19"/>
          <w:szCs w:val="19"/>
        </w:rPr>
        <w:t xml:space="preserve"> In 2025 "business profit" was redefined to include gains on fixed-asset sales.</w:t>
      </w:r>
    </w:p>
    <w:p>
      <w:pPr>
        <w:spacing w:after="110" w:before="0" w:line="276" w:lineRule="auto"/>
      </w:pPr>
      <w:r>
        <w:rPr>
          <w:rFonts w:ascii="Arial" w:cs="Arial" w:eastAsia="Yu Gothic" w:hAnsi="Arial"/>
          <w:b/>
          <w:bCs/>
          <w:color w:val="1F2533"/>
          <w:sz w:val="19"/>
          <w:szCs w:val="19"/>
        </w:rPr>
        <w:t xml:space="preserve">Earnings management levers:</w:t>
      </w:r>
    </w:p>
    <w:p>
      <w:pPr>
        <w:pStyle w:val="ListParagraph"/>
        <w:numPr>
          <w:ilvl w:val="0"/>
          <w:numId w:val="2"/>
        </w:numPr>
        <w:spacing w:after="60" w:line="264" w:lineRule="auto"/>
      </w:pPr>
      <w:r>
        <w:rPr>
          <w:rFonts w:ascii="Arial" w:cs="Arial" w:eastAsia="Yu Gothic" w:hAnsi="Arial"/>
          <w:color w:val="1F2533"/>
          <w:sz w:val="19"/>
          <w:szCs w:val="19"/>
        </w:rPr>
        <w:t xml:space="preserve">Net income is supported by extraordinary gains: an estimated ¥20–25bn in FY2024, and ≈¥10.9bn implied in FY2026 guidance.</w:t>
      </w:r>
    </w:p>
    <w:p>
      <w:pPr>
        <w:pStyle w:val="ListParagraph"/>
        <w:numPr>
          <w:ilvl w:val="0"/>
          <w:numId w:val="2"/>
        </w:numPr>
        <w:spacing w:after="60" w:line="264" w:lineRule="auto"/>
      </w:pPr>
      <w:r>
        <w:rPr>
          <w:rFonts w:ascii="Arial" w:cs="Arial" w:eastAsia="Yu Gothic" w:hAnsi="Arial"/>
          <w:color w:val="1F2533"/>
          <w:sz w:val="19"/>
          <w:szCs w:val="19"/>
        </w:rPr>
        <w:t xml:space="preserve">The November 2025 "sales-policy revision" shows management chooses which assets to sell, and when, to shape reported profit.</w:t>
      </w:r>
    </w:p>
    <w:p>
      <w:pPr>
        <w:spacing w:after="40" w:before="0" w:line="276" w:lineRule="auto"/>
      </w:pPr>
    </w:p>
    <w:p>
      <w:pPr>
        <w:spacing w:after="110" w:before="0" w:line="276" w:lineRule="auto"/>
      </w:pPr>
      <w:r>
        <w:rPr>
          <w:rFonts w:ascii="Arial" w:cs="Arial" w:eastAsia="Yu Gothic" w:hAnsi="Arial"/>
          <w:b/>
          <w:bCs/>
          <w:color w:val="1F2533"/>
          <w:sz w:val="19"/>
          <w:szCs w:val="19"/>
        </w:rPr>
        <w:t xml:space="preserve">Incentives.</w:t>
      </w:r>
      <w:r>
        <w:rPr>
          <w:rFonts w:ascii="Arial" w:cs="Arial" w:eastAsia="Yu Gothic" w:hAnsi="Arial"/>
          <w:color w:val="1F2533"/>
          <w:sz w:val="19"/>
          <w:szCs w:val="19"/>
        </w:rPr>
        <w:t xml:space="preserve"> Bonuses were last linked to ordinary profit and net income, with no ROE or TSR measure found. That rewards balance-sheet growth and gain-taking.</w:t>
      </w:r>
    </w:p>
    <w:p>
      <w:pPr>
        <w:pStyle w:val="Heading2"/>
        <w:keepNext/>
        <w:keepLines/>
        <w:spacing w:after="90" w:before="260" w:line="252" w:lineRule="auto"/>
      </w:pPr>
      <w:r>
        <w:rPr>
          <w:rFonts w:ascii="Arial" w:cs="Arial" w:eastAsia="Yu Gothic" w:hAnsi="Arial"/>
          <w:b/>
          <w:bCs/>
          <w:color w:val="15233F"/>
          <w:sz w:val="25"/>
          <w:szCs w:val="25"/>
        </w:rPr>
        <w:t xml:space="preserve">What must hold for ¥3,211 to be justified</w:t>
      </w:r>
    </w:p>
    <w:p>
      <w:pPr>
        <w:pStyle w:val="ListParagraph"/>
        <w:numPr>
          <w:ilvl w:val="0"/>
          <w:numId w:val="16"/>
        </w:numPr>
        <w:spacing w:after="60" w:line="264" w:lineRule="auto"/>
      </w:pPr>
      <w:r>
        <w:rPr>
          <w:rFonts w:ascii="Arial" w:cs="Arial" w:eastAsia="Yu Gothic" w:hAnsi="Arial"/>
          <w:color w:val="1F2533"/>
          <w:sz w:val="19"/>
          <w:szCs w:val="19"/>
        </w:rPr>
        <w:t xml:space="preserve">Second-half FY2026 operating income of about ¥65.7bn is delivered, which requires the record sale programme to close.</w:t>
      </w:r>
    </w:p>
    <w:p>
      <w:pPr>
        <w:pStyle w:val="ListParagraph"/>
        <w:numPr>
          <w:ilvl w:val="0"/>
          <w:numId w:val="16"/>
        </w:numPr>
        <w:spacing w:after="60" w:line="264" w:lineRule="auto"/>
      </w:pPr>
      <w:r>
        <w:rPr>
          <w:rFonts w:ascii="Arial" w:cs="Arial" w:eastAsia="Yu Gothic" w:hAnsi="Arial"/>
          <w:color w:val="1F2533"/>
          <w:sz w:val="19"/>
          <w:szCs w:val="19"/>
        </w:rPr>
        <w:t xml:space="preserve">EPS stays at or above ¥300 through FY2027–28 as financing costs rise.</w:t>
      </w:r>
    </w:p>
    <w:p>
      <w:pPr>
        <w:pStyle w:val="ListParagraph"/>
        <w:numPr>
          <w:ilvl w:val="0"/>
          <w:numId w:val="16"/>
        </w:numPr>
        <w:spacing w:after="60" w:line="264" w:lineRule="auto"/>
      </w:pPr>
      <w:r>
        <w:rPr>
          <w:rFonts w:ascii="Arial" w:cs="Arial" w:eastAsia="Yu Gothic" w:hAnsi="Arial"/>
          <w:color w:val="1F2533"/>
          <w:sz w:val="19"/>
          <w:szCs w:val="19"/>
        </w:rPr>
        <w:t xml:space="preserve">Appraised fair values fall by no more than the 31% already implied.</w:t>
      </w:r>
    </w:p>
    <w:p>
      <w:pPr>
        <w:pStyle w:val="ListParagraph"/>
        <w:numPr>
          <w:ilvl w:val="0"/>
          <w:numId w:val="16"/>
        </w:numPr>
        <w:spacing w:after="60" w:line="264" w:lineRule="auto"/>
      </w:pPr>
      <w:r>
        <w:rPr>
          <w:rFonts w:ascii="Arial" w:cs="Arial" w:eastAsia="Yu Gothic" w:hAnsi="Arial"/>
          <w:color w:val="1F2533"/>
          <w:sz w:val="19"/>
          <w:szCs w:val="19"/>
        </w:rPr>
        <w:t xml:space="preserve">Debt/equity returns to ≤2.4–2.5x without equity issuance.</w:t>
      </w:r>
    </w:p>
    <w:p>
      <w:pPr>
        <w:pStyle w:val="ListParagraph"/>
        <w:numPr>
          <w:ilvl w:val="0"/>
          <w:numId w:val="16"/>
        </w:numPr>
        <w:spacing w:after="60" w:line="264" w:lineRule="auto"/>
      </w:pPr>
      <w:r>
        <w:rPr>
          <w:rFonts w:ascii="Arial" w:cs="Arial" w:eastAsia="Yu Gothic" w:hAnsi="Arial"/>
          <w:color w:val="1F2533"/>
          <w:sz w:val="19"/>
          <w:szCs w:val="19"/>
        </w:rPr>
        <w:t xml:space="preserve">The payout and dividend progression continue.</w:t>
      </w:r>
    </w:p>
    <w:p>
      <w:pPr>
        <w:spacing w:after="40" w:before="0" w:line="276" w:lineRule="auto"/>
      </w:pPr>
    </w:p>
    <w:p>
      <w:pPr>
        <w:spacing w:after="110" w:before="0" w:line="276" w:lineRule="auto"/>
      </w:pPr>
      <w:r>
        <w:rPr>
          <w:rFonts w:ascii="Arial" w:cs="Arial" w:eastAsia="Yu Gothic" w:hAnsi="Arial"/>
          <w:color w:val="1F2533"/>
          <w:sz w:val="19"/>
          <w:szCs w:val="19"/>
        </w:rPr>
        <w:t xml:space="preserve">All five are plausible, but none is guaranteed. The price offers no margin of safety if two of them fail together.</w:t>
      </w:r>
    </w:p>
    <w:p>
      <w:pPr>
        <w:pStyle w:val="Heading2"/>
        <w:keepNext/>
        <w:keepLines/>
        <w:spacing w:after="90" w:before="260" w:line="252" w:lineRule="auto"/>
      </w:pPr>
      <w:r>
        <w:rPr>
          <w:rFonts w:ascii="Arial" w:cs="Arial" w:eastAsia="Yu Gothic" w:hAnsi="Arial"/>
          <w:b/>
          <w:bCs/>
          <w:color w:val="15233F"/>
          <w:sz w:val="25"/>
          <w:szCs w:val="25"/>
        </w:rPr>
        <w:t xml:space="preserve">If growth disappoints by 20–30%</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38"/>
        <w:gridCol w:w="1366"/>
        <w:gridCol w:w="637"/>
        <w:gridCol w:w="982"/>
        <w:gridCol w:w="973"/>
        <w:gridCol w:w="1150"/>
      </w:tblGrid>
      <w:tr>
        <w:trPr>
          <w:cantSplit/>
          <w:tblHeader/>
        </w:trPr>
        <w:tc>
          <w:tcPr>
            <w:tcW w:type="dxa" w:w="4638"/>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bCs/>
                <w:color w:val="FFFFFF"/>
                <w:sz w:val="15"/>
                <w:szCs w:val="15"/>
              </w:rPr>
              <w:t xml:space="preserve">Case</w:t>
            </w:r>
          </w:p>
        </w:tc>
        <w:tc>
          <w:tcPr>
            <w:tcW w:type="dxa" w:w="1366"/>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5"/>
                <w:szCs w:val="15"/>
              </w:rPr>
              <w:t xml:space="preserve">FY2026–27 net income</w:t>
            </w:r>
          </w:p>
        </w:tc>
        <w:tc>
          <w:tcPr>
            <w:tcW w:type="dxa" w:w="637"/>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5"/>
                <w:szCs w:val="15"/>
              </w:rPr>
              <w:t xml:space="preserve">EPS</w:t>
            </w:r>
          </w:p>
        </w:tc>
        <w:tc>
          <w:tcPr>
            <w:tcW w:type="dxa" w:w="982"/>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5"/>
                <w:szCs w:val="15"/>
              </w:rPr>
              <w:t xml:space="preserve">Value at 10.3x P/E</w:t>
            </w:r>
          </w:p>
        </w:tc>
        <w:tc>
          <w:tcPr>
            <w:tcW w:type="dxa" w:w="973"/>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5"/>
                <w:szCs w:val="15"/>
              </w:rPr>
              <w:t xml:space="preserve">Value at 8.0x P/E</w:t>
            </w:r>
          </w:p>
        </w:tc>
        <w:tc>
          <w:tcPr>
            <w:tcW w:type="dxa" w:w="1150"/>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5"/>
                <w:szCs w:val="15"/>
              </w:rPr>
              <w:t xml:space="preserve">Implied P/NAV at 10.3x</w:t>
            </w:r>
          </w:p>
        </w:tc>
      </w:tr>
      <w:tr>
        <w:trPr>
          <w:cantSplit/>
        </w:trPr>
        <w:tc>
          <w:tcPr>
            <w:tcW w:type="dxa" w:w="4638"/>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5"/>
                <w:szCs w:val="15"/>
              </w:rPr>
              <w:t xml:space="preserve">Guidance delivered</w:t>
            </w:r>
          </w:p>
        </w:tc>
        <w:tc>
          <w:tcPr>
            <w:tcW w:type="dxa" w:w="136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5"/>
                <w:szCs w:val="15"/>
              </w:rPr>
              <w:t xml:space="preserve">¥65.0bn</w:t>
            </w:r>
          </w:p>
        </w:tc>
        <w:tc>
          <w:tcPr>
            <w:tcW w:type="dxa" w:w="637"/>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5"/>
                <w:szCs w:val="15"/>
              </w:rPr>
              <w:t xml:space="preserve">¥313</w:t>
            </w:r>
          </w:p>
        </w:tc>
        <w:tc>
          <w:tcPr>
            <w:tcW w:type="dxa" w:w="982"/>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5"/>
                <w:szCs w:val="15"/>
              </w:rPr>
              <w:t xml:space="preserve">¥3,225</w:t>
            </w:r>
          </w:p>
        </w:tc>
        <w:tc>
          <w:tcPr>
            <w:tcW w:type="dxa" w:w="973"/>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5"/>
                <w:szCs w:val="15"/>
              </w:rPr>
              <w:t xml:space="preserve">¥2,505</w:t>
            </w:r>
          </w:p>
        </w:tc>
        <w:tc>
          <w:tcPr>
            <w:tcW w:type="dxa" w:w="1150"/>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5"/>
                <w:szCs w:val="15"/>
              </w:rPr>
              <w:t xml:space="preserve">0.65x</w:t>
            </w:r>
          </w:p>
        </w:tc>
      </w:tr>
      <w:tr>
        <w:trPr>
          <w:cantSplit/>
        </w:trPr>
        <w:tc>
          <w:tcPr>
            <w:tcW w:type="dxa" w:w="4638"/>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5"/>
                <w:szCs w:val="15"/>
              </w:rPr>
              <w:t xml:space="preserve">20% shortfall</w:t>
            </w:r>
          </w:p>
        </w:tc>
        <w:tc>
          <w:tcPr>
            <w:tcW w:type="dxa" w:w="1366"/>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5"/>
                <w:szCs w:val="15"/>
              </w:rPr>
              <w:t xml:space="preserve">¥52.0bn</w:t>
            </w:r>
          </w:p>
        </w:tc>
        <w:tc>
          <w:tcPr>
            <w:tcW w:type="dxa" w:w="637"/>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5"/>
                <w:szCs w:val="15"/>
              </w:rPr>
              <w:t xml:space="preserve">¥250</w:t>
            </w:r>
          </w:p>
        </w:tc>
        <w:tc>
          <w:tcPr>
            <w:tcW w:type="dxa" w:w="982"/>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5"/>
                <w:szCs w:val="15"/>
              </w:rPr>
              <w:t xml:space="preserve">¥2,580</w:t>
            </w:r>
          </w:p>
        </w:tc>
        <w:tc>
          <w:tcPr>
            <w:tcW w:type="dxa" w:w="973"/>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5"/>
                <w:szCs w:val="15"/>
              </w:rPr>
              <w:t xml:space="preserve">¥2,005</w:t>
            </w:r>
          </w:p>
        </w:tc>
        <w:tc>
          <w:tcPr>
            <w:tcW w:type="dxa" w:w="1150"/>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5"/>
                <w:szCs w:val="15"/>
              </w:rPr>
              <w:t xml:space="preserve">0.52x</w:t>
            </w:r>
          </w:p>
        </w:tc>
      </w:tr>
      <w:tr>
        <w:trPr>
          <w:cantSplit/>
        </w:trPr>
        <w:tc>
          <w:tcPr>
            <w:tcW w:type="dxa" w:w="4638"/>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5"/>
                <w:szCs w:val="15"/>
              </w:rPr>
              <w:t xml:space="preserve">30% shortfall</w:t>
            </w:r>
          </w:p>
        </w:tc>
        <w:tc>
          <w:tcPr>
            <w:tcW w:type="dxa" w:w="136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5"/>
                <w:szCs w:val="15"/>
              </w:rPr>
              <w:t xml:space="preserve">¥45.5bn</w:t>
            </w:r>
          </w:p>
        </w:tc>
        <w:tc>
          <w:tcPr>
            <w:tcW w:type="dxa" w:w="637"/>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5"/>
                <w:szCs w:val="15"/>
              </w:rPr>
              <w:t xml:space="preserve">¥219</w:t>
            </w:r>
          </w:p>
        </w:tc>
        <w:tc>
          <w:tcPr>
            <w:tcW w:type="dxa" w:w="982"/>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5"/>
                <w:szCs w:val="15"/>
              </w:rPr>
              <w:t xml:space="preserve">¥2,260</w:t>
            </w:r>
          </w:p>
        </w:tc>
        <w:tc>
          <w:tcPr>
            <w:tcW w:type="dxa" w:w="973"/>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5"/>
                <w:szCs w:val="15"/>
              </w:rPr>
              <w:t xml:space="preserve">¥1,755</w:t>
            </w:r>
          </w:p>
        </w:tc>
        <w:tc>
          <w:tcPr>
            <w:tcW w:type="dxa" w:w="1150"/>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right"/>
            </w:pPr>
            <w:r>
              <w:rPr>
                <w:rFonts w:ascii="Arial" w:cs="Arial" w:eastAsia="Yu Gothic" w:hAnsi="Arial"/>
                <w:color w:val="1F2533"/>
                <w:sz w:val="15"/>
                <w:szCs w:val="15"/>
              </w:rPr>
              <w:t xml:space="preserve">0.46x</w:t>
            </w:r>
          </w:p>
        </w:tc>
      </w:tr>
    </w:tbl>
    <w:p>
      <w:pPr>
        <w:spacing w:after="120" w:before="0" w:line="276" w:lineRule="auto"/>
      </w:pPr>
    </w:p>
    <w:p>
      <w:pPr>
        <w:spacing w:after="110" w:before="0" w:line="276" w:lineRule="auto"/>
      </w:pPr>
      <w:r>
        <w:rPr>
          <w:rFonts w:ascii="Arial" w:cs="Arial" w:eastAsia="Yu Gothic" w:hAnsi="Arial"/>
          <w:b/>
          <w:bCs/>
          <w:color w:val="1F2533"/>
          <w:sz w:val="19"/>
          <w:szCs w:val="19"/>
        </w:rPr>
        <w:t xml:space="preserve">A 20–30% net-income shortfall</w:t>
      </w:r>
      <w:r>
        <w:rPr>
          <w:rFonts w:ascii="Arial" w:cs="Arial" w:eastAsia="Yu Gothic" w:hAnsi="Arial"/>
          <w:color w:val="1F2533"/>
          <w:sz w:val="19"/>
          <w:szCs w:val="19"/>
        </w:rPr>
        <w:t xml:space="preserve"> (¥13–20bn after tax, or ¥19–28bn pre-tax) needs only a one-year deferral of part of the sale programme. It would cut fair value to </w:t>
      </w:r>
      <w:r>
        <w:rPr>
          <w:rFonts w:ascii="Arial" w:cs="Arial" w:eastAsia="Yu Gothic" w:hAnsi="Arial"/>
          <w:b/>
          <w:bCs/>
          <w:color w:val="1F2533"/>
          <w:sz w:val="19"/>
          <w:szCs w:val="19"/>
        </w:rPr>
        <w:t xml:space="preserve">¥2,260–2,580 (−20% to −30%)</w:t>
      </w:r>
      <w:r>
        <w:rPr>
          <w:rFonts w:ascii="Arial" w:cs="Arial" w:eastAsia="Yu Gothic" w:hAnsi="Arial"/>
          <w:color w:val="1F2533"/>
          <w:sz w:val="19"/>
          <w:szCs w:val="19"/>
        </w:rPr>
        <w:t xml:space="preserve"> at an unchanged multiple. With a de-rating to 8x, the value falls to ¥1,750–2,000. ROE would fall to about 7.5–8.6%, below the plausible cost of equity, which implies 0.8–0.9x book (¥2,340–2,640).</w:t>
      </w:r>
    </w:p>
    <w:p>
      <w:pPr>
        <w:spacing w:after="110" w:before="0" w:line="276" w:lineRule="auto"/>
      </w:pPr>
      <w:r>
        <w:rPr>
          <w:rFonts w:ascii="Arial" w:cs="Arial" w:eastAsia="Yu Gothic" w:hAnsi="Arial"/>
          <w:b/>
          <w:bCs/>
          <w:color w:val="1F2533"/>
          <w:sz w:val="19"/>
          <w:szCs w:val="19"/>
        </w:rPr>
        <w:t xml:space="preserve">If "growth" instead means the path to the 2030 business-profit vision of ¥120bn,</w:t>
      </w:r>
      <w:r>
        <w:rPr>
          <w:rFonts w:ascii="Arial" w:cs="Arial" w:eastAsia="Yu Gothic" w:hAnsi="Arial"/>
          <w:color w:val="1F2533"/>
          <w:sz w:val="19"/>
          <w:szCs w:val="19"/>
        </w:rPr>
        <w:t xml:space="preserve"> a 20–30% shortfall in the </w:t>
      </w:r>
      <w:r>
        <w:rPr>
          <w:rFonts w:ascii="Arial" w:cs="Arial" w:eastAsia="Yu Gothic" w:hAnsi="Arial"/>
          <w:i/>
          <w:iCs/>
          <w:color w:val="1F2533"/>
          <w:sz w:val="19"/>
          <w:szCs w:val="19"/>
        </w:rPr>
        <w:t xml:space="preserve">increment</w:t>
      </w:r>
      <w:r>
        <w:rPr>
          <w:rFonts w:ascii="Arial" w:cs="Arial" w:eastAsia="Yu Gothic" w:hAnsi="Arial"/>
          <w:color w:val="1F2533"/>
          <w:sz w:val="19"/>
          <w:szCs w:val="19"/>
        </w:rPr>
        <w:t xml:space="preserve"> leaves 2030 profit only 2.5–3.75% below the vision. The valuation impact would be small. </w:t>
      </w:r>
      <w:r>
        <w:rPr>
          <w:rFonts w:ascii="Arial" w:cs="Arial" w:eastAsia="Yu Gothic" w:hAnsi="Arial"/>
          <w:b/>
          <w:bCs/>
          <w:color w:val="1F2533"/>
          <w:sz w:val="19"/>
          <w:szCs w:val="19"/>
        </w:rPr>
        <w:t xml:space="preserve">For Tokyo Tatemono, the risk lies in the level of profit, not the growth rate.</w:t>
      </w:r>
    </w:p>
    <w:p>
      <w:pPr>
        <w:pStyle w:val="Heading2"/>
        <w:keepNext/>
        <w:keepLines/>
        <w:spacing w:after="90" w:before="260" w:line="252" w:lineRule="auto"/>
      </w:pPr>
      <w:r>
        <w:rPr>
          <w:rFonts w:ascii="Arial" w:cs="Arial" w:eastAsia="Yu Gothic" w:hAnsi="Arial"/>
          <w:b/>
          <w:bCs/>
          <w:color w:val="15233F"/>
          <w:sz w:val="25"/>
          <w:szCs w:val="25"/>
        </w:rPr>
        <w:t xml:space="preserve">The single scenario that would permanently impair the business</w:t>
      </w:r>
    </w:p>
    <w:p>
      <w:pPr>
        <w:spacing w:after="110" w:before="0" w:line="276" w:lineRule="auto"/>
      </w:pPr>
      <w:r>
        <w:rPr>
          <w:rFonts w:ascii="Arial" w:cs="Arial" w:eastAsia="Yu Gothic" w:hAnsi="Arial"/>
          <w:b/>
          <w:bCs/>
          <w:color w:val="1F2533"/>
          <w:sz w:val="19"/>
          <w:szCs w:val="19"/>
        </w:rPr>
        <w:t xml:space="preserve">A rate-driven closure of the exit channel.</w:t>
      </w:r>
      <w:r>
        <w:rPr>
          <w:rFonts w:ascii="Arial" w:cs="Arial" w:eastAsia="Yu Gothic" w:hAnsi="Arial"/>
          <w:color w:val="1F2533"/>
          <w:sz w:val="19"/>
          <w:szCs w:val="19"/>
        </w:rPr>
        <w:t xml:space="preserve"> The sequence would run:</w:t>
      </w:r>
    </w:p>
    <w:p>
      <w:pPr>
        <w:pStyle w:val="ListParagraph"/>
        <w:numPr>
          <w:ilvl w:val="0"/>
          <w:numId w:val="17"/>
        </w:numPr>
        <w:spacing w:after="60" w:line="264" w:lineRule="auto"/>
      </w:pPr>
      <w:r>
        <w:rPr>
          <w:rFonts w:ascii="Arial" w:cs="Arial" w:eastAsia="Yu Gothic" w:hAnsi="Arial"/>
          <w:color w:val="1F2533"/>
          <w:sz w:val="19"/>
          <w:szCs w:val="19"/>
        </w:rPr>
        <w:t xml:space="preserve">10-year JGB yields rise further and prime cap rates widen by 100bp or more.</w:t>
      </w:r>
    </w:p>
    <w:p>
      <w:pPr>
        <w:pStyle w:val="ListParagraph"/>
        <w:numPr>
          <w:ilvl w:val="0"/>
          <w:numId w:val="17"/>
        </w:numPr>
        <w:spacing w:after="60" w:line="264" w:lineRule="auto"/>
      </w:pPr>
      <w:r>
        <w:rPr>
          <w:rFonts w:ascii="Arial" w:cs="Arial" w:eastAsia="Yu Gothic" w:hAnsi="Arial"/>
          <w:color w:val="1F2533"/>
          <w:sz w:val="19"/>
          <w:szCs w:val="19"/>
        </w:rPr>
        <w:t xml:space="preserve">J-REIT and private buyers step back.</w:t>
      </w:r>
    </w:p>
    <w:p>
      <w:pPr>
        <w:pStyle w:val="ListParagraph"/>
        <w:numPr>
          <w:ilvl w:val="0"/>
          <w:numId w:val="17"/>
        </w:numPr>
        <w:spacing w:after="60" w:line="264" w:lineRule="auto"/>
      </w:pPr>
      <w:r>
        <w:rPr>
          <w:rFonts w:ascii="Arial" w:cs="Arial" w:eastAsia="Yu Gothic" w:hAnsi="Arial"/>
          <w:color w:val="1F2533"/>
          <w:sz w:val="19"/>
          <w:szCs w:val="19"/>
        </w:rPr>
        <w:t xml:space="preserve">The record sale programme stalls just as ≈¥1.5tn of debt reprices and redevelopment capex peaks.</w:t>
      </w:r>
    </w:p>
    <w:p>
      <w:pPr>
        <w:pStyle w:val="ListParagraph"/>
        <w:numPr>
          <w:ilvl w:val="0"/>
          <w:numId w:val="17"/>
        </w:numPr>
        <w:spacing w:after="60" w:line="264" w:lineRule="auto"/>
      </w:pPr>
      <w:r>
        <w:rPr>
          <w:rFonts w:ascii="Arial" w:cs="Arial" w:eastAsia="Yu Gothic" w:hAnsi="Arial"/>
          <w:color w:val="1F2533"/>
          <w:sz w:val="19"/>
          <w:szCs w:val="19"/>
        </w:rPr>
        <w:t xml:space="preserve">Earnings fall at least 30% and NAV falls 20–25%. Debt/equity moves well above 2.6x and the rating comes under pressure.</w:t>
      </w:r>
    </w:p>
    <w:p>
      <w:pPr>
        <w:pStyle w:val="ListParagraph"/>
        <w:numPr>
          <w:ilvl w:val="0"/>
          <w:numId w:val="17"/>
        </w:numPr>
        <w:spacing w:after="60" w:line="264" w:lineRule="auto"/>
      </w:pPr>
      <w:r>
        <w:rPr>
          <w:rFonts w:ascii="Arial" w:cs="Arial" w:eastAsia="Yu Gothic" w:hAnsi="Arial"/>
          <w:color w:val="1F2533"/>
          <w:sz w:val="19"/>
          <w:szCs w:val="19"/>
        </w:rPr>
        <w:t xml:space="preserve">Management then sells core assets at cyclical lows, or raises equity at about 0.5x NAV.</w:t>
      </w:r>
    </w:p>
    <w:p>
      <w:pPr>
        <w:spacing w:after="40" w:before="0" w:line="276" w:lineRule="auto"/>
      </w:pPr>
    </w:p>
    <w:p>
      <w:pPr>
        <w:spacing w:after="110" w:before="0" w:line="276" w:lineRule="auto"/>
      </w:pPr>
      <w:r>
        <w:rPr>
          <w:rFonts w:ascii="Arial" w:cs="Arial" w:eastAsia="Yu Gothic" w:hAnsi="Arial"/>
          <w:color w:val="1F2533"/>
          <w:sz w:val="19"/>
          <w:szCs w:val="19"/>
        </w:rPr>
        <w:t xml:space="preserve">The </w:t>
      </w:r>
      <w:r>
        <w:rPr>
          <w:rFonts w:ascii="Arial" w:cs="Arial" w:eastAsia="Yu Gothic" w:hAnsi="Arial"/>
          <w:i/>
          <w:iCs/>
          <w:color w:val="1F2533"/>
          <w:sz w:val="19"/>
          <w:szCs w:val="19"/>
        </w:rPr>
        <w:t xml:space="preserve">permanent</w:t>
      </w:r>
      <w:r>
        <w:rPr>
          <w:rFonts w:ascii="Arial" w:cs="Arial" w:eastAsia="Yu Gothic" w:hAnsi="Arial"/>
          <w:color w:val="1F2533"/>
          <w:sz w:val="19"/>
          <w:szCs w:val="19"/>
        </w:rPr>
        <w:t xml:space="preserve"> loss is the dilution or forced sale at the bottom, not the cyclical earnings dip.</w:t>
      </w:r>
    </w:p>
    <w:p>
      <w:pPr>
        <w:spacing w:after="110" w:before="0" w:line="276" w:lineRule="auto"/>
      </w:pPr>
      <w:r>
        <w:rPr>
          <w:rFonts w:ascii="Arial" w:cs="Arial" w:eastAsia="Yu Gothic" w:hAnsi="Arial"/>
          <w:b/>
          <w:bCs/>
          <w:color w:val="1F2533"/>
          <w:sz w:val="19"/>
          <w:szCs w:val="19"/>
        </w:rPr>
        <w:t xml:space="preserve">Plausibility: low to moderate</w:t>
      </w:r>
      <w:r>
        <w:rPr>
          <w:rFonts w:ascii="Arial" w:cs="Arial" w:eastAsia="Yu Gothic" w:hAnsi="Arial"/>
          <w:color w:val="1F2533"/>
          <w:sz w:val="19"/>
          <w:szCs w:val="19"/>
        </w:rPr>
        <w:t xml:space="preserve">, roughly 10–15% over three years in our judgement.</w:t>
      </w:r>
    </w:p>
    <w:p>
      <w:pPr>
        <w:pStyle w:val="ListParagraph"/>
        <w:numPr>
          <w:ilvl w:val="0"/>
          <w:numId w:val="2"/>
        </w:numPr>
        <w:spacing w:after="60" w:line="264" w:lineRule="auto"/>
      </w:pPr>
      <w:r>
        <w:rPr>
          <w:rFonts w:ascii="Arial" w:cs="Arial" w:eastAsia="Yu Gothic" w:hAnsi="Arial"/>
          <w:b/>
          <w:bCs/>
          <w:color w:val="1F2533"/>
          <w:sz w:val="19"/>
          <w:szCs w:val="19"/>
        </w:rPr>
        <w:t xml:space="preserve">For:</w:t>
      </w:r>
      <w:r>
        <w:rPr>
          <w:rFonts w:ascii="Arial" w:cs="Arial" w:eastAsia="Yu Gothic" w:hAnsi="Arial"/>
          <w:color w:val="1F2533"/>
          <w:sz w:val="19"/>
          <w:szCs w:val="19"/>
        </w:rPr>
        <w:t xml:space="preserve"> the early signs already exist: sector and REIT indices at 2026 lows, and the non-operating drag nearly tripling.</w:t>
      </w:r>
    </w:p>
    <w:p>
      <w:pPr>
        <w:pStyle w:val="ListParagraph"/>
        <w:numPr>
          <w:ilvl w:val="0"/>
          <w:numId w:val="2"/>
        </w:numPr>
        <w:spacing w:after="60" w:line="264" w:lineRule="auto"/>
      </w:pPr>
      <w:r>
        <w:rPr>
          <w:rFonts w:ascii="Arial" w:cs="Arial" w:eastAsia="Yu Gothic" w:hAnsi="Arial"/>
          <w:b/>
          <w:bCs/>
          <w:color w:val="1F2533"/>
          <w:sz w:val="19"/>
          <w:szCs w:val="19"/>
        </w:rPr>
        <w:t xml:space="preserve">Against:</w:t>
      </w:r>
      <w:r>
        <w:rPr>
          <w:rFonts w:ascii="Arial" w:cs="Arial" w:eastAsia="Yu Gothic" w:hAnsi="Arial"/>
          <w:color w:val="1F2533"/>
          <w:sz w:val="19"/>
          <w:szCs w:val="19"/>
        </w:rPr>
        <w:t xml:space="preserve"> much of this is already discounted (0.65x NAV); rents are rising; occupancy is high; and the company can hold rather than sell, within its leverage limits.</w:t>
      </w:r>
    </w:p>
    <w:p>
      <w:pPr>
        <w:spacing w:after="40" w:before="0" w:line="276" w:lineRule="auto"/>
      </w:pPr>
    </w:p>
    <w:p>
      <w:pPr>
        <w:pStyle w:val="Heading2"/>
        <w:keepNext/>
        <w:keepLines/>
        <w:spacing w:after="90" w:before="260" w:line="252" w:lineRule="auto"/>
      </w:pPr>
      <w:r>
        <w:rPr>
          <w:rFonts w:ascii="Arial" w:cs="Arial" w:eastAsia="Yu Gothic" w:hAnsi="Arial"/>
          <w:b/>
          <w:bCs/>
          <w:color w:val="15233F"/>
          <w:sz w:val="25"/>
          <w:szCs w:val="25"/>
        </w:rPr>
        <w:t xml:space="preserve">Forensic red-flag checklist</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73"/>
        <w:gridCol w:w="3347"/>
        <w:gridCol w:w="1370"/>
        <w:gridCol w:w="3056"/>
      </w:tblGrid>
      <w:tr>
        <w:trPr>
          <w:cantSplit/>
          <w:tblHeader/>
        </w:trPr>
        <w:tc>
          <w:tcPr>
            <w:tcW w:type="dxa" w:w="1973"/>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bCs/>
                <w:color w:val="FFFFFF"/>
                <w:sz w:val="16"/>
                <w:szCs w:val="16"/>
              </w:rPr>
              <w:t xml:space="preserve">Area</w:t>
            </w:r>
          </w:p>
        </w:tc>
        <w:tc>
          <w:tcPr>
            <w:tcW w:type="dxa" w:w="3347"/>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6"/>
                <w:szCs w:val="16"/>
              </w:rPr>
              <w:t xml:space="preserve">Observation</w:t>
            </w:r>
          </w:p>
        </w:tc>
        <w:tc>
          <w:tcPr>
            <w:tcW w:type="dxa" w:w="1370"/>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6"/>
                <w:szCs w:val="16"/>
              </w:rPr>
              <w:t xml:space="preserve">Severity</w:t>
            </w:r>
          </w:p>
        </w:tc>
        <w:tc>
          <w:tcPr>
            <w:tcW w:type="dxa" w:w="3056"/>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6"/>
                <w:szCs w:val="16"/>
              </w:rPr>
              <w:t xml:space="preserve">What to check (FY2025 Yuho, EDINET S100XSKF)</w:t>
            </w:r>
          </w:p>
        </w:tc>
      </w:tr>
      <w:tr>
        <w:trPr>
          <w:cantSplit/>
        </w:trPr>
        <w:tc>
          <w:tcPr>
            <w:tcW w:type="dxa" w:w="1973"/>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Revenue recognition</w:t>
            </w:r>
          </w:p>
        </w:tc>
        <w:tc>
          <w:tcPr>
            <w:tcW w:type="dxa" w:w="3347"/>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Condos recognised at handover; investor sales at closing. Fixed assets reclassified to inventory (保有目的の変更) can move sale proceeds into revenue and operating cash flow. In 2025 business profit was redefined to include fixed-asset gains</w:t>
            </w:r>
          </w:p>
        </w:tc>
        <w:tc>
          <w:tcPr>
            <w:tcW w:type="dxa" w:w="1370"/>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Medium–high</w:t>
            </w:r>
          </w:p>
        </w:tc>
        <w:tc>
          <w:tcPr>
            <w:tcW w:type="dxa" w:w="305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Reclassification note; gains on sale by year; counterparties; volume sold to related parties</w:t>
            </w:r>
          </w:p>
        </w:tc>
      </w:tr>
      <w:tr>
        <w:trPr>
          <w:cantSplit/>
        </w:trPr>
        <w:tc>
          <w:tcPr>
            <w:tcW w:type="dxa" w:w="1973"/>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Earnings quality</w:t>
            </w:r>
          </w:p>
        </w:tc>
        <w:tc>
          <w:tcPr>
            <w:tcW w:type="dxa" w:w="3347"/>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FY2024 net income was 92% of ordinary income (one-offs of ≈¥20–25bn); FY2026 guidance embeds ≈¥10.9bn of extraordinary gains</w:t>
            </w:r>
          </w:p>
        </w:tc>
        <w:tc>
          <w:tcPr>
            <w:tcW w:type="dxa" w:w="1370"/>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Medium</w:t>
            </w:r>
          </w:p>
        </w:tc>
        <w:tc>
          <w:tcPr>
            <w:tcW w:type="dxa" w:w="3056"/>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Extraordinary items by type; cross-shareholding sale schedule</w:t>
            </w:r>
          </w:p>
        </w:tc>
      </w:tr>
      <w:tr>
        <w:trPr>
          <w:cantSplit/>
        </w:trPr>
        <w:tc>
          <w:tcPr>
            <w:tcW w:type="dxa" w:w="1973"/>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Equity method / off-balance-sheet</w:t>
            </w:r>
          </w:p>
        </w:tc>
        <w:tc>
          <w:tcPr>
            <w:tcW w:type="dxa" w:w="3347"/>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−¥6.9bn equity-method loss in FY2025; 22 affiliates (FY2022); SPC/TMK debt off balance sheet; guidance cut in Aug 2026</w:t>
            </w:r>
          </w:p>
        </w:tc>
        <w:tc>
          <w:tcPr>
            <w:tcW w:type="dxa" w:w="1370"/>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Medium</w:t>
            </w:r>
          </w:p>
        </w:tc>
        <w:tc>
          <w:tcPr>
            <w:tcW w:type="dxa" w:w="305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Affiliate list; guarantees of SPC debt; the joint ventures behind the losses</w:t>
            </w:r>
          </w:p>
        </w:tc>
      </w:tr>
      <w:tr>
        <w:trPr>
          <w:cantSplit/>
        </w:trPr>
        <w:tc>
          <w:tcPr>
            <w:tcW w:type="dxa" w:w="1973"/>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Segment reporting</w:t>
            </w:r>
          </w:p>
        </w:tc>
        <w:tc>
          <w:tcPr>
            <w:tcW w:type="dxa" w:w="3347"/>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Segments changed in FY2020, FY2021 and FY2022; FY2024 comparatives restated; Building mixes rent and sales; hotels sit inside Commercial Properties; "Other" absorbs overseas results; corporate costs rising</w:t>
            </w:r>
          </w:p>
        </w:tc>
        <w:tc>
          <w:tcPr>
            <w:tcW w:type="dxa" w:w="1370"/>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Medium</w:t>
            </w:r>
          </w:p>
        </w:tc>
        <w:tc>
          <w:tcPr>
            <w:tcW w:type="dxa" w:w="3056"/>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Request a leasing vs sale-gain split; segment assets</w:t>
            </w:r>
          </w:p>
        </w:tc>
      </w:tr>
      <w:tr>
        <w:trPr>
          <w:cantSplit/>
        </w:trPr>
        <w:tc>
          <w:tcPr>
            <w:tcW w:type="dxa" w:w="1973"/>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Related parties</w:t>
            </w:r>
          </w:p>
        </w:tc>
        <w:tc>
          <w:tcPr>
            <w:tcW w:type="dxa" w:w="3347"/>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Sales to JPR and the private REIT; TRIM fees; Mizuho as lender, tenant, former seller and source of directors</w:t>
            </w:r>
          </w:p>
        </w:tc>
        <w:tc>
          <w:tcPr>
            <w:tcW w:type="dxa" w:w="1370"/>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Medium</w:t>
            </w:r>
          </w:p>
        </w:tc>
        <w:tc>
          <w:tcPr>
            <w:tcW w:type="dxa" w:w="305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Related-party note; sale prices vs appraisal; master leases or rent guarantees</w:t>
            </w:r>
          </w:p>
        </w:tc>
      </w:tr>
      <w:tr>
        <w:trPr>
          <w:cantSplit/>
        </w:trPr>
        <w:tc>
          <w:tcPr>
            <w:tcW w:type="dxa" w:w="1973"/>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Leases</w:t>
            </w:r>
          </w:p>
        </w:tc>
        <w:tc>
          <w:tcPr>
            <w:tcW w:type="dxa" w:w="3347"/>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Master-lease and sublease commitments not retrieved. ASBJ's new lease standard (reported as effective for fiscal years beginning on or after 1 Apr 2027; to be verified) would bring operating leases onto the balance sheet</w:t>
            </w:r>
          </w:p>
        </w:tc>
        <w:tc>
          <w:tcPr>
            <w:tcW w:type="dxa" w:w="1370"/>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Low–medium</w:t>
            </w:r>
          </w:p>
        </w:tc>
        <w:tc>
          <w:tcPr>
            <w:tcW w:type="dxa" w:w="3056"/>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Operating-lease commitment note</w:t>
            </w:r>
          </w:p>
        </w:tc>
      </w:tr>
      <w:tr>
        <w:trPr>
          <w:cantSplit/>
        </w:trPr>
        <w:tc>
          <w:tcPr>
            <w:tcW w:type="dxa" w:w="1973"/>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Contingencies</w:t>
            </w:r>
          </w:p>
        </w:tc>
        <w:tc>
          <w:tcPr>
            <w:tcW w:type="dxa" w:w="3347"/>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Condo defects, guarantees of SPC debt and of buyers' mortgages: not retrieved</w:t>
            </w:r>
          </w:p>
        </w:tc>
        <w:tc>
          <w:tcPr>
            <w:tcW w:type="dxa" w:w="1370"/>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Unknown</w:t>
            </w:r>
          </w:p>
        </w:tc>
        <w:tc>
          <w:tcPr>
            <w:tcW w:type="dxa" w:w="305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Contingent-liabilities note; litigation</w:t>
            </w:r>
          </w:p>
        </w:tc>
      </w:tr>
      <w:tr>
        <w:trPr>
          <w:cantSplit/>
        </w:trPr>
        <w:tc>
          <w:tcPr>
            <w:tcW w:type="dxa" w:w="1973"/>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Interest capitalisation</w:t>
            </w:r>
          </w:p>
        </w:tc>
        <w:tc>
          <w:tcPr>
            <w:tcW w:type="dxa" w:w="3347"/>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Practice on large developments (TOFROM YAESU, Kyobashi) not disclosed in the materials reviewed</w:t>
            </w:r>
          </w:p>
        </w:tc>
        <w:tc>
          <w:tcPr>
            <w:tcW w:type="dxa" w:w="1370"/>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Medium</w:t>
            </w:r>
          </w:p>
        </w:tc>
        <w:tc>
          <w:tcPr>
            <w:tcW w:type="dxa" w:w="3056"/>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Fixed-asset note; capitalised interest</w:t>
            </w:r>
          </w:p>
        </w:tc>
      </w:tr>
      <w:tr>
        <w:trPr>
          <w:cantSplit/>
        </w:trPr>
        <w:tc>
          <w:tcPr>
            <w:tcW w:type="dxa" w:w="1973"/>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Stock-based compensation</w:t>
            </w:r>
          </w:p>
        </w:tc>
        <w:tc>
          <w:tcPr>
            <w:tcW w:type="dxa" w:w="3347"/>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Stock-compensation trust holds 351,300 shares; points-based; immaterial cost</w:t>
            </w:r>
          </w:p>
        </w:tc>
        <w:tc>
          <w:tcPr>
            <w:tcW w:type="dxa" w:w="1370"/>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Low</w:t>
            </w:r>
          </w:p>
        </w:tc>
        <w:tc>
          <w:tcPr>
            <w:tcW w:type="dxa" w:w="305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Trust KPIs and vesting conditions</w:t>
            </w:r>
          </w:p>
        </w:tc>
      </w:tr>
      <w:tr>
        <w:trPr>
          <w:cantSplit/>
        </w:trPr>
        <w:tc>
          <w:tcPr>
            <w:tcW w:type="dxa" w:w="1973"/>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Goodwill and intangibles</w:t>
            </w:r>
          </w:p>
        </w:tc>
        <w:tc>
          <w:tcPr>
            <w:tcW w:type="dxa" w:w="3347"/>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Not material (the company is not an acquirer)</w:t>
            </w:r>
          </w:p>
        </w:tc>
        <w:tc>
          <w:tcPr>
            <w:tcW w:type="dxa" w:w="1370"/>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Low</w:t>
            </w:r>
          </w:p>
        </w:tc>
        <w:tc>
          <w:tcPr>
            <w:tcW w:type="dxa" w:w="3056"/>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w:t>
            </w:r>
          </w:p>
        </w:tc>
      </w:tr>
      <w:tr>
        <w:trPr>
          <w:cantSplit/>
        </w:trPr>
        <w:tc>
          <w:tcPr>
            <w:tcW w:type="dxa" w:w="1973"/>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Impairments</w:t>
            </w:r>
          </w:p>
        </w:tc>
        <w:tc>
          <w:tcPr>
            <w:tcW w:type="dxa" w:w="3347"/>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¥0.2–0.9bn a year (FY2020–24), tiny against a ¥1.06tn rental book and ¥0.6tn of unrealised gains. Risk sits in overseas, hotels and London</w:t>
            </w:r>
          </w:p>
        </w:tc>
        <w:tc>
          <w:tcPr>
            <w:tcW w:type="dxa" w:w="1370"/>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Low–medium</w:t>
            </w:r>
          </w:p>
        </w:tc>
        <w:tc>
          <w:tcPr>
            <w:tcW w:type="dxa" w:w="305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FY2025 impairment line; held-for-sale write-downs</w:t>
            </w:r>
          </w:p>
        </w:tc>
      </w:tr>
      <w:tr>
        <w:trPr>
          <w:cantSplit/>
        </w:trPr>
        <w:tc>
          <w:tcPr>
            <w:tcW w:type="dxa" w:w="1973"/>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Cash flow</w:t>
            </w:r>
          </w:p>
        </w:tc>
        <w:tc>
          <w:tcPr>
            <w:tcW w:type="dxa" w:w="3347"/>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Operating cash flow of ¥19–32bn against operating income of ¥80–96bn; free cash flow −¥123bn in FY2024; dividends effectively funded by debt and sales</w:t>
            </w:r>
          </w:p>
        </w:tc>
        <w:tc>
          <w:tcPr>
            <w:tcW w:type="dxa" w:w="1370"/>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bCs/>
                <w:color w:val="1F2533"/>
                <w:sz w:val="16"/>
                <w:szCs w:val="16"/>
              </w:rPr>
              <w:t xml:space="preserve">High (structural)</w:t>
            </w:r>
          </w:p>
        </w:tc>
        <w:tc>
          <w:tcPr>
            <w:tcW w:type="dxa" w:w="3056"/>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Inventory change; capex vs D&amp;A; proceeds from fixed-asset sales</w:t>
            </w:r>
          </w:p>
        </w:tc>
      </w:tr>
      <w:tr>
        <w:trPr>
          <w:cantSplit/>
        </w:trPr>
        <w:tc>
          <w:tcPr>
            <w:tcW w:type="dxa" w:w="1973"/>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How leverage is presented</w:t>
            </w:r>
          </w:p>
        </w:tc>
        <w:tc>
          <w:tcPr>
            <w:tcW w:type="dxa" w:w="3347"/>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Hybrids (BBB+) may receive equity credit in company metrics; the mid-year debt peak is seasonal</w:t>
            </w:r>
          </w:p>
        </w:tc>
        <w:tc>
          <w:tcPr>
            <w:tcW w:type="dxa" w:w="1370"/>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Medium</w:t>
            </w:r>
          </w:p>
        </w:tc>
        <w:tc>
          <w:tcPr>
            <w:tcW w:type="dxa" w:w="305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Hybrid amount; company-defined debt/equity</w:t>
            </w:r>
          </w:p>
        </w:tc>
      </w:tr>
    </w:tbl>
    <w:p>
      <w:pPr>
        <w:spacing w:after="120" w:before="0" w:line="276" w:lineRule="auto"/>
      </w:pPr>
    </w:p>
    <w:p>
      <w:pPr>
        <w:pBdr>
          <w:left w:val="single" w:color="2F6FD0" w:sz="24" w:space="8"/>
        </w:pBdr>
        <w:shd w:fill="EEF3FA" w:color="auto" w:val="clear"/>
        <w:spacing w:after="160" w:before="60" w:line="264" w:lineRule="auto"/>
        <w:ind w:left="200" w:right="200"/>
      </w:pPr>
      <w:r>
        <w:rPr>
          <w:rFonts w:ascii="Arial" w:cs="Arial" w:eastAsia="Yu Gothic" w:hAnsi="Arial"/>
          <w:b/>
          <w:bCs/>
          <w:color w:val="15233F"/>
          <w:sz w:val="18"/>
          <w:szCs w:val="18"/>
        </w:rPr>
        <w:t xml:space="preserve">Key takeaway:</w:t>
      </w:r>
      <w:r>
        <w:rPr>
          <w:rFonts w:ascii="Arial" w:cs="Arial" w:eastAsia="Yu Gothic" w:hAnsi="Arial"/>
          <w:color w:val="15233F"/>
          <w:sz w:val="18"/>
          <w:szCs w:val="18"/>
        </w:rPr>
        <w:t xml:space="preserve"> The short case is not fraud. It is leverage plus timing. The company manufactures growth by recycling assets into a buyer pool whose cost of capital is rising, while funding the recycling with debt that is repricing. The forensic flags (business-profit redefinition, extraordinary gains, sponsor sales, poor cash conversion) are yellow, not red. They mean the earnings deserve a discount.</w:t>
      </w:r>
    </w:p>
    <w:p>
      <w:pPr>
        <w:pStyle w:val="Heading1"/>
        <w:keepNext/>
        <w:keepLines/>
        <w:pageBreakBefore/>
        <w:pBdr>
          <w:bottom w:val="single" w:color="2F6FD0" w:sz="12" w:space="6"/>
        </w:pBdr>
        <w:spacing w:after="160" w:before="0" w:line="252" w:lineRule="auto"/>
      </w:pPr>
      <w:r>
        <w:rPr>
          <w:rFonts w:ascii="Arial" w:cs="Arial" w:eastAsia="Yu Gothic" w:hAnsi="Arial"/>
          <w:b/>
          <w:bCs/>
          <w:color w:val="15233F"/>
          <w:sz w:val="32"/>
          <w:szCs w:val="32"/>
        </w:rPr>
        <w:t xml:space="preserve">22. Timeline and catalyst calendar</w:t>
      </w:r>
    </w:p>
    <w:p>
      <w:pPr>
        <w:pStyle w:val="Heading2"/>
        <w:keepNext/>
        <w:keepLines/>
        <w:spacing w:after="90" w:before="260" w:line="252" w:lineRule="auto"/>
      </w:pPr>
      <w:r>
        <w:rPr>
          <w:rFonts w:ascii="Arial" w:cs="Arial" w:eastAsia="Yu Gothic" w:hAnsi="Arial"/>
          <w:b/>
          <w:bCs/>
          <w:color w:val="15233F"/>
          <w:sz w:val="25"/>
          <w:szCs w:val="25"/>
        </w:rPr>
        <w:t xml:space="preserve">Key past events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67"/>
        <w:gridCol w:w="5346"/>
        <w:gridCol w:w="2733"/>
      </w:tblGrid>
      <w:tr>
        <w:trPr>
          <w:cantSplit/>
          <w:tblHeader/>
        </w:trPr>
        <w:tc>
          <w:tcPr>
            <w:tcW w:type="dxa" w:w="1667"/>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bCs/>
                <w:color w:val="FFFFFF"/>
                <w:sz w:val="16"/>
                <w:szCs w:val="16"/>
              </w:rPr>
              <w:t xml:space="preserve">Date</w:t>
            </w:r>
          </w:p>
        </w:tc>
        <w:tc>
          <w:tcPr>
            <w:tcW w:type="dxa" w:w="5346"/>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6"/>
                <w:szCs w:val="16"/>
              </w:rPr>
              <w:t xml:space="preserve">Event</w:t>
            </w:r>
          </w:p>
        </w:tc>
        <w:tc>
          <w:tcPr>
            <w:tcW w:type="dxa" w:w="2733"/>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6"/>
                <w:szCs w:val="16"/>
              </w:rPr>
              <w:t xml:space="preserve">Significance</w:t>
            </w:r>
          </w:p>
        </w:tc>
      </w:tr>
      <w:tr>
        <w:trPr>
          <w:cantSplit/>
        </w:trPr>
        <w:tc>
          <w:tcPr>
            <w:tcW w:type="dxa" w:w="1667"/>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1 Oct 1896</w:t>
            </w:r>
          </w:p>
        </w:tc>
        <w:tc>
          <w:tcPr>
            <w:tcW w:type="dxa" w:w="534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Founded (Yasuda/Fuyo lineage); listed May 1949</w:t>
            </w:r>
          </w:p>
        </w:tc>
        <w:tc>
          <w:tcPr>
            <w:tcW w:type="dxa" w:w="2733"/>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Oldest listed Japanese developer</w:t>
            </w:r>
          </w:p>
        </w:tc>
      </w:tr>
      <w:tr>
        <w:trPr>
          <w:cantSplit/>
        </w:trPr>
        <w:tc>
          <w:tcPr>
            <w:tcW w:type="dxa" w:w="1667"/>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Nov 2001 / 14 Jun 2002</w:t>
            </w:r>
          </w:p>
        </w:tc>
        <w:tc>
          <w:tcPr>
            <w:tcW w:type="dxa" w:w="5346"/>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Founding investor in JPR; JPR listed</w:t>
            </w:r>
          </w:p>
        </w:tc>
        <w:tc>
          <w:tcPr>
            <w:tcW w:type="dxa" w:w="2733"/>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REIT exit channel created</w:t>
            </w:r>
          </w:p>
        </w:tc>
      </w:tr>
      <w:tr>
        <w:trPr>
          <w:cantSplit/>
        </w:trPr>
        <w:tc>
          <w:tcPr>
            <w:tcW w:type="dxa" w:w="1667"/>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2012–2014</w:t>
            </w:r>
          </w:p>
        </w:tc>
        <w:tc>
          <w:tcPr>
            <w:tcW w:type="dxa" w:w="534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Nakano Central Park South (2012), Tokyo Square Garden (Mar 2013), Otemachi Tower (Apr 2014)</w:t>
            </w:r>
          </w:p>
        </w:tc>
        <w:tc>
          <w:tcPr>
            <w:tcW w:type="dxa" w:w="2733"/>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Core office portfolio built</w:t>
            </w:r>
          </w:p>
        </w:tc>
      </w:tr>
      <w:tr>
        <w:trPr>
          <w:cantSplit/>
        </w:trPr>
        <w:tc>
          <w:tcPr>
            <w:tcW w:type="dxa" w:w="1667"/>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2015</w:t>
            </w:r>
          </w:p>
        </w:tc>
        <w:tc>
          <w:tcPr>
            <w:tcW w:type="dxa" w:w="5346"/>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2015–19 plan; private REIT launched (¥16bn)</w:t>
            </w:r>
          </w:p>
        </w:tc>
        <w:tc>
          <w:tcPr>
            <w:tcW w:type="dxa" w:w="2733"/>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Asset-turnover platform</w:t>
            </w:r>
          </w:p>
        </w:tc>
      </w:tr>
      <w:tr>
        <w:trPr>
          <w:cantSplit/>
        </w:trPr>
        <w:tc>
          <w:tcPr>
            <w:tcW w:type="dxa" w:w="1667"/>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2016</w:t>
            </w:r>
          </w:p>
        </w:tc>
        <w:tc>
          <w:tcPr>
            <w:tcW w:type="dxa" w:w="534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Nomura becomes President; parking business reorganised (1 Dec)</w:t>
            </w:r>
          </w:p>
        </w:tc>
        <w:tc>
          <w:tcPr>
            <w:tcW w:type="dxa" w:w="2733"/>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Era of delivery against plans</w:t>
            </w:r>
          </w:p>
        </w:tc>
      </w:tr>
      <w:tr>
        <w:trPr>
          <w:cantSplit/>
        </w:trPr>
        <w:tc>
          <w:tcPr>
            <w:tcW w:type="dxa" w:w="1667"/>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Dec 2018</w:t>
            </w:r>
          </w:p>
        </w:tc>
        <w:tc>
          <w:tcPr>
            <w:tcW w:type="dxa" w:w="5346"/>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PT Farpoint joint venture (Indonesia)</w:t>
            </w:r>
          </w:p>
        </w:tc>
        <w:tc>
          <w:tcPr>
            <w:tcW w:type="dxa" w:w="2733"/>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Overseas push</w:t>
            </w:r>
          </w:p>
        </w:tc>
      </w:tr>
      <w:tr>
        <w:trPr>
          <w:cantSplit/>
        </w:trPr>
        <w:tc>
          <w:tcPr>
            <w:tcW w:type="dxa" w:w="1667"/>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2019</w:t>
            </w:r>
          </w:p>
        </w:tc>
        <w:tc>
          <w:tcPr>
            <w:tcW w:type="dxa" w:w="534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T-LOGI launched; FY2019 operating income ¥52.4bn beats the ¥50bn target</w:t>
            </w:r>
          </w:p>
        </w:tc>
        <w:tc>
          <w:tcPr>
            <w:tcW w:type="dxa" w:w="2733"/>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Plan delivered</w:t>
            </w:r>
          </w:p>
        </w:tc>
      </w:tr>
      <w:tr>
        <w:trPr>
          <w:cantSplit/>
        </w:trPr>
        <w:tc>
          <w:tcPr>
            <w:tcW w:type="dxa" w:w="1667"/>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2 Mar 2020</w:t>
            </w:r>
          </w:p>
        </w:tc>
        <w:tc>
          <w:tcPr>
            <w:tcW w:type="dxa" w:w="5346"/>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Vision 「次世代デベロッパーへ」 and 2020–24 plan (business profit ¥75bn; ≈¥1.4tn investment)</w:t>
            </w:r>
          </w:p>
        </w:tc>
        <w:tc>
          <w:tcPr>
            <w:tcW w:type="dxa" w:w="2733"/>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2030 target of ¥120bn</w:t>
            </w:r>
          </w:p>
        </w:tc>
      </w:tr>
      <w:tr>
        <w:trPr>
          <w:cantSplit/>
        </w:trPr>
        <w:tc>
          <w:tcPr>
            <w:tcW w:type="dxa" w:w="1667"/>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2020</w:t>
            </w:r>
          </w:p>
        </w:tc>
        <w:tc>
          <w:tcPr>
            <w:tcW w:type="dxa" w:w="534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Yaesu 1-chome East rights conversion approved</w:t>
            </w:r>
          </w:p>
        </w:tc>
        <w:tc>
          <w:tcPr>
            <w:tcW w:type="dxa" w:w="2733"/>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TOFROM YAESU locked in</w:t>
            </w:r>
          </w:p>
        </w:tc>
      </w:tr>
      <w:tr>
        <w:trPr>
          <w:cantSplit/>
        </w:trPr>
        <w:tc>
          <w:tcPr>
            <w:tcW w:type="dxa" w:w="1667"/>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26 Apr 2023</w:t>
            </w:r>
          </w:p>
        </w:tc>
        <w:tc>
          <w:tcPr>
            <w:tcW w:type="dxa" w:w="5346"/>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Becomes JPR's sole sponsor</w:t>
            </w:r>
          </w:p>
        </w:tc>
        <w:tc>
          <w:tcPr>
            <w:tcW w:type="dxa" w:w="2733"/>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Exit channel consolidated</w:t>
            </w:r>
          </w:p>
        </w:tc>
      </w:tr>
      <w:tr>
        <w:trPr>
          <w:cantSplit/>
        </w:trPr>
        <w:tc>
          <w:tcPr>
            <w:tcW w:type="dxa" w:w="1667"/>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Apr 2024</w:t>
            </w:r>
          </w:p>
        </w:tc>
        <w:tc>
          <w:tcPr>
            <w:tcW w:type="dxa" w:w="534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Kyobashi 3-chome East redevelopment association formed</w:t>
            </w:r>
          </w:p>
        </w:tc>
        <w:tc>
          <w:tcPr>
            <w:tcW w:type="dxa" w:w="2733"/>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Next flagship (FY2029)</w:t>
            </w:r>
          </w:p>
        </w:tc>
      </w:tr>
      <w:tr>
        <w:trPr>
          <w:cantSplit/>
        </w:trPr>
        <w:tc>
          <w:tcPr>
            <w:tcW w:type="dxa" w:w="1667"/>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Jun 2024</w:t>
            </w:r>
          </w:p>
        </w:tc>
        <w:tc>
          <w:tcPr>
            <w:tcW w:type="dxa" w:w="5346"/>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Tokyo Tatemono (Thailand) established</w:t>
            </w:r>
          </w:p>
        </w:tc>
        <w:tc>
          <w:tcPr>
            <w:tcW w:type="dxa" w:w="2733"/>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Thai joint ventures</w:t>
            </w:r>
          </w:p>
        </w:tc>
      </w:tr>
      <w:tr>
        <w:trPr>
          <w:cantSplit/>
        </w:trPr>
        <w:tc>
          <w:tcPr>
            <w:tcW w:type="dxa" w:w="1667"/>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7 Nov 2024</w:t>
            </w:r>
          </w:p>
        </w:tc>
        <w:tc>
          <w:tcPr>
            <w:tcW w:type="dxa" w:w="534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CEO succession announced (Ozawa from 1 Jan 2025)</w:t>
            </w:r>
          </w:p>
        </w:tc>
        <w:tc>
          <w:tcPr>
            <w:tcW w:type="dxa" w:w="2733"/>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Continuity</w:t>
            </w:r>
          </w:p>
        </w:tc>
      </w:tr>
      <w:tr>
        <w:trPr>
          <w:cantSplit/>
        </w:trPr>
        <w:tc>
          <w:tcPr>
            <w:tcW w:type="dxa" w:w="1667"/>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Dec 2024</w:t>
            </w:r>
          </w:p>
        </w:tc>
        <w:tc>
          <w:tcPr>
            <w:tcW w:type="dxa" w:w="5346"/>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Hulic stake reduced; two material-event reports; large Q4 gains</w:t>
            </w:r>
          </w:p>
        </w:tc>
        <w:tc>
          <w:tcPr>
            <w:tcW w:type="dxa" w:w="2733"/>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FY2024 net income record (¥65.9bn)</w:t>
            </w:r>
          </w:p>
        </w:tc>
      </w:tr>
      <w:tr>
        <w:trPr>
          <w:cantSplit/>
        </w:trPr>
        <w:tc>
          <w:tcPr>
            <w:tcW w:type="dxa" w:w="1667"/>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16 Jan 2025</w:t>
            </w:r>
          </w:p>
        </w:tc>
        <w:tc>
          <w:tcPr>
            <w:tcW w:type="dxa" w:w="534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2025–27 plan (40% payout, ROE 10%, business profit ¥95bn); shares fall ("underwhelming")</w:t>
            </w:r>
          </w:p>
        </w:tc>
        <w:tc>
          <w:tcPr>
            <w:tcW w:type="dxa" w:w="2733"/>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Capital-policy reset</w:t>
            </w:r>
          </w:p>
        </w:tc>
      </w:tr>
      <w:tr>
        <w:trPr>
          <w:cantSplit/>
        </w:trPr>
        <w:tc>
          <w:tcPr>
            <w:tcW w:type="dxa" w:w="1667"/>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13 Feb – 31 Aug 2025</w:t>
            </w:r>
          </w:p>
        </w:tc>
        <w:tc>
          <w:tcPr>
            <w:tcW w:type="dxa" w:w="5346"/>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¥3.0bn buyback (1,189,100 shares)</w:t>
            </w:r>
          </w:p>
        </w:tc>
        <w:tc>
          <w:tcPr>
            <w:tcW w:type="dxa" w:w="2733"/>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Shares cancelled in Nov 2025</w:t>
            </w:r>
          </w:p>
        </w:tc>
      </w:tr>
      <w:tr>
        <w:trPr>
          <w:cantSplit/>
        </w:trPr>
        <w:tc>
          <w:tcPr>
            <w:tcW w:type="dxa" w:w="1667"/>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26 Mar 2025</w:t>
            </w:r>
          </w:p>
        </w:tc>
        <w:tc>
          <w:tcPr>
            <w:tcW w:type="dxa" w:w="534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AGM: one-year director terms</w:t>
            </w:r>
          </w:p>
        </w:tc>
        <w:tc>
          <w:tcPr>
            <w:tcW w:type="dxa" w:w="2733"/>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Governance step</w:t>
            </w:r>
          </w:p>
        </w:tc>
      </w:tr>
      <w:tr>
        <w:trPr>
          <w:cantSplit/>
        </w:trPr>
        <w:tc>
          <w:tcPr>
            <w:tcW w:type="dxa" w:w="1667"/>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30 May 2025</w:t>
            </w:r>
          </w:p>
        </w:tc>
        <w:tc>
          <w:tcPr>
            <w:tcW w:type="dxa" w:w="5346"/>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JCR rates hybrid bonds BBB+ (issuer A, upgraded from A−)</w:t>
            </w:r>
          </w:p>
        </w:tc>
        <w:tc>
          <w:tcPr>
            <w:tcW w:type="dxa" w:w="2733"/>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Hybrid capital</w:t>
            </w:r>
          </w:p>
        </w:tc>
      </w:tr>
      <w:tr>
        <w:trPr>
          <w:cantSplit/>
        </w:trPr>
        <w:tc>
          <w:tcPr>
            <w:tcW w:type="dxa" w:w="1667"/>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13 Nov 2025</w:t>
            </w:r>
          </w:p>
        </w:tc>
        <w:tc>
          <w:tcPr>
            <w:tcW w:type="dxa" w:w="534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Q3 upgrade; shares +10.4% the next day</w:t>
            </w:r>
          </w:p>
        </w:tc>
        <w:tc>
          <w:tcPr>
            <w:tcW w:type="dxa" w:w="2733"/>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Largest single-day move</w:t>
            </w:r>
          </w:p>
        </w:tc>
      </w:tr>
      <w:tr>
        <w:trPr>
          <w:cantSplit/>
        </w:trPr>
        <w:tc>
          <w:tcPr>
            <w:tcW w:type="dxa" w:w="1667"/>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Dec 2025</w:t>
            </w:r>
          </w:p>
        </w:tc>
        <w:tc>
          <w:tcPr>
            <w:tcW w:type="dxa" w:w="5346"/>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BOJ to 0.75%; London 125 Shaftesbury Avenue; Zeus OSA1 under way; Melbourne build-to-rent announced</w:t>
            </w:r>
          </w:p>
        </w:tc>
        <w:tc>
          <w:tcPr>
            <w:tcW w:type="dxa" w:w="2733"/>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Rate cycle turns; diversification</w:t>
            </w:r>
          </w:p>
        </w:tc>
      </w:tr>
      <w:tr>
        <w:trPr>
          <w:cantSplit/>
        </w:trPr>
        <w:tc>
          <w:tcPr>
            <w:tcW w:type="dxa" w:w="1667"/>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12 Feb 2026</w:t>
            </w:r>
          </w:p>
        </w:tc>
        <w:tc>
          <w:tcPr>
            <w:tcW w:type="dxa" w:w="534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FY2025 record operating income; FY2026 guidance above consensus; dividend ¥122 guided</w:t>
            </w:r>
          </w:p>
        </w:tc>
        <w:tc>
          <w:tcPr>
            <w:tcW w:type="dxa" w:w="2733"/>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+20.5% in February</w:t>
            </w:r>
          </w:p>
        </w:tc>
      </w:tr>
      <w:tr>
        <w:trPr>
          <w:cantSplit/>
        </w:trPr>
        <w:tc>
          <w:tcPr>
            <w:tcW w:type="dxa" w:w="1667"/>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27–28 Feb 2026</w:t>
            </w:r>
          </w:p>
        </w:tc>
        <w:tc>
          <w:tcPr>
            <w:tcW w:type="dxa" w:w="5346"/>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All-time high ¥4,374; TOFROM YAESU TOWER completed</w:t>
            </w:r>
          </w:p>
        </w:tc>
        <w:tc>
          <w:tcPr>
            <w:tcW w:type="dxa" w:w="2733"/>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Peak</w:t>
            </w:r>
          </w:p>
        </w:tc>
      </w:tr>
      <w:tr>
        <w:trPr>
          <w:cantSplit/>
        </w:trPr>
        <w:tc>
          <w:tcPr>
            <w:tcW w:type="dxa" w:w="1667"/>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Mar 2026</w:t>
            </w:r>
          </w:p>
        </w:tc>
        <w:tc>
          <w:tcPr>
            <w:tcW w:type="dxa" w:w="534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JGB spike; shares −21% from peak; AGM (26 Mar) re-elects all 12 directors</w:t>
            </w:r>
          </w:p>
        </w:tc>
        <w:tc>
          <w:tcPr>
            <w:tcW w:type="dxa" w:w="2733"/>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Sector de-rating</w:t>
            </w:r>
          </w:p>
        </w:tc>
      </w:tr>
      <w:tr>
        <w:trPr>
          <w:cantSplit/>
        </w:trPr>
        <w:tc>
          <w:tcPr>
            <w:tcW w:type="dxa" w:w="1667"/>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13 May 2026</w:t>
            </w:r>
          </w:p>
        </w:tc>
        <w:tc>
          <w:tcPr>
            <w:tcW w:type="dxa" w:w="5346"/>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Q1: net income −60%; Star Mica alliance announced (13.74% filed 2 Jun)</w:t>
            </w:r>
          </w:p>
        </w:tc>
        <w:tc>
          <w:tcPr>
            <w:tcW w:type="dxa" w:w="2733"/>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2026 low of ¥3,083 on 28 May</w:t>
            </w:r>
          </w:p>
        </w:tc>
      </w:tr>
      <w:tr>
        <w:trPr>
          <w:cantSplit/>
        </w:trPr>
        <w:tc>
          <w:tcPr>
            <w:tcW w:type="dxa" w:w="1667"/>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Jun 2026</w:t>
            </w:r>
          </w:p>
        </w:tc>
        <w:tc>
          <w:tcPr>
            <w:tcW w:type="dxa" w:w="534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BOJ to 1.00%; T-LOGI Sendai completed</w:t>
            </w:r>
          </w:p>
        </w:tc>
        <w:tc>
          <w:tcPr>
            <w:tcW w:type="dxa" w:w="2733"/>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w:t>
            </w:r>
          </w:p>
        </w:tc>
      </w:tr>
      <w:tr>
        <w:trPr>
          <w:cantSplit/>
        </w:trPr>
        <w:tc>
          <w:tcPr>
            <w:tcW w:type="dxa" w:w="1667"/>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6–10 Aug 2026</w:t>
            </w:r>
          </w:p>
        </w:tc>
        <w:tc>
          <w:tcPr>
            <w:tcW w:type="dxa" w:w="5346"/>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1H: guidance raised (operating income ¥105.5bn, net income ¥65.0bn, dividend ¥126); plan targets one year early</w:t>
            </w:r>
          </w:p>
        </w:tc>
        <w:tc>
          <w:tcPr>
            <w:tcW w:type="dxa" w:w="2733"/>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Most positive tone of the period</w:t>
            </w:r>
          </w:p>
        </w:tc>
      </w:tr>
      <w:tr>
        <w:trPr>
          <w:cantSplit/>
        </w:trPr>
        <w:tc>
          <w:tcPr>
            <w:tcW w:type="dxa" w:w="1667"/>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17 Aug 2026</w:t>
            </w:r>
          </w:p>
        </w:tc>
        <w:tc>
          <w:tcPr>
            <w:tcW w:type="dxa" w:w="534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New shelf registration</w:t>
            </w:r>
          </w:p>
        </w:tc>
        <w:tc>
          <w:tcPr>
            <w:tcW w:type="dxa" w:w="2733"/>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Funding capacity</w:t>
            </w:r>
          </w:p>
        </w:tc>
      </w:tr>
      <w:tr>
        <w:trPr>
          <w:cantSplit/>
        </w:trPr>
        <w:tc>
          <w:tcPr>
            <w:tcW w:type="dxa" w:w="1667"/>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10 Sep 2026</w:t>
            </w:r>
          </w:p>
        </w:tc>
        <w:tc>
          <w:tcPr>
            <w:tcW w:type="dxa" w:w="5346"/>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TOFROM YAESU retail opens (55 stores)</w:t>
            </w:r>
          </w:p>
        </w:tc>
        <w:tc>
          <w:tcPr>
            <w:tcW w:type="dxa" w:w="2733"/>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Lease-up</w:t>
            </w:r>
          </w:p>
        </w:tc>
      </w:tr>
      <w:tr>
        <w:trPr>
          <w:cantSplit/>
        </w:trPr>
        <w:tc>
          <w:tcPr>
            <w:tcW w:type="dxa" w:w="1667"/>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18 Sep 2026</w:t>
            </w:r>
          </w:p>
        </w:tc>
        <w:tc>
          <w:tcPr>
            <w:tcW w:type="dxa" w:w="534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BOJ to 1.25% (highest since 1995)</w:t>
            </w:r>
          </w:p>
        </w:tc>
        <w:tc>
          <w:tcPr>
            <w:tcW w:type="dxa" w:w="2733"/>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Shares break their rising-low support</w:t>
            </w:r>
          </w:p>
        </w:tc>
      </w:tr>
      <w:tr>
        <w:trPr>
          <w:cantSplit/>
        </w:trPr>
        <w:tc>
          <w:tcPr>
            <w:tcW w:type="dxa" w:w="1667"/>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25 Sep 2026</w:t>
            </w:r>
          </w:p>
        </w:tc>
        <w:tc>
          <w:tcPr>
            <w:tcW w:type="dxa" w:w="5346"/>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Thai rental-factory joint venture (SCX Logistics Laemchabang 2)</w:t>
            </w:r>
          </w:p>
        </w:tc>
        <w:tc>
          <w:tcPr>
            <w:tcW w:type="dxa" w:w="2733"/>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Overseas income assets</w:t>
            </w:r>
          </w:p>
        </w:tc>
      </w:tr>
    </w:tbl>
    <w:p>
      <w:pPr>
        <w:spacing w:after="120" w:before="0" w:line="276" w:lineRule="auto"/>
      </w:pPr>
    </w:p>
    <w:p>
      <w:pPr>
        <w:pStyle w:val="Heading2"/>
        <w:keepNext/>
        <w:keepLines/>
        <w:spacing w:after="90" w:before="260" w:line="252" w:lineRule="auto"/>
      </w:pPr>
      <w:r>
        <w:rPr>
          <w:rFonts w:ascii="Arial" w:cs="Arial" w:eastAsia="Yu Gothic" w:hAnsi="Arial"/>
          <w:b/>
          <w:bCs/>
          <w:color w:val="15233F"/>
          <w:sz w:val="25"/>
          <w:szCs w:val="25"/>
        </w:rPr>
        <w:t xml:space="preserve">Upcoming catalysts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56"/>
        <w:gridCol w:w="3148"/>
        <w:gridCol w:w="2852"/>
        <w:gridCol w:w="1990"/>
      </w:tblGrid>
      <w:tr>
        <w:trPr>
          <w:cantSplit/>
          <w:tblHeader/>
        </w:trPr>
        <w:tc>
          <w:tcPr>
            <w:tcW w:type="dxa" w:w="1756"/>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bCs/>
                <w:color w:val="FFFFFF"/>
                <w:sz w:val="16"/>
                <w:szCs w:val="16"/>
              </w:rPr>
              <w:t xml:space="preserve">Expected date</w:t>
            </w:r>
          </w:p>
        </w:tc>
        <w:tc>
          <w:tcPr>
            <w:tcW w:type="dxa" w:w="3148"/>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6"/>
                <w:szCs w:val="16"/>
              </w:rPr>
              <w:t xml:space="preserve">Event</w:t>
            </w:r>
          </w:p>
        </w:tc>
        <w:tc>
          <w:tcPr>
            <w:tcW w:type="dxa" w:w="2852"/>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6"/>
                <w:szCs w:val="16"/>
              </w:rPr>
              <w:t xml:space="preserve">What to watch</w:t>
            </w:r>
          </w:p>
        </w:tc>
        <w:tc>
          <w:tcPr>
            <w:tcW w:type="dxa" w:w="1990"/>
            <w:tcBorders>
              <w:top w:val="single" w:color="D0D5DD" w:sz="4"/>
              <w:left w:val="single" w:color="D0D5DD" w:sz="4"/>
              <w:bottom w:val="single" w:color="D0D5DD" w:sz="4"/>
              <w:right w:val="single" w:color="D0D5DD" w:sz="4"/>
            </w:tcBorders>
            <w:shd w:fill="15233F" w:color="auto" w:val="clear"/>
            <w:tcMar>
              <w:top w:type="dxa" w:w="50"/>
              <w:left w:type="dxa" w:w="80"/>
              <w:bottom w:type="dxa" w:w="50"/>
              <w:right w:type="dxa" w:w="80"/>
            </w:tcMar>
            <w:vAlign w:val="center"/>
          </w:tcPr>
          <w:p>
            <w:pPr>
              <w:spacing w:after="0" w:line="240" w:lineRule="auto"/>
              <w:jc w:val="center"/>
            </w:pPr>
            <w:r>
              <w:rPr>
                <w:rFonts w:ascii="Arial" w:cs="Arial" w:eastAsia="Yu Gothic" w:hAnsi="Arial"/>
                <w:b/>
                <w:bCs/>
                <w:color w:val="FFFFFF"/>
                <w:sz w:val="16"/>
                <w:szCs w:val="16"/>
              </w:rPr>
              <w:t xml:space="preserve">Likely impact</w:t>
            </w:r>
          </w:p>
        </w:tc>
      </w:tr>
      <w:tr>
        <w:trPr>
          <w:cantSplit/>
        </w:trPr>
        <w:tc>
          <w:tcPr>
            <w:tcW w:type="dxa" w:w="175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Early Oct and early Nov 2026</w:t>
            </w:r>
          </w:p>
        </w:tc>
        <w:tc>
          <w:tcPr>
            <w:tcW w:type="dxa" w:w="3148"/>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Miki Shoji Tokyo office data (Sep and Oct)</w:t>
            </w:r>
          </w:p>
        </w:tc>
        <w:tc>
          <w:tcPr>
            <w:tcW w:type="dxa" w:w="2852"/>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Whether vacancy stays below 2% and rent growth stays above 10%</w:t>
            </w:r>
          </w:p>
        </w:tc>
        <w:tc>
          <w:tcPr>
            <w:tcW w:type="dxa" w:w="1990"/>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Rent-reversion narrative</w:t>
            </w:r>
          </w:p>
        </w:tc>
      </w:tr>
      <w:tr>
        <w:trPr>
          <w:cantSplit/>
        </w:trPr>
        <w:tc>
          <w:tcPr>
            <w:tcW w:type="dxa" w:w="1756"/>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Late Oct and Dec 2026 (dates to confirm)</w:t>
            </w:r>
          </w:p>
        </w:tc>
        <w:tc>
          <w:tcPr>
            <w:tcW w:type="dxa" w:w="3148"/>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BOJ policy meetings</w:t>
            </w:r>
          </w:p>
        </w:tc>
        <w:tc>
          <w:tcPr>
            <w:tcW w:type="dxa" w:w="2852"/>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Pace beyond 1.25%; 10-year JGB above or below 3%</w:t>
            </w:r>
          </w:p>
        </w:tc>
        <w:tc>
          <w:tcPr>
            <w:tcW w:type="dxa" w:w="1990"/>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Main macro swing factor</w:t>
            </w:r>
          </w:p>
        </w:tc>
      </w:tr>
      <w:tr>
        <w:trPr>
          <w:cantSplit/>
        </w:trPr>
        <w:tc>
          <w:tcPr>
            <w:tcW w:type="dxa" w:w="175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By 30 Oct 2026</w:t>
            </w:r>
          </w:p>
        </w:tc>
        <w:tc>
          <w:tcPr>
            <w:tcW w:type="dxa" w:w="3148"/>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Leopalace21 tender offer closes (shares trading above the offer); Sankei REIT contest continues</w:t>
            </w:r>
          </w:p>
        </w:tc>
        <w:tc>
          <w:tcPr>
            <w:tcW w:type="dxa" w:w="2852"/>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Sector M&amp;A premiums</w:t>
            </w:r>
          </w:p>
        </w:tc>
        <w:tc>
          <w:tcPr>
            <w:tcW w:type="dxa" w:w="1990"/>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Read-across for NAV support</w:t>
            </w:r>
          </w:p>
        </w:tc>
      </w:tr>
      <w:tr>
        <w:trPr>
          <w:cantSplit/>
        </w:trPr>
        <w:tc>
          <w:tcPr>
            <w:tcW w:type="dxa" w:w="1756"/>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≈Mid-Nov 2026 (13 Nov 2025 precedent)</w:t>
            </w:r>
          </w:p>
        </w:tc>
        <w:tc>
          <w:tcPr>
            <w:tcW w:type="dxa" w:w="3148"/>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bCs/>
                <w:color w:val="1F2533"/>
                <w:sz w:val="16"/>
                <w:szCs w:val="16"/>
              </w:rPr>
              <w:t xml:space="preserve">Q3 FY2026 results</w:t>
            </w:r>
          </w:p>
        </w:tc>
        <w:tc>
          <w:tcPr>
            <w:tcW w:type="dxa" w:w="2852"/>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9M progress vs 52.8% last year; sale closings; condo handovers; debt</w:t>
            </w:r>
          </w:p>
        </w:tc>
        <w:tc>
          <w:tcPr>
            <w:tcW w:type="dxa" w:w="1990"/>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bCs/>
                <w:color w:val="1F2533"/>
                <w:sz w:val="16"/>
                <w:szCs w:val="16"/>
              </w:rPr>
              <w:t xml:space="preserve">Key test of the second-half thesis</w:t>
            </w:r>
          </w:p>
        </w:tc>
      </w:tr>
      <w:tr>
        <w:trPr>
          <w:cantSplit/>
        </w:trPr>
        <w:tc>
          <w:tcPr>
            <w:tcW w:type="dxa" w:w="175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Winter 2026</w:t>
            </w:r>
          </w:p>
        </w:tc>
        <w:tc>
          <w:tcPr>
            <w:tcW w:type="dxa" w:w="3148"/>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Remaining 13 TOFROM YAESU stores open</w:t>
            </w:r>
          </w:p>
        </w:tc>
        <w:tc>
          <w:tcPr>
            <w:tcW w:type="dxa" w:w="2852"/>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Footfall and turnover rents</w:t>
            </w:r>
          </w:p>
        </w:tc>
        <w:tc>
          <w:tcPr>
            <w:tcW w:type="dxa" w:w="1990"/>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Minor</w:t>
            </w:r>
          </w:p>
        </w:tc>
      </w:tr>
      <w:tr>
        <w:trPr>
          <w:cantSplit/>
        </w:trPr>
        <w:tc>
          <w:tcPr>
            <w:tcW w:type="dxa" w:w="1756"/>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Late Dec 2026</w:t>
            </w:r>
          </w:p>
        </w:tc>
        <w:tc>
          <w:tcPr>
            <w:tcW w:type="dxa" w:w="3148"/>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FY2026 year-end dividend record date (¥65)</w:t>
            </w:r>
          </w:p>
        </w:tc>
        <w:tc>
          <w:tcPr>
            <w:tcW w:type="dxa" w:w="2852"/>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w:t>
            </w:r>
          </w:p>
        </w:tc>
        <w:tc>
          <w:tcPr>
            <w:tcW w:type="dxa" w:w="1990"/>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Yield support</w:t>
            </w:r>
          </w:p>
        </w:tc>
      </w:tr>
      <w:tr>
        <w:trPr>
          <w:cantSplit/>
        </w:trPr>
        <w:tc>
          <w:tcPr>
            <w:tcW w:type="dxa" w:w="175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Jan 2027</w:t>
            </w:r>
          </w:p>
        </w:tc>
        <w:tc>
          <w:tcPr>
            <w:tcW w:type="dxa" w:w="3148"/>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899 Collins Street (Melbourne) completion</w:t>
            </w:r>
          </w:p>
        </w:tc>
        <w:tc>
          <w:tcPr>
            <w:tcW w:type="dxa" w:w="2852"/>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Lease-up</w:t>
            </w:r>
          </w:p>
        </w:tc>
        <w:tc>
          <w:tcPr>
            <w:tcW w:type="dxa" w:w="1990"/>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Minor</w:t>
            </w:r>
          </w:p>
        </w:tc>
      </w:tr>
      <w:tr>
        <w:trPr>
          <w:cantSplit/>
        </w:trPr>
        <w:tc>
          <w:tcPr>
            <w:tcW w:type="dxa" w:w="1756"/>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≈Mid-Feb 2027 (12 Feb 2026 precedent)</w:t>
            </w:r>
          </w:p>
        </w:tc>
        <w:tc>
          <w:tcPr>
            <w:tcW w:type="dxa" w:w="3148"/>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bCs/>
                <w:color w:val="1F2533"/>
                <w:sz w:val="16"/>
                <w:szCs w:val="16"/>
              </w:rPr>
              <w:t xml:space="preserve">FY2026 results; FY2027 guidance; possible new capital policy or plan update</w:t>
            </w:r>
          </w:p>
        </w:tc>
        <w:tc>
          <w:tcPr>
            <w:tcW w:type="dxa" w:w="2852"/>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Year-end debt and equity ratio; FY2027 operating income vs our ¥113bn; buyback; ROE target above 10%</w:t>
            </w:r>
          </w:p>
        </w:tc>
        <w:tc>
          <w:tcPr>
            <w:tcW w:type="dxa" w:w="1990"/>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bCs/>
                <w:color w:val="1F2533"/>
                <w:sz w:val="16"/>
                <w:szCs w:val="16"/>
              </w:rPr>
              <w:t xml:space="preserve">Largest re-rating catalyst</w:t>
            </w:r>
          </w:p>
        </w:tc>
      </w:tr>
      <w:tr>
        <w:trPr>
          <w:cantSplit/>
        </w:trPr>
        <w:tc>
          <w:tcPr>
            <w:tcW w:type="dxa" w:w="175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Late Mar 2027 (26 Mar 2026 precedent)</w:t>
            </w:r>
          </w:p>
        </w:tc>
        <w:tc>
          <w:tcPr>
            <w:tcW w:type="dxa" w:w="3148"/>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209th AGM</w:t>
            </w:r>
          </w:p>
        </w:tc>
        <w:tc>
          <w:tcPr>
            <w:tcW w:type="dxa" w:w="2852"/>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Support for the CEO and chairman; any shareholder proposals</w:t>
            </w:r>
          </w:p>
        </w:tc>
        <w:tc>
          <w:tcPr>
            <w:tcW w:type="dxa" w:w="1990"/>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Governance and activism signal</w:t>
            </w:r>
          </w:p>
        </w:tc>
      </w:tr>
      <w:tr>
        <w:trPr>
          <w:cantSplit/>
        </w:trPr>
        <w:tc>
          <w:tcPr>
            <w:tcW w:type="dxa" w:w="1756"/>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FY2027</w:t>
            </w:r>
          </w:p>
        </w:tc>
        <w:tc>
          <w:tcPr>
            <w:tcW w:type="dxa" w:w="3148"/>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Final year of the 2025–27 plan; next plan expected by about Jan–Feb 2028 (16 Jan 2025 precedent), possibly earlier</w:t>
            </w:r>
          </w:p>
        </w:tc>
        <w:tc>
          <w:tcPr>
            <w:tcW w:type="dxa" w:w="2852"/>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Targets for the 2030 vision (business profit ≈¥120bn)</w:t>
            </w:r>
          </w:p>
        </w:tc>
        <w:tc>
          <w:tcPr>
            <w:tcW w:type="dxa" w:w="1990"/>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Strategic</w:t>
            </w:r>
          </w:p>
        </w:tc>
      </w:tr>
      <w:tr>
        <w:trPr>
          <w:cantSplit/>
        </w:trPr>
        <w:tc>
          <w:tcPr>
            <w:tcW w:type="dxa" w:w="175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2028</w:t>
            </w:r>
          </w:p>
        </w:tc>
        <w:tc>
          <w:tcPr>
            <w:tcW w:type="dxa" w:w="3148"/>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Zeus OSA1 phase 1 (25MW) starts; new lease accounting (to be verified)</w:t>
            </w:r>
          </w:p>
        </w:tc>
        <w:tc>
          <w:tcPr>
            <w:tcW w:type="dxa" w:w="2852"/>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Data-centre lease-up</w:t>
            </w:r>
          </w:p>
        </w:tc>
        <w:tc>
          <w:tcPr>
            <w:tcW w:type="dxa" w:w="1990"/>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Minor</w:t>
            </w:r>
          </w:p>
        </w:tc>
      </w:tr>
      <w:tr>
        <w:trPr>
          <w:cantSplit/>
        </w:trPr>
        <w:tc>
          <w:tcPr>
            <w:tcW w:type="dxa" w:w="1756"/>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Jan 2029</w:t>
            </w:r>
          </w:p>
        </w:tc>
        <w:tc>
          <w:tcPr>
            <w:tcW w:type="dxa" w:w="3148"/>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Yaesu 2-chome Central completion (competing supply)</w:t>
            </w:r>
          </w:p>
        </w:tc>
        <w:tc>
          <w:tcPr>
            <w:tcW w:type="dxa" w:w="2852"/>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Pressure on Yaesu rents</w:t>
            </w:r>
          </w:p>
        </w:tc>
        <w:tc>
          <w:tcPr>
            <w:tcW w:type="dxa" w:w="1990"/>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Negative for TOFROM YAESU</w:t>
            </w:r>
          </w:p>
        </w:tc>
      </w:tr>
      <w:tr>
        <w:trPr>
          <w:cantSplit/>
        </w:trPr>
        <w:tc>
          <w:tcPr>
            <w:tcW w:type="dxa" w:w="1756"/>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FY2029</w:t>
            </w:r>
          </w:p>
        </w:tc>
        <w:tc>
          <w:tcPr>
            <w:tcW w:type="dxa" w:w="3148"/>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Kyobashi 3-chome East completion</w:t>
            </w:r>
          </w:p>
        </w:tc>
        <w:tc>
          <w:tcPr>
            <w:tcW w:type="dxa" w:w="2852"/>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New rent roll or sale candidate</w:t>
            </w:r>
          </w:p>
        </w:tc>
        <w:tc>
          <w:tcPr>
            <w:tcW w:type="dxa" w:w="1990"/>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Positive</w:t>
            </w:r>
          </w:p>
        </w:tc>
      </w:tr>
      <w:tr>
        <w:trPr>
          <w:cantSplit/>
        </w:trPr>
        <w:tc>
          <w:tcPr>
            <w:tcW w:type="dxa" w:w="1756"/>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b w:val="false"/>
                <w:bCs w:val="false"/>
                <w:color w:val="1F2533"/>
                <w:sz w:val="16"/>
                <w:szCs w:val="16"/>
              </w:rPr>
              <w:t xml:space="preserve">≈2030</w:t>
            </w:r>
          </w:p>
        </w:tc>
        <w:tc>
          <w:tcPr>
            <w:tcW w:type="dxa" w:w="3148"/>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Long-term vision: business profit ≈¥120bn</w:t>
            </w:r>
          </w:p>
        </w:tc>
        <w:tc>
          <w:tcPr>
            <w:tcW w:type="dxa" w:w="2852"/>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w:t>
            </w:r>
          </w:p>
        </w:tc>
        <w:tc>
          <w:tcPr>
            <w:tcW w:type="dxa" w:w="1990"/>
            <w:tcBorders>
              <w:top w:val="single" w:color="D0D5DD" w:sz="4"/>
              <w:left w:val="single" w:color="D0D5DD" w:sz="4"/>
              <w:bottom w:val="single" w:color="D0D5DD" w:sz="4"/>
              <w:right w:val="single" w:color="D0D5DD" w:sz="4"/>
            </w:tcBorders>
            <w:shd w:fill="F2F4F7" w:color="auto" w:val="clear"/>
            <w:tcMar>
              <w:top w:type="dxa" w:w="50"/>
              <w:left w:type="dxa" w:w="80"/>
              <w:bottom w:type="dxa" w:w="50"/>
              <w:right w:type="dxa" w:w="80"/>
            </w:tcMar>
            <w:vAlign w:val="center"/>
          </w:tcPr>
          <w:p>
            <w:pPr>
              <w:spacing w:after="0" w:line="240" w:lineRule="auto"/>
              <w:jc w:val="left"/>
            </w:pPr>
            <w:r>
              <w:rPr>
                <w:rFonts w:ascii="Arial" w:cs="Arial" w:eastAsia="Yu Gothic" w:hAnsi="Arial"/>
                <w:color w:val="1F2533"/>
                <w:sz w:val="16"/>
                <w:szCs w:val="16"/>
              </w:rPr>
              <w:t xml:space="preserve">—</w:t>
            </w:r>
          </w:p>
        </w:tc>
      </w:tr>
    </w:tbl>
    <w:p>
      <w:pPr>
        <w:spacing w:after="120" w:before="0" w:line="276" w:lineRule="auto"/>
      </w:pPr>
    </w:p>
    <w:p>
      <w:pPr>
        <w:pBdr>
          <w:left w:val="single" w:color="2F6FD0" w:sz="24" w:space="8"/>
        </w:pBdr>
        <w:shd w:fill="EEF3FA" w:color="auto" w:val="clear"/>
        <w:spacing w:after="160" w:before="60" w:line="264" w:lineRule="auto"/>
        <w:ind w:left="200" w:right="200"/>
      </w:pPr>
      <w:r>
        <w:rPr>
          <w:rFonts w:ascii="Arial" w:cs="Arial" w:eastAsia="Yu Gothic" w:hAnsi="Arial"/>
          <w:b/>
          <w:bCs/>
          <w:color w:val="15233F"/>
          <w:sz w:val="18"/>
          <w:szCs w:val="18"/>
        </w:rPr>
        <w:t xml:space="preserve">Key takeaway:</w:t>
      </w:r>
      <w:r>
        <w:rPr>
          <w:rFonts w:ascii="Arial" w:cs="Arial" w:eastAsia="Yu Gothic" w:hAnsi="Arial"/>
          <w:color w:val="15233F"/>
          <w:sz w:val="18"/>
          <w:szCs w:val="18"/>
        </w:rPr>
        <w:t xml:space="preserve"> The next five months contain the two decisive data points: Q3 in mid-November and the FY2026 results and capital policy in mid-February. Rates (BOJ, JGB) are the background variable that decides how much those results are worth.</w:t>
      </w:r>
    </w:p>
    <w:p>
      <w:pPr>
        <w:pStyle w:val="Heading1"/>
        <w:keepNext/>
        <w:keepLines/>
        <w:pageBreakBefore/>
        <w:pBdr>
          <w:bottom w:val="single" w:color="2F6FD0" w:sz="12" w:space="6"/>
        </w:pBdr>
        <w:spacing w:after="160" w:before="0" w:line="252" w:lineRule="auto"/>
      </w:pPr>
      <w:r>
        <w:rPr>
          <w:rFonts w:ascii="Arial" w:cs="Arial" w:eastAsia="Yu Gothic" w:hAnsi="Arial"/>
          <w:b/>
          <w:bCs/>
          <w:color w:val="15233F"/>
          <w:sz w:val="32"/>
          <w:szCs w:val="32"/>
        </w:rPr>
        <w:t xml:space="preserve">IC decision and conclusion</w:t>
      </w:r>
    </w:p>
    <w:p>
      <w:pPr>
        <w:spacing w:after="110" w:before="0" w:line="276" w:lineRule="auto"/>
      </w:pPr>
      <w:r>
        <w:rPr>
          <w:rFonts w:ascii="Arial" w:cs="Arial" w:eastAsia="Yu Gothic" w:hAnsi="Arial"/>
          <w:b/>
          <w:bCs/>
          <w:color w:val="1F2533"/>
          <w:sz w:val="19"/>
          <w:szCs w:val="19"/>
        </w:rPr>
        <w:t xml:space="preserve">IC decision: HOLD. 12-month target price ¥3,400, equal to the probability-weighted value. Reference price ¥3,211 (2 Oct 2026). Expected total return ≈+10%.</w:t>
      </w:r>
    </w:p>
    <w:p>
      <w:pPr>
        <w:spacing w:after="110" w:before="0" w:line="276" w:lineRule="auto"/>
      </w:pPr>
      <w:r>
        <w:rPr>
          <w:rFonts w:ascii="Arial" w:cs="Arial" w:eastAsia="Yu Gothic" w:hAnsi="Arial"/>
          <w:b/>
          <w:bCs/>
          <w:color w:val="1F2533"/>
          <w:sz w:val="19"/>
          <w:szCs w:val="19"/>
        </w:rPr>
        <w:t xml:space="preserve">Do not initiate at the current price.</w:t>
      </w:r>
      <w:r>
        <w:rPr>
          <w:rFonts w:ascii="Arial" w:cs="Arial" w:eastAsia="Yu Gothic" w:hAnsi="Arial"/>
          <w:color w:val="1F2533"/>
          <w:sz w:val="19"/>
          <w:szCs w:val="19"/>
        </w:rPr>
        <w:t xml:space="preserve"> Accumulate on either of two triggers:</w:t>
      </w:r>
    </w:p>
    <w:p>
      <w:pPr>
        <w:pStyle w:val="ListParagraph"/>
        <w:numPr>
          <w:ilvl w:val="0"/>
          <w:numId w:val="2"/>
        </w:numPr>
        <w:spacing w:after="60" w:line="264" w:lineRule="auto"/>
      </w:pPr>
      <w:r>
        <w:rPr>
          <w:rFonts w:ascii="Arial" w:cs="Arial" w:eastAsia="Yu Gothic" w:hAnsi="Arial"/>
          <w:b/>
          <w:bCs/>
          <w:color w:val="1F2533"/>
          <w:sz w:val="19"/>
          <w:szCs w:val="19"/>
        </w:rPr>
        <w:t xml:space="preserve">Price:</w:t>
      </w:r>
      <w:r>
        <w:rPr>
          <w:rFonts w:ascii="Arial" w:cs="Arial" w:eastAsia="Yu Gothic" w:hAnsi="Arial"/>
          <w:color w:val="1F2533"/>
          <w:sz w:val="19"/>
          <w:szCs w:val="19"/>
        </w:rPr>
        <w:t xml:space="preserve"> weakness below about ¥3,000. That is roughly 0.6x NAV, 9.3x FY2027E EPS and under the 2026 low.</w:t>
      </w:r>
    </w:p>
    <w:p>
      <w:pPr>
        <w:pStyle w:val="ListParagraph"/>
        <w:numPr>
          <w:ilvl w:val="0"/>
          <w:numId w:val="2"/>
        </w:numPr>
        <w:spacing w:after="60" w:line="264" w:lineRule="auto"/>
      </w:pPr>
      <w:r>
        <w:rPr>
          <w:rFonts w:ascii="Arial" w:cs="Arial" w:eastAsia="Yu Gothic" w:hAnsi="Arial"/>
          <w:b/>
          <w:bCs/>
          <w:color w:val="1F2533"/>
          <w:sz w:val="19"/>
          <w:szCs w:val="19"/>
        </w:rPr>
        <w:t xml:space="preserve">Evidence:</w:t>
      </w:r>
      <w:r>
        <w:rPr>
          <w:rFonts w:ascii="Arial" w:cs="Arial" w:eastAsia="Yu Gothic" w:hAnsi="Arial"/>
          <w:color w:val="1F2533"/>
          <w:sz w:val="19"/>
          <w:szCs w:val="19"/>
        </w:rPr>
        <w:t xml:space="preserve"> the Q3 release shows 9M operating-income progress ahead of FY2025's 52.8%, and the FY2026 results show interest-bearing debt back near ¥1.40tn with a funded buyback in the new capital policy.</w:t>
      </w:r>
    </w:p>
    <w:p>
      <w:pPr>
        <w:spacing w:after="40" w:before="0" w:line="276" w:lineRule="auto"/>
      </w:pPr>
    </w:p>
    <w:p>
      <w:pPr>
        <w:spacing w:after="110" w:before="0" w:line="276" w:lineRule="auto"/>
      </w:pPr>
      <w:r>
        <w:rPr>
          <w:rFonts w:ascii="Arial" w:cs="Arial" w:eastAsia="Yu Gothic" w:hAnsi="Arial"/>
          <w:b/>
          <w:bCs/>
          <w:color w:val="1F2533"/>
          <w:sz w:val="19"/>
          <w:szCs w:val="19"/>
        </w:rPr>
        <w:t xml:space="preserve">Downgrade to Sell</w:t>
      </w:r>
      <w:r>
        <w:rPr>
          <w:rFonts w:ascii="Arial" w:cs="Arial" w:eastAsia="Yu Gothic" w:hAnsi="Arial"/>
          <w:color w:val="1F2533"/>
          <w:sz w:val="19"/>
          <w:szCs w:val="19"/>
        </w:rPr>
        <w:t xml:space="preserve"> if any of these occurs:</w:t>
      </w:r>
    </w:p>
    <w:p>
      <w:pPr>
        <w:pStyle w:val="ListParagraph"/>
        <w:numPr>
          <w:ilvl w:val="0"/>
          <w:numId w:val="2"/>
        </w:numPr>
        <w:spacing w:after="60" w:line="264" w:lineRule="auto"/>
      </w:pPr>
      <w:r>
        <w:rPr>
          <w:rFonts w:ascii="Arial" w:cs="Arial" w:eastAsia="Yu Gothic" w:hAnsi="Arial"/>
          <w:color w:val="1F2533"/>
          <w:sz w:val="19"/>
          <w:szCs w:val="19"/>
        </w:rPr>
        <w:t xml:space="preserve">the 10-year JGB holds above 3.25%;</w:t>
      </w:r>
    </w:p>
    <w:p>
      <w:pPr>
        <w:pStyle w:val="ListParagraph"/>
        <w:numPr>
          <w:ilvl w:val="0"/>
          <w:numId w:val="2"/>
        </w:numPr>
        <w:spacing w:after="60" w:line="264" w:lineRule="auto"/>
      </w:pPr>
      <w:r>
        <w:rPr>
          <w:rFonts w:ascii="Arial" w:cs="Arial" w:eastAsia="Yu Gothic" w:hAnsi="Arial"/>
          <w:color w:val="1F2533"/>
          <w:sz w:val="19"/>
          <w:szCs w:val="19"/>
        </w:rPr>
        <w:t xml:space="preserve">the FY2026 sale programme slips into 2027;</w:t>
      </w:r>
    </w:p>
    <w:p>
      <w:pPr>
        <w:pStyle w:val="ListParagraph"/>
        <w:numPr>
          <w:ilvl w:val="0"/>
          <w:numId w:val="2"/>
        </w:numPr>
        <w:spacing w:after="60" w:line="264" w:lineRule="auto"/>
      </w:pPr>
      <w:r>
        <w:rPr>
          <w:rFonts w:ascii="Arial" w:cs="Arial" w:eastAsia="Yu Gothic" w:hAnsi="Arial"/>
          <w:color w:val="1F2533"/>
          <w:sz w:val="19"/>
          <w:szCs w:val="19"/>
        </w:rPr>
        <w:t xml:space="preserve">year-end debt/equity exceeds 2.6x;</w:t>
      </w:r>
    </w:p>
    <w:p>
      <w:pPr>
        <w:pStyle w:val="ListParagraph"/>
        <w:numPr>
          <w:ilvl w:val="0"/>
          <w:numId w:val="2"/>
        </w:numPr>
        <w:spacing w:after="60" w:line="264" w:lineRule="auto"/>
      </w:pPr>
      <w:r>
        <w:rPr>
          <w:rFonts w:ascii="Arial" w:cs="Arial" w:eastAsia="Yu Gothic" w:hAnsi="Arial"/>
          <w:color w:val="1F2533"/>
          <w:sz w:val="19"/>
          <w:szCs w:val="19"/>
        </w:rPr>
        <w:t xml:space="preserve">overseas equity-method losses recur at the FY2025 scale.</w:t>
      </w:r>
    </w:p>
    <w:p>
      <w:pPr>
        <w:spacing w:after="40" w:before="0" w:line="276" w:lineRule="auto"/>
      </w:pPr>
    </w:p>
    <w:p>
      <w:pPr>
        <w:spacing w:after="110" w:before="0" w:line="276" w:lineRule="auto"/>
      </w:pPr>
      <w:r>
        <w:rPr>
          <w:rFonts w:ascii="Arial" w:cs="Arial" w:eastAsia="Yu Gothic" w:hAnsi="Arial"/>
          <w:b/>
          <w:bCs/>
          <w:color w:val="1F2533"/>
          <w:sz w:val="19"/>
          <w:szCs w:val="19"/>
        </w:rPr>
        <w:t xml:space="preserve">The story has changed.</w:t>
      </w:r>
      <w:r>
        <w:rPr>
          <w:rFonts w:ascii="Arial" w:cs="Arial" w:eastAsia="Yu Gothic" w:hAnsi="Arial"/>
          <w:color w:val="1F2533"/>
          <w:sz w:val="19"/>
          <w:szCs w:val="19"/>
        </w:rPr>
        <w:t xml:space="preserve"> What this research changes is the nature of the Tokyo Tatemono story. For five years it was a cheap NAV compounder: EPS +14% a year, P/NAV re-rating from about 0.4x to 0.7x, TSR of about 24% a year. It is now a race between two inflations:</w:t>
      </w:r>
    </w:p>
    <w:p>
      <w:pPr>
        <w:pStyle w:val="ListParagraph"/>
        <w:numPr>
          <w:ilvl w:val="0"/>
          <w:numId w:val="2"/>
        </w:numPr>
        <w:spacing w:after="60" w:line="264" w:lineRule="auto"/>
      </w:pPr>
      <w:r>
        <w:rPr>
          <w:rFonts w:ascii="Arial" w:cs="Arial" w:eastAsia="Yu Gothic" w:hAnsi="Arial"/>
          <w:color w:val="1F2533"/>
          <w:sz w:val="19"/>
          <w:szCs w:val="19"/>
        </w:rPr>
        <w:t xml:space="preserve">the rents it can reprice on short leases;</w:t>
      </w:r>
    </w:p>
    <w:p>
      <w:pPr>
        <w:pStyle w:val="ListParagraph"/>
        <w:numPr>
          <w:ilvl w:val="0"/>
          <w:numId w:val="2"/>
        </w:numPr>
        <w:spacing w:after="60" w:line="264" w:lineRule="auto"/>
      </w:pPr>
      <w:r>
        <w:rPr>
          <w:rFonts w:ascii="Arial" w:cs="Arial" w:eastAsia="Yu Gothic" w:hAnsi="Arial"/>
          <w:color w:val="1F2533"/>
          <w:sz w:val="19"/>
          <w:szCs w:val="19"/>
        </w:rPr>
        <w:t xml:space="preserve">the cost of the debt and investor capital it needs to keep recycling assets.</w:t>
      </w:r>
    </w:p>
    <w:p>
      <w:pPr>
        <w:spacing w:after="40" w:before="0" w:line="276" w:lineRule="auto"/>
      </w:pPr>
    </w:p>
    <w:p>
      <w:pPr>
        <w:spacing w:after="110" w:before="0" w:line="276" w:lineRule="auto"/>
      </w:pPr>
      <w:r>
        <w:rPr>
          <w:rFonts w:ascii="Arial" w:cs="Arial" w:eastAsia="Yu Gothic" w:hAnsi="Arial"/>
          <w:b/>
          <w:bCs/>
          <w:color w:val="1F2533"/>
          <w:sz w:val="19"/>
          <w:szCs w:val="19"/>
        </w:rPr>
        <w:t xml:space="preserve">Earnings growth alone cannot close the discount.</w:t>
      </w:r>
      <w:r>
        <w:rPr>
          <w:rFonts w:ascii="Arial" w:cs="Arial" w:eastAsia="Yu Gothic" w:hAnsi="Arial"/>
          <w:color w:val="1F2533"/>
          <w:sz w:val="19"/>
          <w:szCs w:val="19"/>
        </w:rPr>
        <w:t xml:space="preserve"> Our numbers suggest FY2027–28 EPS grows only 2–3% a year once financing costs are included. That cannot re-rate a stock already above its own historical multiples. The lever that can is capital policy: converting part of the ≈¥600bn of embedded gains and the ≈¥35bn Hulic stake into buybacks at 0.65x NAV, rather than into more balance-sheet growth.</w:t>
      </w:r>
    </w:p>
    <w:p>
      <w:pPr>
        <w:spacing w:after="110" w:before="0" w:line="276" w:lineRule="auto"/>
      </w:pPr>
      <w:r>
        <w:rPr>
          <w:rFonts w:ascii="Arial" w:cs="Arial" w:eastAsia="Yu Gothic" w:hAnsi="Arial"/>
          <w:b/>
          <w:bCs/>
          <w:color w:val="1F2533"/>
          <w:sz w:val="19"/>
          <w:szCs w:val="19"/>
        </w:rPr>
        <w:t xml:space="preserve">Two signals will settle the case.</w:t>
      </w:r>
      <w:r>
        <w:rPr>
          <w:rFonts w:ascii="Arial" w:cs="Arial" w:eastAsia="Yu Gothic" w:hAnsi="Arial"/>
          <w:color w:val="1F2533"/>
          <w:sz w:val="19"/>
          <w:szCs w:val="19"/>
        </w:rPr>
        <w:t xml:space="preserve"> Tokyo Tatemono's relative resilience in 2026 reflects its lower starting multiple, not lower risk. As the most levered developer in its peer group, it is the purest listed test of whether Tokyo's private real-estate market keeps clearing at a 3.2% cap rate as Japanese rates normalise. The answer will show up first in December's debt figure and February's capital plan. That is where an IC should focus, not on the forward P/E.</w:t>
      </w:r>
    </w:p>
    <w:sectPr>
      <w:headerReference w:type="default" r:id="rId7"/>
      <w:headerReference w:type="first" r:id="rId8"/>
      <w:footerReference w:type="default" r:id="rId9"/>
      <w:footerReference w:type="first" r:id="rId10"/>
      <w:pgSz w:w="11906" w:h="16838" w:orient="portrait"/>
      <w:pgMar w:top="1000" w:right="1080" w:bottom="900" w:left="1080" w:header="450" w:footer="4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Small"/>
      <w:tabs>
        <w:tab w:val="right" w:pos="9746"/>
      </w:tabs>
    </w:pPr>
    <w:r>
      <w:rPr>
        <w:rFonts w:ascii="Arial" w:cs="Arial" w:eastAsia="Yu Gothic" w:hAnsi="Arial"/>
        <w:color w:val="5B6577"/>
        <w:sz w:val="14"/>
        <w:szCs w:val="14"/>
      </w:rPr>
      <w:t xml:space="preserve">For professional investors only. Not investment advice. Figures largely from search extracts of primary filings — see Methodology.</w:t>
    </w:r>
    <w:r>
      <w:rPr>
        <w:sz w:val="14"/>
        <w:szCs w:val="14"/>
      </w:rPr>
      <w:tab/>
    </w:r>
    <w:r>
      <w:rPr>
        <w:rFonts w:ascii="Arial" w:cs="Arial" w:eastAsia="Yu Gothic" w:hAnsi="Arial"/>
        <w:color w:val="5B6577"/>
        <w:sz w:val="14"/>
        <w:szCs w:val="14"/>
      </w:rPr>
      <w:t xml:space="preserve">Page </w:t>
    </w:r>
    <w:r>
      <w:rPr>
        <w:rFonts w:ascii="Arial" w:cs="Arial" w:eastAsia="Yu Gothic" w:hAnsi="Arial"/>
        <w:color w:val="5B6577"/>
        <w:sz w:val="14"/>
        <w:szCs w:val="14"/>
      </w:rPr>
      <w:fldChar w:fldCharType="begin"/>
      <w:instrText xml:space="preserve">PAGE</w:instrText>
      <w:fldChar w:fldCharType="separate"/>
      <w:fldChar w:fldCharType="end"/>
    </w:r>
    <w:r>
      <w:rPr>
        <w:rFonts w:ascii="Arial" w:cs="Arial" w:eastAsia="Yu Gothic" w:hAnsi="Arial"/>
        <w:color w:val="5B6577"/>
        <w:sz w:val="14"/>
        <w:szCs w:val="14"/>
      </w:rPr>
      <w:t xml:space="preserve"> of </w:t>
    </w:r>
    <w:r>
      <w:rPr>
        <w:rFonts w:ascii="Arial" w:cs="Arial" w:eastAsia="Yu Gothic" w:hAnsi="Arial"/>
        <w:color w:val="5B6577"/>
        <w:sz w:val="14"/>
        <w:szCs w:val="14"/>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Arial" w:cs="Arial" w:eastAsia="Yu Gothic" w:hAnsi="Arial"/>
        <w:color w:val="5B6577"/>
        <w:sz w:val="14"/>
        <w:szCs w:val="14"/>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5DD" w:sz="4" w:space="4"/>
      </w:pBdr>
      <w:tabs>
        <w:tab w:val="right" w:pos="9746"/>
      </w:tabs>
    </w:pPr>
    <w:r>
      <w:rPr>
        <w:rFonts w:ascii="Arial" w:cs="Arial" w:eastAsia="Yu Gothic" w:hAnsi="Arial"/>
        <w:b/>
        <w:bCs/>
        <w:color w:val="5B6577"/>
        <w:sz w:val="15"/>
        <w:szCs w:val="15"/>
      </w:rPr>
      <w:t xml:space="preserve">Tokyo Tatemono (8804 JP)</w:t>
    </w:r>
    <w:r>
      <w:rPr>
        <w:sz w:val="15"/>
        <w:szCs w:val="15"/>
      </w:rPr>
      <w:tab/>
    </w:r>
    <w:r>
      <w:rPr>
        <w:rFonts w:ascii="Arial" w:cs="Arial" w:eastAsia="Yu Gothic" w:hAnsi="Arial"/>
        <w:color w:val="5B6577"/>
        <w:sz w:val="15"/>
        <w:szCs w:val="15"/>
      </w:rPr>
      <w:t xml:space="preserve">Equity Research  |  4 October 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rPr>
        <w:color w:val="2F6FD0"/>
      </w:rPr>
    </w:lvl>
    <w:lvl w:ilvl="1" w15:tentative="1">
      <w:start w:val="1"/>
      <w:numFmt w:val="bullet"/>
      <w:lvlText w:val="–"/>
      <w:lvlJc w:val="left"/>
      <w:pPr>
        <w:ind w:left="720" w:hanging="260"/>
      </w:pPr>
      <w:rPr>
        <w:color w:val="5B6577"/>
      </w:rPr>
    </w:lvl>
    <w:lvl w:ilvl="2" w15:tentative="1">
      <w:start w:val="1"/>
      <w:numFmt w:val="bullet"/>
      <w:lvlText w:val="·"/>
      <w:lvlJc w:val="left"/>
      <w:pPr>
        <w:ind w:left="1080" w:hanging="260"/>
      </w:pPr>
    </w:lvl>
  </w:abstractNum>
  <w:abstractNum w:abstractNumId="3" w15:restartNumberingAfterBreak="0">
    <w:multiLevelType w:val="hybridMultilevel"/>
    <w:lvl w:ilvl="0" w15:tentative="1">
      <w:start w:val="1"/>
      <w:numFmt w:val="decimal"/>
      <w:lvlText w:val="%1."/>
      <w:lvlJc w:val="left"/>
      <w:pPr>
        <w:ind w:left="400" w:hanging="300"/>
      </w:pPr>
      <w:rPr>
        <w:b/>
        <w:bCs/>
        <w:color w:val="15233F"/>
      </w:rPr>
    </w:lvl>
    <w:lvl w:ilvl="1" w15:tentative="1">
      <w:start w:val="1"/>
      <w:numFmt w:val="lowerLetter"/>
      <w:lvlText w:val="%2)"/>
      <w:lvlJc w:val="left"/>
      <w:pPr>
        <w:ind w:left="760" w:hanging="300"/>
      </w:pPr>
    </w:lvl>
    <w:lvl w:ilvl="2" w15:tentative="1">
      <w:start w:val="1"/>
      <w:numFmt w:val="lowerRoman"/>
      <w:lvlText w:val="%3."/>
      <w:lvlJc w:val="left"/>
      <w:pPr>
        <w:ind w:left="11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Yu Gothic" w:hAnsi="Arial"/>
        <w:color w:val="1F2533"/>
        <w:sz w:val="19"/>
        <w:szCs w:val="19"/>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0"/>
      <w:outlineLvl w:val="0"/>
    </w:pPr>
    <w:rPr>
      <w:rFonts w:ascii="Arial" w:cs="Arial" w:eastAsia="Yu Gothic" w:hAnsi="Arial"/>
      <w:b/>
      <w:bCs/>
      <w:color w:val="15233F"/>
      <w:sz w:val="32"/>
      <w:szCs w:val="32"/>
    </w:rPr>
  </w:style>
  <w:style w:type="paragraph" w:styleId="Heading2">
    <w:name w:val="Heading 2"/>
    <w:basedOn w:val="Normal"/>
    <w:next w:val="Normal"/>
    <w:qFormat/>
    <w:pPr>
      <w:spacing w:after="90" w:before="260"/>
      <w:outlineLvl w:val="1"/>
    </w:pPr>
    <w:rPr>
      <w:rFonts w:ascii="Arial" w:cs="Arial" w:eastAsia="Yu Gothic" w:hAnsi="Arial"/>
      <w:b/>
      <w:bCs/>
      <w:color w:val="15233F"/>
      <w:sz w:val="25"/>
      <w:szCs w:val="25"/>
    </w:rPr>
  </w:style>
  <w:style w:type="paragraph" w:styleId="Heading3">
    <w:name w:val="Heading 3"/>
    <w:basedOn w:val="Normal"/>
    <w:next w:val="Normal"/>
    <w:qFormat/>
    <w:pPr>
      <w:spacing w:after="90" w:before="180"/>
      <w:outlineLvl w:val="2"/>
    </w:pPr>
    <w:rPr>
      <w:rFonts w:ascii="Arial" w:cs="Arial" w:eastAsia="Yu Gothic" w:hAnsi="Arial"/>
      <w:b/>
      <w:bCs/>
      <w:color w:val="2F6FD0"/>
      <w:sz w:val="21"/>
      <w:szCs w:val="21"/>
    </w:rPr>
  </w:style>
  <w:style w:type="paragraph" w:styleId="FooterSmall">
    <w:name w:val="Footer Small"/>
    <w:basedOn w:val="Normal"/>
    <w:pPr>
      <w:spacing w:after="0" w:line="240" w:lineRule="auto"/>
    </w:pPr>
    <w:rPr>
      <w:rFonts w:ascii="Arial" w:cs="Arial" w:eastAsia="Yu Gothic" w:hAnsi="Arial"/>
      <w:color w:val="5B6577"/>
      <w:sz w:val="14"/>
      <w:szCs w:val="14"/>
    </w:rPr>
  </w:style>
  <w:style w:type="paragraph" w:styleId="Heading4">
    <w:name w:val="Heading 4"/>
    <w:basedOn w:val="Normal"/>
    <w:next w:val="Normal"/>
    <w:qFormat/>
    <w:pPr>
      <w:spacing w:after="60" w:before="140"/>
      <w:outlineLvl w:val="3"/>
    </w:pPr>
    <w:rPr>
      <w:rFonts w:ascii="Arial" w:cs="Arial" w:eastAsia="Yu Gothic" w:hAnsi="Arial"/>
      <w:b/>
      <w:bCs/>
      <w:color w:val="15233F"/>
      <w:sz w:val="19"/>
      <w:szCs w:val="19"/>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vydbauioqetu22fpazh_t" Type="http://schemas.openxmlformats.org/officeDocument/2006/relationships/hyperlink" Target="https://finance.logmi.jp/articles/385621" TargetMode="External"/><Relationship Id="rIdne0km7ohtrpp5mhgvxfun" Type="http://schemas.openxmlformats.org/officeDocument/2006/relationships/hyperlink" Target="https://pdf.irpocket.com/C8804/YpwX/Bm8F/l2Ip.pdf" TargetMode="External"/><Relationship Id="rIdtb-eq4_tx83hjglyfvxq6" Type="http://schemas.openxmlformats.org/officeDocument/2006/relationships/hyperlink" Target="https://www.nikkei.com/article/DGXZQOUB067LD0W6A800C2000000/" TargetMode="External"/><Relationship Id="rIdsej3u1ud9e7pscfwxxg1s" Type="http://schemas.openxmlformats.org/officeDocument/2006/relationships/hyperlink" Target="https://news.web.nhk/newsweb/na/nd-20260918de50968" TargetMode="External"/><Relationship Id="rIdblisqvdegzjxykn6ytwze" Type="http://schemas.openxmlformats.org/officeDocument/2006/relationships/hyperlink" Target="https://minkabu.jp/stock/8804/analyst_consensus" TargetMode="External"/><Relationship Id="rIdycotgrfojymx06bb_mp_e" Type="http://schemas.openxmlformats.org/officeDocument/2006/relationships/hyperlink" Target="https://kabu.tagu-blog.com/real-estate-stocks-7-rates-2026/" TargetMode="External"/><Relationship Id="rIdqnfcbr7p4mqgy76rlgyrt" Type="http://schemas.openxmlformats.org/officeDocument/2006/relationships/hyperlink" Target="https://pdf.irpocket.com/C8804/doF3/FpJe/bqVe.pdf" TargetMode="External"/><Relationship Id="rIdjptncqgetbonqouubde2r" Type="http://schemas.openxmlformats.org/officeDocument/2006/relationships/hyperlink" Target="https://www.e-miki.com/rent/tokyo.html" TargetMode="External"/><Relationship Id="rIdly-k2_sesbj7ejc8xecly" Type="http://schemas.openxmlformats.org/officeDocument/2006/relationships/hyperlink" Target="https://tatemono.com/company/pdf/company_overview.pdf" TargetMode="External"/><Relationship Id="rIdtox_y3kq-7p8o613bwcrf" Type="http://schemas.openxmlformats.org/officeDocument/2006/relationships/hyperlink" Target="https://tatemono.com/news/20260302-2.html" TargetMode="External"/><Relationship Id="rId5jjulwiclza3ra9fvpgvk" Type="http://schemas.openxmlformats.org/officeDocument/2006/relationships/hyperlink" Target="https://pdf.irpocket.com/C8804/YpwX/Bm8F/l2Ip.pdf" TargetMode="External"/><Relationship Id="rId9bsfumfnhdqk2khdyplkz" Type="http://schemas.openxmlformats.org/officeDocument/2006/relationships/hyperlink" Target="https://japanir.jp/company/company-8804/ir/8804-20260212-01_wp_financial_summary/" TargetMode="External"/><Relationship Id="rIdghff5ioqq_fjiy6gz8fux" Type="http://schemas.openxmlformats.org/officeDocument/2006/relationships/hyperlink" Target="https://www.gyokaidigest.com/companies/tokyo-tatemono/report/2025-FY" TargetMode="External"/><Relationship Id="rIdfgi1aans-xfy2-5r1ft8m" Type="http://schemas.openxmlformats.org/officeDocument/2006/relationships/hyperlink" Target="https://www.nikkei.com/nkd/company/history/yprice/?scode=8804" TargetMode="External"/><Relationship Id="rIdqtc7knwgiwz0imdcpnmvk" Type="http://schemas.openxmlformats.org/officeDocument/2006/relationships/hyperlink" Target="https://www.nikkei.com/article/DGXZQOFL171HB0X10C25A1000000/" TargetMode="External"/><Relationship Id="rIdswpltknro_kp_2uelr9si" Type="http://schemas.openxmlformats.org/officeDocument/2006/relationships/hyperlink" Target="https://www.nikkei.com/article/DGXZQOUB132440T11C25A1000000/" TargetMode="External"/><Relationship Id="rIdbdchwdxd0dqdttxmk9rit" Type="http://schemas.openxmlformats.org/officeDocument/2006/relationships/hyperlink" Target="https://f-p.jp/media/?p=21023" TargetMode="External"/><Relationship Id="rIdg-2thxxxoob4vqaktm8nc" Type="http://schemas.openxmlformats.org/officeDocument/2006/relationships/hyperlink" Target="https://www.nikkei.com/article/DGXZRST0554860Q6A210C2000000/" TargetMode="External"/><Relationship Id="rIdq37plmhtjzgredjfcexeu" Type="http://schemas.openxmlformats.org/officeDocument/2006/relationships/hyperlink" Target="https://media.paypay-sec.co.jp/cat5/jisha260324" TargetMode="External"/><Relationship Id="rIdy6_c-ixtf_gypggjxjoli" Type="http://schemas.openxmlformats.org/officeDocument/2006/relationships/hyperlink" Target="https://www.nikkei.com/article/DGXZQOUB136Z90T10C26A5000000/" TargetMode="External"/><Relationship Id="rIdjmhmmcqcdiat20gggqfel" Type="http://schemas.openxmlformats.org/officeDocument/2006/relationships/hyperlink" Target="https://www.nikkei.com/article/DGXZQOUB184UQ0Y6A510C2000000/" TargetMode="External"/><Relationship Id="rIddx6klyw6h3556hbksc094" Type="http://schemas.openxmlformats.org/officeDocument/2006/relationships/hyperlink" Target="https://news.web.nhk/newsweb/na/nd-20260918de50968" TargetMode="External"/><Relationship Id="rId6kxq4hpp-mwmymmgjj3-2" Type="http://schemas.openxmlformats.org/officeDocument/2006/relationships/hyperlink" Target="https://s.kabutan.jp/stocks/8804/historical_prices/monthly/" TargetMode="External"/><Relationship Id="rIdkjkvtpcrbjaq3j8fudwfb" Type="http://schemas.openxmlformats.org/officeDocument/2006/relationships/hyperlink" Target="https://www.nikkei.com/nkd/company/history/yprice/?scode=8804" TargetMode="External"/><Relationship Id="rIdailrlwv8parsb4hfuyrcy" Type="http://schemas.openxmlformats.org/officeDocument/2006/relationships/hyperlink" Target="https://kabu.tagu-blog.com/real-estate-stocks-7-rates-2026/" TargetMode="External"/><Relationship Id="rIds_vxnb6fixohvyqiefag9" Type="http://schemas.openxmlformats.org/officeDocument/2006/relationships/hyperlink" Target="https://kabuyoho.jp/reportTrendSignal?bcode=8804" TargetMode="External"/><Relationship Id="rIdjzkzzdgemiedkmoo7yr7_" Type="http://schemas.openxmlformats.org/officeDocument/2006/relationships/hyperlink" Target="https://tatemono.com/english/company/pdf/plan2027_250116_en.pdf" TargetMode="External"/><Relationship Id="rIdtm2r4xvsyybygxnd-eoy9" Type="http://schemas.openxmlformats.org/officeDocument/2006/relationships/hyperlink" Target="https://altvega.com/tatemono-bp-20250116/" TargetMode="External"/><Relationship Id="rIdof48cmenwc9dycbn2b8ju" Type="http://schemas.openxmlformats.org/officeDocument/2006/relationships/hyperlink" Target="https://www.e-miki.com/rent/tokyo.html" TargetMode="External"/><Relationship Id="rIdo0kl3f5fklypwabckc0lq" Type="http://schemas.openxmlformats.org/officeDocument/2006/relationships/hyperlink" Target="https://finance.logmi.jp/articles/385621" TargetMode="External"/><Relationship Id="rIdgzh1odatnrtozldgteq5w" Type="http://schemas.openxmlformats.org/officeDocument/2006/relationships/hyperlink" Target="https://pdf.irpocket.com/C8804/doF3/FpJe/bqVe.pdf" TargetMode="External"/><Relationship Id="rIdh_0nf7ukje4374zcdtomz" Type="http://schemas.openxmlformats.org/officeDocument/2006/relationships/hyperlink" Target="https://www.reinet.or.jp/pdf/REIS/published-document_main_the-japanese-real-estate-investor-survey_202604.pdf" TargetMode="External"/><Relationship Id="rIdycht9pvilia1bmqjztta4" Type="http://schemas.openxmlformats.org/officeDocument/2006/relationships/hyperlink" Target="https://www.nikkei.com/article/DGKKZO96735190V00C26A6DTC000/" TargetMode="External"/><Relationship Id="rIdlntfr0hpmi-8nbs8kwzvc" Type="http://schemas.openxmlformats.org/officeDocument/2006/relationships/hyperlink" Target="https://finance.logmi.jp/articles/385621" TargetMode="External"/><Relationship Id="rId7soowdhms7vh2zywu6eel" Type="http://schemas.openxmlformats.org/officeDocument/2006/relationships/hyperlink" Target="https://www.genba-media.jp/articles/fkj7w5k9w0rv" TargetMode="External"/><Relationship Id="rIdwqc3qslijghp0xm5aeeyh" Type="http://schemas.openxmlformats.org/officeDocument/2006/relationships/hyperlink" Target="https://www.nikkei.com/article/DGXZQOUB1747W0X10C26A8000000/" TargetMode="External"/><Relationship Id="rIdvqdswdnghesotsj_5lsgx" Type="http://schemas.openxmlformats.org/officeDocument/2006/relationships/hyperlink" Target="https://diamond-fudosan.jp/articles/-/1112835" TargetMode="External"/><Relationship Id="rIdmz8ggbnd26a5yoobo3laz" Type="http://schemas.openxmlformats.org/officeDocument/2006/relationships/hyperlink" Target="https://tatemono.com/english/ir/library/integrated/cfo.html" TargetMode="External"/><Relationship Id="rId6lho-jvjxwxmr-hpe3o3k" Type="http://schemas.openxmlformats.org/officeDocument/2006/relationships/hyperlink" Target="https://travel.watch.impress.co.jp/docs/news/2125315.html" TargetMode="External"/><Relationship Id="rIdvfyk1rkqlhijn9zegpnpw" Type="http://schemas.openxmlformats.org/officeDocument/2006/relationships/hyperlink" Target="https://www.logi-today.com/650208" TargetMode="External"/><Relationship Id="rIdqdsnolflnbemkxuap2xbd" Type="http://schemas.openxmlformats.org/officeDocument/2006/relationships/hyperlink" Target="https://dxmagazine.jp/news/wgrf8qx/" TargetMode="External"/><Relationship Id="rIdiu2sgiqas0_x5j_ld-jef" Type="http://schemas.openxmlformats.org/officeDocument/2006/relationships/hyperlink" Target="https://www.fudousankeizai.co.jp/share/mansion/663/mdn20260325.pdf" TargetMode="External"/><Relationship Id="rIdbi_zwxhmsjnk7jqjlik92" Type="http://schemas.openxmlformats.org/officeDocument/2006/relationships/hyperlink" Target="https://recruit.tatemono.com/recruit/shinsotsu/about/biz05.html" TargetMode="External"/><Relationship Id="rIdi15n_uxbs6bqp9aoehvfg" Type="http://schemas.openxmlformats.org/officeDocument/2006/relationships/hyperlink" Target="https://www.tt-resort.co.jp/about.html" TargetMode="External"/><Relationship Id="rId-hkpbzp0jz8h5yrzkfu-4" Type="http://schemas.openxmlformats.org/officeDocument/2006/relationships/hyperlink" Target="https://nikkenren.com/publication/ACe/ce/ace1702/pdf/ACe_1702_046-049.pdf" TargetMode="External"/><Relationship Id="rId3uhoqbl09dlgomr5jmr3v" Type="http://schemas.openxmlformats.org/officeDocument/2006/relationships/hyperlink" Target="https://www.obayashi.co.jp/news/detail/news20220214_3.html" TargetMode="External"/><Relationship Id="rId0gyac-6d61uytj-jqiasj" Type="http://schemas.openxmlformats.org/officeDocument/2006/relationships/hyperlink" Target="https://tatemono.com/news/20260302-2.html" TargetMode="External"/><Relationship Id="rIdkwc53u8pmyuixtsvpwxge" Type="http://schemas.openxmlformats.org/officeDocument/2006/relationships/hyperlink" Target="https://www.jpr-reit.co.jp/file/ir_library_term-10766bf9aaec67cf5817e8c9ef5bddaeed098081.pdf" TargetMode="External"/><Relationship Id="rIdjeogqbtn-jnhuwrdripl9" Type="http://schemas.openxmlformats.org/officeDocument/2006/relationships/hyperlink" Target="https://nrm.nikkei.co.jp/articles/-/24590" TargetMode="External"/><Relationship Id="rIdb5leu2xhp1y-2can7mtpd" Type="http://schemas.openxmlformats.org/officeDocument/2006/relationships/hyperlink" Target="https://nrm.nikkei.co.jp/articles/-/25153" TargetMode="External"/><Relationship Id="rIdu_nwwu0xryopt7m_5iq0m" Type="http://schemas.openxmlformats.org/officeDocument/2006/relationships/hyperlink" Target="https://raw.githubusercontent.com/edamame384/stock_selection/HEAD/projects/shikiho_text_parser/data/raw/4Q-2/8804.txt" TargetMode="External"/><Relationship Id="rIddtfqiazg4nnzu7neckgjg" Type="http://schemas.openxmlformats.org/officeDocument/2006/relationships/hyperlink" Target="https://investalk.jp/8801/realestate5-2026-03-comparison/" TargetMode="External"/><Relationship Id="rIdhu35lrmqeyskmuuc4ktab" Type="http://schemas.openxmlformats.org/officeDocument/2006/relationships/hyperlink" Target="https://jpr-reit.co.jp/en/about/asset.html" TargetMode="External"/><Relationship Id="rIdnl9ih3zf5hmfgwnhsrqmh" Type="http://schemas.openxmlformats.org/officeDocument/2006/relationships/hyperlink" Target="https://tatemono.com/english/ir/library/pdf/integrated_2025_66.pdf" TargetMode="External"/><Relationship Id="rIdm4dgesiz7h5fambbqlw2b" Type="http://schemas.openxmlformats.org/officeDocument/2006/relationships/hyperlink" Target="https://www.dlri.co.jp/report/macro/665928.html" TargetMode="External"/><Relationship Id="rIdu3la-nhhgf_rreas1obsa" Type="http://schemas.openxmlformats.org/officeDocument/2006/relationships/hyperlink" Target="https://www.nri.com/jp/media/column/kiuchi/20251222_2.html" TargetMode="External"/><Relationship Id="rIdzu1fkalxjg2yhtjp9t1i3" Type="http://schemas.openxmlformats.org/officeDocument/2006/relationships/hyperlink" Target="https://www.nikkei.com/article/DGXZQOUC08D5H0Y1A900C2000000/" TargetMode="External"/><Relationship Id="rIdup4pxe593l_xaafuqsgdj" Type="http://schemas.openxmlformats.org/officeDocument/2006/relationships/hyperlink" Target="https://www.nikkei.com/article/DGXZRSP710131_R20C26A7000000/" TargetMode="External"/><Relationship Id="rIdmyubv7ylqtdnuzlyo0_ma" Type="http://schemas.openxmlformats.org/officeDocument/2006/relationships/hyperlink" Target="https://www.nikkei.com/article/DGXZRSP702228_W6A120C2000000/" TargetMode="External"/><Relationship Id="rIdaaqo2or2hgnux9ob3c8hf" Type="http://schemas.openxmlformats.org/officeDocument/2006/relationships/hyperlink" Target="https://www.nikkei.com/article/DGXZQOTG0995C0Z00C25A7000000/" TargetMode="External"/><Relationship Id="rIdw_n4b5okw98bk9e2iofwi" Type="http://schemas.openxmlformats.org/officeDocument/2006/relationships/hyperlink" Target="https://finance.biggo.jp/news/8U8OIp4B6tLPsnrZmBwQ" TargetMode="External"/><Relationship Id="rId_xd8ezbscpmoogt20kydx" Type="http://schemas.openxmlformats.org/officeDocument/2006/relationships/hyperlink" Target="https://www.kenbiya.com/ar/ns/region/tokyo/8849.html" TargetMode="External"/><Relationship Id="rIdglwzzo7cdpdgdjr9rzpoz" Type="http://schemas.openxmlformats.org/officeDocument/2006/relationships/hyperlink" Target="https://minkabu.jp/news/4589327" TargetMode="External"/><Relationship Id="rIdpkpf0rid4guaylh55qjjq" Type="http://schemas.openxmlformats.org/officeDocument/2006/relationships/hyperlink" Target="https://trafficnews.jp/post/494129" TargetMode="External"/><Relationship Id="rId5bhdqfn4bdkdypyp6vqzg" Type="http://schemas.openxmlformats.org/officeDocument/2006/relationships/hyperlink" Target="https://www.kenbiya.com/ar/ns/region/tokyo/8252.html" TargetMode="External"/><Relationship Id="rIduaxwjio_xhbjr1isdao4l" Type="http://schemas.openxmlformats.org/officeDocument/2006/relationships/hyperlink" Target="https://t23m-navi.jp/magazine/news/mansionreview-brandmansion2026/" TargetMode="External"/><Relationship Id="rIdazwtcpydedq47zcsvrar4" Type="http://schemas.openxmlformats.org/officeDocument/2006/relationships/hyperlink" Target="https://news.mynavi.jp/real-estate-assessment/29103" TargetMode="External"/><Relationship Id="rId_wajhgcfyatqnxqjp2qd2" Type="http://schemas.openxmlformats.org/officeDocument/2006/relationships/hyperlink" Target="https://www.nikkei.com/article/DGXZRSP704888_V20C26A3000000/" TargetMode="External"/><Relationship Id="rIdg2amkibmnhz6e4yiuarh3" Type="http://schemas.openxmlformats.org/officeDocument/2006/relationships/hyperlink" Target="https://raw.githubusercontent.com/yuukimiyo/stdata-jp/HEAD/8/88040/2023/BusinessPolicyEtc" TargetMode="External"/><Relationship Id="rIdwbeznwtaztrmxvatr9lzq" Type="http://schemas.openxmlformats.org/officeDocument/2006/relationships/hyperlink" Target="https://irbank.net/E03859/value" TargetMode="External"/><Relationship Id="rIdov1_qgpaygzzsfepnsa1k" Type="http://schemas.openxmlformats.org/officeDocument/2006/relationships/hyperlink" Target="https://www.nikkei.com/article/DGXMZO60992230Q0A630C2L83000/" TargetMode="External"/><Relationship Id="rIdtoijvfyxdu6dmx73uwltd" Type="http://schemas.openxmlformats.org/officeDocument/2006/relationships/hyperlink" Target="https://www.rakuten-sec.co.jp/web/bond/jbond/products/20250630/" TargetMode="External"/><Relationship Id="rIdjace3n7rfkssrivyebeks" Type="http://schemas.openxmlformats.org/officeDocument/2006/relationships/hyperlink" Target="https://raw.githubusercontent.com/yuukimiyo/stdata-jp/HEAD/8/88040/2023/DescriptionOfBusiness" TargetMode="External"/><Relationship Id="rIdp8bbov_h9visw0uppw5wr" Type="http://schemas.openxmlformats.org/officeDocument/2006/relationships/hyperlink" Target="https://pdf.irpocket.com/C8804/YpwX/Bm8F/l2Ip.pdf" TargetMode="External"/><Relationship Id="rIdtw7xoz_a7bgoywucnr017" Type="http://schemas.openxmlformats.org/officeDocument/2006/relationships/hyperlink" Target="https://pdf.irpocket.com/C8804/usA8/o1dP/JnAj.pdf" TargetMode="External"/><Relationship Id="rIdy2nwa-b8oqbpfjndvihex" Type="http://schemas.openxmlformats.org/officeDocument/2006/relationships/hyperlink" Target="https://pdf.irpocket.com/C8804/KKjE/OJQc/fJiS.pdf" TargetMode="External"/><Relationship Id="rIdxt7auymhjrypm4b_2tvg0" Type="http://schemas.openxmlformats.org/officeDocument/2006/relationships/hyperlink" Target="https://www.nikkei.com/nkd/company/kessan/?scode=8804" TargetMode="External"/><Relationship Id="rIds92jzkxbdhxbiftauo9jz" Type="http://schemas.openxmlformats.org/officeDocument/2006/relationships/hyperlink" Target="https://pdf.irpocket.com/C8804/xoA3/ieAo/gkiS/BBY6.pdf" TargetMode="External"/><Relationship Id="rId0ivma2x3brsqiud3g8q8n" Type="http://schemas.openxmlformats.org/officeDocument/2006/relationships/hyperlink" Target="https://finance.matsui.co.jp/stock/8804/settlement/index" TargetMode="External"/><Relationship Id="rIdkeljgbsp-76lwrwnuzg_g" Type="http://schemas.openxmlformats.org/officeDocument/2006/relationships/hyperlink" Target="https://raw.githubusercontent.com/edamame384/stock_selection/HEAD/projects/shikiho_text_parser/data/raw/4Q-2/8804.txt" TargetMode="External"/><Relationship Id="rIdx5krhmpdbsk8jwe6crnak" Type="http://schemas.openxmlformats.org/officeDocument/2006/relationships/hyperlink" Target="https://raw.githubusercontent.com/code4fukui/EDINET/HEAD/data/documents/2024-12-11.csv" TargetMode="External"/><Relationship Id="rIdnvordabv4pnqj9yczjayq" Type="http://schemas.openxmlformats.org/officeDocument/2006/relationships/hyperlink" Target="https://the-shashi.com/tse/8804/financials/" TargetMode="External"/><Relationship Id="rId2uuucdquvob-tgfdms7p0" Type="http://schemas.openxmlformats.org/officeDocument/2006/relationships/hyperlink" Target="https://pdf.irpocket.com/C8804/KNIO/nX4G/H18j.pdf" TargetMode="External"/><Relationship Id="rIddc9yff5ustrqcxyufkhy2" Type="http://schemas.openxmlformats.org/officeDocument/2006/relationships/hyperlink" Target="https://pdf.irpocket.com/C8804/A7NF/cMwJ/WjaJ.pdf" TargetMode="External"/><Relationship Id="rIdixoirx2xraputp8huo7u1" Type="http://schemas.openxmlformats.org/officeDocument/2006/relationships/hyperlink" Target="https://recruit.tatemono.com/english/company/pdf/company_overview.pdf" TargetMode="External"/><Relationship Id="rIdfjgadf402ur_bn-loot-i" Type="http://schemas.openxmlformats.org/officeDocument/2006/relationships/hyperlink" Target="https://pdf.irpocket.com/C8804/YpwX/Bm8F/l2Ip.pdf" TargetMode="External"/><Relationship Id="rIdr4a9zkmsatxp2mgr7vo-m" Type="http://schemas.openxmlformats.org/officeDocument/2006/relationships/hyperlink" Target="https://pdf.irpocket.com/C8804/KKjE/klDc/x9g3.pdf" TargetMode="External"/><Relationship Id="rIdfritqx2kure4fkpvw96ul" Type="http://schemas.openxmlformats.org/officeDocument/2006/relationships/hyperlink" Target="https://pdf.irpocket.com/C8804/A7NF/cMwJ/WjaJ.pdf" TargetMode="External"/><Relationship Id="rIdx8rbpbexabspzv8he3mxa" Type="http://schemas.openxmlformats.org/officeDocument/2006/relationships/hyperlink" Target="https://japanir.jp/company/company-8804/ir/8804-20260212-01_wp_financial_summary/" TargetMode="External"/><Relationship Id="rIdamy_rl4dd1nr8n8wa4vnm" Type="http://schemas.openxmlformats.org/officeDocument/2006/relationships/hyperlink" Target="https://raw.githubusercontent.com/edamame384/stock_selection/HEAD/projects/shikiho_text_parser/data/raw/4Q-2/8804.txt" TargetMode="External"/><Relationship Id="rIdfmwl4e9bdxaqrgwcdoxlo" Type="http://schemas.openxmlformats.org/officeDocument/2006/relationships/hyperlink" Target="https://finance.biggo.com/news/JP_8804.T_2026-08-06" TargetMode="External"/><Relationship Id="rIda-u3mzxsxa3et5edx5a57" Type="http://schemas.openxmlformats.org/officeDocument/2006/relationships/hyperlink" Target="https://pdf.irpocket.com/C8804/YpwX/GtIj/pQV9.pdf" TargetMode="External"/><Relationship Id="rIdrjpdxzu9ezpfgk6ghnmnx" Type="http://schemas.openxmlformats.org/officeDocument/2006/relationships/hyperlink" Target="https://www.nikkei.com/article/DGXZQOUB132440T11C25A1000000/" TargetMode="External"/><Relationship Id="rId56ghqpgw25flenfyajj1d" Type="http://schemas.openxmlformats.org/officeDocument/2006/relationships/hyperlink" Target="https://www.nikkei.com/article/DGXZQOUB136Z90T10C26A5000000/" TargetMode="External"/><Relationship Id="rIdzbciu5hnc_wgvpjyzi3c3" Type="http://schemas.openxmlformats.org/officeDocument/2006/relationships/hyperlink" Target="https://raw.githubusercontent.com/yuukimiyo/stdata-jp/HEAD/8/88040/2022/DescriptionOfBusiness" TargetMode="External"/><Relationship Id="rId9-eyhuksrlnpd_sv4ttiu" Type="http://schemas.openxmlformats.org/officeDocument/2006/relationships/hyperlink" Target="https://pdf.irpocket.com/C8804/NvAy/MeeX/qjrg.pdf" TargetMode="External"/><Relationship Id="rIdz1qofaymqnqttwuv4lkvd" Type="http://schemas.openxmlformats.org/officeDocument/2006/relationships/hyperlink" Target="https://tatemono.com/english/ir/library/pdf/integrated_2025_66.pdf" TargetMode="External"/><Relationship Id="rId2ebkajdbsttdipjbqbih8" Type="http://schemas.openxmlformats.org/officeDocument/2006/relationships/hyperlink" Target="https://pdf.irpocket.com/C8804/KKjE/klDc/x9g3.pdf" TargetMode="External"/><Relationship Id="rIduvixittmgpluzxdvlmgha" Type="http://schemas.openxmlformats.org/officeDocument/2006/relationships/hyperlink" Target="https://irbank.net/E03859/value" TargetMode="External"/><Relationship Id="rIdq25r8wuggrhxxlgyfy7ri" Type="http://schemas.openxmlformats.org/officeDocument/2006/relationships/hyperlink" Target="https://www.nikkei.com/article/DGXZQOUC169A00W5A110C2000000/" TargetMode="External"/><Relationship Id="rIdxftkr3xlj7rxrnxaytsnx" Type="http://schemas.openxmlformats.org/officeDocument/2006/relationships/hyperlink" Target="https://f-p.jp/media/?p=21023" TargetMode="External"/><Relationship Id="rIdxn2jzpv7w31ym42kj6rdj" Type="http://schemas.openxmlformats.org/officeDocument/2006/relationships/hyperlink" Target="https://www.tipranks.com/news/company-announcements/tokyo-tatemono-q1-profit-slumps-but-full-year-outlook-and-dividend-plan-held" TargetMode="External"/><Relationship Id="rIdnz77lorgmrq9klki0m1vb" Type="http://schemas.openxmlformats.org/officeDocument/2006/relationships/hyperlink" Target="https://finance.logmi.jp/articles/385621" TargetMode="External"/><Relationship Id="rIdozokn0ibyps3fjenqsexb" Type="http://schemas.openxmlformats.org/officeDocument/2006/relationships/hyperlink" Target="https://finance.yahoo.co.jp/news/detail/bbe176c6f23e7dfbcc6c51b59ff2b0e01f358fa0" TargetMode="External"/><Relationship Id="rIdpmdx9qpts7ne72szdtrbz" Type="http://schemas.openxmlformats.org/officeDocument/2006/relationships/hyperlink" Target="https://pdf.irpocket.com/C8804/xoA3/ieAo/gkiS/BBY6.pdf" TargetMode="External"/><Relationship Id="rIdd7fce3g6rxzl8j4yvhg1w" Type="http://schemas.openxmlformats.org/officeDocument/2006/relationships/hyperlink" Target="https://finance.biggo.jp/news/jpx_tdnet_140120260806512201" TargetMode="External"/><Relationship Id="rId0whesyusyema7f2phw6sw" Type="http://schemas.openxmlformats.org/officeDocument/2006/relationships/hyperlink" Target="https://finance.logmi.jp/articles/385621" TargetMode="External"/><Relationship Id="rIdshvaws_-l2kfqqsiuh8pb" Type="http://schemas.openxmlformats.org/officeDocument/2006/relationships/hyperlink" Target="https://www.nikkei.com/article/DGXZQOUB067LD0W6A800C2000000/" TargetMode="External"/><Relationship Id="rIdlfomc3nnb3bsgnfkcx3o7" Type="http://schemas.openxmlformats.org/officeDocument/2006/relationships/hyperlink" Target="https://finance.yahoo.co.jp/news/detail/bfb0b331c619a05517347a116f4050ab9e91ecb0" TargetMode="External"/><Relationship Id="rIdejwwwqcct-tfzj_8gtglr" Type="http://schemas.openxmlformats.org/officeDocument/2006/relationships/hyperlink" Target="https://kabuyoho.ifis.co.jp/index.php?action=tp1&amp;sa=report_pbr&amp;bcode=8804" TargetMode="External"/><Relationship Id="rIdgitwt0langhlwtqglc8id" Type="http://schemas.openxmlformats.org/officeDocument/2006/relationships/hyperlink" Target="https://minkabu.jp/stock/8804/analyst_consensus" TargetMode="External"/><Relationship Id="rIdsebws-xnu_l8l8eu1xhmo" Type="http://schemas.openxmlformats.org/officeDocument/2006/relationships/hyperlink" Target="https://www.theglobeandmail.com/investing/markets/stocks/TYTMF/pressreleases/1924014/tokyo-tatemono-posts-soft-q1-fy2026-results-but-keeps-full-year-outlook-intact/" TargetMode="External"/><Relationship Id="rIdx9bn2ffvae3bynb902xqz" Type="http://schemas.openxmlformats.org/officeDocument/2006/relationships/hyperlink" Target="https://minkabu.jp/news/4589327" TargetMode="External"/><Relationship Id="rId8pwkpwak4gkhk_das2fbd" Type="http://schemas.openxmlformats.org/officeDocument/2006/relationships/hyperlink" Target="https://minkabu.jp/news/4589327" TargetMode="External"/><Relationship Id="rIdhie8bxb96yzihkbtxdol6" Type="http://schemas.openxmlformats.org/officeDocument/2006/relationships/hyperlink" Target="https://minkabu.jp/news/4589327" TargetMode="External"/><Relationship Id="rIdl33qtpfbnatqsw71ipznq" Type="http://schemas.openxmlformats.org/officeDocument/2006/relationships/hyperlink" Target="https://kabuyoho.ifis.co.jp/index.php?action=tp1&amp;sa=report_pbr&amp;bcode=8804" TargetMode="External"/><Relationship Id="rIdq-xgodfps41g7fqqixg_-" Type="http://schemas.openxmlformats.org/officeDocument/2006/relationships/hyperlink" Target="https://minkabu.jp/stock/8804/analyst_consensus" TargetMode="External"/><Relationship Id="rId6tkeje-erdqscr0fzox7n" Type="http://schemas.openxmlformats.org/officeDocument/2006/relationships/hyperlink" Target="https://raw.githubusercontent.com/edamame384/stock_selection/HEAD/projects/shikiho_text_parser/data/raw/4Q-2/8804.txt" TargetMode="External"/><Relationship Id="rIdkiz5ksztrgz4u-y-4v2ht" Type="http://schemas.openxmlformats.org/officeDocument/2006/relationships/hyperlink" Target="https://edinetdb.jp/company/E03859" TargetMode="External"/><Relationship Id="rIdzam5luc2equ4962pqzdpp" Type="http://schemas.openxmlformats.org/officeDocument/2006/relationships/hyperlink" Target="https://finance.logmi.jp/articles/385621" TargetMode="External"/><Relationship Id="rIdbk1ww8g4lrufh4erppyn2" Type="http://schemas.openxmlformats.org/officeDocument/2006/relationships/hyperlink" Target="https://raw.githubusercontent.com/yuukimiyo/stdata-jp/HEAD/8/88040/2023/BusinessPolicyEtc" TargetMode="External"/><Relationship Id="rIdyx0mid8de4i5adfxl_8_m" Type="http://schemas.openxmlformats.org/officeDocument/2006/relationships/hyperlink" Target="https://raw.githubusercontent.com/yuukimiyo/stdata-jp/HEAD/8/88040/2023/BusinessRisks" TargetMode="External"/><Relationship Id="rIdm1hcoyrfrhb4l4cfjjj_l" Type="http://schemas.openxmlformats.org/officeDocument/2006/relationships/hyperlink" Target="https://raw.githubusercontent.com/code4fukui/EDINET/HEAD/data/documents/2026-08-17.csv" TargetMode="External"/><Relationship Id="rIdzt6mnl4sunekla-bkezvw" Type="http://schemas.openxmlformats.org/officeDocument/2006/relationships/hyperlink" Target="https://www.rakuten-sec.co.jp/web/bond/jbond/products/20250630/" TargetMode="External"/><Relationship Id="rIdprqcptyomnlqr2r45utod" Type="http://schemas.openxmlformats.org/officeDocument/2006/relationships/hyperlink" Target="https://matsunosuke.jp/tokyo-tatemono-bond/" TargetMode="External"/><Relationship Id="rIdxdcjl0ipoilvao41qgzea" Type="http://schemas.openxmlformats.org/officeDocument/2006/relationships/hyperlink" Target="https://jcr.co.jp/download/10194f47b690f5b8ad8096559f9868ffb09165b80805048511/25d0289.pdf" TargetMode="External"/><Relationship Id="rIdqsno0r9hij1-svimz3rvi" Type="http://schemas.openxmlformats.org/officeDocument/2006/relationships/hyperlink" Target="https://raw.githubusercontent.com/edamame384/stock_selection/HEAD/projects/shikiho_text_parser/data/raw/4Q-2/8804.txt" TargetMode="External"/><Relationship Id="rIdqk0oti_nmewqtxmlr3lvs" Type="http://schemas.openxmlformats.org/officeDocument/2006/relationships/hyperlink" Target="https://maonline.jp/db/tob/2018/42" TargetMode="External"/><Relationship Id="rIdk4h_ufj1oks-ngrz7ck44" Type="http://schemas.openxmlformats.org/officeDocument/2006/relationships/hyperlink" Target="https://irbank.net/E03859/value" TargetMode="External"/><Relationship Id="rIdakbwovrx2iaemcjtigvy0" Type="http://schemas.openxmlformats.org/officeDocument/2006/relationships/hyperlink" Target="https://pdf.irpocket.com/C8804/doF3/FpJe/bqVe.pdf" TargetMode="External"/><Relationship Id="rIdmjwswqrbn4zjhcjzucjcx" Type="http://schemas.openxmlformats.org/officeDocument/2006/relationships/hyperlink" Target="https://kabu.tagu-blog.com/real-estate-stocks-7-rates-2026/" TargetMode="External"/><Relationship Id="rIdppkkoc8desg4dpiuojkyt" Type="http://schemas.openxmlformats.org/officeDocument/2006/relationships/hyperlink" Target="https://tsubame104.com/archives/98973" TargetMode="External"/><Relationship Id="rIdaurrdvmx3_vizp0wsdbgn" Type="http://schemas.openxmlformats.org/officeDocument/2006/relationships/hyperlink" Target="https://raw.githubusercontent.com/edamame384/stock_selection/HEAD/projects/shikiho_text_parser/data/raw/4Q-2/8804.txt" TargetMode="External"/><Relationship Id="rIdys0dar3g5pr4u4dpbkkgp" Type="http://schemas.openxmlformats.org/officeDocument/2006/relationships/hyperlink" Target="https://s.kabutan.jp/news/n202609150922" TargetMode="External"/><Relationship Id="rId--hrtlfs-nh5-b7ltukwz" Type="http://schemas.openxmlformats.org/officeDocument/2006/relationships/hyperlink" Target="https://raw.githubusercontent.com/edamame384/stock_selection/HEAD/projects/shikiho_text_parser/data/raw/4Q-2/8956.txt" TargetMode="External"/><Relationship Id="rIdfekp6ebt0e27hemvr0au1" Type="http://schemas.openxmlformats.org/officeDocument/2006/relationships/hyperlink" Target="https://raw.githubusercontent.com/edamame384/stock_selection/HEAD/projects/shikiho_text_parser/data/raw/4Q-2/8830.txt" TargetMode="External"/><Relationship Id="rIdejwhtnugydii7pwuinvtg" Type="http://schemas.openxmlformats.org/officeDocument/2006/relationships/hyperlink" Target="https://benzinga.com/markets/asia/24/02/36946775/None" TargetMode="External"/><Relationship Id="rIdyltb2gnc0qa3y0zlrw4zw" Type="http://schemas.openxmlformats.org/officeDocument/2006/relationships/hyperlink" Target="https://www.sbbit.jp/article/refers/75763" TargetMode="External"/><Relationship Id="rIdisdbgk5_3qps-g-i4iq6n" Type="http://schemas.openxmlformats.org/officeDocument/2006/relationships/hyperlink" Target="https://www.sbbit.jp/article/refers/80837" TargetMode="External"/><Relationship Id="rId9qq7qvmivkh4djsnwn3x8" Type="http://schemas.openxmlformats.org/officeDocument/2006/relationships/hyperlink" Target="https://www.nihon-ma.co.jp/news/20241127_187A-1" TargetMode="External"/><Relationship Id="rIdsu6rpiyddgvt16oqz9tet" Type="http://schemas.openxmlformats.org/officeDocument/2006/relationships/hyperlink" Target="https://trafficnews.jp/post/494129" TargetMode="External"/><Relationship Id="rIdmvraycpx2ywg4jorz4ezj" Type="http://schemas.openxmlformats.org/officeDocument/2006/relationships/hyperlink" Target="https://www.nihon-ma.co.jp/news/20260410_8001-227" TargetMode="External"/><Relationship Id="rIdyyrfmax8vox67yjku98g7" Type="http://schemas.openxmlformats.org/officeDocument/2006/relationships/hyperlink" Target="https://s.kabutan.jp/news/n202609150922" TargetMode="External"/><Relationship Id="rIdoi9nwf6u7uvo4csibzpwp" Type="http://schemas.openxmlformats.org/officeDocument/2006/relationships/hyperlink" Target="https://maonline.jp/db/tob/2018/42" TargetMode="External"/><Relationship Id="rIdjndbmqd4spvzncxfgq6sn" Type="http://schemas.openxmlformats.org/officeDocument/2006/relationships/hyperlink" Target="https://maonline.jp/news/20200403jp" TargetMode="External"/><Relationship Id="rIdgoi4kujnsmaiw2c7ner53" Type="http://schemas.openxmlformats.org/officeDocument/2006/relationships/hyperlink" Target="https://maonline.jp/news/20201120d" TargetMode="External"/><Relationship Id="rIdeywofjwax0bx_8zgh1zyk" Type="http://schemas.openxmlformats.org/officeDocument/2006/relationships/hyperlink" Target="https://www.sbbit.jp/article/refers/48043" TargetMode="External"/><Relationship Id="rIdevauutjj2qccbpjqazrke" Type="http://schemas.openxmlformats.org/officeDocument/2006/relationships/hyperlink" Target="https://pdf.irpocket.com/C8804/HJXQ/ZXAr/cQ9X.pdf" TargetMode="External"/><Relationship Id="rIdebh-9poswqar6p8zr7h6w" Type="http://schemas.openxmlformats.org/officeDocument/2006/relationships/hyperlink" Target="https://www.thejakartapost.com/adv/2018/12/15/farpoint-tokyo-tatemono-set-up-joint-venture-company.html" TargetMode="External"/><Relationship Id="rId5wkzguymbcumelnthuj0e" Type="http://schemas.openxmlformats.org/officeDocument/2006/relationships/hyperlink" Target="https://nfm.nikkeibp.co.jp/atcl/news/21/00001/03381/" TargetMode="External"/><Relationship Id="rIdog0hhwe8qskdgmoicydhk" Type="http://schemas.openxmlformats.org/officeDocument/2006/relationships/hyperlink" Target="https://tatemono.com/english/news/20250114.html" TargetMode="External"/><Relationship Id="rId8cg5xwpxggv2yffglybgc" Type="http://schemas.openxmlformats.org/officeDocument/2006/relationships/hyperlink" Target="https://tatemono.com/english/news/20251201.html" TargetMode="External"/><Relationship Id="rIdkeryy5wyfjir4o-ut37ig" Type="http://schemas.openxmlformats.org/officeDocument/2006/relationships/hyperlink" Target="https://tatemono.com/english/news/20251223.html" TargetMode="External"/><Relationship Id="rIdnhwfta-z7h3na8_dtwssz" Type="http://schemas.openxmlformats.org/officeDocument/2006/relationships/hyperlink" Target="https://maonline.jp/kabuhoyu/sh-s100y6e2" TargetMode="External"/><Relationship Id="rIdaqjbtur0ejydmitcddop5" Type="http://schemas.openxmlformats.org/officeDocument/2006/relationships/hyperlink" Target="https://raw.githubusercontent.com/code4fukui/EDINET/HEAD/data/documents/2024-12-12.csv" TargetMode="External"/><Relationship Id="rIdoaomekpnemvzsxme_ha4m" Type="http://schemas.openxmlformats.org/officeDocument/2006/relationships/hyperlink" Target="https://tatemono.com/english/ir/library/integrated/cfo.html" TargetMode="External"/><Relationship Id="rIdsvdzg0ndhhyhltuixkiyw" Type="http://schemas.openxmlformats.org/officeDocument/2006/relationships/hyperlink" Target="https://www.logi-today.com/684031" TargetMode="External"/><Relationship Id="rIdxyrch1jyvnr5hltdwfa8a" Type="http://schemas.openxmlformats.org/officeDocument/2006/relationships/hyperlink" Target="https://www.jutaku-s.com/newsp/id/0000061122" TargetMode="External"/><Relationship Id="rIddhjyqeqcwsogbppzrrbrk" Type="http://schemas.openxmlformats.org/officeDocument/2006/relationships/hyperlink" Target="https://j-lic.com/companies/8804/directors" TargetMode="External"/><Relationship Id="rId_m3xxz7j9gv_1isvuokib" Type="http://schemas.openxmlformats.org/officeDocument/2006/relationships/hyperlink" Target="https://irbank.net/E03859/officer" TargetMode="External"/><Relationship Id="rIdoeja8xjc1cqkzl0udbasx" Type="http://schemas.openxmlformats.org/officeDocument/2006/relationships/hyperlink" Target="https://tatemono.com/ir/individual/pdf/briefing_materials241010.pdf" TargetMode="External"/><Relationship Id="rId-zaqivlfv1136kjxiqm62" Type="http://schemas.openxmlformats.org/officeDocument/2006/relationships/hyperlink" Target="https://raw.githubusercontent.com/yuukimiyo/stdata-jp/HEAD/8/88040/2023/BusinessPolicyEtc" TargetMode="External"/><Relationship Id="rIdttzw-rzm9fnlher4f2dhb" Type="http://schemas.openxmlformats.org/officeDocument/2006/relationships/hyperlink" Target="https://edinetdb.jp/company/E03859/compensation-text?fy=2025" TargetMode="External"/><Relationship Id="rIdalw_afvwmjv218qpwev0a" Type="http://schemas.openxmlformats.org/officeDocument/2006/relationships/hyperlink" Target="https://tatemono.com/company/pdf/plan2027_250116_ja.pdf" TargetMode="External"/><Relationship Id="rIdcj38z6gmswxadkfwe-ut7" Type="http://schemas.openxmlformats.org/officeDocument/2006/relationships/hyperlink" Target="https://www.nikkei.com/nkd/company/gaiyo/?scode=8804" TargetMode="External"/><Relationship Id="rIdfhh4iwfvbx-mr53w25cuh" Type="http://schemas.openxmlformats.org/officeDocument/2006/relationships/hyperlink" Target="https://tatemono.com/sustainability/pdf/2020csr019.pdf" TargetMode="External"/><Relationship Id="rIdgj5_sh7_zd7emgpotrlgy" Type="http://schemas.openxmlformats.org/officeDocument/2006/relationships/hyperlink" Target="https://the-shashi.com/tse/8804/ceo/" TargetMode="External"/><Relationship Id="rIdpzv35ive73ttosml1snxr" Type="http://schemas.openxmlformats.org/officeDocument/2006/relationships/hyperlink" Target="https://tatemono.com/english/company/pdf/company_overview.pdf" TargetMode="External"/><Relationship Id="rIdoqdx3iibcf4a2-bo92qeh" Type="http://schemas.openxmlformats.org/officeDocument/2006/relationships/hyperlink" Target="https://s.srdb.jp/8804/archives/2021/content-1-2.html" TargetMode="External"/><Relationship Id="rIduex5xvt-ebpxy53pzp51a" Type="http://schemas.openxmlformats.org/officeDocument/2006/relationships/hyperlink" Target="https://donburi.accountant/history/?ds=118794&amp;do=10&amp;cname=%E6%9D%B1%E4%BA%AC%E5%BB%BA%E7%89%A9%E6%A0%AA%E5%BC%8F%E4%BC%9A%E7%A4%BE" TargetMode="External"/><Relationship Id="rIdoinp5hm9btimkjnoswtt2" Type="http://schemas.openxmlformats.org/officeDocument/2006/relationships/hyperlink" Target="https://tatemono.com/ir/stock/pdf/208_sokaisyosyutsuchi_01.pdf" TargetMode="External"/><Relationship Id="rIdy4gpffurrazy-q6uvhb4o" Type="http://schemas.openxmlformats.org/officeDocument/2006/relationships/hyperlink" Target="https://s.srdb.jp/8804/content-1-2.html" TargetMode="External"/><Relationship Id="rIdtid4fksvkgustewsv33ib" Type="http://schemas.openxmlformats.org/officeDocument/2006/relationships/hyperlink" Target="https://j-lic.com/companies/8804/directors" TargetMode="External"/><Relationship Id="rIdadqeltv7ewwskvtubkjst" Type="http://schemas.openxmlformats.org/officeDocument/2006/relationships/hyperlink" Target="https://tatemono.com/ir/library/pdf/integrated_2026_70.pdf" TargetMode="External"/><Relationship Id="rIdyfvw1xmb17eql8nqnbtnz" Type="http://schemas.openxmlformats.org/officeDocument/2006/relationships/hyperlink" Target="https://disclosure2dl.edinet-fsa.go.jp/searchdocument/pdf/S100VIBB.pdf" TargetMode="External"/><Relationship Id="rIdxws32stoqdyup_zdme_ad" Type="http://schemas.openxmlformats.org/officeDocument/2006/relationships/hyperlink" Target="https://finance.yahoo.co.jp/quote/8804.T/profile" TargetMode="External"/><Relationship Id="rId1akzhhdnw-ff8qb15enev" Type="http://schemas.openxmlformats.org/officeDocument/2006/relationships/hyperlink" Target="https://irbank.net/E03859/holder" TargetMode="External"/><Relationship Id="rIdzyzmb3wbfcufvmqrzu8e5" Type="http://schemas.openxmlformats.org/officeDocument/2006/relationships/hyperlink" Target="https://raw.githubusercontent.com/edamame384/stock_selection/HEAD/projects/shikiho_text_parser/data/raw/4Q-2/8804.txt" TargetMode="External"/><Relationship Id="rIdwi5y2w_qbpdx-sa0g94e7" Type="http://schemas.openxmlformats.org/officeDocument/2006/relationships/hyperlink" Target="https://www.buffett-code.com/shareholder/1f2c707ea4a457a113d417a837a2265a" TargetMode="External"/><Relationship Id="rIddzdaxsg_gehqn3-pkizuf" Type="http://schemas.openxmlformats.org/officeDocument/2006/relationships/hyperlink" Target="https://kabutan.jp/news/marketnews/?b=n202512030954" TargetMode="External"/><Relationship Id="rIdvlucfxyvbxqnnoikodjw-" Type="http://schemas.openxmlformats.org/officeDocument/2006/relationships/hyperlink" Target="https://kabutan.jp/news/marketnews/?b=n202604210334" TargetMode="External"/><Relationship Id="rIdil3l_jqcz6c8ohy2qk2g_" Type="http://schemas.openxmlformats.org/officeDocument/2006/relationships/hyperlink" Target="https://maonline.jp/kabuhoyu/sh-s100pdt6" TargetMode="External"/><Relationship Id="rIdseorpvfxcdu0ircl9gntv" Type="http://schemas.openxmlformats.org/officeDocument/2006/relationships/hyperlink" Target="https://maonline.jp/kabuhoyu/sh-s100pxi6" TargetMode="External"/><Relationship Id="rId0orga_x_nr4o5uepypvwl" Type="http://schemas.openxmlformats.org/officeDocument/2006/relationships/hyperlink" Target="https://asia.nikkei.com/business/business-trends/record-50-japanese-firms-hit-with-activist-shareholder-proposals" TargetMode="External"/><Relationship Id="rIdapgxjbqok4urkyqxapn04" Type="http://schemas.openxmlformats.org/officeDocument/2006/relationships/hyperlink" Target="https://irbank.net/8804/short?f=3" TargetMode="External"/><Relationship Id="rIduo4ovicgg3nezk5xnpv5b" Type="http://schemas.openxmlformats.org/officeDocument/2006/relationships/hyperlink" Target="https://kabutan.jp/stock/?code=8804" TargetMode="External"/><Relationship Id="rIdsmfud9cohhw4mwmr-tbqx" Type="http://schemas.openxmlformats.org/officeDocument/2006/relationships/hyperlink" Target="https://pdf.irpocket.com/C8804/nKx5/jOqo/DdBC.pdf" TargetMode="External"/><Relationship Id="rIdblziaz3f9pz-ifllpitii" Type="http://schemas.openxmlformats.org/officeDocument/2006/relationships/hyperlink" Target="https://www.constnews.com/?p=77656" TargetMode="External"/><Relationship Id="rIdz4sveyjgri9cvc7u_1rgi" Type="http://schemas.openxmlformats.org/officeDocument/2006/relationships/hyperlink" Target="https://finance.logmi.jp/articles/385621" TargetMode="External"/><Relationship Id="rId3dus6aozjrd5bveubgwdb" Type="http://schemas.openxmlformats.org/officeDocument/2006/relationships/hyperlink" Target="https://xtech.nikkei.com/atcl/nxt/column/18/00110/00348/" TargetMode="External"/><Relationship Id="rIdpfkgv1ropkhx1ftlvuvy9" Type="http://schemas.openxmlformats.org/officeDocument/2006/relationships/hyperlink" Target="https://www.nikkei.com/prime/veritas/article/DGXZQOUC055XX0V00C26A2000000" TargetMode="External"/><Relationship Id="rIddywg1b_z1n7db5d7v9yzp" Type="http://schemas.openxmlformats.org/officeDocument/2006/relationships/hyperlink" Target="https://www.jpr-reit.co.jp/file/ir_library_other_file-e1fd4de66a9a0b87bc1127d8cbab0e2741bf0bb7.pdf" TargetMode="External"/><Relationship Id="rIdhqghd_qfrsd_nyi4bfhww" Type="http://schemas.openxmlformats.org/officeDocument/2006/relationships/hyperlink" Target="https://kabutan.jp/stock/holder?code=3003" TargetMode="External"/><Relationship Id="rIdmhzin5ato0zrsmzesjxdb" Type="http://schemas.openxmlformats.org/officeDocument/2006/relationships/hyperlink" Target="https://kabutan.jp/stock/holder?code=9324" TargetMode="External"/><Relationship Id="rIduufagimpljm-diqqzlcto" Type="http://schemas.openxmlformats.org/officeDocument/2006/relationships/hyperlink" Target="https://kabutan.jp/holder/lists/?holdername=%E6%9D%B1%E4%BA%AC%E5%BB%BA%E7%89%A9&amp;market=1" TargetMode="External"/><Relationship Id="rIdcvnb02khrrmhdp8gvmeyh" Type="http://schemas.openxmlformats.org/officeDocument/2006/relationships/hyperlink" Target="https://raw.githubusercontent.com/yuukimiyo/stdata-jp/HEAD/8/88040/2023/DescriptionOfBusiness" TargetMode="External"/><Relationship Id="rIdzjhqmb91_yibocrifxv00" Type="http://schemas.openxmlformats.org/officeDocument/2006/relationships/hyperlink" Target="https://f-p.jp/media/?p=21023" TargetMode="External"/><Relationship Id="rId1wlcektdfpjugom_1wvwu" Type="http://schemas.openxmlformats.org/officeDocument/2006/relationships/hyperlink" Target="https://www.nikkei.com/article/DGXZQOUB067LD0W6A800C2000000/" TargetMode="External"/><Relationship Id="rIdnny47sonjazhxz0r05dvk" Type="http://schemas.openxmlformats.org/officeDocument/2006/relationships/hyperlink" Target="https://filingreader.com/news-wire/tokyo/2025-04-01/tokyo-tatemono-executes-share-buyback-program-acquires-176400-shares" TargetMode="External"/><Relationship Id="rIdwwuzuwiq9jilmlt2wl907" Type="http://schemas.openxmlformats.org/officeDocument/2006/relationships/hyperlink" Target="https://s.srdb.jp/8804/content-1-1.html" TargetMode="External"/><Relationship Id="rIddlbatmxaoomlvyle7v6ql" Type="http://schemas.openxmlformats.org/officeDocument/2006/relationships/hyperlink" Target="https://j-lic.com/companies/8804" TargetMode="External"/><Relationship Id="rIdgcqiynwzkpqn7sob8ggof" Type="http://schemas.openxmlformats.org/officeDocument/2006/relationships/hyperlink" Target="https://scouter.monex.co.jp/report/dps/8804" TargetMode="External"/><Relationship Id="rIdigqvan1jgmgftfgjpevm6" Type="http://schemas.openxmlformats.org/officeDocument/2006/relationships/hyperlink" Target="https://tatemono.com/ir/stock/returning.html" TargetMode="External"/><Relationship Id="rIdisk8qrjeaeoxlryv7hnoo" Type="http://schemas.openxmlformats.org/officeDocument/2006/relationships/hyperlink" Target="https://www.nikkei.com/article/DGXZQOUB184UQ0Y6A510C2000000/" TargetMode="External"/><Relationship Id="rIdasvb25tjxqtwx-u9s6apl" Type="http://schemas.openxmlformats.org/officeDocument/2006/relationships/hyperlink" Target="https://kabu.tagu-blog.com/real-estate-stocks-7-rates-2026/" TargetMode="External"/><Relationship Id="rId6vmwwerycq1hpcy4dvrx1" Type="http://schemas.openxmlformats.org/officeDocument/2006/relationships/hyperlink" Target="https://tatemono.com/english/company/pdf/plan2027_250116_en.pdf" TargetMode="External"/><Relationship Id="rId11" Type="http://schemas.openxmlformats.org/officeDocument/2006/relationships/image" Target="media/552775a7cfdbf6ca15b6276d71ef6b1e471c77a3.png"/><Relationship Id="rId12" Type="http://schemas.openxmlformats.org/officeDocument/2006/relationships/image" Target="media/14d2241702af11ee0bbf4cc4b06542ef2222be47.png"/><Relationship Id="rId13" Type="http://schemas.openxmlformats.org/officeDocument/2006/relationships/image" Target="media/920cff3f2378c89a80a99edca9f3fa81b5d2831c.png"/><Relationship Id="rId14" Type="http://schemas.openxmlformats.org/officeDocument/2006/relationships/image" Target="media/96e1888aa656ba1d5d00a60553cbcae8c344893b.png"/><Relationship Id="rId15" Type="http://schemas.openxmlformats.org/officeDocument/2006/relationships/image" Target="media/dfb7997341ef4bc478044f837fb81f9320990000.png"/><Relationship Id="rId16" Type="http://schemas.openxmlformats.org/officeDocument/2006/relationships/image" Target="media/ad87fe280fc791d8fc71e670b6678fb8b14aaa39.png"/><Relationship Id="rId17" Type="http://schemas.openxmlformats.org/officeDocument/2006/relationships/image" Target="media/0d86f83487a69998d5d2c1c0d878e641acffecf1.png"/><Relationship Id="rId18" Type="http://schemas.openxmlformats.org/officeDocument/2006/relationships/image" Target="media/f2e0f562c1e46dd51d1b8df238cbc45e0900f934.png"/><Relationship Id="rId19" Type="http://schemas.openxmlformats.org/officeDocument/2006/relationships/image" Target="media/8469cfde067cb220b02b7421dd5d26c103caf703.png"/><Relationship Id="rId20" Type="http://schemas.openxmlformats.org/officeDocument/2006/relationships/image" Target="media/f5ee2f180b6d3da62ba7c269e8a8e4aeec9ab8d6.png"/><Relationship Id="rId21" Type="http://schemas.openxmlformats.org/officeDocument/2006/relationships/image" Target="media/756f4ec1484d05532cffd79d29b0cf3f2832d50e.png"/><Relationship Id="rId2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Tokyo Tatemono Co., Ltd.</dc:title>
  <dc:creator>Research</dc:creator>
  <dc:description>TSE Prime: 8804  |  Bloomberg: 8804 JP  |  Real estate development &amp; leasing</dc:description>
  <cp:lastModifiedBy>Un-named</cp:lastModifiedBy>
  <cp:revision>1</cp:revision>
  <dcterms:created xsi:type="dcterms:W3CDTF">2026-10-04T14:00:41.210Z</dcterms:created>
  <dcterms:modified xsi:type="dcterms:W3CDTF">2026-10-04T14:00:41.211Z</dcterms:modified>
</cp:coreProperties>
</file>

<file path=docProps/custom.xml><?xml version="1.0" encoding="utf-8"?>
<Properties xmlns="http://schemas.openxmlformats.org/officeDocument/2006/custom-properties" xmlns:vt="http://schemas.openxmlformats.org/officeDocument/2006/docPropsVTypes"/>
</file>