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2816"/>
        <w:gridCol w:w="6383"/>
      </w:tblGrid>
      <w:tr>
        <w:trPr>
          <w:trHeight w:val="10368" w:hRule="exact"/>
        </w:trPr>
        <w:tc>
          <w:tcPr>
            <w:tcW w:type="dxa" w:w="12816"/>
            <w:shd w:val="clear" w:color="auto" w:fill="13213F"/>
            <w:tcMar>
              <w:top w:w="1100" w:type="dxa"/>
              <w:left w:w="1150" w:type="dxa"/>
              <w:bottom w:w="200" w:type="dxa"/>
              <w:right w:w="300" w:type="dxa"/>
            </w:tcMar>
            <w:tcBorders>
              <w:top w:val="nil"/>
              <w:left w:val="nil"/>
              <w:bottom w:val="nil"/>
              <w:right w:val="single" w:sz="6" w:color="4B5A78"/>
            </w:tcBorders>
          </w:tcPr>
          <w:p>
            <w:pPr>
              <w:pBdr>
                <w:bottom w:val="single" w:sz="6" w:space="2" w:color="8FB3F0"/>
              </w:pBdr>
              <w:spacing w:after="280"/>
            </w:pPr>
            <w:r>
              <w:rPr>
                <w:rFonts w:ascii="Arial" w:hAnsi="Arial"/>
                <w:b/>
                <w:i w:val="0"/>
                <w:color w:val="8FB3F0"/>
                <w:sz w:val="18"/>
              </w:rPr>
              <w:t>INVESTMENT COMMITTEE MEMO</w:t>
            </w:r>
          </w:p>
          <w:p>
            <w:pPr>
              <w:spacing w:before="200" w:after="20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64"/>
              </w:rPr>
              <w:t>Halyk Bank of Kazakhstan JSC</w:t>
            </w:r>
          </w:p>
          <w:p>
            <w:pPr>
              <w:spacing w:before="0" w:after="440" w:line="276" w:lineRule="auto"/>
            </w:pPr>
            <w:r>
              <w:rPr>
                <w:rFonts w:ascii="Arial" w:hAnsi="Arial"/>
                <w:b w:val="0"/>
                <w:i w:val="0"/>
                <w:color w:val="C9D3E6"/>
                <w:sz w:val="26"/>
              </w:rPr>
              <w:t>LSE: HSBK - Kazakhstan's dominant bank at 4.5x earnings and a 13% yield; 2026 is the earnings trough and the ALMEX lock-up expiry is the entry point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3456"/>
              <w:gridCol w:w="216"/>
              <w:gridCol w:w="4752"/>
            </w:tblGrid>
            <w:tr>
              <w:tc>
                <w:tcPr>
                  <w:tcW w:type="dxa" w:w="3456"/>
                  <w:shd w:val="clear" w:color="auto" w:fill="2F6FD0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2"/>
                    </w:rPr>
                    <w:t>RECOMMENDATION: BUY</w:t>
                  </w:r>
                </w:p>
              </w:tc>
              <w:tc>
                <w:tcPr>
                  <w:tcW w:type="dxa" w:w="216"/>
                </w:tcPr>
                <w:p/>
              </w:tc>
              <w:tc>
                <w:tcPr>
                  <w:tcW w:type="dxa" w:w="4752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tcBorders>
                    <w:top w:val="single" w:sz="12" w:color="FFFFFF"/>
                    <w:left w:val="single" w:sz="12" w:color="FFFFFF"/>
                    <w:bottom w:val="single" w:sz="12" w:color="FFFFFF"/>
                    <w:right w:val="single" w:sz="12" w:color="FFFFFF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2"/>
                    </w:rPr>
                    <w:t>12-MO TARGET: US$38.0 (+14%)</w:t>
                  </w:r>
                </w:p>
              </w:tc>
            </w:tr>
          </w:tbl>
          <w:p/>
          <w:p>
            <w:pPr>
              <w:spacing w:before="0" w:after="520" w:line="240" w:lineRule="auto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2808"/>
              <w:gridCol w:w="2808"/>
              <w:gridCol w:w="2808"/>
              <w:gridCol w:w="2808"/>
            </w:tblGrid>
            <w:tr>
              <w:tc>
                <w:tcPr>
                  <w:tcW w:type="dxa" w:w="2808"/>
                  <w:tcMar>
                    <w:top w:w="140" w:type="dxa"/>
                    <w:left w:w="0" w:type="dxa"/>
                    <w:bottom w:w="40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A9B4C8"/>
                      <w:sz w:val="16"/>
                    </w:rPr>
                    <w:t>Reference price</w:t>
                  </w:r>
                </w:p>
              </w:tc>
              <w:tc>
                <w:tcPr>
                  <w:tcW w:type="dxa" w:w="2808"/>
                  <w:tcMar>
                    <w:top w:w="140" w:type="dxa"/>
                    <w:left w:w="0" w:type="dxa"/>
                    <w:bottom w:w="40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A9B4C8"/>
                      <w:sz w:val="16"/>
                    </w:rPr>
                    <w:t>52-wk range</w:t>
                  </w:r>
                </w:p>
              </w:tc>
              <w:tc>
                <w:tcPr>
                  <w:tcW w:type="dxa" w:w="2808"/>
                  <w:tcMar>
                    <w:top w:w="140" w:type="dxa"/>
                    <w:left w:w="0" w:type="dxa"/>
                    <w:bottom w:w="40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A9B4C8"/>
                      <w:sz w:val="16"/>
                    </w:rPr>
                    <w:t>Mkt cap</w:t>
                  </w:r>
                </w:p>
              </w:tc>
              <w:tc>
                <w:tcPr>
                  <w:tcW w:type="dxa" w:w="2808"/>
                  <w:tcMar>
                    <w:top w:w="140" w:type="dxa"/>
                    <w:left w:w="0" w:type="dxa"/>
                    <w:bottom w:w="40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A9B4C8"/>
                      <w:sz w:val="16"/>
                    </w:rPr>
                    <w:t>P/B (Jun-26)</w:t>
                  </w:r>
                </w:p>
              </w:tc>
            </w:tr>
            <w:tr>
              <w:tc>
                <w:tcPr>
                  <w:tcW w:type="dxa" w:w="2808"/>
                  <w:tcMar>
                    <w:top w:w="0" w:type="dxa"/>
                    <w:left w:w="0" w:type="dxa"/>
                    <w:bottom w:w="160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20"/>
                    </w:rPr>
                    <w:t>US$33.30 / GDR (40 sh)</w:t>
                  </w:r>
                </w:p>
              </w:tc>
              <w:tc>
                <w:tcPr>
                  <w:tcW w:type="dxa" w:w="2808"/>
                  <w:tcMar>
                    <w:top w:w="0" w:type="dxa"/>
                    <w:left w:w="0" w:type="dxa"/>
                    <w:bottom w:w="160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20"/>
                    </w:rPr>
                    <w:t>US$22.90-36.45</w:t>
                  </w:r>
                </w:p>
              </w:tc>
              <w:tc>
                <w:tcPr>
                  <w:tcW w:type="dxa" w:w="2808"/>
                  <w:tcMar>
                    <w:top w:w="0" w:type="dxa"/>
                    <w:left w:w="0" w:type="dxa"/>
                    <w:bottom w:w="160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20"/>
                    </w:rPr>
                    <w:t>US$9.1bn / KZT4.1trn</w:t>
                  </w:r>
                </w:p>
              </w:tc>
              <w:tc>
                <w:tcPr>
                  <w:tcW w:type="dxa" w:w="2808"/>
                  <w:tcMar>
                    <w:top w:w="0" w:type="dxa"/>
                    <w:left w:w="0" w:type="dxa"/>
                    <w:bottom w:w="160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20"/>
                    </w:rPr>
                    <w:t>1.12x</w:t>
                  </w:r>
                </w:p>
              </w:tc>
            </w:tr>
            <w:tr>
              <w:tc>
                <w:tcPr>
                  <w:tcW w:type="dxa" w:w="2808"/>
                  <w:tcMar>
                    <w:top w:w="140" w:type="dxa"/>
                    <w:left w:w="0" w:type="dxa"/>
                    <w:bottom w:w="40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A9B4C8"/>
                      <w:sz w:val="16"/>
                    </w:rPr>
                    <w:t>Dividend FY25</w:t>
                  </w:r>
                </w:p>
              </w:tc>
              <w:tc>
                <w:tcPr>
                  <w:tcW w:type="dxa" w:w="2808"/>
                  <w:tcMar>
                    <w:top w:w="140" w:type="dxa"/>
                    <w:left w:w="0" w:type="dxa"/>
                    <w:bottom w:w="40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A9B4C8"/>
                      <w:sz w:val="16"/>
                    </w:rPr>
                    <w:t>Largest holder</w:t>
                  </w:r>
                </w:p>
              </w:tc>
              <w:tc>
                <w:tcPr>
                  <w:tcW w:type="dxa" w:w="2808"/>
                  <w:tcMar>
                    <w:top w:w="140" w:type="dxa"/>
                    <w:left w:w="0" w:type="dxa"/>
                    <w:bottom w:w="40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A9B4C8"/>
                      <w:sz w:val="16"/>
                    </w:rPr>
                    <w:t>ROAE FY25 / 1H26</w:t>
                  </w:r>
                </w:p>
              </w:tc>
              <w:tc>
                <w:tcPr>
                  <w:tcW w:type="dxa" w:w="2808"/>
                  <w:tcMar>
                    <w:top w:w="140" w:type="dxa"/>
                    <w:left w:w="0" w:type="dxa"/>
                    <w:bottom w:w="40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A9B4C8"/>
                      <w:sz w:val="16"/>
                    </w:rPr>
                    <w:t>Next event</w:t>
                  </w:r>
                </w:p>
              </w:tc>
            </w:tr>
            <w:tr>
              <w:tc>
                <w:tcPr>
                  <w:tcW w:type="dxa" w:w="2808"/>
                  <w:tcMar>
                    <w:top w:w="0" w:type="dxa"/>
                    <w:left w:w="0" w:type="dxa"/>
                    <w:bottom w:w="160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20"/>
                    </w:rPr>
                    <w:t>KZT58.19 (15.6% yield)</w:t>
                  </w:r>
                </w:p>
              </w:tc>
              <w:tc>
                <w:tcPr>
                  <w:tcW w:type="dxa" w:w="2808"/>
                  <w:tcMar>
                    <w:top w:w="0" w:type="dxa"/>
                    <w:left w:w="0" w:type="dxa"/>
                    <w:bottom w:w="160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20"/>
                    </w:rPr>
                    <w:t>ALMEX ~62%</w:t>
                  </w:r>
                </w:p>
              </w:tc>
              <w:tc>
                <w:tcPr>
                  <w:tcW w:type="dxa" w:w="2808"/>
                  <w:tcMar>
                    <w:top w:w="0" w:type="dxa"/>
                    <w:left w:w="0" w:type="dxa"/>
                    <w:bottom w:w="160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20"/>
                    </w:rPr>
                    <w:t>32.6% / ~25%</w:t>
                  </w:r>
                </w:p>
              </w:tc>
              <w:tc>
                <w:tcPr>
                  <w:tcW w:type="dxa" w:w="2808"/>
                  <w:tcMar>
                    <w:top w:w="0" w:type="dxa"/>
                    <w:left w:w="0" w:type="dxa"/>
                    <w:bottom w:w="160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FFFFFF"/>
                      <w:sz w:val="20"/>
                    </w:rPr>
                    <w:t>9M26 results, mid-Nov</w:t>
                  </w:r>
                </w:p>
              </w:tc>
            </w:tr>
          </w:tbl>
          <w:p/>
          <w:p>
            <w:pPr>
              <w:spacing w:before="0" w:after="2600" w:line="240" w:lineRule="auto"/>
            </w:pPr>
          </w:p>
          <w:p>
            <w:pPr>
              <w:spacing w:before="1200" w:after="0" w:line="240" w:lineRule="auto"/>
            </w:pPr>
            <w:r>
              <w:rPr>
                <w:rFonts w:ascii="Arial" w:hAnsi="Arial"/>
                <w:b w:val="0"/>
                <w:i w:val="0"/>
                <w:color w:val="A9B4C8"/>
                <w:sz w:val="16"/>
              </w:rPr>
              <w:t>Prepared for Investment Committee review | 23 October 2026</w:t>
            </w:r>
          </w:p>
        </w:tc>
        <w:tc>
          <w:tcPr>
            <w:tcW w:type="dxa" w:w="6384"/>
            <w:shd w:val="clear" w:color="auto" w:fill="13213F"/>
            <w:tcMar>
              <w:top w:w="1100" w:type="dxa"/>
              <w:left w:w="400" w:type="dxa"/>
              <w:bottom w:w="200" w:type="dxa"/>
              <w:right w:w="700" w:type="dxa"/>
            </w:tcMar>
          </w:tcPr>
          <w:p/>
          <w:p>
            <w:pPr>
              <w:spacing w:before="360" w:after="1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52"/>
              </w:rPr>
              <w:t>4.5x</w:t>
            </w:r>
          </w:p>
          <w:p>
            <w:pPr>
              <w:spacing w:before="0" w:after="440" w:line="240" w:lineRule="auto"/>
              <w:pBdr>
                <w:bottom w:val="single" w:sz="4" w:space="2" w:color="4B5A78"/>
              </w:pBdr>
            </w:pPr>
            <w:r>
              <w:rPr>
                <w:rFonts w:ascii="Arial" w:hAnsi="Arial"/>
                <w:b w:val="0"/>
                <w:i w:val="0"/>
                <w:color w:val="C9D3E6"/>
                <w:sz w:val="16"/>
              </w:rPr>
              <w:t>P/E 2026E vs peer median ~7.5x</w:t>
            </w:r>
          </w:p>
          <w:p>
            <w:pPr>
              <w:spacing w:before="360" w:after="1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52"/>
              </w:rPr>
              <w:t>13.2%</w:t>
            </w:r>
          </w:p>
          <w:p>
            <w:pPr>
              <w:spacing w:before="0" w:after="440" w:line="240" w:lineRule="auto"/>
              <w:pBdr>
                <w:bottom w:val="single" w:sz="4" w:space="2" w:color="4B5A78"/>
              </w:pBdr>
            </w:pPr>
            <w:r>
              <w:rPr>
                <w:rFonts w:ascii="Arial" w:hAnsi="Arial"/>
                <w:b w:val="0"/>
                <w:i w:val="0"/>
                <w:color w:val="C9D3E6"/>
                <w:sz w:val="16"/>
              </w:rPr>
              <w:t>FY26E dividend yield at a 60% payout</w:t>
            </w:r>
          </w:p>
          <w:p>
            <w:pPr>
              <w:spacing w:before="360" w:after="120" w:line="240" w:lineRule="auto"/>
            </w:pPr>
            <w:r>
              <w:rPr>
                <w:rFonts w:ascii="Arial" w:hAnsi="Arial"/>
                <w:b/>
                <w:i w:val="0"/>
                <w:color w:val="8FB3F0"/>
                <w:sz w:val="52"/>
              </w:rPr>
              <w:t>US$38.0</w:t>
            </w:r>
          </w:p>
          <w:p>
            <w:pPr>
              <w:spacing w:before="0" w:after="440" w:line="240" w:lineRule="auto"/>
              <w:pBdr>
                <w:bottom w:val="single" w:sz="4" w:space="2" w:color="4B5A78"/>
              </w:pBdr>
            </w:pPr>
            <w:r>
              <w:rPr>
                <w:rFonts w:ascii="Arial" w:hAnsi="Arial"/>
                <w:b w:val="0"/>
                <w:i w:val="0"/>
                <w:color w:val="C9D3E6"/>
                <w:sz w:val="16"/>
              </w:rPr>
              <w:t>12-mo target; ~27% total return incl. dividends; prob-weighted US$38.9</w:t>
            </w:r>
          </w:p>
        </w:tc>
      </w:tr>
    </w:tbl>
    <w:p>
      <w:pPr>
        <w:spacing w:before="0" w:after="0" w:line="20" w:lineRule="exact"/>
        <w:sectPr>
          <w:pgSz w:w="19200" w:h="10800" w:orient="landscape"/>
          <w:pgMar w:top="0" w:right="0" w:bottom="0" w:left="0" w:header="0" w:footer="0" w:gutter="0"/>
          <w:cols w:space="720"/>
          <w:docGrid w:linePitch="360"/>
        </w:sectPr>
      </w:pP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4735"/>
        <w:gridCol w:w="3168"/>
      </w:tblGrid>
      <w:tr>
        <w:tc>
          <w:tcPr>
            <w:tcW w:type="dxa" w:w="147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F6FD0"/>
                <w:sz w:val="17"/>
              </w:rPr>
              <w:t>EXECUTIVE SUMMARY</w:t>
            </w:r>
          </w:p>
        </w:tc>
        <w:tc>
          <w:tcPr>
            <w:tcW w:type="dxa" w:w="316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jc w:val="right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2937"/>
            </w:tblGrid>
            <w:tr>
              <w:tc>
                <w:tcPr>
                  <w:tcW w:type="dxa" w:w="2938"/>
                  <w:shd w:val="clear" w:color="auto" w:fill="13213F"/>
                  <w:tcMar>
                    <w:top w:w="90" w:type="dxa"/>
                    <w:left w:w="80" w:type="dxa"/>
                    <w:bottom w:w="90" w:type="dxa"/>
                    <w:right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RECOMMENDATION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80" w:line="40" w:lineRule="exact"/>
        <w:pBdr>
          <w:bottom w:val="single" w:sz="6" w:space="2" w:color="1F2937"/>
        </w:pBdr>
      </w:pPr>
    </w:p>
    <w:p>
      <w:pPr>
        <w:spacing w:before="80" w:after="160" w:line="240" w:lineRule="auto"/>
      </w:pPr>
      <w:r>
        <w:rPr>
          <w:rFonts w:ascii="Arial" w:hAnsi="Arial"/>
          <w:b/>
          <w:i w:val="0"/>
          <w:color w:val="13213F"/>
          <w:sz w:val="36"/>
        </w:rPr>
        <w:t>Buy: a 25% ROE franchise at 4.5x earnings; use the ALMEX overhang to build the position</w:t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465"/>
        <w:gridCol w:w="144"/>
        <w:gridCol w:w="3465"/>
        <w:gridCol w:w="144"/>
        <w:gridCol w:w="3465"/>
        <w:gridCol w:w="144"/>
        <w:gridCol w:w="3465"/>
        <w:gridCol w:w="144"/>
        <w:gridCol w:w="3465"/>
      </w:tblGrid>
      <w:tr>
        <w:trPr>
          <w:trHeight w:val="1512" w:hRule="atLeast"/>
        </w:trPr>
        <w:tc>
          <w:tcPr>
            <w:tcW w:type="dxa" w:w="3466"/>
            <w:shd w:val="clear" w:color="auto" w:fill="EFF1F5"/>
            <w:tcMar>
              <w:top w:w="140" w:type="dxa"/>
              <w:left w:w="140" w:type="dxa"/>
              <w:bottom w:w="120" w:type="dxa"/>
              <w:right w:w="14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i w:val="0"/>
                <w:color w:val="13213F"/>
                <w:sz w:val="32"/>
              </w:rPr>
              <w:t>4.5x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i w:val="0"/>
                <w:color w:val="6B7280"/>
                <w:sz w:val="15"/>
              </w:rPr>
              <w:t>2026E P/E (4.1x 2027E); ~40% below the peer median P/E of 7.5x</w:t>
            </w:r>
          </w:p>
        </w:tc>
        <w:tc>
          <w:tcPr>
            <w:tcW w:type="dxa" w:w="144"/>
          </w:tcPr>
          <w:p/>
        </w:tc>
        <w:tc>
          <w:tcPr>
            <w:tcW w:type="dxa" w:w="3466"/>
            <w:shd w:val="clear" w:color="auto" w:fill="EFF1F5"/>
            <w:tcMar>
              <w:top w:w="140" w:type="dxa"/>
              <w:left w:w="140" w:type="dxa"/>
              <w:bottom w:w="120" w:type="dxa"/>
              <w:right w:w="14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i w:val="0"/>
                <w:color w:val="13213F"/>
                <w:sz w:val="32"/>
              </w:rPr>
              <w:t>13.2%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i w:val="0"/>
                <w:color w:val="6B7280"/>
                <w:sz w:val="15"/>
              </w:rPr>
              <w:t>FY26E dividend yield (60% payout); FY25 paid KZT58.19, +15%</w:t>
            </w:r>
          </w:p>
        </w:tc>
        <w:tc>
          <w:tcPr>
            <w:tcW w:type="dxa" w:w="144"/>
          </w:tcPr>
          <w:p/>
        </w:tc>
        <w:tc>
          <w:tcPr>
            <w:tcW w:type="dxa" w:w="3466"/>
            <w:shd w:val="clear" w:color="auto" w:fill="EFF1F5"/>
            <w:tcMar>
              <w:top w:w="140" w:type="dxa"/>
              <w:left w:w="140" w:type="dxa"/>
              <w:bottom w:w="120" w:type="dxa"/>
              <w:right w:w="14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i w:val="0"/>
                <w:color w:val="13213F"/>
                <w:sz w:val="32"/>
              </w:rPr>
              <w:t>19.0%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i w:val="0"/>
                <w:color w:val="6B7280"/>
                <w:sz w:val="15"/>
              </w:rPr>
              <w:t>k2 = CET1 capital ratio; ~700bp over the 12% minimum; ~KZT850bn surplus [e]</w:t>
            </w:r>
          </w:p>
        </w:tc>
        <w:tc>
          <w:tcPr>
            <w:tcW w:type="dxa" w:w="144"/>
          </w:tcPr>
          <w:p/>
        </w:tc>
        <w:tc>
          <w:tcPr>
            <w:tcW w:type="dxa" w:w="3466"/>
            <w:shd w:val="clear" w:color="auto" w:fill="EFF1F5"/>
            <w:tcMar>
              <w:top w:w="140" w:type="dxa"/>
              <w:left w:w="140" w:type="dxa"/>
              <w:bottom w:w="120" w:type="dxa"/>
              <w:right w:w="14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i w:val="0"/>
                <w:color w:val="13213F"/>
                <w:sz w:val="32"/>
              </w:rPr>
              <w:t>US$38.0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i w:val="0"/>
                <w:color w:val="6B7280"/>
                <w:sz w:val="15"/>
              </w:rPr>
              <w:t>12-mo target (+14%); with ~US$4.3 of dividends, ~27% total return</w:t>
            </w:r>
          </w:p>
        </w:tc>
        <w:tc>
          <w:tcPr>
            <w:tcW w:type="dxa" w:w="144"/>
          </w:tcPr>
          <w:p/>
        </w:tc>
        <w:tc>
          <w:tcPr>
            <w:tcW w:type="dxa" w:w="3466"/>
            <w:shd w:val="clear" w:color="auto" w:fill="EFF1F5"/>
            <w:tcMar>
              <w:top w:w="140" w:type="dxa"/>
              <w:left w:w="140" w:type="dxa"/>
              <w:bottom w:w="120" w:type="dxa"/>
              <w:right w:w="14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i w:val="0"/>
                <w:color w:val="13213F"/>
                <w:sz w:val="32"/>
              </w:rPr>
              <w:t>25%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i w:val="0"/>
                <w:color w:val="6B7280"/>
                <w:sz w:val="15"/>
              </w:rPr>
              <w:t>Bear-case probability (US$23.5, -29%); bull US$56.2 (+69%)</w:t>
            </w:r>
          </w:p>
        </w:tc>
      </w:tr>
    </w:tbl>
    <w:p>
      <w:pPr>
        <w:spacing w:before="0" w:after="120" w:line="240" w:lineRule="auto"/>
      </w:pP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699"/>
        <w:gridCol w:w="503"/>
        <w:gridCol w:w="8699"/>
      </w:tblGrid>
      <w:tr>
        <w:tc>
          <w:tcPr>
            <w:tcW w:type="dxa" w:w="870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20"/>
              <w:pBdr>
                <w:bottom w:val="single" w:sz="4" w:space="2" w:color="C9CCD3"/>
              </w:pBdr>
            </w:pPr>
            <w:r>
              <w:rPr>
                <w:rFonts w:ascii="Arial" w:hAnsi="Arial"/>
                <w:b/>
                <w:i w:val="0"/>
                <w:color w:val="13213F"/>
                <w:sz w:val="21"/>
              </w:rPr>
              <w:t>Why now - four forces converging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Earnings trough is visible: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1H26 NI -15% (MRR, BNPL rules, 25% bank CIT, VAT on fees); we forecast KZT900bn for 2026E, then +9% p.a.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Rate cuts: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NBK down 225bp to 15.75% (23-Oct); deposit costs lag, but volumes and credit quality improve from 2027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Supply event: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ALMEX's 365-day lock-up ends ~25-Nov-26; it plans to keep &gt;=51% (~11pp saleable)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Sovereign upgrade: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S&amp;P to BBB (Aug-26); Halyk's S&amp;P outlook positive; strong tenge</w:t>
            </w:r>
          </w:p>
        </w:tc>
        <w:tc>
          <w:tcPr>
            <w:tcW w:type="dxa" w:w="504"/>
          </w:tcPr>
          <w:p/>
        </w:tc>
        <w:tc>
          <w:tcPr>
            <w:tcW w:type="dxa" w:w="870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20"/>
              <w:pBdr>
                <w:bottom w:val="single" w:sz="4" w:space="2" w:color="C9CCD3"/>
              </w:pBdr>
            </w:pPr>
            <w:r>
              <w:rPr>
                <w:rFonts w:ascii="Arial" w:hAnsi="Arial"/>
                <w:b/>
                <w:i w:val="0"/>
                <w:color w:val="13213F"/>
                <w:sz w:val="21"/>
              </w:rPr>
              <w:t>What has to go right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6B728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NIM bottoms at ~6.5% in 2027 (6.8% in 1H26), not below 6.2%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6B728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Retail NPL 90+ (9.2%) is mostly 'mechanical' - the collector-sale pause - and CoR stays ~1.5%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6B728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Payout holds at ~60% (DPS FY26E KZT49.5) despite the new 2% retail buffer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6B728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No permanent bank levy: the 2025 10% excess-profit tax stays a one-off</w:t>
            </w:r>
          </w:p>
        </w:tc>
      </w:tr>
    </w:tbl>
    <w:p>
      <w:pPr>
        <w:spacing w:before="0" w:after="160" w:line="240" w:lineRule="auto"/>
      </w:pP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7903"/>
      </w:tblGrid>
      <w:tr>
        <w:tc>
          <w:tcPr>
            <w:tcW w:type="dxa" w:w="17904"/>
            <w:shd w:val="clear" w:color="auto" w:fill="EFF1F5"/>
            <w:tcBorders>
              <w:top w:val="nil"/>
              <w:left w:val="single" w:sz="36" w:color="13213F"/>
              <w:bottom w:val="nil"/>
              <w:right w:val="nil"/>
            </w:tcBorders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/>
                <w:i w:val="0"/>
                <w:color w:val="1F2937"/>
                <w:sz w:val="17"/>
              </w:rPr>
              <w:t>Position sizing: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value/income with an event overlay, medium conviction. Buy a third of the position now; add on the 9M26 print (mid-Nov) and any ALMEX placement after ~25-Nov (Nov-25 precedent: ~10% discount, then +31% in six weeks). Review triggers: dividend-policy change, NIM below 6.4%, any profit levy, block above 5% at a &gt;15% discount.</w:t>
            </w:r>
          </w:p>
        </w:tc>
      </w:tr>
    </w:tbl>
    <w:p>
      <w:pPr>
        <w:spacing w:after="0" w:before="0"/>
      </w:pPr>
      <w:r>
        <w:rPr>
          <w:sz w:val="2"/>
        </w:rPr>
        <w:br w:type="page"/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4735"/>
        <w:gridCol w:w="3168"/>
      </w:tblGrid>
      <w:tr>
        <w:tc>
          <w:tcPr>
            <w:tcW w:type="dxa" w:w="147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F6FD0"/>
                <w:sz w:val="17"/>
              </w:rPr>
              <w:t>BUSINESS OVERVIEW</w:t>
            </w:r>
          </w:p>
        </w:tc>
        <w:tc>
          <w:tcPr>
            <w:tcW w:type="dxa" w:w="316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jc w:val="right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1828"/>
            </w:tblGrid>
            <w:tr>
              <w:tc>
                <w:tcPr>
                  <w:tcW w:type="dxa" w:w="1829"/>
                  <w:shd w:val="clear" w:color="auto" w:fill="13213F"/>
                  <w:tcMar>
                    <w:top w:w="90" w:type="dxa"/>
                    <w:left w:w="80" w:type="dxa"/>
                    <w:bottom w:w="90" w:type="dxa"/>
                    <w:right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CONTEXT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80" w:line="40" w:lineRule="exact"/>
        <w:pBdr>
          <w:bottom w:val="single" w:sz="6" w:space="2" w:color="1F2937"/>
        </w:pBdr>
      </w:pPr>
    </w:p>
    <w:p>
      <w:pPr>
        <w:spacing w:before="80" w:after="160" w:line="240" w:lineRule="auto"/>
      </w:pPr>
      <w:r>
        <w:rPr>
          <w:rFonts w:ascii="Arial" w:hAnsi="Arial"/>
          <w:b/>
          <w:i w:val="0"/>
          <w:color w:val="13213F"/>
          <w:sz w:val="36"/>
        </w:rPr>
        <w:t>Halyk at a glance - #1 bank with 28% of assets and half of corporate lending</w:t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640"/>
        <w:gridCol w:w="503"/>
        <w:gridCol w:w="8755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20"/>
              <w:pBdr>
                <w:bottom w:val="single" w:sz="4" w:space="2" w:color="C9CCD3"/>
              </w:pBdr>
            </w:pPr>
            <w:r>
              <w:rPr>
                <w:rFonts w:ascii="Arial" w:hAnsi="Arial"/>
                <w:b/>
                <w:i w:val="0"/>
                <w:color w:val="13213F"/>
                <w:sz w:val="21"/>
              </w:rPr>
              <w:t>What it does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The former State Savings Bank. The 2017 rescue-merger with Kazkommertsbank (bought for KZT2) made it the clear #1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Market shares: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~48% of corporate loans, 27% of retail deposits, 17.8% of retail loans; 531 branches; Super App 8.6m MAU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Revenue mix (FY25):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NII 73%, fees 8%, insurance 4%, FX/other 15%; cost/income 17.5%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Kazakhstan is ~98% of profit; exited Russia, Tajikistan (2022) and Kyrgyzstan (2024); Georgia and Uzbekistan remain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Controlled by ALMEX (Kulibayev family) ~62%; GDRs ~35%; ~28% of MSCI Kazakhstan</w:t>
            </w:r>
          </w:p>
        </w:tc>
        <w:tc>
          <w:tcPr>
            <w:tcW w:type="dxa" w:w="504"/>
          </w:tcPr>
          <w:p/>
        </w:tc>
        <w:tc>
          <w:tcPr>
            <w:tcW w:type="dxa" w:w="875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20"/>
              <w:pBdr>
                <w:bottom w:val="single" w:sz="4" w:space="2" w:color="C9CCD3"/>
              </w:pBdr>
            </w:pPr>
            <w:r>
              <w:rPr>
                <w:rFonts w:ascii="Arial" w:hAnsi="Arial"/>
                <w:b/>
                <w:i w:val="0"/>
                <w:color w:val="13213F"/>
                <w:sz w:val="21"/>
              </w:rPr>
              <w:t>Key financials (KZT bn)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2376"/>
              <w:gridCol w:w="1080"/>
              <w:gridCol w:w="1080"/>
              <w:gridCol w:w="1080"/>
              <w:gridCol w:w="1080"/>
              <w:gridCol w:w="1872"/>
            </w:tblGrid>
            <w:tr>
              <w:trPr>
                <w:tblHeader w:val="true"/>
                <w:cantSplit/>
              </w:trPr>
              <w:tc>
                <w:tcPr>
                  <w:tcW w:type="dxa" w:w="2376"/>
                  <w:shd w:val="clear" w:color="auto" w:fill="13213F"/>
                  <w:tcMar>
                    <w:top w:w="55" w:type="dxa"/>
                    <w:left w:w="80" w:type="dxa"/>
                    <w:bottom w:w="55" w:type="dxa"/>
                    <w:right w:w="60" w:type="dxa"/>
                  </w:tcMar>
                </w:tcPr>
                <w:p/>
              </w:tc>
              <w:tc>
                <w:tcPr>
                  <w:tcW w:type="dxa" w:w="1080"/>
                  <w:shd w:val="clear" w:color="auto" w:fill="13213F"/>
                  <w:tcMar>
                    <w:top w:w="55" w:type="dxa"/>
                    <w:left w:w="80" w:type="dxa"/>
                    <w:bottom w:w="55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FY23</w:t>
                  </w:r>
                </w:p>
              </w:tc>
              <w:tc>
                <w:tcPr>
                  <w:tcW w:type="dxa" w:w="1080"/>
                  <w:shd w:val="clear" w:color="auto" w:fill="13213F"/>
                  <w:tcMar>
                    <w:top w:w="55" w:type="dxa"/>
                    <w:left w:w="80" w:type="dxa"/>
                    <w:bottom w:w="55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FY24</w:t>
                  </w:r>
                </w:p>
              </w:tc>
              <w:tc>
                <w:tcPr>
                  <w:tcW w:type="dxa" w:w="1080"/>
                  <w:shd w:val="clear" w:color="auto" w:fill="13213F"/>
                  <w:tcMar>
                    <w:top w:w="55" w:type="dxa"/>
                    <w:left w:w="80" w:type="dxa"/>
                    <w:bottom w:w="55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FY25</w:t>
                  </w:r>
                </w:p>
              </w:tc>
              <w:tc>
                <w:tcPr>
                  <w:tcW w:type="dxa" w:w="1080"/>
                  <w:shd w:val="clear" w:color="auto" w:fill="13213F"/>
                  <w:tcMar>
                    <w:top w:w="55" w:type="dxa"/>
                    <w:left w:w="80" w:type="dxa"/>
                    <w:bottom w:w="55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1H26</w:t>
                  </w:r>
                </w:p>
              </w:tc>
              <w:tc>
                <w:tcPr>
                  <w:tcW w:type="dxa" w:w="1872"/>
                  <w:shd w:val="clear" w:color="auto" w:fill="13213F"/>
                  <w:tcMar>
                    <w:top w:w="55" w:type="dxa"/>
                    <w:left w:w="80" w:type="dxa"/>
                    <w:bottom w:w="55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Trend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76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Net interest income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797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1,108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1,288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658</w:t>
                  </w:r>
                </w:p>
              </w:tc>
              <w:tc>
                <w:tcPr>
                  <w:tcW w:type="dxa" w:w="187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+2.6% y/y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76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  <w:shd w:val="clear" w:color="auto" w:fill="DCE5F7"/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Net income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  <w:shd w:val="clear" w:color="auto" w:fill="DCE5F7"/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693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  <w:shd w:val="clear" w:color="auto" w:fill="DCE5F7"/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921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  <w:shd w:val="clear" w:color="auto" w:fill="DCE5F7"/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1,058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  <w:shd w:val="clear" w:color="auto" w:fill="DCE5F7"/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448</w:t>
                  </w:r>
                </w:p>
              </w:tc>
              <w:tc>
                <w:tcPr>
                  <w:tcW w:type="dxa" w:w="187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  <w:shd w:val="clear" w:color="auto" w:fill="DCE5F7"/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-15.3% y/y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76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ROAE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32.5%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34.0%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32.6%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~25%</w:t>
                  </w:r>
                </w:p>
              </w:tc>
              <w:tc>
                <w:tcPr>
                  <w:tcW w:type="dxa" w:w="187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Peak passed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76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NIM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6.2%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7.2%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7.1%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6.8%</w:t>
                  </w:r>
                </w:p>
              </w:tc>
              <w:tc>
                <w:tcPr>
                  <w:tcW w:type="dxa" w:w="187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MRR -40bp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76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Cost / income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19.2%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17.6%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17.5%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19.2%</w:t>
                  </w:r>
                </w:p>
              </w:tc>
              <w:tc>
                <w:tcPr>
                  <w:tcW w:type="dxa" w:w="187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Guide 18-20%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76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Cost of risk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1.0%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1.2%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1.4%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1.4%</w:t>
                  </w:r>
                </w:p>
              </w:tc>
              <w:tc>
                <w:tcPr>
                  <w:tcW w:type="dxa" w:w="187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Guide 1.4-1.5%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76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NPL 90+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n/a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2.6%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4.3%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5.3%</w:t>
                  </w:r>
                </w:p>
              </w:tc>
              <w:tc>
                <w:tcPr>
                  <w:tcW w:type="dxa" w:w="187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Retail 9.2%</w:t>
                  </w:r>
                </w:p>
              </w:tc>
            </w:tr>
          </w:tbl>
          <w:p/>
          <w:p>
            <w:pPr>
              <w:spacing w:before="80" w:after="0" w:line="240" w:lineRule="auto"/>
            </w:pPr>
            <w:r>
              <w:rPr>
                <w:rFonts w:ascii="Arial" w:hAnsi="Arial"/>
                <w:b w:val="0"/>
                <w:i w:val="0"/>
                <w:color w:val="6B7280"/>
                <w:sz w:val="14"/>
              </w:rPr>
              <w:t>Source: Halyk results releases; 2023 restated (IFRS 17).</w:t>
            </w:r>
          </w:p>
        </w:tc>
      </w:tr>
    </w:tbl>
    <w:p>
      <w:pPr>
        <w:spacing w:before="0" w:after="280" w:line="240" w:lineRule="auto"/>
      </w:pP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7903"/>
      </w:tblGrid>
      <w:tr>
        <w:tc>
          <w:tcPr>
            <w:tcW w:type="dxa" w:w="17904"/>
            <w:shd w:val="clear" w:color="auto" w:fill="EFF1F5"/>
            <w:tcBorders>
              <w:top w:val="nil"/>
              <w:left w:val="single" w:sz="36" w:color="13213F"/>
              <w:bottom w:val="nil"/>
              <w:right w:val="nil"/>
            </w:tcBorders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/>
                <w:i w:val="0"/>
                <w:color w:val="1F2937"/>
                <w:sz w:val="17"/>
              </w:rPr>
              <w:t>The single most distinctive fact: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Halyk earned a 30%+ ROE for five straight years with a 17-20% cost/income ratio and a 19% all-CET1 capital ratio, yet trades at 1.1x book and 4.5x forward earnings - the market prices a ~20% sustainable ROE at a 19.5% KZT cost of equity.</w:t>
            </w:r>
          </w:p>
        </w:tc>
      </w:tr>
    </w:tbl>
    <w:p>
      <w:pPr>
        <w:spacing w:after="0" w:before="0"/>
      </w:pPr>
      <w:r>
        <w:rPr>
          <w:sz w:val="2"/>
        </w:rPr>
        <w:br w:type="page"/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4735"/>
        <w:gridCol w:w="3168"/>
      </w:tblGrid>
      <w:tr>
        <w:tc>
          <w:tcPr>
            <w:tcW w:type="dxa" w:w="147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F6FD0"/>
                <w:sz w:val="17"/>
              </w:rPr>
              <w:t>THE SETUP</w:t>
            </w:r>
          </w:p>
        </w:tc>
        <w:tc>
          <w:tcPr>
            <w:tcW w:type="dxa" w:w="316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jc w:val="right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1828"/>
            </w:tblGrid>
            <w:tr>
              <w:tc>
                <w:tcPr>
                  <w:tcW w:type="dxa" w:w="1829"/>
                  <w:shd w:val="clear" w:color="auto" w:fill="13213F"/>
                  <w:tcMar>
                    <w:top w:w="90" w:type="dxa"/>
                    <w:left w:w="80" w:type="dxa"/>
                    <w:bottom w:w="90" w:type="dxa"/>
                    <w:right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CONTEXT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80" w:line="40" w:lineRule="exact"/>
        <w:pBdr>
          <w:bottom w:val="single" w:sz="6" w:space="2" w:color="1F2937"/>
        </w:pBdr>
      </w:pPr>
    </w:p>
    <w:p>
      <w:pPr>
        <w:spacing w:before="80" w:after="160" w:line="240" w:lineRule="auto"/>
      </w:pPr>
      <w:r>
        <w:rPr>
          <w:rFonts w:ascii="Arial" w:hAnsi="Arial"/>
          <w:b/>
          <w:i w:val="0"/>
          <w:color w:val="13213F"/>
          <w:sz w:val="36"/>
        </w:rPr>
        <w:t>Unrest and war (2022), re-rating (2023-25), ALMEX placement (Nov-25), trough earnings (2026)</w:t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76"/>
        <w:gridCol w:w="503"/>
        <w:gridCol w:w="6019"/>
      </w:tblGrid>
      <w:tr>
        <w:tc>
          <w:tcPr>
            <w:tcW w:type="dxa" w:w="1137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7223760" cy="360447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_5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3760" cy="3604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"/>
          </w:tcPr>
          <w:p/>
        </w:tc>
        <w:tc>
          <w:tcPr>
            <w:tcW w:type="dxa" w:w="60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20"/>
              <w:pBdr>
                <w:bottom w:val="single" w:sz="4" w:space="2" w:color="C9CCD3"/>
              </w:pBdr>
            </w:pPr>
            <w:r>
              <w:rPr>
                <w:rFonts w:ascii="Arial" w:hAnsi="Arial"/>
                <w:b/>
                <w:i w:val="0"/>
                <w:color w:val="13213F"/>
                <w:sz w:val="21"/>
              </w:rPr>
              <w:t>Key catalysts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1800"/>
              <w:gridCol w:w="4248"/>
            </w:tblGrid>
            <w:tr>
              <w:trPr>
                <w:tblHeader w:val="true"/>
                <w:cantSplit/>
              </w:trPr>
              <w:tc>
                <w:tcPr>
                  <w:tcW w:type="dxa" w:w="1800"/>
                  <w:shd w:val="clear" w:color="auto" w:fill="13213F"/>
                  <w:tcMar>
                    <w:top w:w="55" w:type="dxa"/>
                    <w:left w:w="80" w:type="dxa"/>
                    <w:bottom w:w="55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Date</w:t>
                  </w:r>
                </w:p>
              </w:tc>
              <w:tc>
                <w:tcPr>
                  <w:tcW w:type="dxa" w:w="4248"/>
                  <w:shd w:val="clear" w:color="auto" w:fill="13213F"/>
                  <w:tcMar>
                    <w:top w:w="55" w:type="dxa"/>
                    <w:left w:w="80" w:type="dxa"/>
                    <w:bottom w:w="55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Event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JAN 2022</w:t>
                  </w:r>
                </w:p>
              </w:tc>
              <w:tc>
                <w:tcPr>
                  <w:tcW w:type="dxa" w:w="4248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Unrest: GDR -16% to -20%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FEB-MAR 2022</w:t>
                  </w:r>
                </w:p>
              </w:tc>
              <w:tc>
                <w:tcPr>
                  <w:tcW w:type="dxa" w:w="4248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Russia invades; -45% to ~US$8.6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DEC 2022</w:t>
                  </w:r>
                </w:p>
              </w:tc>
              <w:tc>
                <w:tcPr>
                  <w:tcW w:type="dxa" w:w="4248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Exits Russia &amp; Tajikistan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2023 / 2024</w:t>
                  </w:r>
                </w:p>
              </w:tc>
              <w:tc>
                <w:tcPr>
                  <w:tcW w:type="dxa" w:w="4248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+46% / ~+29%: record ROE, payout to 60%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NOV 2025</w:t>
                  </w:r>
                </w:p>
              </w:tc>
              <w:tc>
                <w:tcPr>
                  <w:tcW w:type="dxa" w:w="4248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ALMEX sells 7.6% at US$23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DEC 2025</w:t>
                  </w:r>
                </w:p>
              </w:tc>
              <w:tc>
                <w:tcPr>
                  <w:tcW w:type="dxa" w:w="4248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+31% re-rating to ~US$30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MAR 2026</w:t>
                  </w:r>
                </w:p>
              </w:tc>
              <w:tc>
                <w:tcPr>
                  <w:tcW w:type="dxa" w:w="4248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First guided profit decline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AUG 2026</w:t>
                  </w:r>
                </w:p>
              </w:tc>
              <w:tc>
                <w:tcPr>
                  <w:tcW w:type="dxa" w:w="4248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1H26 miss (-14% vs cons.); high US$36.45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23 OCT 2026</w:t>
                  </w:r>
                </w:p>
              </w:tc>
              <w:tc>
                <w:tcPr>
                  <w:tcW w:type="dxa" w:w="4248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NBK cuts to 15.75%; GDR US$33.30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2"/>
        </w:rPr>
        <w:br w:type="page"/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4735"/>
        <w:gridCol w:w="3168"/>
      </w:tblGrid>
      <w:tr>
        <w:tc>
          <w:tcPr>
            <w:tcW w:type="dxa" w:w="147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F6FD0"/>
                <w:sz w:val="17"/>
              </w:rPr>
              <w:t>QUESTION 1 - IS HALYK UNDERVALUED?</w:t>
            </w:r>
          </w:p>
        </w:tc>
        <w:tc>
          <w:tcPr>
            <w:tcW w:type="dxa" w:w="316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jc w:val="right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2145"/>
            </w:tblGrid>
            <w:tr>
              <w:tc>
                <w:tcPr>
                  <w:tcW w:type="dxa" w:w="2146"/>
                  <w:shd w:val="clear" w:color="auto" w:fill="13213F"/>
                  <w:tcMar>
                    <w:top w:w="90" w:type="dxa"/>
                    <w:left w:w="80" w:type="dxa"/>
                    <w:bottom w:w="90" w:type="dxa"/>
                    <w:right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VALUATION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80" w:line="40" w:lineRule="exact"/>
        <w:pBdr>
          <w:bottom w:val="single" w:sz="6" w:space="2" w:color="1F2937"/>
        </w:pBdr>
      </w:pPr>
    </w:p>
    <w:p>
      <w:pPr>
        <w:spacing w:before="80" w:after="160" w:line="240" w:lineRule="auto"/>
      </w:pPr>
      <w:r>
        <w:rPr>
          <w:rFonts w:ascii="Arial" w:hAnsi="Arial"/>
          <w:b/>
          <w:i w:val="0"/>
          <w:color w:val="13213F"/>
          <w:sz w:val="36"/>
        </w:rPr>
        <w:t>Cheapest high-ROE bank in the peer set - but at the top of its own range</w:t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744"/>
        <w:gridCol w:w="1756"/>
        <w:gridCol w:w="1756"/>
        <w:gridCol w:w="1756"/>
        <w:gridCol w:w="1756"/>
        <w:gridCol w:w="1756"/>
        <w:gridCol w:w="1756"/>
        <w:gridCol w:w="1756"/>
        <w:gridCol w:w="1756"/>
      </w:tblGrid>
      <w:tr>
        <w:trPr>
          <w:tblHeader w:val="true"/>
          <w:cantSplit/>
        </w:trPr>
        <w:tc>
          <w:tcPr>
            <w:tcW w:type="dxa" w:w="3744"/>
            <w:shd w:val="clear" w:color="auto" w:fill="13213F"/>
            <w:tcMar>
              <w:top w:w="55" w:type="dxa"/>
              <w:left w:w="80" w:type="dxa"/>
              <w:bottom w:w="55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Metric</w:t>
            </w:r>
          </w:p>
        </w:tc>
        <w:tc>
          <w:tcPr>
            <w:tcW w:type="dxa" w:w="1757"/>
            <w:shd w:val="clear" w:color="auto" w:fill="13213F"/>
            <w:tcMar>
              <w:top w:w="55" w:type="dxa"/>
              <w:left w:w="80" w:type="dxa"/>
              <w:bottom w:w="55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Halyk</w:t>
            </w:r>
          </w:p>
        </w:tc>
        <w:tc>
          <w:tcPr>
            <w:tcW w:type="dxa" w:w="1757"/>
            <w:shd w:val="clear" w:color="auto" w:fill="13213F"/>
            <w:tcMar>
              <w:top w:w="55" w:type="dxa"/>
              <w:left w:w="80" w:type="dxa"/>
              <w:bottom w:w="55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Kaspi</w:t>
            </w:r>
          </w:p>
        </w:tc>
        <w:tc>
          <w:tcPr>
            <w:tcW w:type="dxa" w:w="1757"/>
            <w:shd w:val="clear" w:color="auto" w:fill="13213F"/>
            <w:tcMar>
              <w:top w:w="55" w:type="dxa"/>
              <w:left w:w="80" w:type="dxa"/>
              <w:bottom w:w="55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BCC</w:t>
            </w:r>
          </w:p>
        </w:tc>
        <w:tc>
          <w:tcPr>
            <w:tcW w:type="dxa" w:w="1757"/>
            <w:shd w:val="clear" w:color="auto" w:fill="13213F"/>
            <w:tcMar>
              <w:top w:w="55" w:type="dxa"/>
              <w:left w:w="80" w:type="dxa"/>
              <w:bottom w:w="55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Lion Fin.</w:t>
            </w:r>
          </w:p>
        </w:tc>
        <w:tc>
          <w:tcPr>
            <w:tcW w:type="dxa" w:w="1757"/>
            <w:shd w:val="clear" w:color="auto" w:fill="13213F"/>
            <w:tcMar>
              <w:top w:w="55" w:type="dxa"/>
              <w:left w:w="80" w:type="dxa"/>
              <w:bottom w:w="55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TBC</w:t>
            </w:r>
          </w:p>
        </w:tc>
        <w:tc>
          <w:tcPr>
            <w:tcW w:type="dxa" w:w="1757"/>
            <w:shd w:val="clear" w:color="auto" w:fill="13213F"/>
            <w:tcMar>
              <w:top w:w="55" w:type="dxa"/>
              <w:left w:w="80" w:type="dxa"/>
              <w:bottom w:w="55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OTP</w:t>
            </w:r>
          </w:p>
        </w:tc>
        <w:tc>
          <w:tcPr>
            <w:tcW w:type="dxa" w:w="1757"/>
            <w:shd w:val="clear" w:color="auto" w:fill="13213F"/>
            <w:tcMar>
              <w:top w:w="55" w:type="dxa"/>
              <w:left w:w="80" w:type="dxa"/>
              <w:bottom w:w="55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PKO BP</w:t>
            </w:r>
          </w:p>
        </w:tc>
        <w:tc>
          <w:tcPr>
            <w:tcW w:type="dxa" w:w="1757"/>
            <w:shd w:val="clear" w:color="auto" w:fill="13213F"/>
            <w:tcMar>
              <w:top w:w="55" w:type="dxa"/>
              <w:left w:w="80" w:type="dxa"/>
              <w:bottom w:w="55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Garanti</w:t>
            </w:r>
          </w:p>
        </w:tc>
      </w:tr>
      <w:tr>
        <w:trPr>
          <w:cantSplit/>
        </w:trPr>
        <w:tc>
          <w:tcPr>
            <w:tcW w:type="dxa" w:w="3744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1F2937"/>
                <w:sz w:val="15"/>
              </w:rPr>
              <w:t>P/E (LTM)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4.2x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~7.5x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~3.1x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~8.0x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5.9x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~11.1x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~14.0x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~4.1x</w:t>
            </w:r>
          </w:p>
        </w:tc>
      </w:tr>
      <w:tr>
        <w:trPr>
          <w:cantSplit/>
        </w:trPr>
        <w:tc>
          <w:tcPr>
            <w:tcW w:type="dxa" w:w="3744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1F2937"/>
                <w:sz w:val="15"/>
              </w:rPr>
              <w:t>P/B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1.12x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~3.7x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~1.0x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~1.9x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1.4x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~2.3x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2.56x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1.46x</w:t>
            </w:r>
          </w:p>
        </w:tc>
      </w:tr>
      <w:tr>
        <w:trPr>
          <w:cantSplit/>
        </w:trPr>
        <w:tc>
          <w:tcPr>
            <w:tcW w:type="dxa" w:w="3744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1F2937"/>
                <w:sz w:val="15"/>
              </w:rPr>
              <w:t>ROE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~27%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~55%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~36%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27%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~24%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22%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19.5%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28%</w:t>
            </w:r>
          </w:p>
        </w:tc>
      </w:tr>
      <w:tr>
        <w:trPr>
          <w:cantSplit/>
        </w:trPr>
        <w:tc>
          <w:tcPr>
            <w:tcW w:type="dxa" w:w="3744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1F2937"/>
                <w:sz w:val="15"/>
              </w:rPr>
              <w:t>P/Revenue (bank EV/Sales)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2.3x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2.7x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1.6x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4.1x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2.5x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4.4x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4.8x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n/a</w:t>
            </w:r>
          </w:p>
        </w:tc>
      </w:tr>
      <w:tr>
        <w:trPr>
          <w:cantSplit/>
        </w:trPr>
        <w:tc>
          <w:tcPr>
            <w:tcW w:type="dxa" w:w="3744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1F2937"/>
                <w:sz w:val="15"/>
              </w:rPr>
              <w:t>PBT margin (bank EBIT margin)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74%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~42%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63%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60%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49%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52%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45%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n/a</w:t>
            </w:r>
          </w:p>
        </w:tc>
      </w:tr>
      <w:tr>
        <w:trPr>
          <w:cantSplit/>
        </w:trPr>
        <w:tc>
          <w:tcPr>
            <w:tcW w:type="dxa" w:w="3744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1F2937"/>
                <w:sz w:val="15"/>
              </w:rPr>
              <w:t>Dividend yield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15.6%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~8.5%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0%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n/a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~6%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n/a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~5%</w:t>
            </w:r>
          </w:p>
        </w:tc>
        <w:tc>
          <w:tcPr>
            <w:tcW w:type="dxa" w:w="1757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n/a</w:t>
            </w:r>
          </w:p>
        </w:tc>
      </w:tr>
    </w:tbl>
    <w:p>
      <w:pPr>
        <w:spacing w:before="60" w:after="80" w:line="240" w:lineRule="auto"/>
      </w:pPr>
      <w:r>
        <w:rPr>
          <w:rFonts w:ascii="Arial" w:hAnsi="Arial"/>
          <w:b w:val="0"/>
          <w:i w:val="0"/>
          <w:color w:val="6B7280"/>
          <w:sz w:val="14"/>
        </w:rPr>
        <w:t>Snapshots Jun-Oct 2026 [u]; FY25 income. P/Revenue = market cap / total operating income. Garanti on IAS 29 (no revenue multiple).</w:t>
      </w:r>
    </w:p>
    <w:p>
      <w:pPr>
        <w:spacing w:before="0" w:after="160" w:line="240" w:lineRule="auto"/>
      </w:pP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699"/>
        <w:gridCol w:w="503"/>
        <w:gridCol w:w="8699"/>
      </w:tblGrid>
      <w:tr>
        <w:tc>
          <w:tcPr>
            <w:tcW w:type="dxa" w:w="870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20"/>
              <w:pBdr>
                <w:bottom w:val="single" w:sz="4" w:space="2" w:color="C9CCD3"/>
              </w:pBdr>
            </w:pPr>
            <w:r>
              <w:rPr>
                <w:rFonts w:ascii="Arial" w:hAnsi="Arial"/>
                <w:b/>
                <w:i w:val="0"/>
                <w:color w:val="13213F"/>
                <w:sz w:val="21"/>
              </w:rPr>
              <w:t>What the comparison shows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~40% discount to the peer median on P/E (7.5x) and P/B (1.9x), despite a top-half ROE and the highest pre-tax margin (74%)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On the peer P/B-ROE regression Halyk's 27% ROE maps to ~1.55x book (page 7); it trades at 1.1x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Justified P/B ~1.35x (ROE 23.5%, COE 19.5% KZT, g 8%)</w:t>
            </w:r>
          </w:p>
        </w:tc>
        <w:tc>
          <w:tcPr>
            <w:tcW w:type="dxa" w:w="504"/>
          </w:tcPr>
          <w:p/>
        </w:tc>
        <w:tc>
          <w:tcPr>
            <w:tcW w:type="dxa" w:w="870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20"/>
              <w:pBdr>
                <w:bottom w:val="single" w:sz="4" w:space="2" w:color="C9CCD3"/>
              </w:pBdr>
            </w:pPr>
            <w:r>
              <w:rPr>
                <w:rFonts w:ascii="Arial" w:hAnsi="Arial"/>
                <w:b/>
                <w:i w:val="0"/>
                <w:color w:val="13213F"/>
                <w:sz w:val="21"/>
              </w:rPr>
              <w:t>The honest counter-read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6B728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Against its own history it is not cheap: 5-yr average P/E 3.4x and P/B 0.95x; now 4.2x and 1.12x after +314% in 3 years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6B728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The discount is partly structural - controlling family, state appetite for bank profits, tenge risk; we do not underwrite peer multiples</w:t>
            </w:r>
          </w:p>
        </w:tc>
      </w:tr>
    </w:tbl>
    <w:p>
      <w:pPr>
        <w:spacing w:after="0" w:before="0"/>
      </w:pPr>
      <w:r>
        <w:rPr>
          <w:sz w:val="2"/>
        </w:rPr>
        <w:br w:type="page"/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4735"/>
        <w:gridCol w:w="3168"/>
      </w:tblGrid>
      <w:tr>
        <w:tc>
          <w:tcPr>
            <w:tcW w:type="dxa" w:w="147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F6FD0"/>
                <w:sz w:val="17"/>
              </w:rPr>
              <w:t>QUESTION 1 - IS HALYK UNDERVALUED?</w:t>
            </w:r>
          </w:p>
        </w:tc>
        <w:tc>
          <w:tcPr>
            <w:tcW w:type="dxa" w:w="316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jc w:val="right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2145"/>
            </w:tblGrid>
            <w:tr>
              <w:tc>
                <w:tcPr>
                  <w:tcW w:type="dxa" w:w="2146"/>
                  <w:shd w:val="clear" w:color="auto" w:fill="13213F"/>
                  <w:tcMar>
                    <w:top w:w="90" w:type="dxa"/>
                    <w:left w:w="80" w:type="dxa"/>
                    <w:bottom w:w="90" w:type="dxa"/>
                    <w:right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VALUATION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80" w:line="40" w:lineRule="exact"/>
        <w:pBdr>
          <w:bottom w:val="single" w:sz="6" w:space="2" w:color="1F2937"/>
        </w:pBdr>
      </w:pPr>
    </w:p>
    <w:p>
      <w:pPr>
        <w:spacing w:before="80" w:after="160" w:line="240" w:lineRule="auto"/>
      </w:pPr>
      <w:r>
        <w:rPr>
          <w:rFonts w:ascii="Arial" w:hAnsi="Arial"/>
          <w:b/>
          <w:i w:val="0"/>
          <w:color w:val="13213F"/>
          <w:sz w:val="36"/>
        </w:rPr>
        <w:t>Regression: highest margin, third-lowest revenue multiple</w:t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944"/>
        <w:gridCol w:w="503"/>
        <w:gridCol w:w="6451"/>
      </w:tblGrid>
      <w:tr>
        <w:tc>
          <w:tcPr>
            <w:tcW w:type="dxa" w:w="1094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6720840" cy="405938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ression_prev_margi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0840" cy="40593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"/>
          </w:tcPr>
          <w:p/>
        </w:tc>
        <w:tc>
          <w:tcPr>
            <w:tcW w:type="dxa" w:w="6451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20"/>
              <w:pBdr>
                <w:bottom w:val="single" w:sz="4" w:space="2" w:color="C9CCD3"/>
              </w:pBdr>
            </w:pPr>
            <w:r>
              <w:rPr>
                <w:rFonts w:ascii="Arial" w:hAnsi="Arial"/>
                <w:b/>
                <w:i w:val="0"/>
                <w:color w:val="13213F"/>
                <w:sz w:val="21"/>
              </w:rPr>
              <w:t>How to read it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As requested: x-axis = 'EV/Sales' (bank version: market cap / operating income); y-axis = 'EBIT margin' (pre-tax margin)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Peer OLS: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margin = 57.8 - 1.82 x P/Rev; R2 = 0.08 - no cross-sectional link; country risk, not margin, sets the multiple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Halyk sits ~21pp above the line: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at 2.3x revenue, peers' line implies a 53% margin; Halyk earns 74%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P/B vs ROE (bank-standard):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see next page - Halyk's ROE maps to ~1.55x book vs 1.12x actual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Conclusion: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cheap on every relative screen; the gap is a country/governance discount we expect to narrow only partly</w:t>
            </w:r>
          </w:p>
        </w:tc>
      </w:tr>
    </w:tbl>
    <w:p>
      <w:pPr>
        <w:spacing w:after="0" w:before="0"/>
      </w:pPr>
      <w:r>
        <w:rPr>
          <w:sz w:val="2"/>
        </w:rPr>
        <w:br w:type="page"/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4735"/>
        <w:gridCol w:w="3168"/>
      </w:tblGrid>
      <w:tr>
        <w:tc>
          <w:tcPr>
            <w:tcW w:type="dxa" w:w="147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F6FD0"/>
                <w:sz w:val="17"/>
              </w:rPr>
              <w:t>QUESTION 1 - IS HALYK UNDERVALUED?</w:t>
            </w:r>
          </w:p>
        </w:tc>
        <w:tc>
          <w:tcPr>
            <w:tcW w:type="dxa" w:w="316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jc w:val="right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2145"/>
            </w:tblGrid>
            <w:tr>
              <w:tc>
                <w:tcPr>
                  <w:tcW w:type="dxa" w:w="2146"/>
                  <w:shd w:val="clear" w:color="auto" w:fill="13213F"/>
                  <w:tcMar>
                    <w:top w:w="90" w:type="dxa"/>
                    <w:left w:w="80" w:type="dxa"/>
                    <w:bottom w:w="90" w:type="dxa"/>
                    <w:right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VALUATION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80" w:line="40" w:lineRule="exact"/>
        <w:pBdr>
          <w:bottom w:val="single" w:sz="6" w:space="2" w:color="1F2937"/>
        </w:pBdr>
      </w:pPr>
    </w:p>
    <w:p>
      <w:pPr>
        <w:spacing w:before="80" w:after="160" w:line="240" w:lineRule="auto"/>
      </w:pPr>
      <w:r>
        <w:rPr>
          <w:rFonts w:ascii="Arial" w:hAnsi="Arial"/>
          <w:b/>
          <w:i w:val="0"/>
          <w:color w:val="13213F"/>
          <w:sz w:val="36"/>
        </w:rPr>
        <w:t>Regression: P/B vs ROE - more return per unit of book multiple than any peer</w:t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944"/>
        <w:gridCol w:w="503"/>
        <w:gridCol w:w="6451"/>
      </w:tblGrid>
      <w:tr>
        <w:tc>
          <w:tcPr>
            <w:tcW w:type="dxa" w:w="1094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6720840" cy="418863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ression_pb_x_roe_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0840" cy="41886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"/>
          </w:tcPr>
          <w:p/>
        </w:tc>
        <w:tc>
          <w:tcPr>
            <w:tcW w:type="dxa" w:w="6451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20"/>
              <w:pBdr>
                <w:bottom w:val="single" w:sz="4" w:space="2" w:color="C9CCD3"/>
              </w:pBdr>
            </w:pPr>
            <w:r>
              <w:rPr>
                <w:rFonts w:ascii="Arial" w:hAnsi="Arial"/>
                <w:b/>
                <w:i w:val="0"/>
                <w:color w:val="13213F"/>
                <w:sz w:val="21"/>
              </w:rPr>
              <w:t>How to read it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x-axis = price / book value; y-axis = return on equity. Points above the line earn more ROE than their P/B implies - i.e. they are cheaper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Peer OLS (7 banks):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ROE = 16.8 + 6.59 x P/B; R2 = 0.24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Halyk sits ~3pp above the line: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at 1.12x book the peer line implies a 24.1% ROE; Halyk earns ~27% (LTM)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Read the other way: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Halyk's 27% ROE maps to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~1.55x P/B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on the line - ~39% above today's 1.12x (KZT~520, ~US$46/GDR at spot) [e]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Caveat: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Kaspi (3.7x, 55%) drives the positive slope. Ex-Kaspi the line slopes down (R2 0.75): CEE banks with lower ROE trade at higher P/B - country risk dominates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Use: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supports a P/B of 1.2-1.55x; our target uses 1.14x 2027E book (and our justified P/B is 1.35x), so we do not underwrite the full gap</w:t>
            </w:r>
          </w:p>
        </w:tc>
      </w:tr>
    </w:tbl>
    <w:p>
      <w:pPr>
        <w:spacing w:after="0" w:before="0"/>
      </w:pPr>
      <w:r>
        <w:rPr>
          <w:sz w:val="2"/>
        </w:rPr>
        <w:br w:type="page"/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4735"/>
        <w:gridCol w:w="3168"/>
      </w:tblGrid>
      <w:tr>
        <w:tc>
          <w:tcPr>
            <w:tcW w:type="dxa" w:w="147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F6FD0"/>
                <w:sz w:val="17"/>
              </w:rPr>
              <w:t>WHERE THE VALUE SITS</w:t>
            </w:r>
          </w:p>
        </w:tc>
        <w:tc>
          <w:tcPr>
            <w:tcW w:type="dxa" w:w="316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jc w:val="right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2145"/>
            </w:tblGrid>
            <w:tr>
              <w:tc>
                <w:tcPr>
                  <w:tcW w:type="dxa" w:w="2146"/>
                  <w:shd w:val="clear" w:color="auto" w:fill="13213F"/>
                  <w:tcMar>
                    <w:top w:w="90" w:type="dxa"/>
                    <w:left w:w="80" w:type="dxa"/>
                    <w:bottom w:w="90" w:type="dxa"/>
                    <w:right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VALUATION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80" w:line="40" w:lineRule="exact"/>
        <w:pBdr>
          <w:bottom w:val="single" w:sz="6" w:space="2" w:color="1F2937"/>
        </w:pBdr>
      </w:pPr>
    </w:p>
    <w:p>
      <w:pPr>
        <w:spacing w:before="80" w:after="160" w:line="240" w:lineRule="auto"/>
      </w:pPr>
      <w:r>
        <w:rPr>
          <w:rFonts w:ascii="Arial" w:hAnsi="Arial"/>
          <w:b/>
          <w:i w:val="0"/>
          <w:color w:val="13213F"/>
          <w:sz w:val="36"/>
        </w:rPr>
        <w:t>Blended value KZT449 (US$38.6); target US$38 rounded down for the overhang</w:t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512"/>
        <w:gridCol w:w="503"/>
        <w:gridCol w:w="6883"/>
      </w:tblGrid>
      <w:tr>
        <w:tc>
          <w:tcPr>
            <w:tcW w:type="dxa" w:w="1051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6675120" cy="281983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otball_fiel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5120" cy="2819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"/>
          </w:tcPr>
          <w:p/>
        </w:tc>
        <w:tc>
          <w:tcPr>
            <w:tcW w:type="dxa" w:w="688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20"/>
              <w:pBdr>
                <w:bottom w:val="single" w:sz="4" w:space="2" w:color="C9CCD3"/>
              </w:pBdr>
            </w:pPr>
            <w:r>
              <w:rPr>
                <w:rFonts w:ascii="Arial" w:hAnsi="Arial"/>
                <w:b/>
                <w:i w:val="0"/>
                <w:color w:val="13213F"/>
                <w:sz w:val="21"/>
              </w:rPr>
              <w:t>Target build (12-month, KZT per share)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1512"/>
              <w:gridCol w:w="3096"/>
              <w:gridCol w:w="864"/>
              <w:gridCol w:w="1152"/>
            </w:tblGrid>
            <w:tr>
              <w:trPr>
                <w:tblHeader w:val="true"/>
                <w:cantSplit/>
              </w:trPr>
              <w:tc>
                <w:tcPr>
                  <w:tcW w:type="dxa" w:w="1512"/>
                  <w:shd w:val="clear" w:color="auto" w:fill="13213F"/>
                  <w:tcMar>
                    <w:top w:w="55" w:type="dxa"/>
                    <w:left w:w="80" w:type="dxa"/>
                    <w:bottom w:w="55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Method</w:t>
                  </w:r>
                </w:p>
              </w:tc>
              <w:tc>
                <w:tcPr>
                  <w:tcW w:type="dxa" w:w="3096"/>
                  <w:shd w:val="clear" w:color="auto" w:fill="13213F"/>
                  <w:tcMar>
                    <w:top w:w="55" w:type="dxa"/>
                    <w:left w:w="80" w:type="dxa"/>
                    <w:bottom w:w="55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Basis</w:t>
                  </w:r>
                </w:p>
              </w:tc>
              <w:tc>
                <w:tcPr>
                  <w:tcW w:type="dxa" w:w="864"/>
                  <w:shd w:val="clear" w:color="auto" w:fill="13213F"/>
                  <w:tcMar>
                    <w:top w:w="55" w:type="dxa"/>
                    <w:left w:w="80" w:type="dxa"/>
                    <w:bottom w:w="55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KZT</w:t>
                  </w:r>
                </w:p>
              </w:tc>
              <w:tc>
                <w:tcPr>
                  <w:tcW w:type="dxa" w:w="1152"/>
                  <w:shd w:val="clear" w:color="auto" w:fill="13213F"/>
                  <w:tcMar>
                    <w:top w:w="55" w:type="dxa"/>
                    <w:left w:w="80" w:type="dxa"/>
                    <w:bottom w:w="55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US$/GDR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1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P/E</w:t>
                  </w:r>
                </w:p>
              </w:tc>
              <w:tc>
                <w:tcPr>
                  <w:tcW w:type="dxa" w:w="3096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5.0x 2027E EPS (KZT90.2)</w:t>
                  </w:r>
                </w:p>
              </w:tc>
              <w:tc>
                <w:tcPr>
                  <w:tcW w:type="dxa" w:w="864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451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38.8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1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P/B</w:t>
                  </w:r>
                </w:p>
              </w:tc>
              <w:tc>
                <w:tcPr>
                  <w:tcW w:type="dxa" w:w="3096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1.2x 2027E BVPS (KZT388)</w:t>
                  </w:r>
                </w:p>
              </w:tc>
              <w:tc>
                <w:tcPr>
                  <w:tcW w:type="dxa" w:w="864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466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40.1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1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Residual income</w:t>
                  </w:r>
                </w:p>
              </w:tc>
              <w:tc>
                <w:tcPr>
                  <w:tcW w:type="dxa" w:w="3096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COE 19.5%, ROE fade to 21%, g 8%</w:t>
                  </w:r>
                </w:p>
              </w:tc>
              <w:tc>
                <w:tcPr>
                  <w:tcW w:type="dxa" w:w="864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431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37.0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1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Blend</w:t>
                  </w:r>
                </w:p>
              </w:tc>
              <w:tc>
                <w:tcPr>
                  <w:tcW w:type="dxa" w:w="3096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Equal weights</w:t>
                  </w:r>
                </w:p>
              </w:tc>
              <w:tc>
                <w:tcPr>
                  <w:tcW w:type="dxa" w:w="864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449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38.6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1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  <w:shd w:val="clear" w:color="auto" w:fill="DCE5F7"/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Target</w:t>
                  </w:r>
                </w:p>
              </w:tc>
              <w:tc>
                <w:tcPr>
                  <w:tcW w:type="dxa" w:w="3096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  <w:shd w:val="clear" w:color="auto" w:fill="DCE5F7"/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Rounded down (ALMEX overhang)</w:t>
                  </w:r>
                </w:p>
              </w:tc>
              <w:tc>
                <w:tcPr>
                  <w:tcW w:type="dxa" w:w="864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  <w:shd w:val="clear" w:color="auto" w:fill="DCE5F7"/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442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  <w:shd w:val="clear" w:color="auto" w:fill="DCE5F7"/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38.0</w:t>
                  </w:r>
                </w:p>
              </w:tc>
            </w:tr>
          </w:tbl>
          <w:p/>
          <w:p>
            <w:pPr>
              <w:spacing w:before="0" w:after="80" w:line="240" w:lineRule="auto"/>
            </w:pP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FX: KZT465/US$ 12-month forward (spot 449); a 10% weaker tenge cuts US$ value ~9%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Implied at target: 4.9x 2027E P/E, 1.14x P/B, 12.3% yield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Dividends add ~US$4.3/GDR over 12 months</w:t>
            </w:r>
          </w:p>
        </w:tc>
      </w:tr>
    </w:tbl>
    <w:p>
      <w:pPr>
        <w:spacing w:after="0" w:before="0"/>
      </w:pPr>
      <w:r>
        <w:rPr>
          <w:sz w:val="2"/>
        </w:rPr>
        <w:br w:type="page"/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4735"/>
        <w:gridCol w:w="3168"/>
      </w:tblGrid>
      <w:tr>
        <w:tc>
          <w:tcPr>
            <w:tcW w:type="dxa" w:w="147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F6FD0"/>
                <w:sz w:val="17"/>
              </w:rPr>
              <w:t>QUESTION 2 - VALUE TRAP OR TROUGH?</w:t>
            </w:r>
          </w:p>
        </w:tc>
        <w:tc>
          <w:tcPr>
            <w:tcW w:type="dxa" w:w="316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jc w:val="right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1987"/>
            </w:tblGrid>
            <w:tr>
              <w:tc>
                <w:tcPr>
                  <w:tcW w:type="dxa" w:w="1987"/>
                  <w:shd w:val="clear" w:color="auto" w:fill="13213F"/>
                  <w:tcMar>
                    <w:top w:w="90" w:type="dxa"/>
                    <w:left w:w="80" w:type="dxa"/>
                    <w:bottom w:w="90" w:type="dxa"/>
                    <w:right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EARNINGS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80" w:line="40" w:lineRule="exact"/>
        <w:pBdr>
          <w:bottom w:val="single" w:sz="6" w:space="2" w:color="1F2937"/>
        </w:pBdr>
      </w:pPr>
    </w:p>
    <w:p>
      <w:pPr>
        <w:spacing w:before="80" w:after="160" w:line="240" w:lineRule="auto"/>
      </w:pPr>
      <w:r>
        <w:rPr>
          <w:rFonts w:ascii="Arial" w:hAnsi="Arial"/>
          <w:b/>
          <w:i w:val="0"/>
          <w:color w:val="13213F"/>
          <w:sz w:val="36"/>
        </w:rPr>
        <w:t>2026 is the trough: four regulatory hits at once, then ~9% EPS growth</w:t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512"/>
        <w:gridCol w:w="503"/>
        <w:gridCol w:w="6883"/>
      </w:tblGrid>
      <w:tr>
        <w:tc>
          <w:tcPr>
            <w:tcW w:type="dxa" w:w="1051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6675120" cy="22912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ly_ni_ni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5120" cy="2291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"/>
          </w:tcPr>
          <w:p/>
        </w:tc>
        <w:tc>
          <w:tcPr>
            <w:tcW w:type="dxa" w:w="688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2160"/>
              <w:gridCol w:w="1152"/>
              <w:gridCol w:w="1152"/>
              <w:gridCol w:w="1224"/>
              <w:gridCol w:w="1152"/>
            </w:tblGrid>
            <w:tr>
              <w:trPr>
                <w:tblHeader w:val="true"/>
                <w:cantSplit/>
              </w:trPr>
              <w:tc>
                <w:tcPr>
                  <w:tcW w:type="dxa" w:w="2160"/>
                  <w:shd w:val="clear" w:color="auto" w:fill="13213F"/>
                  <w:tcMar>
                    <w:top w:w="55" w:type="dxa"/>
                    <w:left w:w="80" w:type="dxa"/>
                    <w:bottom w:w="55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KZT bn</w:t>
                  </w:r>
                </w:p>
              </w:tc>
              <w:tc>
                <w:tcPr>
                  <w:tcW w:type="dxa" w:w="1152"/>
                  <w:shd w:val="clear" w:color="auto" w:fill="13213F"/>
                  <w:tcMar>
                    <w:top w:w="55" w:type="dxa"/>
                    <w:left w:w="80" w:type="dxa"/>
                    <w:bottom w:w="55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FY25A</w:t>
                  </w:r>
                </w:p>
              </w:tc>
              <w:tc>
                <w:tcPr>
                  <w:tcW w:type="dxa" w:w="1152"/>
                  <w:shd w:val="clear" w:color="auto" w:fill="13213F"/>
                  <w:tcMar>
                    <w:top w:w="55" w:type="dxa"/>
                    <w:left w:w="80" w:type="dxa"/>
                    <w:bottom w:w="55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FY26E</w:t>
                  </w:r>
                </w:p>
              </w:tc>
              <w:tc>
                <w:tcPr>
                  <w:tcW w:type="dxa" w:w="1224"/>
                  <w:shd w:val="clear" w:color="auto" w:fill="13213F"/>
                  <w:tcMar>
                    <w:top w:w="55" w:type="dxa"/>
                    <w:left w:w="80" w:type="dxa"/>
                    <w:bottom w:w="55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FY27E</w:t>
                  </w:r>
                </w:p>
              </w:tc>
              <w:tc>
                <w:tcPr>
                  <w:tcW w:type="dxa" w:w="1152"/>
                  <w:shd w:val="clear" w:color="auto" w:fill="13213F"/>
                  <w:tcMar>
                    <w:top w:w="55" w:type="dxa"/>
                    <w:left w:w="80" w:type="dxa"/>
                    <w:bottom w:w="55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FY28E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6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Total op. income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1,760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1,638</w:t>
                  </w:r>
                </w:p>
              </w:tc>
              <w:tc>
                <w:tcPr>
                  <w:tcW w:type="dxa" w:w="1224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1,805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1,964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6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  <w:shd w:val="clear" w:color="auto" w:fill="DCE5F7"/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Net income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  <w:shd w:val="clear" w:color="auto" w:fill="DCE5F7"/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1,058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  <w:shd w:val="clear" w:color="auto" w:fill="DCE5F7"/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900</w:t>
                  </w:r>
                </w:p>
              </w:tc>
              <w:tc>
                <w:tcPr>
                  <w:tcW w:type="dxa" w:w="1224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  <w:shd w:val="clear" w:color="auto" w:fill="DCE5F7"/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984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  <w:shd w:val="clear" w:color="auto" w:fill="DCE5F7"/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1,081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6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EPS (KZT)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97.1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82.5</w:t>
                  </w:r>
                </w:p>
              </w:tc>
              <w:tc>
                <w:tcPr>
                  <w:tcW w:type="dxa" w:w="1224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90.2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99.0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6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DPS (KZT)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58.19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49.5</w:t>
                  </w:r>
                </w:p>
              </w:tc>
              <w:tc>
                <w:tcPr>
                  <w:tcW w:type="dxa" w:w="1224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54.1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59.4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6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ROAE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32.6%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24.7%</w:t>
                  </w:r>
                </w:p>
              </w:tc>
              <w:tc>
                <w:tcPr>
                  <w:tcW w:type="dxa" w:w="1224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24.5%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24.1%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6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NIM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7.1%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6.75%</w:t>
                  </w:r>
                </w:p>
              </w:tc>
              <w:tc>
                <w:tcPr>
                  <w:tcW w:type="dxa" w:w="1224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6.5%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6.4%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6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Company guide (NI)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-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~1,000</w:t>
                  </w:r>
                </w:p>
              </w:tc>
              <w:tc>
                <w:tcPr>
                  <w:tcW w:type="dxa" w:w="1224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-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6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Consensus (NI) [u]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-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950-1,000</w:t>
                  </w:r>
                </w:p>
              </w:tc>
              <w:tc>
                <w:tcPr>
                  <w:tcW w:type="dxa" w:w="1224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1,000-1,100</w:t>
                  </w:r>
                </w:p>
              </w:tc>
              <w:tc>
                <w:tcPr>
                  <w:tcW w:type="dxa" w:w="1152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-</w:t>
                  </w:r>
                </w:p>
              </w:tc>
            </w:tr>
          </w:tbl>
          <w:p/>
          <w:p>
            <w:pPr>
              <w:spacing w:before="60" w:after="120" w:line="240" w:lineRule="auto"/>
            </w:pPr>
            <w:r>
              <w:rPr>
                <w:rFonts w:ascii="Arial" w:hAnsi="Arial"/>
                <w:b w:val="0"/>
                <w:i w:val="0"/>
                <w:color w:val="6B7280"/>
                <w:sz w:val="14"/>
              </w:rPr>
              <w:t>Our estimates [e]. 2H26 needs ~KZT552bn for guidance (~30% above the 2Q run-rate).</w:t>
            </w:r>
          </w:p>
          <w:p>
            <w:pPr>
              <w:spacing w:before="0" w:after="80" w:line="240" w:lineRule="auto"/>
            </w:pP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1H26: NI -15.3%; 2Q missed consensus by 13.7% and the lowest estimate by ~10%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Drivers: MRR (-40bp NIM), BNPL/unsecured caps (fees -20%), insurance loss, CIT 25%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We expect the KZT1trn guide to be cut at 9M26; the stock barely reacted to the 1H miss (-3%)</w:t>
            </w:r>
          </w:p>
        </w:tc>
      </w:tr>
    </w:tbl>
    <w:p>
      <w:pPr>
        <w:spacing w:after="0" w:before="0"/>
      </w:pPr>
      <w:r>
        <w:rPr>
          <w:sz w:val="2"/>
        </w:rPr>
        <w:br w:type="page"/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4735"/>
        <w:gridCol w:w="3168"/>
      </w:tblGrid>
      <w:tr>
        <w:tc>
          <w:tcPr>
            <w:tcW w:type="dxa" w:w="147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F6FD0"/>
                <w:sz w:val="17"/>
              </w:rPr>
              <w:t>QUESTION 2 - THE MARGIN DEBATE</w:t>
            </w:r>
          </w:p>
        </w:tc>
        <w:tc>
          <w:tcPr>
            <w:tcW w:type="dxa" w:w="316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jc w:val="right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2145"/>
            </w:tblGrid>
            <w:tr>
              <w:tc>
                <w:tcPr>
                  <w:tcW w:type="dxa" w:w="2146"/>
                  <w:shd w:val="clear" w:color="auto" w:fill="13213F"/>
                  <w:tcMar>
                    <w:top w:w="90" w:type="dxa"/>
                    <w:left w:w="80" w:type="dxa"/>
                    <w:bottom w:w="90" w:type="dxa"/>
                    <w:right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DEEP DIVE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80" w:line="40" w:lineRule="exact"/>
        <w:pBdr>
          <w:bottom w:val="single" w:sz="6" w:space="2" w:color="1F2937"/>
        </w:pBdr>
      </w:pPr>
    </w:p>
    <w:p>
      <w:pPr>
        <w:spacing w:before="80" w:after="160" w:line="240" w:lineRule="auto"/>
      </w:pPr>
      <w:r>
        <w:rPr>
          <w:rFonts w:ascii="Arial" w:hAnsi="Arial"/>
          <w:b/>
          <w:i w:val="0"/>
          <w:color w:val="13213F"/>
          <w:sz w:val="36"/>
        </w:rPr>
        <w:t>NIM rode the rate cycle up; cuts and reserve rules now reverse it</w:t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512"/>
        <w:gridCol w:w="503"/>
        <w:gridCol w:w="6883"/>
      </w:tblGrid>
      <w:tr>
        <w:tc>
          <w:tcPr>
            <w:tcW w:type="dxa" w:w="1051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6675120" cy="331007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im_baserat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5120" cy="33100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"/>
          </w:tcPr>
          <w:p/>
        </w:tc>
        <w:tc>
          <w:tcPr>
            <w:tcW w:type="dxa" w:w="688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20"/>
              <w:pBdr>
                <w:bottom w:val="single" w:sz="4" w:space="2" w:color="C9CCD3"/>
              </w:pBdr>
            </w:pPr>
            <w:r>
              <w:rPr>
                <w:rFonts w:ascii="Arial" w:hAnsi="Arial"/>
                <w:b/>
                <w:i w:val="0"/>
                <w:color w:val="13213F"/>
                <w:sz w:val="21"/>
              </w:rPr>
              <w:t>Why NIM falls in 2026-27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Reserve requirements: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three-stage MRR increase (Sep-25, Apr-26, Sep-26) sterilises ~KZT4.3trn system-wide; ~40bp drag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Rate cuts: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-225bp since June; floating corporate loans and NBK notes reprice before term deposits (avg 9.9%)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Mix: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BNPL/unsecured retail curtailed (GEIR cap 46%, 350% risk weights)</w:t>
            </w:r>
          </w:p>
          <w:p>
            <w:pPr>
              <w:spacing w:before="160" w:after="120" w:line="240" w:lineRule="auto"/>
              <w:pBdr>
                <w:bottom w:val="single" w:sz="4" w:space="2" w:color="C9CCD3"/>
              </w:pBdr>
            </w:pPr>
            <w:r>
              <w:rPr>
                <w:rFonts w:ascii="Arial" w:hAnsi="Arial"/>
                <w:b/>
                <w:i w:val="0"/>
                <w:color w:val="13213F"/>
                <w:sz w:val="21"/>
              </w:rPr>
              <w:t>Why it should stabilise ~6.5%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6B728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Deposit repricing lag works in Halyk's favour from 1H27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6B728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Lowest-cost funding base (payroll, current accounts) in the system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6B728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SME (+25%) and secured retail growth; each 10bp of NIM = ~KZT20bn PBT</w:t>
            </w:r>
          </w:p>
        </w:tc>
      </w:tr>
    </w:tbl>
    <w:p>
      <w:pPr>
        <w:spacing w:after="0" w:before="0"/>
      </w:pPr>
      <w:r>
        <w:rPr>
          <w:sz w:val="2"/>
        </w:rPr>
        <w:br w:type="page"/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4735"/>
        <w:gridCol w:w="3168"/>
      </w:tblGrid>
      <w:tr>
        <w:tc>
          <w:tcPr>
            <w:tcW w:type="dxa" w:w="147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F6FD0"/>
                <w:sz w:val="17"/>
              </w:rPr>
              <w:t>QUESTION 2 - ASSET QUALITY</w:t>
            </w:r>
          </w:p>
        </w:tc>
        <w:tc>
          <w:tcPr>
            <w:tcW w:type="dxa" w:w="316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jc w:val="right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2145"/>
            </w:tblGrid>
            <w:tr>
              <w:tc>
                <w:tcPr>
                  <w:tcW w:type="dxa" w:w="2146"/>
                  <w:shd w:val="clear" w:color="auto" w:fill="13213F"/>
                  <w:tcMar>
                    <w:top w:w="90" w:type="dxa"/>
                    <w:left w:w="80" w:type="dxa"/>
                    <w:bottom w:w="90" w:type="dxa"/>
                    <w:right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DEEP DIVE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80" w:line="40" w:lineRule="exact"/>
        <w:pBdr>
          <w:bottom w:val="single" w:sz="6" w:space="2" w:color="1F2937"/>
        </w:pBdr>
      </w:pPr>
    </w:p>
    <w:p>
      <w:pPr>
        <w:spacing w:before="80" w:after="160" w:line="240" w:lineRule="auto"/>
      </w:pPr>
      <w:r>
        <w:rPr>
          <w:rFonts w:ascii="Arial" w:hAnsi="Arial"/>
          <w:b/>
          <w:i w:val="0"/>
          <w:color w:val="13213F"/>
          <w:sz w:val="36"/>
        </w:rPr>
        <w:t>NPL 90+ doubled to 5.3% - management says 'partly mechanical'</w:t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944"/>
        <w:gridCol w:w="503"/>
        <w:gridCol w:w="6451"/>
      </w:tblGrid>
      <w:tr>
        <w:tc>
          <w:tcPr>
            <w:tcW w:type="dxa" w:w="1094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6949440" cy="235801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set_quality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0" cy="2358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"/>
          </w:tcPr>
          <w:p/>
        </w:tc>
        <w:tc>
          <w:tcPr>
            <w:tcW w:type="dxa" w:w="6451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20"/>
              <w:pBdr>
                <w:bottom w:val="single" w:sz="4" w:space="2" w:color="C9CCD3"/>
              </w:pBdr>
            </w:pPr>
            <w:r>
              <w:rPr>
                <w:rFonts w:ascii="Arial" w:hAnsi="Arial"/>
                <w:b/>
                <w:i w:val="0"/>
                <w:color w:val="13213F"/>
                <w:sz w:val="21"/>
              </w:rPr>
              <w:t>What we know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NPL 90+ KZT715bn (5.3%) vs KZT358bn (3.0%) a year ago; retail 9.2%, SME ~5%, corporate 2.6% (coverage 123%)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Stage 3 8.6%, coverage 58% [u] (from ~73%); provisions 5.0% of loans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Moratorium on selling retail NPLs to collectors ran to 1-May-26 - inflating the stock of NPLs</w:t>
            </w:r>
          </w:p>
          <w:p>
            <w:pPr>
              <w:spacing w:before="160" w:after="120" w:line="240" w:lineRule="auto"/>
              <w:pBdr>
                <w:bottom w:val="single" w:sz="4" w:space="2" w:color="C9CCD3"/>
              </w:pBdr>
            </w:pPr>
            <w:r>
              <w:rPr>
                <w:rFonts w:ascii="Arial" w:hAnsi="Arial"/>
                <w:b/>
                <w:i w:val="0"/>
                <w:color w:val="13213F"/>
                <w:sz w:val="21"/>
              </w:rPr>
              <w:t>What to watch at 9M26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6B728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NPL sales or write-offs vs new formation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6B728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CoR vs the 1.4-1.5% guide (we use 1.5%; bear 2.1%)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6B728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ARDFM's Feb-26 sector review flagged reserve 'discrepancies' [u]</w:t>
            </w:r>
          </w:p>
        </w:tc>
      </w:tr>
    </w:tbl>
    <w:p>
      <w:pPr>
        <w:spacing w:after="0" w:before="0"/>
      </w:pPr>
      <w:r>
        <w:rPr>
          <w:sz w:val="2"/>
        </w:rPr>
        <w:br w:type="page"/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4735"/>
        <w:gridCol w:w="3168"/>
      </w:tblGrid>
      <w:tr>
        <w:tc>
          <w:tcPr>
            <w:tcW w:type="dxa" w:w="147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F6FD0"/>
                <w:sz w:val="17"/>
              </w:rPr>
              <w:t>BALANCE SHEET &amp; CAPITAL ALLOCATION</w:t>
            </w:r>
          </w:p>
        </w:tc>
        <w:tc>
          <w:tcPr>
            <w:tcW w:type="dxa" w:w="316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jc w:val="right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1828"/>
            </w:tblGrid>
            <w:tr>
              <w:tc>
                <w:tcPr>
                  <w:tcW w:type="dxa" w:w="1829"/>
                  <w:shd w:val="clear" w:color="auto" w:fill="13213F"/>
                  <w:tcMar>
                    <w:top w:w="90" w:type="dxa"/>
                    <w:left w:w="80" w:type="dxa"/>
                    <w:bottom w:w="90" w:type="dxa"/>
                    <w:right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CAPITAL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80" w:line="40" w:lineRule="exact"/>
        <w:pBdr>
          <w:bottom w:val="single" w:sz="6" w:space="2" w:color="1F2937"/>
        </w:pBdr>
      </w:pPr>
    </w:p>
    <w:p>
      <w:pPr>
        <w:spacing w:before="80" w:after="160" w:line="240" w:lineRule="auto"/>
      </w:pPr>
      <w:r>
        <w:rPr>
          <w:rFonts w:ascii="Arial" w:hAnsi="Arial"/>
          <w:b/>
          <w:i w:val="0"/>
          <w:color w:val="13213F"/>
          <w:sz w:val="36"/>
        </w:rPr>
        <w:t>Over-capitalised and self-funding - the payout is safe, buybacks are token</w:t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367"/>
        <w:gridCol w:w="144"/>
        <w:gridCol w:w="4367"/>
        <w:gridCol w:w="144"/>
        <w:gridCol w:w="4367"/>
        <w:gridCol w:w="144"/>
        <w:gridCol w:w="4367"/>
      </w:tblGrid>
      <w:tr>
        <w:trPr>
          <w:trHeight w:val="1512" w:hRule="atLeast"/>
        </w:trPr>
        <w:tc>
          <w:tcPr>
            <w:tcW w:type="dxa" w:w="4368"/>
            <w:shd w:val="clear" w:color="auto" w:fill="EFF1F5"/>
            <w:tcMar>
              <w:top w:w="140" w:type="dxa"/>
              <w:left w:w="140" w:type="dxa"/>
              <w:bottom w:w="120" w:type="dxa"/>
              <w:right w:w="14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i w:val="0"/>
                <w:color w:val="13213F"/>
                <w:sz w:val="32"/>
              </w:rPr>
              <w:t>19.0%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i w:val="0"/>
                <w:color w:val="6B7280"/>
                <w:sz w:val="15"/>
              </w:rPr>
              <w:t>k1-1 = k2 (all CET1), 30-Jun-26; minimum 9.5% / 12.0% incl. buffers</w:t>
            </w:r>
          </w:p>
        </w:tc>
        <w:tc>
          <w:tcPr>
            <w:tcW w:type="dxa" w:w="144"/>
          </w:tcPr>
          <w:p/>
        </w:tc>
        <w:tc>
          <w:tcPr>
            <w:tcW w:type="dxa" w:w="4368"/>
            <w:shd w:val="clear" w:color="auto" w:fill="EFF1F5"/>
            <w:tcMar>
              <w:top w:w="140" w:type="dxa"/>
              <w:left w:w="140" w:type="dxa"/>
              <w:bottom w:w="120" w:type="dxa"/>
              <w:right w:w="14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i w:val="0"/>
                <w:color w:val="13213F"/>
                <w:sz w:val="32"/>
              </w:rPr>
              <w:t>16.5%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i w:val="0"/>
                <w:color w:val="6B7280"/>
                <w:sz w:val="15"/>
              </w:rPr>
              <w:t>Equity / assets; loans / deposits ~94%; deposits ~81% of liabilities</w:t>
            </w:r>
          </w:p>
        </w:tc>
        <w:tc>
          <w:tcPr>
            <w:tcW w:type="dxa" w:w="144"/>
          </w:tcPr>
          <w:p/>
        </w:tc>
        <w:tc>
          <w:tcPr>
            <w:tcW w:type="dxa" w:w="4368"/>
            <w:shd w:val="clear" w:color="auto" w:fill="EFF1F5"/>
            <w:tcMar>
              <w:top w:w="140" w:type="dxa"/>
              <w:left w:w="140" w:type="dxa"/>
              <w:bottom w:w="120" w:type="dxa"/>
              <w:right w:w="14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i w:val="0"/>
                <w:color w:val="13213F"/>
                <w:sz w:val="32"/>
              </w:rPr>
              <w:t>~KZT850bn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i w:val="0"/>
                <w:color w:val="6B7280"/>
                <w:sz w:val="15"/>
              </w:rPr>
              <w:t>Surplus capital over a ~14.5% operating target [e] = ~20% of market cap</w:t>
            </w:r>
          </w:p>
        </w:tc>
        <w:tc>
          <w:tcPr>
            <w:tcW w:type="dxa" w:w="144"/>
          </w:tcPr>
          <w:p/>
        </w:tc>
        <w:tc>
          <w:tcPr>
            <w:tcW w:type="dxa" w:w="4368"/>
            <w:shd w:val="clear" w:color="auto" w:fill="EFF1F5"/>
            <w:tcMar>
              <w:top w:w="140" w:type="dxa"/>
              <w:left w:w="140" w:type="dxa"/>
              <w:bottom w:w="120" w:type="dxa"/>
              <w:right w:w="14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i w:val="0"/>
                <w:color w:val="13213F"/>
                <w:sz w:val="32"/>
              </w:rPr>
              <w:t>2.54bn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i w:val="0"/>
                <w:color w:val="6B7280"/>
                <w:sz w:val="15"/>
              </w:rPr>
              <w:t>Treasury shares (19% of issued) never cancelled; buybacks ~US$20m vs US$50m caps</w:t>
            </w:r>
          </w:p>
        </w:tc>
      </w:tr>
    </w:tbl>
    <w:p>
      <w:pPr>
        <w:spacing w:before="0" w:after="120" w:line="240" w:lineRule="auto"/>
      </w:pP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699"/>
        <w:gridCol w:w="503"/>
        <w:gridCol w:w="8699"/>
      </w:tblGrid>
      <w:tr>
        <w:tc>
          <w:tcPr>
            <w:tcW w:type="dxa" w:w="870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20"/>
              <w:pBdr>
                <w:bottom w:val="single" w:sz="4" w:space="2" w:color="C9CCD3"/>
              </w:pBdr>
            </w:pPr>
            <w:r>
              <w:rPr>
                <w:rFonts w:ascii="Arial" w:hAnsi="Arial"/>
                <w:b/>
                <w:i w:val="0"/>
                <w:color w:val="13213F"/>
                <w:sz w:val="21"/>
              </w:rPr>
              <w:t>Capital-allocation record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Good: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Kazkom (2017) for KZT2 after the state clean-up; exits from Russia/Tajikistan/Kyrgyzstan; payout raised from 30% to 60%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Poor: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BNPL/unsecured push into 2025 (retail NPL 9.2%); KSF deposit one-off (~KZT145bn pre-tax, 2024); Click deal (US$176m for 49%) lapsed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Unclear: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auditor switched to EY from 9M26; FY21 dividend first withheld (2022) then paid</w:t>
            </w:r>
          </w:p>
        </w:tc>
        <w:tc>
          <w:tcPr>
            <w:tcW w:type="dxa" w:w="504"/>
          </w:tcPr>
          <w:p/>
        </w:tc>
        <w:tc>
          <w:tcPr>
            <w:tcW w:type="dxa" w:w="870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20"/>
              <w:pBdr>
                <w:bottom w:val="single" w:sz="4" w:space="2" w:color="C9CCD3"/>
              </w:pBdr>
            </w:pPr>
            <w:r>
              <w:rPr>
                <w:rFonts w:ascii="Arial" w:hAnsi="Arial"/>
                <w:b/>
                <w:i w:val="0"/>
                <w:color w:val="13213F"/>
                <w:sz w:val="21"/>
              </w:rPr>
              <w:t>Priorities we would push for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6B728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1. A CET1 target plus a special-dividend or tender mechanism for capital above it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6B728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2. Cancel the 2.54bn treasury shares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6B728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3. An orderly ALMEX sell-down to 51%, with the bank participating via tender (2011 precedent)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6B728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4. Per-person pay disclosure and an ROE/TSR-linked LTIP</w:t>
            </w:r>
          </w:p>
        </w:tc>
      </w:tr>
    </w:tbl>
    <w:p>
      <w:pPr>
        <w:spacing w:after="0" w:before="0"/>
      </w:pPr>
      <w:r>
        <w:rPr>
          <w:sz w:val="2"/>
        </w:rPr>
        <w:br w:type="page"/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4735"/>
        <w:gridCol w:w="3168"/>
      </w:tblGrid>
      <w:tr>
        <w:tc>
          <w:tcPr>
            <w:tcW w:type="dxa" w:w="147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F6FD0"/>
                <w:sz w:val="17"/>
              </w:rPr>
              <w:t>IS THERE AN ACTIVIST IN HERE?</w:t>
            </w:r>
          </w:p>
        </w:tc>
        <w:tc>
          <w:tcPr>
            <w:tcW w:type="dxa" w:w="316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jc w:val="right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2304"/>
            </w:tblGrid>
            <w:tr>
              <w:tc>
                <w:tcPr>
                  <w:tcW w:type="dxa" w:w="2304"/>
                  <w:shd w:val="clear" w:color="auto" w:fill="13213F"/>
                  <w:tcMar>
                    <w:top w:w="90" w:type="dxa"/>
                    <w:left w:w="80" w:type="dxa"/>
                    <w:bottom w:w="90" w:type="dxa"/>
                    <w:right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GOVERNANCE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80" w:line="40" w:lineRule="exact"/>
        <w:pBdr>
          <w:bottom w:val="single" w:sz="6" w:space="2" w:color="1F2937"/>
        </w:pBdr>
      </w:pPr>
    </w:p>
    <w:p>
      <w:pPr>
        <w:spacing w:before="80" w:after="160" w:line="240" w:lineRule="auto"/>
      </w:pPr>
      <w:r>
        <w:rPr>
          <w:rFonts w:ascii="Arial" w:hAnsi="Arial"/>
          <w:b/>
          <w:i w:val="0"/>
          <w:color w:val="13213F"/>
          <w:sz w:val="36"/>
        </w:rPr>
        <w:t>No - ALMEX's ~62% blocks it; the controlling family's need for liquidity is the catalyst</w:t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367"/>
        <w:gridCol w:w="144"/>
        <w:gridCol w:w="4367"/>
        <w:gridCol w:w="144"/>
        <w:gridCol w:w="4367"/>
        <w:gridCol w:w="144"/>
        <w:gridCol w:w="4367"/>
      </w:tblGrid>
      <w:tr>
        <w:trPr>
          <w:trHeight w:val="1512" w:hRule="atLeast"/>
        </w:trPr>
        <w:tc>
          <w:tcPr>
            <w:tcW w:type="dxa" w:w="4368"/>
            <w:shd w:val="clear" w:color="auto" w:fill="EFF1F5"/>
            <w:tcMar>
              <w:top w:w="140" w:type="dxa"/>
              <w:left w:w="140" w:type="dxa"/>
              <w:bottom w:w="120" w:type="dxa"/>
              <w:right w:w="14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i w:val="0"/>
                <w:color w:val="13213F"/>
                <w:sz w:val="32"/>
              </w:rPr>
              <w:t>~62%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i w:val="0"/>
                <w:color w:val="6B7280"/>
                <w:sz w:val="15"/>
              </w:rPr>
              <w:t>ALMEX (Timur Kulibayev &amp; Dinara Kulibayeva via Almex Holding Ltd, AIFC); 51% floor stated</w:t>
            </w:r>
          </w:p>
        </w:tc>
        <w:tc>
          <w:tcPr>
            <w:tcW w:type="dxa" w:w="144"/>
          </w:tcPr>
          <w:p/>
        </w:tc>
        <w:tc>
          <w:tcPr>
            <w:tcW w:type="dxa" w:w="4368"/>
            <w:shd w:val="clear" w:color="auto" w:fill="EFF1F5"/>
            <w:tcMar>
              <w:top w:w="140" w:type="dxa"/>
              <w:left w:w="140" w:type="dxa"/>
              <w:bottom w:w="120" w:type="dxa"/>
              <w:right w:w="14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i w:val="0"/>
                <w:color w:val="13213F"/>
                <w:sz w:val="32"/>
              </w:rPr>
              <w:t>~38%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i w:val="0"/>
                <w:color w:val="6B7280"/>
                <w:sz w:val="15"/>
              </w:rPr>
              <w:t>Free float after the Nov-25 7.6% placement (from ~30.5%)</w:t>
            </w:r>
          </w:p>
        </w:tc>
        <w:tc>
          <w:tcPr>
            <w:tcW w:type="dxa" w:w="144"/>
          </w:tcPr>
          <w:p/>
        </w:tc>
        <w:tc>
          <w:tcPr>
            <w:tcW w:type="dxa" w:w="4368"/>
            <w:shd w:val="clear" w:color="auto" w:fill="EFF1F5"/>
            <w:tcMar>
              <w:top w:w="140" w:type="dxa"/>
              <w:left w:w="140" w:type="dxa"/>
              <w:bottom w:w="120" w:type="dxa"/>
              <w:right w:w="14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i w:val="0"/>
                <w:color w:val="13213F"/>
                <w:sz w:val="32"/>
              </w:rPr>
              <w:t>4 of 7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i w:val="0"/>
                <w:color w:val="6B7280"/>
                <w:sz w:val="15"/>
              </w:rPr>
              <w:t>Independent directors (6 of 8 in 2024); chair no longer independent</w:t>
            </w:r>
          </w:p>
        </w:tc>
        <w:tc>
          <w:tcPr>
            <w:tcW w:type="dxa" w:w="144"/>
          </w:tcPr>
          <w:p/>
        </w:tc>
        <w:tc>
          <w:tcPr>
            <w:tcW w:type="dxa" w:w="4368"/>
            <w:shd w:val="clear" w:color="auto" w:fill="EFF1F5"/>
            <w:tcMar>
              <w:top w:w="140" w:type="dxa"/>
              <w:left w:w="140" w:type="dxa"/>
              <w:bottom w:w="120" w:type="dxa"/>
              <w:right w:w="140" w:type="dxa"/>
            </w:tcMar>
          </w:tcPr>
          <w:p>
            <w:pPr>
              <w:spacing w:after="100"/>
            </w:pPr>
            <w:r>
              <w:rPr>
                <w:rFonts w:ascii="Arial" w:hAnsi="Arial"/>
                <w:b/>
                <w:i w:val="0"/>
                <w:color w:val="13213F"/>
                <w:sz w:val="32"/>
              </w:rPr>
              <w:t>0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i w:val="0"/>
                <w:color w:val="6B7280"/>
                <w:sz w:val="15"/>
              </w:rPr>
              <w:t>Activist campaigns, proxy fights or FCA-disclosed short positions found</w:t>
            </w:r>
          </w:p>
        </w:tc>
      </w:tr>
    </w:tbl>
    <w:p>
      <w:pPr>
        <w:spacing w:before="0" w:after="120" w:line="240" w:lineRule="auto"/>
      </w:pP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699"/>
        <w:gridCol w:w="503"/>
        <w:gridCol w:w="8699"/>
      </w:tblGrid>
      <w:tr>
        <w:tc>
          <w:tcPr>
            <w:tcW w:type="dxa" w:w="870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20"/>
              <w:pBdr>
                <w:bottom w:val="single" w:sz="4" w:space="2" w:color="C9CCD3"/>
              </w:pBdr>
            </w:pPr>
            <w:r>
              <w:rPr>
                <w:rFonts w:ascii="Arial" w:hAnsi="Arial"/>
                <w:b/>
                <w:i w:val="0"/>
                <w:color w:val="13213F"/>
                <w:sz w:val="21"/>
              </w:rPr>
              <w:t>Why activism is hard here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Every ordinary resolution passes on ALMEX's vote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Systemic bank: any &gt;10% holder needs ARDFM approval; political sensitivity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Owners rely on dividends (ALMEX pays its owners ~KZT462bn) - payout already aligned</w:t>
            </w:r>
          </w:p>
        </w:tc>
        <w:tc>
          <w:tcPr>
            <w:tcW w:type="dxa" w:w="504"/>
          </w:tcPr>
          <w:p/>
        </w:tc>
        <w:tc>
          <w:tcPr>
            <w:tcW w:type="dxa" w:w="870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20"/>
              <w:pBdr>
                <w:bottom w:val="single" w:sz="4" w:space="2" w:color="C9CCD3"/>
              </w:pBdr>
            </w:pPr>
            <w:r>
              <w:rPr>
                <w:rFonts w:ascii="Arial" w:hAnsi="Arial"/>
                <w:b/>
                <w:i w:val="0"/>
                <w:color w:val="13213F"/>
                <w:sz w:val="21"/>
              </w:rPr>
              <w:t>Where the pressure could come from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6B728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ALMEX's own sell-down: placements need investor-friendly capital policy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6B728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Index inclusion and free-float growth draw larger EM funds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6B728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Governance asks: independent chair, pay disclosure, treasury-share cancellation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6B728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Political tail: an independent director sits on the asset-recovery commission</w:t>
            </w:r>
          </w:p>
        </w:tc>
      </w:tr>
    </w:tbl>
    <w:p>
      <w:pPr>
        <w:spacing w:after="0" w:before="0"/>
      </w:pPr>
      <w:r>
        <w:rPr>
          <w:sz w:val="2"/>
        </w:rPr>
        <w:br w:type="page"/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4735"/>
        <w:gridCol w:w="3168"/>
      </w:tblGrid>
      <w:tr>
        <w:tc>
          <w:tcPr>
            <w:tcW w:type="dxa" w:w="147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F6FD0"/>
                <w:sz w:val="17"/>
              </w:rPr>
              <w:t>QUESTION 3 - TAKEOVER TARGET?</w:t>
            </w:r>
          </w:p>
        </w:tc>
        <w:tc>
          <w:tcPr>
            <w:tcW w:type="dxa" w:w="316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jc w:val="right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1296"/>
            </w:tblGrid>
            <w:tr>
              <w:tc>
                <w:tcPr>
                  <w:tcW w:type="dxa" w:w="1296"/>
                  <w:shd w:val="clear" w:color="auto" w:fill="13213F"/>
                  <w:tcMar>
                    <w:top w:w="90" w:type="dxa"/>
                    <w:left w:w="80" w:type="dxa"/>
                    <w:bottom w:w="90" w:type="dxa"/>
                    <w:right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M&amp;A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80" w:line="40" w:lineRule="exact"/>
        <w:pBdr>
          <w:bottom w:val="single" w:sz="6" w:space="2" w:color="1F2937"/>
        </w:pBdr>
      </w:pPr>
    </w:p>
    <w:p>
      <w:pPr>
        <w:spacing w:before="80" w:after="160" w:line="240" w:lineRule="auto"/>
      </w:pPr>
      <w:r>
        <w:rPr>
          <w:rFonts w:ascii="Arial" w:hAnsi="Arial"/>
          <w:b/>
          <w:i w:val="0"/>
          <w:color w:val="13213F"/>
          <w:sz w:val="36"/>
        </w:rPr>
        <w:t>No - control is not for sale; the realistic event is ALMEX selling down to 51%</w:t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648"/>
        <w:gridCol w:w="503"/>
        <w:gridCol w:w="7747"/>
      </w:tblGrid>
      <w:tr>
        <w:tc>
          <w:tcPr>
            <w:tcW w:type="dxa" w:w="964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3600"/>
              <w:gridCol w:w="1080"/>
              <w:gridCol w:w="1728"/>
              <w:gridCol w:w="3240"/>
            </w:tblGrid>
            <w:tr>
              <w:trPr>
                <w:tblHeader w:val="true"/>
                <w:cantSplit/>
              </w:trPr>
              <w:tc>
                <w:tcPr>
                  <w:tcW w:type="dxa" w:w="3600"/>
                  <w:shd w:val="clear" w:color="auto" w:fill="13213F"/>
                  <w:tcMar>
                    <w:top w:w="55" w:type="dxa"/>
                    <w:left w:w="80" w:type="dxa"/>
                    <w:bottom w:w="55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Transaction</w:t>
                  </w:r>
                </w:p>
              </w:tc>
              <w:tc>
                <w:tcPr>
                  <w:tcW w:type="dxa" w:w="1080"/>
                  <w:shd w:val="clear" w:color="auto" w:fill="13213F"/>
                  <w:tcMar>
                    <w:top w:w="55" w:type="dxa"/>
                    <w:left w:w="80" w:type="dxa"/>
                    <w:bottom w:w="55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Date</w:t>
                  </w:r>
                </w:p>
              </w:tc>
              <w:tc>
                <w:tcPr>
                  <w:tcW w:type="dxa" w:w="1728"/>
                  <w:shd w:val="clear" w:color="auto" w:fill="13213F"/>
                  <w:tcMar>
                    <w:top w:w="55" w:type="dxa"/>
                    <w:left w:w="80" w:type="dxa"/>
                    <w:bottom w:w="55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Value</w:t>
                  </w:r>
                </w:p>
              </w:tc>
              <w:tc>
                <w:tcPr>
                  <w:tcW w:type="dxa" w:w="3240"/>
                  <w:shd w:val="clear" w:color="auto" w:fill="13213F"/>
                  <w:tcMar>
                    <w:top w:w="55" w:type="dxa"/>
                    <w:left w:w="80" w:type="dxa"/>
                    <w:bottom w:w="55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Multiple / read-across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0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ForteBank - Home Credit KZ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2025</w:t>
                  </w:r>
                </w:p>
              </w:tc>
              <w:tc>
                <w:tcPr>
                  <w:tcW w:type="dxa" w:w="1728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~KZT172-274bn</w:t>
                  </w:r>
                </w:p>
              </w:tc>
              <w:tc>
                <w:tcPr>
                  <w:tcW w:type="dxa" w:w="324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~0.9-1.4x P/B; healthy retail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0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Kim - Jusan (Alatau City)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Jul-25</w:t>
                  </w:r>
                </w:p>
              </w:tc>
              <w:tc>
                <w:tcPr>
                  <w:tcW w:type="dxa" w:w="1728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Undisclosed</w:t>
                  </w:r>
                </w:p>
              </w:tc>
              <w:tc>
                <w:tcPr>
                  <w:tcW w:type="dxa" w:w="324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Kaspi-linked capital enters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0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Lesha Bank (Qatar) - Bereke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Oct-24</w:t>
                  </w:r>
                </w:p>
              </w:tc>
              <w:tc>
                <w:tcPr>
                  <w:tcW w:type="dxa" w:w="1728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KZT65bn</w:t>
                  </w:r>
                </w:p>
              </w:tc>
              <w:tc>
                <w:tcPr>
                  <w:tcW w:type="dxa" w:w="324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~0.40x P/B; forced exit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0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Bank of Georgia - Ameriabank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2024</w:t>
                  </w:r>
                </w:p>
              </w:tc>
              <w:tc>
                <w:tcPr>
                  <w:tcW w:type="dxa" w:w="1728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US$303.6m</w:t>
                  </w:r>
                </w:p>
              </w:tc>
              <w:tc>
                <w:tcPr>
                  <w:tcW w:type="dxa" w:w="324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0.65x P/B, 2.6x P/E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0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Kaspi - Hepsiburada 65%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Jan-25</w:t>
                  </w:r>
                </w:p>
              </w:tc>
              <w:tc>
                <w:tcPr>
                  <w:tcW w:type="dxa" w:w="1728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US$1.13bn</w:t>
                  </w:r>
                </w:p>
              </w:tc>
              <w:tc>
                <w:tcPr>
                  <w:tcW w:type="dxa" w:w="324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Kaspi exports its model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0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BCC - Alfa-Bank KZ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May-22</w:t>
                  </w:r>
                </w:p>
              </w:tc>
              <w:tc>
                <w:tcPr>
                  <w:tcW w:type="dxa" w:w="1728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KZT50bn</w:t>
                  </w:r>
                </w:p>
              </w:tc>
              <w:tc>
                <w:tcPr>
                  <w:tcW w:type="dxa" w:w="324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~0.37x P/B; bargain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0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Halyk - Click 49% (lapsed)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Jul-25</w:t>
                  </w:r>
                </w:p>
              </w:tc>
              <w:tc>
                <w:tcPr>
                  <w:tcW w:type="dxa" w:w="1728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US$176.4m</w:t>
                  </w:r>
                </w:p>
              </w:tc>
              <w:tc>
                <w:tcPr>
                  <w:tcW w:type="dxa" w:w="324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Uzbek fintech; not completed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0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/>
                      <w:i w:val="0"/>
                      <w:color w:val="1F2937"/>
                      <w:sz w:val="15"/>
                    </w:rPr>
                    <w:t>ALMEX - 7.6% of Halyk</w:t>
                  </w:r>
                </w:p>
              </w:tc>
              <w:tc>
                <w:tcPr>
                  <w:tcW w:type="dxa" w:w="108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Nov-25</w:t>
                  </w:r>
                </w:p>
              </w:tc>
              <w:tc>
                <w:tcPr>
                  <w:tcW w:type="dxa" w:w="1728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US$475m</w:t>
                  </w:r>
                </w:p>
              </w:tc>
              <w:tc>
                <w:tcPr>
                  <w:tcW w:type="dxa" w:w="3240"/>
                  <w:tcMar>
                    <w:top w:w="45" w:type="dxa"/>
                    <w:left w:w="80" w:type="dxa"/>
                    <w:bottom w:w="45" w:type="dxa"/>
                    <w:right w:w="60" w:type="dxa"/>
                  </w:tcMar>
                  <w:tcBorders>
                    <w:top w:val="nil"/>
                    <w:left w:val="nil"/>
                    <w:bottom w:val="single" w:sz="4" w:color="C9CCD3"/>
                    <w:right w:val="nil"/>
                  </w:tcBorders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1F2937"/>
                      <w:sz w:val="15"/>
                    </w:rPr>
                    <w:t>~0.93x P/B, ~3.1x P/E</w:t>
                  </w:r>
                </w:p>
              </w:tc>
            </w:tr>
          </w:tbl>
          <w:p/>
        </w:tc>
        <w:tc>
          <w:tcPr>
            <w:tcW w:type="dxa" w:w="504"/>
          </w:tcPr>
          <w:p/>
        </w:tc>
        <w:tc>
          <w:tcPr>
            <w:tcW w:type="dxa" w:w="774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20"/>
              <w:pBdr>
                <w:bottom w:val="single" w:sz="4" w:space="2" w:color="C9CCD3"/>
              </w:pBdr>
            </w:pPr>
            <w:r>
              <w:rPr>
                <w:rFonts w:ascii="Arial" w:hAnsi="Arial"/>
                <w:b/>
                <w:i w:val="0"/>
                <w:color w:val="13213F"/>
                <w:sz w:val="21"/>
              </w:rPr>
              <w:t>What a control price would look like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Theoretical: 25-40% premium = 1.3-1.6x 2027E book = US$43-53/GDR (5.6-6.9x P/E) - a ceiling, above every regional precedent (0.4-1.4x)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Impediments: 62% control and a 51% floor; D-SIB status; antitrust (only Kaspi is big enough); politics; size (US$9bn+)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Plausible acquirers only in theory: Gulf-linked banks (Qatar bought Bereke) or China (CITIC owns 60% of Altyn)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In order of likelihood: (1) ALMEX placements at ~10% discounts; (2) bank-funded tender alongside a placement; (3) strategic minority stake</w:t>
            </w:r>
          </w:p>
        </w:tc>
      </w:tr>
    </w:tbl>
    <w:p>
      <w:pPr>
        <w:spacing w:after="0" w:before="0"/>
      </w:pPr>
      <w:r>
        <w:rPr>
          <w:sz w:val="2"/>
        </w:rPr>
        <w:br w:type="page"/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4735"/>
        <w:gridCol w:w="3168"/>
      </w:tblGrid>
      <w:tr>
        <w:tc>
          <w:tcPr>
            <w:tcW w:type="dxa" w:w="147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F6FD0"/>
                <w:sz w:val="17"/>
              </w:rPr>
              <w:t>SCENARIO ANALYSIS</w:t>
            </w:r>
          </w:p>
        </w:tc>
        <w:tc>
          <w:tcPr>
            <w:tcW w:type="dxa" w:w="316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jc w:val="right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2145"/>
            </w:tblGrid>
            <w:tr>
              <w:tc>
                <w:tcPr>
                  <w:tcW w:type="dxa" w:w="2146"/>
                  <w:shd w:val="clear" w:color="auto" w:fill="13213F"/>
                  <w:tcMar>
                    <w:top w:w="90" w:type="dxa"/>
                    <w:left w:w="80" w:type="dxa"/>
                    <w:bottom w:w="90" w:type="dxa"/>
                    <w:right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VALUATION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80" w:line="40" w:lineRule="exact"/>
        <w:pBdr>
          <w:bottom w:val="single" w:sz="6" w:space="2" w:color="1F2937"/>
        </w:pBdr>
      </w:pPr>
    </w:p>
    <w:p>
      <w:pPr>
        <w:spacing w:before="80" w:after="160" w:line="240" w:lineRule="auto"/>
      </w:pPr>
      <w:r>
        <w:rPr>
          <w:rFonts w:ascii="Arial" w:hAnsi="Arial"/>
          <w:b/>
          <w:i w:val="0"/>
          <w:color w:val="13213F"/>
          <w:sz w:val="36"/>
        </w:rPr>
        <w:t>Upside/downside skew ~2.4:1 - and the dividend cushions the bear case</w:t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744"/>
        <w:gridCol w:w="4536"/>
        <w:gridCol w:w="4536"/>
        <w:gridCol w:w="4579"/>
      </w:tblGrid>
      <w:tr>
        <w:trPr>
          <w:tblHeader w:val="true"/>
          <w:cantSplit/>
        </w:trPr>
        <w:tc>
          <w:tcPr>
            <w:tcW w:type="dxa" w:w="3744"/>
            <w:shd w:val="clear" w:color="auto" w:fill="13213F"/>
            <w:tcMar>
              <w:top w:w="55" w:type="dxa"/>
              <w:left w:w="80" w:type="dxa"/>
              <w:bottom w:w="55" w:type="dxa"/>
              <w:right w:w="60" w:type="dxa"/>
            </w:tcMar>
          </w:tcPr>
          <w:p/>
        </w:tc>
        <w:tc>
          <w:tcPr>
            <w:tcW w:type="dxa" w:w="4536"/>
            <w:shd w:val="clear" w:color="auto" w:fill="13213F"/>
            <w:tcMar>
              <w:top w:w="55" w:type="dxa"/>
              <w:left w:w="80" w:type="dxa"/>
              <w:bottom w:w="55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Bear (25%)</w:t>
            </w:r>
          </w:p>
        </w:tc>
        <w:tc>
          <w:tcPr>
            <w:tcW w:type="dxa" w:w="4536"/>
            <w:shd w:val="clear" w:color="auto" w:fill="13213F"/>
            <w:tcMar>
              <w:top w:w="55" w:type="dxa"/>
              <w:left w:w="80" w:type="dxa"/>
              <w:bottom w:w="55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Base (50%)</w:t>
            </w:r>
          </w:p>
        </w:tc>
        <w:tc>
          <w:tcPr>
            <w:tcW w:type="dxa" w:w="4579"/>
            <w:shd w:val="clear" w:color="auto" w:fill="13213F"/>
            <w:tcMar>
              <w:top w:w="55" w:type="dxa"/>
              <w:left w:w="80" w:type="dxa"/>
              <w:bottom w:w="55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Bull (25%)</w:t>
            </w:r>
          </w:p>
        </w:tc>
      </w:tr>
      <w:tr>
        <w:trPr>
          <w:cantSplit/>
        </w:trPr>
        <w:tc>
          <w:tcPr>
            <w:tcW w:type="dxa" w:w="3744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1F2937"/>
                <w:sz w:val="15"/>
              </w:rPr>
              <w:t>Net income 2027E</w:t>
            </w:r>
          </w:p>
        </w:tc>
        <w:tc>
          <w:tcPr>
            <w:tcW w:type="dxa" w:w="4536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KZT800bn (NIM 6.1%, CoR 2.1%)</w:t>
            </w:r>
          </w:p>
        </w:tc>
        <w:tc>
          <w:tcPr>
            <w:tcW w:type="dxa" w:w="4536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KZT984bn (NIM 6.5%, CoR 1.5%)</w:t>
            </w:r>
          </w:p>
        </w:tc>
        <w:tc>
          <w:tcPr>
            <w:tcW w:type="dxa" w:w="4579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KZT1,120bn (NIM 6.9%, CoR 1.2%)</w:t>
            </w:r>
          </w:p>
        </w:tc>
      </w:tr>
      <w:tr>
        <w:trPr>
          <w:cantSplit/>
        </w:trPr>
        <w:tc>
          <w:tcPr>
            <w:tcW w:type="dxa" w:w="3744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1F2937"/>
                <w:sz w:val="15"/>
              </w:rPr>
              <w:t>Payout / DPS FY26</w:t>
            </w:r>
          </w:p>
        </w:tc>
        <w:tc>
          <w:tcPr>
            <w:tcW w:type="dxa" w:w="4536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50% / ~KZT37</w:t>
            </w:r>
          </w:p>
        </w:tc>
        <w:tc>
          <w:tcPr>
            <w:tcW w:type="dxa" w:w="4536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60% / KZT49.5</w:t>
            </w:r>
          </w:p>
        </w:tc>
        <w:tc>
          <w:tcPr>
            <w:tcW w:type="dxa" w:w="4579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65% + special / ~KZT60+</w:t>
            </w:r>
          </w:p>
        </w:tc>
      </w:tr>
      <w:tr>
        <w:trPr>
          <w:cantSplit/>
        </w:trPr>
        <w:tc>
          <w:tcPr>
            <w:tcW w:type="dxa" w:w="3744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1F2937"/>
                <w:sz w:val="15"/>
              </w:rPr>
              <w:t>Exit multiple</w:t>
            </w:r>
          </w:p>
        </w:tc>
        <w:tc>
          <w:tcPr>
            <w:tcW w:type="dxa" w:w="4536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0.85x P/B (4.2x P/E)</w:t>
            </w:r>
          </w:p>
        </w:tc>
        <w:tc>
          <w:tcPr>
            <w:tcW w:type="dxa" w:w="4536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1.14x P/B (4.9x P/E)</w:t>
            </w:r>
          </w:p>
        </w:tc>
        <w:tc>
          <w:tcPr>
            <w:tcW w:type="dxa" w:w="4579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1.6x P/B (6.2x P/E)</w:t>
            </w:r>
          </w:p>
        </w:tc>
      </w:tr>
      <w:tr>
        <w:trPr>
          <w:cantSplit/>
        </w:trPr>
        <w:tc>
          <w:tcPr>
            <w:tcW w:type="dxa" w:w="3744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1F2937"/>
                <w:sz w:val="15"/>
              </w:rPr>
              <w:t>USD/KZT</w:t>
            </w:r>
          </w:p>
        </w:tc>
        <w:tc>
          <w:tcPr>
            <w:tcW w:type="dxa" w:w="4536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520</w:t>
            </w:r>
          </w:p>
        </w:tc>
        <w:tc>
          <w:tcPr>
            <w:tcW w:type="dxa" w:w="4536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465</w:t>
            </w:r>
          </w:p>
        </w:tc>
        <w:tc>
          <w:tcPr>
            <w:tcW w:type="dxa" w:w="4579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450</w:t>
            </w:r>
          </w:p>
        </w:tc>
      </w:tr>
      <w:tr>
        <w:trPr>
          <w:cantSplit/>
        </w:trPr>
        <w:tc>
          <w:tcPr>
            <w:tcW w:type="dxa" w:w="3744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  <w:shd w:val="clear" w:color="auto" w:fill="DCE5F7"/>
          </w:tcPr>
          <w:p>
            <w:r>
              <w:rPr>
                <w:rFonts w:ascii="Arial" w:hAnsi="Arial"/>
                <w:b/>
                <w:i w:val="0"/>
                <w:color w:val="1F2937"/>
                <w:sz w:val="15"/>
              </w:rPr>
              <w:t>Per GDR</w:t>
            </w:r>
          </w:p>
        </w:tc>
        <w:tc>
          <w:tcPr>
            <w:tcW w:type="dxa" w:w="4536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  <w:shd w:val="clear" w:color="auto" w:fill="DCE5F7"/>
          </w:tcPr>
          <w:p>
            <w:r>
              <w:rPr>
                <w:rFonts w:ascii="Arial" w:hAnsi="Arial"/>
                <w:b/>
                <w:i w:val="0"/>
                <w:color w:val="1F2937"/>
                <w:sz w:val="15"/>
              </w:rPr>
              <w:t>US$23.5 (-29%)</w:t>
            </w:r>
          </w:p>
        </w:tc>
        <w:tc>
          <w:tcPr>
            <w:tcW w:type="dxa" w:w="4536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  <w:shd w:val="clear" w:color="auto" w:fill="DCE5F7"/>
          </w:tcPr>
          <w:p>
            <w:r>
              <w:rPr>
                <w:rFonts w:ascii="Arial" w:hAnsi="Arial"/>
                <w:b/>
                <w:i w:val="0"/>
                <w:color w:val="1F2937"/>
                <w:sz w:val="15"/>
              </w:rPr>
              <w:t>US$38.0 (+14%)</w:t>
            </w:r>
          </w:p>
        </w:tc>
        <w:tc>
          <w:tcPr>
            <w:tcW w:type="dxa" w:w="4579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  <w:shd w:val="clear" w:color="auto" w:fill="DCE5F7"/>
          </w:tcPr>
          <w:p>
            <w:r>
              <w:rPr>
                <w:rFonts w:ascii="Arial" w:hAnsi="Arial"/>
                <w:b/>
                <w:i w:val="0"/>
                <w:color w:val="1F2937"/>
                <w:sz w:val="15"/>
              </w:rPr>
              <w:t>US$56.2 (+69%)</w:t>
            </w:r>
          </w:p>
        </w:tc>
      </w:tr>
      <w:tr>
        <w:trPr>
          <w:cantSplit/>
        </w:trPr>
        <w:tc>
          <w:tcPr>
            <w:tcW w:type="dxa" w:w="3744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1F2937"/>
                <w:sz w:val="15"/>
              </w:rPr>
              <w:t>Plus 12-mo dividends</w:t>
            </w:r>
          </w:p>
        </w:tc>
        <w:tc>
          <w:tcPr>
            <w:tcW w:type="dxa" w:w="4536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~US$3.0</w:t>
            </w:r>
          </w:p>
        </w:tc>
        <w:tc>
          <w:tcPr>
            <w:tcW w:type="dxa" w:w="4536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~US$4.3</w:t>
            </w:r>
          </w:p>
        </w:tc>
        <w:tc>
          <w:tcPr>
            <w:tcW w:type="dxa" w:w="4579"/>
            <w:tcMar>
              <w:top w:w="45" w:type="dxa"/>
              <w:left w:w="80" w:type="dxa"/>
              <w:bottom w:w="45" w:type="dxa"/>
              <w:right w:w="6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~US$5.0+</w:t>
            </w:r>
          </w:p>
        </w:tc>
      </w:tr>
    </w:tbl>
    <w:p>
      <w:pPr>
        <w:spacing w:before="0" w:after="200" w:line="240" w:lineRule="auto"/>
      </w:pP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776"/>
        <w:gridCol w:w="503"/>
        <w:gridCol w:w="9619"/>
      </w:tblGrid>
      <w:tr>
        <w:tc>
          <w:tcPr>
            <w:tcW w:type="dxa" w:w="777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4937760" cy="263433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ario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6343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"/>
          </w:tcPr>
          <w:p/>
        </w:tc>
        <w:tc>
          <w:tcPr>
            <w:tcW w:type="dxa" w:w="96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20"/>
              <w:pBdr>
                <w:bottom w:val="single" w:sz="4" w:space="2" w:color="C9CCD3"/>
              </w:pBdr>
            </w:pPr>
            <w:r>
              <w:rPr>
                <w:rFonts w:ascii="Arial" w:hAnsi="Arial"/>
                <w:b/>
                <w:i w:val="0"/>
                <w:color w:val="13213F"/>
                <w:sz w:val="21"/>
              </w:rPr>
              <w:t>Reading the scenarios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Bear (25%):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guidance abandoned, CoR 2%+, payout cut to 50%, a bank levy, tenge to 520 - back to the 2022-24 average 0.85x book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Base (50%):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2026 trough at KZT900bn, ~9% EPS growth from 2027, 60% payout, modest re-rating to 1.14x book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Bull (25%):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NIM holds ~6.9%, credit normalises, special dividend or tender alongside ALMEX's sell-down, 1.6x book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2F6FD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Prob-weighted US$38.9 (+17%) before ~US$4.2 of dividends</w:t>
            </w:r>
          </w:p>
        </w:tc>
      </w:tr>
    </w:tbl>
    <w:p>
      <w:pPr>
        <w:spacing w:before="0" w:after="120" w:line="240" w:lineRule="auto"/>
      </w:pP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7903"/>
      </w:tblGrid>
      <w:tr>
        <w:tc>
          <w:tcPr>
            <w:tcW w:type="dxa" w:w="17904"/>
            <w:shd w:val="clear" w:color="auto" w:fill="EFF1F5"/>
            <w:tcBorders>
              <w:top w:val="nil"/>
              <w:left w:val="single" w:sz="36" w:color="13213F"/>
              <w:bottom w:val="nil"/>
              <w:right w:val="nil"/>
            </w:tcBorders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/>
                <w:i w:val="0"/>
                <w:color w:val="1F2937"/>
                <w:sz w:val="17"/>
              </w:rPr>
              <w:t>Downside support: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even in the bear case the FY26 dividend (~KZT37) yields ~10% on today's price, and P/B of 0.85x matches the 2022-24 average. </w:t>
            </w:r>
            <w:r>
              <w:rPr>
                <w:rFonts w:ascii="Arial" w:hAnsi="Arial"/>
                <w:b/>
                <w:i w:val="0"/>
                <w:color w:val="1F2937"/>
                <w:sz w:val="17"/>
              </w:rPr>
              <w:t>Upside driver:</w:t>
            </w: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 xml:space="preserve"> a capital-return event (special dividend or tender from ~KZT850bn of surplus capital) alongside ALMEX's sell-down, plus re-rating as free float and index weight rise.</w:t>
            </w:r>
          </w:p>
        </w:tc>
      </w:tr>
    </w:tbl>
    <w:p>
      <w:pPr>
        <w:spacing w:after="0" w:before="0"/>
      </w:pPr>
      <w:r>
        <w:rPr>
          <w:sz w:val="2"/>
        </w:rPr>
        <w:br w:type="page"/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4735"/>
        <w:gridCol w:w="3168"/>
      </w:tblGrid>
      <w:tr>
        <w:tc>
          <w:tcPr>
            <w:tcW w:type="dxa" w:w="147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F6FD0"/>
                <w:sz w:val="17"/>
              </w:rPr>
              <w:t>CATALYST CALENDAR</w:t>
            </w:r>
          </w:p>
        </w:tc>
        <w:tc>
          <w:tcPr>
            <w:tcW w:type="dxa" w:w="316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jc w:val="right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2145"/>
            </w:tblGrid>
            <w:tr>
              <w:tc>
                <w:tcPr>
                  <w:tcW w:type="dxa" w:w="2146"/>
                  <w:shd w:val="clear" w:color="auto" w:fill="13213F"/>
                  <w:tcMar>
                    <w:top w:w="90" w:type="dxa"/>
                    <w:left w:w="80" w:type="dxa"/>
                    <w:bottom w:w="90" w:type="dxa"/>
                    <w:right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CATALYSTS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80" w:line="40" w:lineRule="exact"/>
        <w:pBdr>
          <w:bottom w:val="single" w:sz="6" w:space="2" w:color="1F2937"/>
        </w:pBdr>
      </w:pPr>
    </w:p>
    <w:p>
      <w:pPr>
        <w:spacing w:before="80" w:after="160" w:line="240" w:lineRule="auto"/>
      </w:pPr>
      <w:r>
        <w:rPr>
          <w:rFonts w:ascii="Arial" w:hAnsi="Arial"/>
          <w:b/>
          <w:i w:val="0"/>
          <w:color w:val="13213F"/>
          <w:sz w:val="36"/>
        </w:rPr>
        <w:t>9M26 results and the ALMEX lock-up expiry dominate the next six weeks</w:t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024"/>
        <w:gridCol w:w="5040"/>
        <w:gridCol w:w="8063"/>
        <w:gridCol w:w="1775"/>
      </w:tblGrid>
      <w:tr>
        <w:tc>
          <w:tcPr>
            <w:tcW w:type="dxa" w:w="3024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2F6FD0"/>
                <w:sz w:val="16"/>
              </w:rPr>
              <w:t>9-NOV-26</w:t>
            </w:r>
          </w:p>
        </w:tc>
        <w:tc>
          <w:tcPr>
            <w:tcW w:type="dxa" w:w="5040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13213F"/>
                <w:sz w:val="18"/>
              </w:rPr>
              <w:t>Kaspi.kz 3Q26 results</w:t>
            </w:r>
          </w:p>
        </w:tc>
        <w:tc>
          <w:tcPr>
            <w:tcW w:type="dxa" w:w="8064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Retail lending and payments read-across</w:t>
            </w:r>
          </w:p>
        </w:tc>
        <w:tc>
          <w:tcPr>
            <w:tcW w:type="dxa" w:w="1776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2F6FD0"/>
                <w:sz w:val="16"/>
              </w:rPr>
              <w:t>MEDIUM</w:t>
            </w:r>
          </w:p>
        </w:tc>
      </w:tr>
      <w:tr>
        <w:tc>
          <w:tcPr>
            <w:tcW w:type="dxa" w:w="3024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2F6FD0"/>
                <w:sz w:val="16"/>
              </w:rPr>
              <w:t>~13-19 NOV-26 [E]</w:t>
            </w:r>
          </w:p>
        </w:tc>
        <w:tc>
          <w:tcPr>
            <w:tcW w:type="dxa" w:w="5040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13213F"/>
                <w:sz w:val="18"/>
              </w:rPr>
              <w:t>Halyk 9M/3Q26 results</w:t>
            </w:r>
          </w:p>
        </w:tc>
        <w:tc>
          <w:tcPr>
            <w:tcW w:type="dxa" w:w="8064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Fate of the KZT1trn guide; NIM after the Sep MRR step; NPL trend; dividend wording</w:t>
            </w:r>
          </w:p>
        </w:tc>
        <w:tc>
          <w:tcPr>
            <w:tcW w:type="dxa" w:w="1776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2F6FD0"/>
                <w:sz w:val="16"/>
              </w:rPr>
              <w:t>HIGH</w:t>
            </w:r>
          </w:p>
        </w:tc>
      </w:tr>
      <w:tr>
        <w:tc>
          <w:tcPr>
            <w:tcW w:type="dxa" w:w="3024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2F6FD0"/>
                <w:sz w:val="16"/>
              </w:rPr>
              <w:t>~25-NOV-26</w:t>
            </w:r>
          </w:p>
        </w:tc>
        <w:tc>
          <w:tcPr>
            <w:tcW w:type="dxa" w:w="5040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13213F"/>
                <w:sz w:val="18"/>
              </w:rPr>
              <w:t>ALMEX lock-up expiry</w:t>
            </w:r>
          </w:p>
        </w:tc>
        <w:tc>
          <w:tcPr>
            <w:tcW w:type="dxa" w:w="8064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Block or placement size and discount; any bank participation</w:t>
            </w:r>
          </w:p>
        </w:tc>
        <w:tc>
          <w:tcPr>
            <w:tcW w:type="dxa" w:w="1776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2F6FD0"/>
                <w:sz w:val="16"/>
              </w:rPr>
              <w:t>CRITICAL</w:t>
            </w:r>
          </w:p>
        </w:tc>
      </w:tr>
      <w:tr>
        <w:tc>
          <w:tcPr>
            <w:tcW w:type="dxa" w:w="3024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2F6FD0"/>
                <w:sz w:val="16"/>
              </w:rPr>
              <w:t>4-DEC-26</w:t>
            </w:r>
          </w:p>
        </w:tc>
        <w:tc>
          <w:tcPr>
            <w:tcW w:type="dxa" w:w="5040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13213F"/>
                <w:sz w:val="18"/>
              </w:rPr>
              <w:t>NBK base-rate decision</w:t>
            </w:r>
          </w:p>
        </w:tc>
        <w:tc>
          <w:tcPr>
            <w:tcW w:type="dxa" w:w="8064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NBK signalled a hold at 15.75%</w:t>
            </w:r>
          </w:p>
        </w:tc>
        <w:tc>
          <w:tcPr>
            <w:tcW w:type="dxa" w:w="1776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2F6FD0"/>
                <w:sz w:val="16"/>
              </w:rPr>
              <w:t>MEDIUM</w:t>
            </w:r>
          </w:p>
        </w:tc>
      </w:tr>
      <w:tr>
        <w:tc>
          <w:tcPr>
            <w:tcW w:type="dxa" w:w="3024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2F6FD0"/>
                <w:sz w:val="16"/>
              </w:rPr>
              <w:t>DEC-26 - FEB-27</w:t>
            </w:r>
          </w:p>
        </w:tc>
        <w:tc>
          <w:tcPr>
            <w:tcW w:type="dxa" w:w="5040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13213F"/>
                <w:sz w:val="18"/>
              </w:rPr>
              <w:t>Budget / ARDFM measures</w:t>
            </w:r>
          </w:p>
        </w:tc>
        <w:tc>
          <w:tcPr>
            <w:tcW w:type="dxa" w:w="8064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Any bank levy; total-debt cap (8x income); large-loan limits</w:t>
            </w:r>
          </w:p>
        </w:tc>
        <w:tc>
          <w:tcPr>
            <w:tcW w:type="dxa" w:w="1776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2F6FD0"/>
                <w:sz w:val="16"/>
              </w:rPr>
              <w:t>HIGH</w:t>
            </w:r>
          </w:p>
        </w:tc>
      </w:tr>
      <w:tr>
        <w:tc>
          <w:tcPr>
            <w:tcW w:type="dxa" w:w="3024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2F6FD0"/>
                <w:sz w:val="16"/>
              </w:rPr>
              <w:t>FEB-27</w:t>
            </w:r>
          </w:p>
        </w:tc>
        <w:tc>
          <w:tcPr>
            <w:tcW w:type="dxa" w:w="5040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13213F"/>
                <w:sz w:val="18"/>
              </w:rPr>
              <w:t>MSCI quarterly review</w:t>
            </w:r>
          </w:p>
        </w:tc>
        <w:tc>
          <w:tcPr>
            <w:tcW w:type="dxa" w:w="8064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Weight change from the higher free float</w:t>
            </w:r>
          </w:p>
        </w:tc>
        <w:tc>
          <w:tcPr>
            <w:tcW w:type="dxa" w:w="1776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2F6FD0"/>
                <w:sz w:val="16"/>
              </w:rPr>
              <w:t>MEDIUM</w:t>
            </w:r>
          </w:p>
        </w:tc>
      </w:tr>
      <w:tr>
        <w:tc>
          <w:tcPr>
            <w:tcW w:type="dxa" w:w="3024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2F6FD0"/>
                <w:sz w:val="16"/>
              </w:rPr>
              <w:t>MAR-27</w:t>
            </w:r>
          </w:p>
        </w:tc>
        <w:tc>
          <w:tcPr>
            <w:tcW w:type="dxa" w:w="5040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13213F"/>
                <w:sz w:val="18"/>
              </w:rPr>
              <w:t>FY26 results and 2027 guidance</w:t>
            </w:r>
          </w:p>
        </w:tc>
        <w:tc>
          <w:tcPr>
            <w:tcW w:type="dxa" w:w="8064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NIM, CoR, ROE guide; payout</w:t>
            </w:r>
          </w:p>
        </w:tc>
        <w:tc>
          <w:tcPr>
            <w:tcW w:type="dxa" w:w="1776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2F6FD0"/>
                <w:sz w:val="16"/>
              </w:rPr>
              <w:t>HIGH</w:t>
            </w:r>
          </w:p>
        </w:tc>
      </w:tr>
      <w:tr>
        <w:tc>
          <w:tcPr>
            <w:tcW w:type="dxa" w:w="3024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2F6FD0"/>
                <w:sz w:val="16"/>
              </w:rPr>
              <w:t>APR-27</w:t>
            </w:r>
          </w:p>
        </w:tc>
        <w:tc>
          <w:tcPr>
            <w:tcW w:type="dxa" w:w="5040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/>
                <w:i w:val="0"/>
                <w:color w:val="13213F"/>
                <w:sz w:val="18"/>
              </w:rPr>
              <w:t>AGM; 2% retail buffer fully phased</w:t>
            </w:r>
          </w:p>
        </w:tc>
        <w:tc>
          <w:tcPr>
            <w:tcW w:type="dxa" w:w="8064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r>
              <w:rPr>
                <w:rFonts w:ascii="Arial" w:hAnsi="Arial"/>
                <w:b w:val="0"/>
                <w:i w:val="0"/>
                <w:color w:val="6B7280"/>
                <w:sz w:val="16"/>
              </w:rPr>
              <w:t>FY26 first dividend tranche vs our KZT49.5 total</w:t>
            </w:r>
          </w:p>
        </w:tc>
        <w:tc>
          <w:tcPr>
            <w:tcW w:type="dxa" w:w="1776"/>
            <w:tcMar>
              <w:top w:w="110" w:type="dxa"/>
              <w:left w:w="0" w:type="dxa"/>
              <w:bottom w:w="110" w:type="dxa"/>
              <w:right w:w="80" w:type="dxa"/>
            </w:tcMar>
            <w:tcBorders>
              <w:top w:val="nil"/>
              <w:left w:val="nil"/>
              <w:bottom w:val="single" w:sz="4" w:color="C9CCD3"/>
              <w:right w:val="nil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2F6FD0"/>
                <w:sz w:val="16"/>
              </w:rPr>
              <w:t>HIGH</w:t>
            </w:r>
          </w:p>
        </w:tc>
      </w:tr>
    </w:tbl>
    <w:p>
      <w:pPr>
        <w:spacing w:after="0" w:before="0"/>
      </w:pPr>
      <w:r>
        <w:rPr>
          <w:sz w:val="2"/>
        </w:rPr>
        <w:br w:type="page"/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4735"/>
        <w:gridCol w:w="3168"/>
      </w:tblGrid>
      <w:tr>
        <w:tc>
          <w:tcPr>
            <w:tcW w:type="dxa" w:w="147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F6FD0"/>
                <w:sz w:val="17"/>
              </w:rPr>
              <w:t>KEY RISKS</w:t>
            </w:r>
          </w:p>
        </w:tc>
        <w:tc>
          <w:tcPr>
            <w:tcW w:type="dxa" w:w="316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jc w:val="right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1512"/>
            </w:tblGrid>
            <w:tr>
              <w:tc>
                <w:tcPr>
                  <w:tcW w:type="dxa" w:w="1512"/>
                  <w:shd w:val="clear" w:color="auto" w:fill="13213F"/>
                  <w:tcMar>
                    <w:top w:w="90" w:type="dxa"/>
                    <w:left w:w="80" w:type="dxa"/>
                    <w:bottom w:w="90" w:type="dxa"/>
                    <w:right w:w="80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15"/>
                    </w:rPr>
                    <w:t>RISKS</w:t>
                  </w:r>
                </w:p>
              </w:tc>
            </w:tr>
          </w:tbl>
          <w:p/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80" w:line="40" w:lineRule="exact"/>
        <w:pBdr>
          <w:bottom w:val="single" w:sz="6" w:space="2" w:color="1F2937"/>
        </w:pBdr>
      </w:pPr>
    </w:p>
    <w:p>
      <w:pPr>
        <w:spacing w:before="80" w:after="160" w:line="240" w:lineRule="auto"/>
      </w:pPr>
      <w:r>
        <w:rPr>
          <w:rFonts w:ascii="Arial" w:hAnsi="Arial"/>
          <w:b/>
          <w:i w:val="0"/>
          <w:color w:val="13213F"/>
          <w:sz w:val="36"/>
        </w:rPr>
        <w:t>What would make this thesis wrong</w:t>
      </w: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807"/>
        <w:gridCol w:w="288"/>
        <w:gridCol w:w="8807"/>
      </w:tblGrid>
      <w:tr>
        <w:tc>
          <w:tcPr>
            <w:tcW w:type="dxa" w:w="8808"/>
            <w:shd w:val="clear" w:color="auto" w:fill="EFF1F5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after="0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936"/>
              <w:gridCol w:w="7511"/>
            </w:tblGrid>
            <w:tr>
              <w:tc>
                <w:tcPr>
                  <w:tcW w:type="dxa" w:w="936"/>
                </w:tcPr>
                <w:p>
                  <w:r>
                    <w:rPr>
                      <w:rFonts w:ascii="Arial" w:hAnsi="Arial"/>
                      <w:b/>
                      <w:i w:val="0"/>
                      <w:color w:val="2F6FD0"/>
                      <w:sz w:val="40"/>
                    </w:rPr>
                    <w:t>01</w:t>
                  </w:r>
                </w:p>
              </w:tc>
              <w:tc>
                <w:tcPr>
                  <w:tcW w:type="dxa" w:w="7512"/>
                </w:tcPr>
                <w:p>
                  <w:pPr>
                    <w:spacing w:after="100"/>
                  </w:pPr>
                  <w:r>
                    <w:rPr>
                      <w:rFonts w:ascii="Arial" w:hAnsi="Arial"/>
                      <w:b/>
                      <w:i w:val="0"/>
                      <w:color w:val="13213F"/>
                      <w:sz w:val="20"/>
                    </w:rPr>
                    <w:t>State taxes the franchise</w:t>
                  </w:r>
                </w:p>
                <w:p>
                  <w:pPr>
                    <w:spacing w:before="0" w:after="0" w:line="269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6B7280"/>
                      <w:sz w:val="16"/>
                    </w:rPr>
                    <w:t>A permanent bank levy, profit tax revival or forced lending as oil falls (NBK: US$75 in 2027, US$65 in 2028) pushes sustainable ROE to the high teens</w:t>
                  </w:r>
                </w:p>
              </w:tc>
            </w:tr>
          </w:tbl>
          <w:p/>
        </w:tc>
        <w:tc>
          <w:tcPr>
            <w:tcW w:type="dxa" w:w="288"/>
          </w:tcPr>
          <w:p/>
        </w:tc>
        <w:tc>
          <w:tcPr>
            <w:tcW w:type="dxa" w:w="8808"/>
            <w:shd w:val="clear" w:color="auto" w:fill="EFF1F5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after="0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936"/>
              <w:gridCol w:w="7511"/>
            </w:tblGrid>
            <w:tr>
              <w:tc>
                <w:tcPr>
                  <w:tcW w:type="dxa" w:w="936"/>
                </w:tcPr>
                <w:p>
                  <w:r>
                    <w:rPr>
                      <w:rFonts w:ascii="Arial" w:hAnsi="Arial"/>
                      <w:b/>
                      <w:i w:val="0"/>
                      <w:color w:val="2F6FD0"/>
                      <w:sz w:val="40"/>
                    </w:rPr>
                    <w:t>02</w:t>
                  </w:r>
                </w:p>
              </w:tc>
              <w:tc>
                <w:tcPr>
                  <w:tcW w:type="dxa" w:w="7512"/>
                </w:tcPr>
                <w:p>
                  <w:pPr>
                    <w:spacing w:after="100"/>
                  </w:pPr>
                  <w:r>
                    <w:rPr>
                      <w:rFonts w:ascii="Arial" w:hAnsi="Arial"/>
                      <w:b/>
                      <w:i w:val="0"/>
                      <w:color w:val="13213F"/>
                      <w:sz w:val="20"/>
                    </w:rPr>
                    <w:t>Margin compression</w:t>
                  </w:r>
                </w:p>
                <w:p>
                  <w:pPr>
                    <w:spacing w:before="0" w:after="0" w:line="269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6B7280"/>
                      <w:sz w:val="16"/>
                    </w:rPr>
                    <w:t>Further cuts with sticky deposit costs (Freedom's pricing) take NIM to 6.0-6.2%: ~KZT100bn of PBT</w:t>
                  </w:r>
                </w:p>
              </w:tc>
            </w:tr>
          </w:tbl>
          <w:p/>
        </w:tc>
      </w:tr>
      <w:tr>
        <w:trPr>
          <w:trHeight w:val="216" w:hRule="exact"/>
        </w:trPr>
        <w:tc>
          <w:tcPr>
            <w:tcW w:type="dxa" w:w="8808"/>
          </w:tcPr>
          <w:p/>
        </w:tc>
        <w:tc>
          <w:tcPr>
            <w:tcW w:type="dxa" w:w="288"/>
          </w:tcPr>
          <w:p/>
        </w:tc>
        <w:tc>
          <w:tcPr>
            <w:tcW w:type="dxa" w:w="8808"/>
          </w:tcPr>
          <w:p/>
        </w:tc>
      </w:tr>
      <w:tr>
        <w:tc>
          <w:tcPr>
            <w:tcW w:type="dxa" w:w="8808"/>
            <w:shd w:val="clear" w:color="auto" w:fill="EFF1F5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after="0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936"/>
              <w:gridCol w:w="7511"/>
            </w:tblGrid>
            <w:tr>
              <w:tc>
                <w:tcPr>
                  <w:tcW w:type="dxa" w:w="936"/>
                </w:tcPr>
                <w:p>
                  <w:r>
                    <w:rPr>
                      <w:rFonts w:ascii="Arial" w:hAnsi="Arial"/>
                      <w:b/>
                      <w:i w:val="0"/>
                      <w:color w:val="2F6FD0"/>
                      <w:sz w:val="40"/>
                    </w:rPr>
                    <w:t>03</w:t>
                  </w:r>
                </w:p>
              </w:tc>
              <w:tc>
                <w:tcPr>
                  <w:tcW w:type="dxa" w:w="7512"/>
                </w:tcPr>
                <w:p>
                  <w:pPr>
                    <w:spacing w:after="100"/>
                  </w:pPr>
                  <w:r>
                    <w:rPr>
                      <w:rFonts w:ascii="Arial" w:hAnsi="Arial"/>
                      <w:b/>
                      <w:i w:val="0"/>
                      <w:color w:val="13213F"/>
                      <w:sz w:val="20"/>
                    </w:rPr>
                    <w:t>Retail credit</w:t>
                  </w:r>
                </w:p>
                <w:p>
                  <w:pPr>
                    <w:spacing w:before="0" w:after="0" w:line="269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6B7280"/>
                      <w:sz w:val="16"/>
                    </w:rPr>
                    <w:t>Retail NPL 90+ of 9.2% proves real, not 'mechanical'; CoR of 2-2.5% for two years</w:t>
                  </w:r>
                </w:p>
              </w:tc>
            </w:tr>
          </w:tbl>
          <w:p/>
        </w:tc>
        <w:tc>
          <w:tcPr>
            <w:tcW w:type="dxa" w:w="288"/>
          </w:tcPr>
          <w:p/>
        </w:tc>
        <w:tc>
          <w:tcPr>
            <w:tcW w:type="dxa" w:w="8808"/>
            <w:shd w:val="clear" w:color="auto" w:fill="EFF1F5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after="0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936"/>
              <w:gridCol w:w="7511"/>
            </w:tblGrid>
            <w:tr>
              <w:tc>
                <w:tcPr>
                  <w:tcW w:type="dxa" w:w="936"/>
                </w:tcPr>
                <w:p>
                  <w:r>
                    <w:rPr>
                      <w:rFonts w:ascii="Arial" w:hAnsi="Arial"/>
                      <w:b/>
                      <w:i w:val="0"/>
                      <w:color w:val="2F6FD0"/>
                      <w:sz w:val="40"/>
                    </w:rPr>
                    <w:t>04</w:t>
                  </w:r>
                </w:p>
              </w:tc>
              <w:tc>
                <w:tcPr>
                  <w:tcW w:type="dxa" w:w="7512"/>
                </w:tcPr>
                <w:p>
                  <w:pPr>
                    <w:spacing w:after="100"/>
                  </w:pPr>
                  <w:r>
                    <w:rPr>
                      <w:rFonts w:ascii="Arial" w:hAnsi="Arial"/>
                      <w:b/>
                      <w:i w:val="0"/>
                      <w:color w:val="13213F"/>
                      <w:sz w:val="20"/>
                    </w:rPr>
                    <w:t>ALMEX overhang</w:t>
                  </w:r>
                </w:p>
                <w:p>
                  <w:pPr>
                    <w:spacing w:before="0" w:after="0" w:line="269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6B7280"/>
                      <w:sz w:val="16"/>
                    </w:rPr>
                    <w:t>Repeated placements at wider discounts; or a reversal of the sell-down policy</w:t>
                  </w:r>
                </w:p>
              </w:tc>
            </w:tr>
          </w:tbl>
          <w:p/>
        </w:tc>
      </w:tr>
      <w:tr>
        <w:trPr>
          <w:trHeight w:val="216" w:hRule="exact"/>
        </w:trPr>
        <w:tc>
          <w:tcPr>
            <w:tcW w:type="dxa" w:w="8808"/>
          </w:tcPr>
          <w:p/>
        </w:tc>
        <w:tc>
          <w:tcPr>
            <w:tcW w:type="dxa" w:w="288"/>
          </w:tcPr>
          <w:p/>
        </w:tc>
        <w:tc>
          <w:tcPr>
            <w:tcW w:type="dxa" w:w="8808"/>
          </w:tcPr>
          <w:p/>
        </w:tc>
      </w:tr>
      <w:tr>
        <w:tc>
          <w:tcPr>
            <w:tcW w:type="dxa" w:w="8808"/>
            <w:shd w:val="clear" w:color="auto" w:fill="EFF1F5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after="0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936"/>
              <w:gridCol w:w="7511"/>
            </w:tblGrid>
            <w:tr>
              <w:tc>
                <w:tcPr>
                  <w:tcW w:type="dxa" w:w="936"/>
                </w:tcPr>
                <w:p>
                  <w:r>
                    <w:rPr>
                      <w:rFonts w:ascii="Arial" w:hAnsi="Arial"/>
                      <w:b/>
                      <w:i w:val="0"/>
                      <w:color w:val="2F6FD0"/>
                      <w:sz w:val="40"/>
                    </w:rPr>
                    <w:t>05</w:t>
                  </w:r>
                </w:p>
              </w:tc>
              <w:tc>
                <w:tcPr>
                  <w:tcW w:type="dxa" w:w="7512"/>
                </w:tcPr>
                <w:p>
                  <w:pPr>
                    <w:spacing w:after="100"/>
                  </w:pPr>
                  <w:r>
                    <w:rPr>
                      <w:rFonts w:ascii="Arial" w:hAnsi="Arial"/>
                      <w:b/>
                      <w:i w:val="0"/>
                      <w:color w:val="13213F"/>
                      <w:sz w:val="20"/>
                    </w:rPr>
                    <w:t>Political tail</w:t>
                  </w:r>
                </w:p>
                <w:p>
                  <w:pPr>
                    <w:spacing w:before="0" w:after="0" w:line="269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6B7280"/>
                      <w:sz w:val="16"/>
                    </w:rPr>
                    <w:t>Owners are related to the former president; the asset-recovery law (2023); succession risk at both owner and CEO level</w:t>
                  </w:r>
                </w:p>
              </w:tc>
            </w:tr>
          </w:tbl>
          <w:p/>
        </w:tc>
        <w:tc>
          <w:tcPr>
            <w:tcW w:type="dxa" w:w="288"/>
          </w:tcPr>
          <w:p/>
        </w:tc>
        <w:tc>
          <w:tcPr>
            <w:tcW w:type="dxa" w:w="8808"/>
            <w:shd w:val="clear" w:color="auto" w:fill="EFF1F5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after="0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936"/>
              <w:gridCol w:w="7511"/>
            </w:tblGrid>
            <w:tr>
              <w:tc>
                <w:tcPr>
                  <w:tcW w:type="dxa" w:w="936"/>
                </w:tcPr>
                <w:p>
                  <w:r>
                    <w:rPr>
                      <w:rFonts w:ascii="Arial" w:hAnsi="Arial"/>
                      <w:b/>
                      <w:i w:val="0"/>
                      <w:color w:val="2F6FD0"/>
                      <w:sz w:val="40"/>
                    </w:rPr>
                    <w:t>06</w:t>
                  </w:r>
                </w:p>
              </w:tc>
              <w:tc>
                <w:tcPr>
                  <w:tcW w:type="dxa" w:w="7512"/>
                </w:tcPr>
                <w:p>
                  <w:pPr>
                    <w:spacing w:after="100"/>
                  </w:pPr>
                  <w:r>
                    <w:rPr>
                      <w:rFonts w:ascii="Arial" w:hAnsi="Arial"/>
                      <w:b/>
                      <w:i w:val="0"/>
                      <w:color w:val="13213F"/>
                      <w:sz w:val="20"/>
                    </w:rPr>
                    <w:t>Tenge and dividend</w:t>
                  </w:r>
                </w:p>
                <w:p>
                  <w:pPr>
                    <w:spacing w:before="0" w:after="0" w:line="269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6B7280"/>
                      <w:sz w:val="16"/>
                    </w:rPr>
                    <w:t>10% devaluation cuts US$ value ~9%; a dividend cut (payout to 50%) removes the valuation anchor</w:t>
                  </w:r>
                </w:p>
              </w:tc>
            </w:tr>
          </w:tbl>
          <w:p/>
        </w:tc>
      </w:tr>
    </w:tbl>
    <w:p>
      <w:pPr>
        <w:spacing w:before="0" w:after="0" w:line="20" w:lineRule="exact"/>
        <w:sectPr>
          <w:footerReference w:type="default" r:id="rId9"/>
          <w:headerReference w:type="default" r:id="rId10"/>
          <w:pgSz w:w="19200" w:h="10800" w:orient="landscape"/>
          <w:pgMar w:top="504" w:right="648" w:bottom="648" w:left="648" w:header="288" w:footer="288" w:gutter="0"/>
          <w:cols w:space="720"/>
          <w:docGrid w:linePitch="360"/>
        </w:sectPr>
      </w:pPr>
    </w:p>
    <w:tbl>
      <w:tblPr>
        <w:tblW w:type="auto" w:w="0"/>
        <w:tblLook w:firstColumn="1" w:firstRow="1" w:lastColumn="0" w:lastRow="0" w:noHBand="0" w:noVBand="1" w:val="04A0"/>
        <w:tblInd w:w="0" w:type="dxa"/>
        <w:tblCellMar>
          <w:left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2600"/>
        <w:gridCol w:w="6599"/>
      </w:tblGrid>
      <w:tr>
        <w:trPr>
          <w:trHeight w:val="10296" w:hRule="exact"/>
        </w:trPr>
        <w:tc>
          <w:tcPr>
            <w:tcW w:type="dxa" w:w="12600"/>
            <w:shd w:val="clear" w:color="auto" w:fill="13213F"/>
            <w:tcMar>
              <w:top w:w="1000" w:type="dxa"/>
              <w:left w:w="1050" w:type="dxa"/>
              <w:bottom w:w="200" w:type="dxa"/>
              <w:right w:w="200" w:type="dxa"/>
            </w:tcMar>
          </w:tcPr>
          <w:p>
            <w:r>
              <w:rPr>
                <w:rFonts w:ascii="Arial" w:hAnsi="Arial"/>
                <w:b/>
                <w:i w:val="0"/>
                <w:color w:val="8FB3F0"/>
                <w:sz w:val="18"/>
              </w:rPr>
              <w:t>INVESTMENT COMMITTEE DECISION</w:t>
            </w:r>
          </w:p>
          <w:p>
            <w:pPr>
              <w:spacing w:before="200" w:after="32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48"/>
              </w:rPr>
              <w:t>Recommendation: BUY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2736"/>
              <w:gridCol w:w="2736"/>
              <w:gridCol w:w="2736"/>
              <w:gridCol w:w="2736"/>
            </w:tblGrid>
            <w:tr>
              <w:tc>
                <w:tcPr>
                  <w:tcW w:type="dxa" w:w="2736"/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hAnsi="Arial"/>
                      <w:b/>
                      <w:i w:val="0"/>
                      <w:color w:val="8FB3F0"/>
                      <w:sz w:val="38"/>
                    </w:rPr>
                    <w:t>US$38.0</w:t>
                  </w:r>
                </w:p>
              </w:tc>
              <w:tc>
                <w:tcPr>
                  <w:tcW w:type="dxa" w:w="2736"/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38"/>
                    </w:rPr>
                    <w:t>4.5x</w:t>
                  </w:r>
                </w:p>
              </w:tc>
              <w:tc>
                <w:tcPr>
                  <w:tcW w:type="dxa" w:w="2736"/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38"/>
                    </w:rPr>
                    <w:t>13.2%</w:t>
                  </w:r>
                </w:p>
              </w:tc>
              <w:tc>
                <w:tcPr>
                  <w:tcW w:type="dxa" w:w="2736"/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38"/>
                    </w:rPr>
                    <w:t>~27%</w:t>
                  </w:r>
                </w:p>
              </w:tc>
            </w:tr>
            <w:tr>
              <w:tc>
                <w:tcPr>
                  <w:tcW w:type="dxa" w:w="2736"/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C9D3E6"/>
                      <w:sz w:val="16"/>
                    </w:rPr>
                    <w:t>12-mo target (+14%)</w:t>
                  </w:r>
                </w:p>
              </w:tc>
              <w:tc>
                <w:tcPr>
                  <w:tcW w:type="dxa" w:w="2736"/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C9D3E6"/>
                      <w:sz w:val="16"/>
                    </w:rPr>
                    <w:t>P/E 2026E</w:t>
                  </w:r>
                </w:p>
              </w:tc>
              <w:tc>
                <w:tcPr>
                  <w:tcW w:type="dxa" w:w="2736"/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C9D3E6"/>
                      <w:sz w:val="16"/>
                    </w:rPr>
                    <w:t>FY26E yield</w:t>
                  </w:r>
                </w:p>
              </w:tc>
              <w:tc>
                <w:tcPr>
                  <w:tcW w:type="dxa" w:w="2736"/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</w:tcPr>
                <w:p>
                  <w:r>
                    <w:rPr>
                      <w:rFonts w:ascii="Arial" w:hAnsi="Arial"/>
                      <w:b w:val="0"/>
                      <w:i w:val="0"/>
                      <w:color w:val="C9D3E6"/>
                      <w:sz w:val="16"/>
                    </w:rPr>
                    <w:t>Expected total return</w:t>
                  </w:r>
                </w:p>
              </w:tc>
            </w:tr>
          </w:tbl>
          <w:p/>
          <w:p>
            <w:pPr>
              <w:spacing w:before="0" w:after="280" w:line="240" w:lineRule="auto"/>
            </w:pPr>
          </w:p>
          <w:p>
            <w:pPr>
              <w:spacing w:after="80" w:line="269" w:lineRule="auto"/>
              <w:ind w:left="259" w:hanging="259"/>
            </w:pPr>
            <w:r>
              <w:rPr>
                <w:color w:val="8FB3F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E5EAF3"/>
                <w:sz w:val="19"/>
              </w:rPr>
              <w:t>Kazakhstan's dominant bank - 28% of assets, ~48% of corporate loans, the cheapest funding - at 4.5x 2026E earnings and 1.1x book for a ~25% ROE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8FB3F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E5EAF3"/>
                <w:sz w:val="19"/>
              </w:rPr>
              <w:t>2026 is the regulatory/tax trough (NI -15%); we are below guidance at KZT900bn and still see ~9% EPS growth from 2027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8FB3F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E5EAF3"/>
                <w:sz w:val="19"/>
              </w:rPr>
              <w:t>A 60% payout is self-funded (19% CET1, ~KZT850bn surplus); the dividend gives a 13% yield and floors the bear case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8FB3F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E5EAF3"/>
                <w:sz w:val="19"/>
              </w:rPr>
              <w:t>The ALMEX lock-up expiry (~25-Nov) is the entry point: Nov-25 placed at a ~10% discount and re-rated +31% within six weeks</w:t>
            </w:r>
          </w:p>
          <w:p>
            <w:pPr>
              <w:spacing w:after="80" w:line="269" w:lineRule="auto"/>
              <w:ind w:left="259" w:hanging="259"/>
            </w:pPr>
            <w:r>
              <w:rPr>
                <w:color w:val="8FB3F0"/>
                <w:sz w:val="12"/>
              </w:rPr>
              <w:t xml:space="preserve">■  </w:t>
            </w:r>
            <w:r>
              <w:rPr>
                <w:rFonts w:ascii="Arial" w:hAnsi="Arial"/>
                <w:b w:val="0"/>
                <w:i w:val="0"/>
                <w:color w:val="E5EAF3"/>
                <w:sz w:val="19"/>
              </w:rPr>
              <w:t>Main risks are policy, not competition - hence medium conviction and staged entry</w:t>
            </w:r>
          </w:p>
          <w:p>
            <w:pPr>
              <w:spacing w:before="0" w:after="600" w:line="240" w:lineRule="auto"/>
            </w:pPr>
          </w:p>
          <w:p>
            <w:pPr>
              <w:spacing w:before="600" w:after="0" w:line="240" w:lineRule="auto"/>
            </w:pPr>
            <w:r>
              <w:rPr>
                <w:rFonts w:ascii="Arial" w:hAnsi="Arial"/>
                <w:b w:val="0"/>
                <w:i w:val="0"/>
                <w:color w:val="A9B4C8"/>
                <w:sz w:val="15"/>
              </w:rPr>
              <w:t>Halyk Bank of Kazakhstan JSC | LSE: HSBK | Reference price US$33.30 (21-Oct-2026) | 23 October 2026</w:t>
            </w:r>
          </w:p>
        </w:tc>
        <w:tc>
          <w:tcPr>
            <w:tcW w:type="dxa" w:w="6600"/>
            <w:shd w:val="clear" w:color="auto" w:fill="13213F"/>
            <w:tcMar>
              <w:top w:w="1000" w:type="dxa"/>
              <w:left w:w="150" w:type="dxa"/>
              <w:bottom w:w="300" w:type="dxa"/>
              <w:right w:w="700" w:type="dxa"/>
            </w:tcMar>
          </w:tcPr>
          <w:p>
            <w:pPr>
              <w:spacing w:after="0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Ind w:w="0" w:type="dxa"/>
              <w:tblCellMar>
                <w:left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5735"/>
            </w:tblGrid>
            <w:tr>
              <w:tc>
                <w:tcPr>
                  <w:tcW w:type="dxa" w:w="5736"/>
                  <w:shd w:val="clear" w:color="auto" w:fill="22355E"/>
                  <w:tcMar>
                    <w:top w:w="200" w:type="dxa"/>
                    <w:left w:w="220" w:type="dxa"/>
                    <w:bottom w:w="300" w:type="dxa"/>
                    <w:right w:w="220" w:type="dxa"/>
                  </w:tcMar>
                </w:tcPr>
                <w:p>
                  <w:pPr>
                    <w:spacing w:after="200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1"/>
                    </w:rPr>
                    <w:t>Sizing &amp; monitoring</w:t>
                  </w:r>
                </w:p>
                <w:p>
                  <w:pPr>
                    <w:spacing w:before="0" w:after="180" w:line="264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D5DCEA"/>
                      <w:sz w:val="17"/>
                    </w:rPr>
                    <w:t>Medium-conviction value/income position with an event overlay. One third now; add on the 9M26 print and any ALMEX placement.</w:t>
                  </w:r>
                </w:p>
                <w:p>
                  <w:pPr>
                    <w:spacing w:before="0" w:after="180" w:line="264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D5DCEA"/>
                      <w:sz w:val="17"/>
                    </w:rPr>
                    <w:t>Hard review triggers: dividend-policy change or payout below 50%; NIM below 6.4%; any bank profit levy; block above 5% at a &gt;15% discount; political action against the owners.</w:t>
                  </w:r>
                </w:p>
                <w:p>
                  <w:pPr>
                    <w:spacing w:before="0" w:after="180" w:line="264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D5DCEA"/>
                      <w:sz w:val="17"/>
                    </w:rPr>
                    <w:t>Track separately: 9M26 results (mid-Nov), ALMEX lock-up (~25-Nov), NBK (4-Dec), 2027 budget measures, FY26 guidance (Mar-27).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19"/>
      <w:headerReference w:type="default" r:id="rId20"/>
      <w:pgSz w:w="19200" w:h="10800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Ind w:w="0" w:type="dxa"/>
      <w:tblCellMar>
        <w:left w:w="0" w:type="dxa"/>
        <w:right w:w="0" w:type="dxa"/>
      </w:tblCellMar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16463"/>
      <w:gridCol w:w="1440"/>
    </w:tblGrid>
    <w:tr>
      <w:tc>
        <w:tcPr>
          <w:tcW w:type="dxa" w:w="16464"/>
        </w:tcPr>
        <w:p>
          <w:r>
            <w:rPr>
              <w:rFonts w:ascii="Arial" w:hAnsi="Arial"/>
              <w:b w:val="0"/>
              <w:i w:val="0"/>
              <w:color w:val="6B7280"/>
              <w:sz w:val="14"/>
            </w:rPr>
            <w:t>Halyk Bank of Kazakhstan JSC | LSE: HSBK | Reference price US$33.30 (21-Oct-2026) | [u] = unverified, [e] = estimate</w:t>
          </w:r>
        </w:p>
      </w:tc>
      <w:tc>
        <w:tcPr>
          <w:tcW w:type="dxa" w:w="1440"/>
        </w:tcPr>
        <w:p>
          <w:pPr>
            <w:jc w:val="right"/>
          </w:pPr>
          <w:r>
            <w:rPr>
              <w:color w:val="6B7280"/>
              <w:sz w:val="14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0" w:lineRule="exact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footer" Target="footer2.xml"/><Relationship Id="rId2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Event-Driven &amp; Special Situations | Equity Research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