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1F3864"/>
          <w:sz w:val="52"/>
          <w:szCs w:val="52"/>
        </w:rPr>
        <w:t xml:space="preserve">GENTING BERHAD</w:t>
      </w:r>
    </w:p>
    <w:p>
      <w:pPr>
        <w:spacing w:after="80"/>
      </w:pPr>
      <w:r>
        <w:rPr>
          <w:color w:val="2E75B6"/>
          <w:sz w:val="24"/>
          <w:szCs w:val="24"/>
        </w:rPr>
        <w:t xml:space="preserve">Bursa Malaysia: GENTING (3182)  |  Bloomberg: GENT MK</w:t>
      </w:r>
    </w:p>
    <w:p>
      <w:pPr>
        <w:pBdr>
          <w:bottom w:val="single" w:color="2E75B6" w:sz="12" w:space="6"/>
        </w:pBdr>
        <w:spacing w:after="300"/>
      </w:pPr>
      <w:r>
        <w:rPr>
          <w:i/>
          <w:iCs/>
          <w:color w:val="404040"/>
          <w:sz w:val="26"/>
          <w:szCs w:val="26"/>
        </w:rPr>
        <w:t xml:space="preserve">Holding-company deep dive: sum-of-the-parts, de-consolidated net debt, discount dynamics, pre-mortem and activist assessment</w:t>
      </w:r>
    </w:p>
    <w:p>
      <w:pPr>
        <w:spacing w:after="60"/>
      </w:pPr>
      <w:r>
        <w:rPr>
          <w:color w:val="595959"/>
          <w:sz w:val="18"/>
          <w:szCs w:val="18"/>
        </w:rPr>
        <w:t xml:space="preserve">Event-Driven / Special Situations  |  Value  |  Report date: 19 October 2026  |  Prices as at close 16 October 2026</w:t>
      </w:r>
    </w:p>
    <w:p>
      <w:pPr>
        <w:spacing w:after="60"/>
      </w:pPr>
    </w:p>
    <w:p>
      <w:pPr>
        <w:keepNext/>
        <w:spacing w:after="60" w:before="160"/>
      </w:pPr>
      <w:r>
        <w:rPr>
          <w:b/>
          <w:bCs/>
          <w:color w:val="1F3864"/>
          <w:sz w:val="18"/>
          <w:szCs w:val="18"/>
        </w:rPr>
        <w:t xml:space="preserve">Snapshot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3"/>
        <w:gridCol w:w="2639"/>
        <w:gridCol w:w="2233"/>
        <w:gridCol w:w="2641"/>
      </w:tblGrid>
      <w:tr>
        <w:trPr>
          <w:tblHeader/>
        </w:trPr>
        <w:tc>
          <w:tcPr>
            <w:tcW w:type="dxa" w:w="2233"/>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6"/>
                <w:szCs w:val="16"/>
              </w:rPr>
              <w:t xml:space="preserve">Metric</w:t>
            </w:r>
          </w:p>
        </w:tc>
        <w:tc>
          <w:tcPr>
            <w:tcW w:type="dxa" w:w="2639"/>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6"/>
                <w:szCs w:val="16"/>
              </w:rPr>
              <w:t xml:space="preserve">Value</w:t>
            </w:r>
          </w:p>
        </w:tc>
        <w:tc>
          <w:tcPr>
            <w:tcW w:type="dxa" w:w="2233"/>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6"/>
                <w:szCs w:val="16"/>
              </w:rPr>
              <w:t xml:space="preserve">Metric</w:t>
            </w:r>
          </w:p>
        </w:tc>
        <w:tc>
          <w:tcPr>
            <w:tcW w:type="dxa" w:w="2641"/>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6"/>
                <w:szCs w:val="16"/>
              </w:rPr>
              <w:t xml:space="preserve">Value</w:t>
            </w:r>
          </w:p>
        </w:tc>
      </w:tr>
      <w:tr>
        <w:trPr>
          <w:cantSplit/>
        </w:trPr>
        <w:tc>
          <w:tcPr>
            <w:tcW w:type="dxa" w:w="223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6"/>
                <w:szCs w:val="16"/>
              </w:rPr>
              <w:t xml:space="preserve">Share price (16-Oct-26)</w:t>
            </w:r>
          </w:p>
        </w:tc>
        <w:tc>
          <w:tcPr>
            <w:tcW w:type="dxa" w:w="263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6"/>
                <w:szCs w:val="16"/>
              </w:rPr>
              <w:t xml:space="preserve">RM1.45</w:t>
            </w:r>
          </w:p>
        </w:tc>
        <w:tc>
          <w:tcPr>
            <w:tcW w:type="dxa" w:w="223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6"/>
                <w:szCs w:val="16"/>
              </w:rPr>
              <w:t xml:space="preserve">52-week range</w:t>
            </w:r>
          </w:p>
        </w:tc>
        <w:tc>
          <w:tcPr>
            <w:tcW w:type="dxa" w:w="264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6"/>
                <w:szCs w:val="16"/>
              </w:rPr>
              <w:t xml:space="preserve">RM1.38 – RM3.56</w:t>
            </w:r>
          </w:p>
        </w:tc>
      </w:tr>
      <w:tr>
        <w:trPr>
          <w:cantSplit/>
        </w:trPr>
        <w:tc>
          <w:tcPr>
            <w:tcW w:type="dxa" w:w="223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6"/>
                <w:szCs w:val="16"/>
              </w:rPr>
              <w:t xml:space="preserve">Shares in issue (ex-treasury)</w:t>
            </w:r>
          </w:p>
        </w:tc>
        <w:tc>
          <w:tcPr>
            <w:tcW w:type="dxa" w:w="263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6"/>
                <w:szCs w:val="16"/>
              </w:rPr>
              <w:t xml:space="preserve">3,850.6m</w:t>
            </w:r>
          </w:p>
        </w:tc>
        <w:tc>
          <w:tcPr>
            <w:tcW w:type="dxa" w:w="223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6"/>
                <w:szCs w:val="16"/>
              </w:rPr>
              <w:t xml:space="preserve">Market capitalisation</w:t>
            </w:r>
          </w:p>
        </w:tc>
        <w:tc>
          <w:tcPr>
            <w:tcW w:type="dxa" w:w="264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6"/>
                <w:szCs w:val="16"/>
              </w:rPr>
              <w:t xml:space="preserve">RM5.58bn (US$1.37bn)</w:t>
            </w:r>
          </w:p>
        </w:tc>
      </w:tr>
      <w:tr>
        <w:trPr>
          <w:cantSplit/>
        </w:trPr>
        <w:tc>
          <w:tcPr>
            <w:tcW w:type="dxa" w:w="223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6"/>
                <w:szCs w:val="16"/>
              </w:rPr>
              <w:t xml:space="preserve">Look-through value of listed stakes</w:t>
            </w:r>
          </w:p>
        </w:tc>
        <w:tc>
          <w:tcPr>
            <w:tcW w:type="dxa" w:w="263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6"/>
                <w:szCs w:val="16"/>
              </w:rPr>
              <w:t xml:space="preserve">RM20.25bn (RM5.26/sh)</w:t>
            </w:r>
          </w:p>
        </w:tc>
        <w:tc>
          <w:tcPr>
            <w:tcW w:type="dxa" w:w="223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6"/>
                <w:szCs w:val="16"/>
              </w:rPr>
              <w:t xml:space="preserve">Ex-listed net debt (30-Jun-26)</w:t>
            </w:r>
          </w:p>
        </w:tc>
        <w:tc>
          <w:tcPr>
            <w:tcW w:type="dxa" w:w="264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6"/>
                <w:szCs w:val="16"/>
              </w:rPr>
              <w:t xml:space="preserve">RM21.96bn (RM5.70/sh)</w:t>
            </w:r>
          </w:p>
        </w:tc>
      </w:tr>
      <w:tr>
        <w:trPr>
          <w:cantSplit/>
        </w:trPr>
        <w:tc>
          <w:tcPr>
            <w:tcW w:type="dxa" w:w="223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6"/>
                <w:szCs w:val="16"/>
              </w:rPr>
              <w:t xml:space="preserve">SOTP NAV – base (range)</w:t>
            </w:r>
          </w:p>
        </w:tc>
        <w:tc>
          <w:tcPr>
            <w:tcW w:type="dxa" w:w="263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6"/>
                <w:szCs w:val="16"/>
              </w:rPr>
              <w:t xml:space="preserve">RM2.95 (RM1.69 – 4.69)</w:t>
            </w:r>
          </w:p>
        </w:tc>
        <w:tc>
          <w:tcPr>
            <w:tcW w:type="dxa" w:w="223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6"/>
                <w:szCs w:val="16"/>
              </w:rPr>
              <w:t xml:space="preserve">Discount to base NAV (range)</w:t>
            </w:r>
          </w:p>
        </w:tc>
        <w:tc>
          <w:tcPr>
            <w:tcW w:type="dxa" w:w="264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6"/>
                <w:szCs w:val="16"/>
              </w:rPr>
              <w:t xml:space="preserve">51% (14% – 69%)</w:t>
            </w:r>
          </w:p>
        </w:tc>
      </w:tr>
      <w:tr>
        <w:trPr>
          <w:cantSplit/>
        </w:trPr>
        <w:tc>
          <w:tcPr>
            <w:tcW w:type="dxa" w:w="223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6"/>
                <w:szCs w:val="16"/>
              </w:rPr>
              <w:t xml:space="preserve">Market-implied EV of private assets</w:t>
            </w:r>
          </w:p>
        </w:tc>
        <w:tc>
          <w:tcPr>
            <w:tcW w:type="dxa" w:w="263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6"/>
                <w:szCs w:val="16"/>
              </w:rPr>
              <w:t xml:space="preserve">RM7.3bn</w:t>
            </w:r>
          </w:p>
        </w:tc>
        <w:tc>
          <w:tcPr>
            <w:tcW w:type="dxa" w:w="223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6"/>
                <w:szCs w:val="16"/>
              </w:rPr>
              <w:t xml:space="preserve">Our base EV of private assets</w:t>
            </w:r>
          </w:p>
        </w:tc>
        <w:tc>
          <w:tcPr>
            <w:tcW w:type="dxa" w:w="264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6"/>
                <w:szCs w:val="16"/>
              </w:rPr>
              <w:t xml:space="preserve">RM13.1bn</w:t>
            </w:r>
          </w:p>
        </w:tc>
      </w:tr>
      <w:tr>
        <w:trPr>
          <w:cantSplit/>
        </w:trPr>
        <w:tc>
          <w:tcPr>
            <w:tcW w:type="dxa" w:w="223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6"/>
                <w:szCs w:val="16"/>
              </w:rPr>
              <w:t xml:space="preserve">Price / book (BVPS RM7.62)</w:t>
            </w:r>
          </w:p>
        </w:tc>
        <w:tc>
          <w:tcPr>
            <w:tcW w:type="dxa" w:w="263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6"/>
                <w:szCs w:val="16"/>
              </w:rPr>
              <w:t xml:space="preserve">0.19x</w:t>
            </w:r>
          </w:p>
        </w:tc>
        <w:tc>
          <w:tcPr>
            <w:tcW w:type="dxa" w:w="223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6"/>
                <w:szCs w:val="16"/>
              </w:rPr>
              <w:t xml:space="preserve">Group EV / LTM adj. EBITDA</w:t>
            </w:r>
          </w:p>
        </w:tc>
        <w:tc>
          <w:tcPr>
            <w:tcW w:type="dxa" w:w="264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6"/>
                <w:szCs w:val="16"/>
              </w:rPr>
              <w:t xml:space="preserve">6.5x</w:t>
            </w:r>
          </w:p>
        </w:tc>
      </w:tr>
      <w:tr>
        <w:trPr>
          <w:cantSplit/>
        </w:trPr>
        <w:tc>
          <w:tcPr>
            <w:tcW w:type="dxa" w:w="223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6"/>
                <w:szCs w:val="16"/>
              </w:rPr>
              <w:t xml:space="preserve">Controlling holder</w:t>
            </w:r>
          </w:p>
        </w:tc>
        <w:tc>
          <w:tcPr>
            <w:tcW w:type="dxa" w:w="263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6"/>
                <w:szCs w:val="16"/>
              </w:rPr>
              <w:t xml:space="preserve">Kien Huat group 45.24% (deemed, Lim Kok Thay)</w:t>
            </w:r>
          </w:p>
        </w:tc>
        <w:tc>
          <w:tcPr>
            <w:tcW w:type="dxa" w:w="223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6"/>
                <w:szCs w:val="16"/>
              </w:rPr>
              <w:t xml:space="preserve">Ratings (Moody's / S&amp;P / Fitch)</w:t>
            </w:r>
          </w:p>
        </w:tc>
        <w:tc>
          <w:tcPr>
            <w:tcW w:type="dxa" w:w="264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6"/>
                <w:szCs w:val="16"/>
              </w:rPr>
              <w:t xml:space="preserve">Baa3 / BBB- (Neg) / BBB-</w:t>
            </w:r>
          </w:p>
        </w:tc>
      </w:tr>
      <w:tr>
        <w:trPr>
          <w:cantSplit/>
        </w:trPr>
        <w:tc>
          <w:tcPr>
            <w:tcW w:type="dxa" w:w="223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6"/>
                <w:szCs w:val="16"/>
              </w:rPr>
              <w:t xml:space="preserve">Corporate action pending</w:t>
            </w:r>
          </w:p>
        </w:tc>
        <w:tc>
          <w:tcPr>
            <w:tcW w:type="dxa" w:w="263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6"/>
                <w:szCs w:val="16"/>
              </w:rPr>
              <w:t xml:space="preserve">RM1.25bn renounceable rights (1-for-4, illus. RM1.30); EGM pending; completion 1Q27</w:t>
            </w:r>
          </w:p>
        </w:tc>
        <w:tc>
          <w:tcPr>
            <w:tcW w:type="dxa" w:w="223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6"/>
                <w:szCs w:val="16"/>
              </w:rPr>
              <w:t xml:space="preserve">Dividend</w:t>
            </w:r>
          </w:p>
        </w:tc>
        <w:tc>
          <w:tcPr>
            <w:tcW w:type="dxa" w:w="264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6"/>
                <w:szCs w:val="16"/>
              </w:rPr>
              <w:t xml:space="preserve">FY25: 5 sen (final only); no 1H26 interim</w:t>
            </w:r>
          </w:p>
        </w:tc>
      </w:tr>
    </w:tbl>
    <w:p>
      <w:pPr>
        <w:spacing w:after="160"/>
      </w:pPr>
      <w:r>
        <w:rPr>
          <w:i/>
          <w:iCs/>
          <w:color w:val="595959"/>
          <w:sz w:val="16"/>
          <w:szCs w:val="16"/>
        </w:rPr>
        <w:t xml:space="preserve">Sources: S&amp;P Capital IQ (prices, shares, balance sheets, segment data), company filings and announcements as reported by The Edge, The Star, Business Today, GGRAsia, AGBrief, ASGAM; analyst estimates as cited. NAV = Sum-of-the-parts (SOTP) net asset value; all private-asset values are our estimates. FX: US$1 = RM4.0828; S$1 = RM3.1905 (16-Oct-26); balance-sheet items translated at 30-Jun-26 rates.</w:t>
      </w:r>
    </w:p>
    <w:p>
      <w:pPr>
        <w:pStyle w:val="Heading1"/>
      </w:pPr>
      <w:r>
        <w:t xml:space="preserve">Executive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2E75B6" w:sz="24"/>
              <w:bottom w:val="none" w:color="FFFFFF" w:sz="0"/>
              <w:right w:val="none" w:color="FFFFFF" w:sz="0"/>
            </w:tcBorders>
            <w:shd w:fill="DEEAF6" w:color="auto" w:val="clear"/>
            <w:tcMar>
              <w:top w:type="dxa" w:w="120"/>
              <w:left w:type="dxa" w:w="180"/>
              <w:bottom w:type="dxa" w:w="120"/>
              <w:right w:type="dxa" w:w="180"/>
            </w:tcMar>
          </w:tcPr>
          <w:p>
            <w:pPr>
              <w:spacing w:after="80"/>
            </w:pPr>
            <w:r>
              <w:rPr>
                <w:b/>
                <w:bCs/>
                <w:color w:val="1F3864"/>
                <w:sz w:val="22"/>
                <w:szCs w:val="22"/>
              </w:rPr>
              <w:t xml:space="preserve">Bottom line</w:t>
            </w:r>
          </w:p>
          <w:p>
            <w:pPr>
              <w:spacing w:after="60"/>
            </w:pPr>
            <w:r>
              <w:rPr>
                <w:b/>
                <w:bCs/>
              </w:rPr>
              <w:t xml:space="preserve">GENT is no longer a "plain-vanilla" holding-company discount; it is a geared equity stub.</w:t>
            </w:r>
            <w:r>
              <w:t xml:space="preserve"> At 16 October 2026 the listed stakes are worth RM20.2bn (RM5.26/share) but the debt sitting at GENT and its wholly/majority-owned unlisted subsidiaries — after stripping out the three listed subsidiaries — is RM22.0bn net (RM5.70/share). The listed stakes alone no longer cover holdco-level debt; the entire equity value rests on the private assets (Resorts World Las Vegas, power, Kasuri gas/FLNG, JVs/associates).</w:t>
            </w:r>
          </w:p>
          <w:p>
            <w:pPr>
              <w:spacing w:after="60"/>
            </w:pPr>
            <w:r>
              <w:rPr>
                <w:b/>
                <w:bCs/>
              </w:rPr>
              <w:t xml:space="preserve">Base-case SOTP NAV is RM2.95/share (range RM1.69–4.69), a 51% discount.</w:t>
            </w:r>
            <w:r>
              <w:t xml:space="preserve"> Because equity is only ~34% of gross asset value, NAV moves ~2.9x for every 1% move in asset values. A 10% move in the listed stakes alone moves NAV by RM0.53/share (36% of the share price).</w:t>
            </w:r>
          </w:p>
          <w:p>
            <w:pPr>
              <w:spacing w:after="60"/>
            </w:pPr>
            <w:r>
              <w:rPr>
                <w:b/>
                <w:bCs/>
              </w:rPr>
              <w:t xml:space="preserve">The market is pricing the private assets at ~RM7.3bn of enterprise value (US$1.79bn)</w:t>
            </w:r>
            <w:r>
              <w:t xml:space="preserve"> versus our base RM13.1bn. That is roughly RWLV alone at ~11–12x 2026E EBITDA, with nothing for 1,474MW of attributable power capacity, the Kasuri gas/FLNG project (transaction-implied ~RM3.5–3.9bn for GENT's share) or the JV/associate book.</w:t>
            </w:r>
          </w:p>
          <w:p>
            <w:pPr>
              <w:spacing w:after="60"/>
            </w:pPr>
            <w:r>
              <w:rPr>
                <w:b/>
                <w:bCs/>
              </w:rPr>
              <w:t xml:space="preserve">The discount is earned, not accidental.</w:t>
            </w:r>
            <w:r>
              <w:t xml:space="preserve"> Debt-funded capital allocation (GENM offer ~RM3.2bn at RM2.35, now worth RM1.27; RWLV US$4.3–4.5bn invested for US$31–74m of EBITDA; Kasuri capex), negative group free cash flow (Fitch: ~–RM4bn p.a. 2026–28), two skipped interim dividends, rating downgrades and a dilutive rights issue partly earmarked for interest costs.</w:t>
            </w:r>
          </w:p>
          <w:p>
            <w:pPr>
              <w:spacing w:after="60"/>
            </w:pPr>
            <w:r>
              <w:rPr>
                <w:b/>
                <w:bCs/>
              </w:rPr>
              <w:t xml:space="preserve">Narrowing requires deleveraging through asset monetisation, not buybacks.</w:t>
            </w:r>
            <w:r>
              <w:t xml:space="preserve"> The credible levers are: a Genting Singapore capital return (equal-access offer or special dividend), RWLV recapitalisation/partnering or ring-fencing, sale of power stakes, further Kasuri sell-downs, and GENM's Miami land sale.</w:t>
            </w:r>
          </w:p>
          <w:p>
            <w:pPr>
              <w:spacing w:after="60"/>
            </w:pPr>
            <w:r>
              <w:rPr>
                <w:b/>
                <w:bCs/>
              </w:rPr>
              <w:t xml:space="preserve">Activism is structurally hard (Kien Huat 45.24%) but the timing window is real:</w:t>
            </w:r>
            <w:r>
              <w:t xml:space="preserve"> the rights EGM, the 2027 debt maturities and the investment-grade cliff at S&amp;P give minorities, bondholders and rating agencies a common deleveraging agenda.</w:t>
            </w:r>
          </w:p>
        </w:tc>
      </w:tr>
    </w:tbl>
    <w:p>
      <w:pPr>
        <w:spacing w:after="60"/>
      </w:pPr>
    </w:p>
    <w:p>
      <w:pPr>
        <w:pStyle w:val="Heading3"/>
      </w:pPr>
      <w:r>
        <w:t xml:space="preserve">Our stance</w:t>
      </w:r>
    </w:p>
    <w:p>
      <w:pPr>
        <w:spacing w:after="120"/>
        <w:jc w:val="both"/>
      </w:pPr>
      <w:r>
        <w:rPr>
          <w:b/>
          <w:bCs/>
        </w:rPr>
        <w:t xml:space="preserve">Constructive on value, cautious on path: "Accumulate into the rights; engage, don't chase."</w:t>
      </w:r>
      <w:r>
        <w:t xml:space="preserve"> The asset base is irreplaceable (Singapore duopoly, Malaysia's only casino licence, one of three downstate New York licences, a new-build Las Vegas Strip resort), the controlling family is buying and underwriting, and the stock trades at 0.19x book. But the equity is a thin, levered claim and the path to value runs through 2027 refinancings, a dilutive rights issue and execution on Kasuri and RWNYC. For an event-driven value investor we would (i) build exposure through the rights cycle — nil-paid rights and excess applications typically trade at the widest discount; (ii) consider hedging part of the look-through Genting Singapore/Genting Malaysia exposure to isolate the deleveraging and private-asset optionality; and (iii) use a position at or near the 5% disclosure threshold to drive a capital-return agenda, focused on Genting Singapore cash and non-core asset sales.</w:t>
      </w:r>
    </w:p>
    <w:p>
      <w:pPr>
        <w:spacing w:after="120"/>
        <w:jc w:val="both"/>
      </w:pPr>
      <w:r>
        <w:rPr>
          <w:b/>
          <w:bCs/>
          <w:color w:val="595959"/>
          <w:sz w:val="18"/>
          <w:szCs w:val="18"/>
        </w:rPr>
        <w:t xml:space="preserve">Data note.</w:t>
      </w:r>
      <w:r>
        <w:rPr>
          <w:color w:val="595959"/>
          <w:sz w:val="18"/>
          <w:szCs w:val="18"/>
        </w:rPr>
        <w:t xml:space="preserve"> ProntoNLP (earnings-call tone and filing sentiment) was not authorised in this session, so tone analysis is qualitative and draws on reported management commentary. Direct web-page retrieval was blocked, so primary-document facts are taken from S&amp;P Capital IQ and from press and broker summaries of filings, as cited. Figures marked "est." or "derived" are our calculations. Verify all figures on Bloomberg/Bursa before committing capital.</w:t>
      </w:r>
    </w:p>
    <w:p>
      <w:pPr>
        <w:pBdr>
          <w:bottom w:val="single" w:color="2E75B6" w:sz="6" w:space="4"/>
        </w:pBdr>
        <w:spacing w:after="100" w:before="200"/>
      </w:pPr>
      <w:r>
        <w:rPr>
          <w:b/>
          <w:bCs/>
          <w:color w:val="1F3864"/>
          <w:sz w:val="26"/>
          <w:szCs w:val="26"/>
        </w:rPr>
        <w:t xml:space="preserve">Contents</w:t>
      </w:r>
    </w:p>
    <w:p>
      <w:pPr>
        <w:tabs>
          <w:tab w:val="right" w:pos="9746" w:leader="dot"/>
        </w:tabs>
        <w:spacing w:after="40"/>
      </w:pPr>
      <w:r>
        <w:rPr>
          <w:sz w:val="19"/>
          <w:szCs w:val="19"/>
        </w:rPr>
        <w:t xml:space="preserve">Executive Summary</w:t>
      </w:r>
      <w:r>
        <w:rPr>
          <w:sz w:val="19"/>
          <w:szCs w:val="19"/>
        </w:rPr>
        <w:tab/>
        <w:t xml:space="preserve">1</w:t>
      </w:r>
    </w:p>
    <w:p>
      <w:pPr>
        <w:tabs>
          <w:tab w:val="right" w:pos="9746" w:leader="dot"/>
        </w:tabs>
        <w:spacing w:after="40"/>
      </w:pPr>
      <w:r>
        <w:rPr>
          <w:sz w:val="19"/>
          <w:szCs w:val="19"/>
        </w:rPr>
        <w:t xml:space="preserve">1. Bull Case: Why Own GENT and How the Discount Narrows</w:t>
      </w:r>
      <w:r>
        <w:rPr>
          <w:sz w:val="19"/>
          <w:szCs w:val="19"/>
        </w:rPr>
        <w:tab/>
        <w:t xml:space="preserve">3</w:t>
      </w:r>
    </w:p>
    <w:p>
      <w:pPr>
        <w:tabs>
          <w:tab w:val="right" w:pos="9746" w:leader="dot"/>
        </w:tabs>
        <w:spacing w:after="40"/>
      </w:pPr>
      <w:r>
        <w:rPr>
          <w:sz w:val="19"/>
          <w:szCs w:val="19"/>
        </w:rPr>
        <w:t xml:space="preserve">2. Bear Case: Why the Discount Widens or Stays Static</w:t>
      </w:r>
      <w:r>
        <w:rPr>
          <w:sz w:val="19"/>
          <w:szCs w:val="19"/>
        </w:rPr>
        <w:tab/>
        <w:t xml:space="preserve">4</w:t>
      </w:r>
    </w:p>
    <w:p>
      <w:pPr>
        <w:tabs>
          <w:tab w:val="right" w:pos="9746" w:leader="dot"/>
        </w:tabs>
        <w:spacing w:after="40"/>
      </w:pPr>
      <w:r>
        <w:rPr>
          <w:sz w:val="19"/>
          <w:szCs w:val="19"/>
        </w:rPr>
        <w:t xml:space="preserve">3. Group Structure and Listed Holdings</w:t>
      </w:r>
      <w:r>
        <w:rPr>
          <w:sz w:val="19"/>
          <w:szCs w:val="19"/>
        </w:rPr>
        <w:tab/>
        <w:t xml:space="preserve">6</w:t>
      </w:r>
    </w:p>
    <w:p>
      <w:pPr>
        <w:tabs>
          <w:tab w:val="right" w:pos="9746" w:leader="dot"/>
        </w:tabs>
        <w:spacing w:after="40"/>
      </w:pPr>
      <w:r>
        <w:rPr>
          <w:sz w:val="19"/>
          <w:szCs w:val="19"/>
        </w:rPr>
        <w:t xml:space="preserve">4. Treasury Shares and Shareholder Register</w:t>
      </w:r>
      <w:r>
        <w:rPr>
          <w:sz w:val="19"/>
          <w:szCs w:val="19"/>
        </w:rPr>
        <w:tab/>
        <w:t xml:space="preserve">8</w:t>
      </w:r>
    </w:p>
    <w:p>
      <w:pPr>
        <w:tabs>
          <w:tab w:val="right" w:pos="9746" w:leader="dot"/>
        </w:tabs>
        <w:spacing w:after="40"/>
      </w:pPr>
      <w:r>
        <w:rPr>
          <w:sz w:val="19"/>
          <w:szCs w:val="19"/>
        </w:rPr>
        <w:t xml:space="preserve">5. Private (Unlisted) Holdings: Operating Metrics and Valuation</w:t>
      </w:r>
      <w:r>
        <w:rPr>
          <w:sz w:val="19"/>
          <w:szCs w:val="19"/>
        </w:rPr>
        <w:tab/>
        <w:t xml:space="preserve">8</w:t>
      </w:r>
    </w:p>
    <w:p>
      <w:pPr>
        <w:tabs>
          <w:tab w:val="right" w:pos="9746" w:leader="dot"/>
        </w:tabs>
        <w:spacing w:after="40"/>
      </w:pPr>
      <w:r>
        <w:rPr>
          <w:sz w:val="19"/>
          <w:szCs w:val="19"/>
        </w:rPr>
        <w:t xml:space="preserve">6. Holding-Company Net Debt (De-consolidated)</w:t>
      </w:r>
      <w:r>
        <w:rPr>
          <w:sz w:val="19"/>
          <w:szCs w:val="19"/>
        </w:rPr>
        <w:tab/>
        <w:t xml:space="preserve">11</w:t>
      </w:r>
    </w:p>
    <w:p>
      <w:pPr>
        <w:tabs>
          <w:tab w:val="right" w:pos="9746" w:leader="dot"/>
        </w:tabs>
        <w:spacing w:after="40"/>
      </w:pPr>
      <w:r>
        <w:rPr>
          <w:sz w:val="19"/>
          <w:szCs w:val="19"/>
        </w:rPr>
        <w:t xml:space="preserve">7. Sum-of-the-Parts NAV and the Discount</w:t>
      </w:r>
      <w:r>
        <w:rPr>
          <w:sz w:val="19"/>
          <w:szCs w:val="19"/>
        </w:rPr>
        <w:tab/>
        <w:t xml:space="preserve">12</w:t>
      </w:r>
    </w:p>
    <w:p>
      <w:pPr>
        <w:tabs>
          <w:tab w:val="right" w:pos="9746" w:leader="dot"/>
        </w:tabs>
        <w:spacing w:after="40"/>
      </w:pPr>
      <w:r>
        <w:rPr>
          <w:sz w:val="19"/>
          <w:szCs w:val="19"/>
        </w:rPr>
        <w:t xml:space="preserve">8. Management's Record on the Discount</w:t>
      </w:r>
      <w:r>
        <w:rPr>
          <w:sz w:val="19"/>
          <w:szCs w:val="19"/>
        </w:rPr>
        <w:tab/>
        <w:t xml:space="preserve">14</w:t>
      </w:r>
    </w:p>
    <w:p>
      <w:pPr>
        <w:tabs>
          <w:tab w:val="right" w:pos="9746" w:leader="dot"/>
        </w:tabs>
        <w:spacing w:after="40"/>
      </w:pPr>
      <w:r>
        <w:rPr>
          <w:sz w:val="19"/>
          <w:szCs w:val="19"/>
        </w:rPr>
        <w:t xml:space="preserve">9. Pre-Mortem</w:t>
      </w:r>
      <w:r>
        <w:rPr>
          <w:sz w:val="19"/>
          <w:szCs w:val="19"/>
        </w:rPr>
        <w:tab/>
        <w:t xml:space="preserve">15</w:t>
      </w:r>
    </w:p>
    <w:p>
      <w:pPr>
        <w:tabs>
          <w:tab w:val="right" w:pos="9746" w:leader="dot"/>
        </w:tabs>
        <w:spacing w:after="40"/>
      </w:pPr>
      <w:r>
        <w:rPr>
          <w:sz w:val="19"/>
          <w:szCs w:val="19"/>
        </w:rPr>
        <w:t xml:space="preserve">10. Is the Current Valuation Too High?</w:t>
      </w:r>
      <w:r>
        <w:rPr>
          <w:sz w:val="19"/>
          <w:szCs w:val="19"/>
        </w:rPr>
        <w:tab/>
        <w:t xml:space="preserve">16</w:t>
      </w:r>
    </w:p>
    <w:p>
      <w:pPr>
        <w:tabs>
          <w:tab w:val="right" w:pos="9746" w:leader="dot"/>
        </w:tabs>
        <w:spacing w:after="40"/>
      </w:pPr>
      <w:r>
        <w:rPr>
          <w:sz w:val="19"/>
          <w:szCs w:val="19"/>
        </w:rPr>
        <w:t xml:space="preserve">11. Contrarian View: What the Market Is Refusing to See</w:t>
      </w:r>
      <w:r>
        <w:rPr>
          <w:sz w:val="19"/>
          <w:szCs w:val="19"/>
        </w:rPr>
        <w:tab/>
        <w:t xml:space="preserve">16</w:t>
      </w:r>
    </w:p>
    <w:p>
      <w:pPr>
        <w:tabs>
          <w:tab w:val="right" w:pos="9746" w:leader="dot"/>
        </w:tabs>
        <w:spacing w:after="40"/>
      </w:pPr>
      <w:r>
        <w:rPr>
          <w:sz w:val="19"/>
          <w:szCs w:val="19"/>
        </w:rPr>
        <w:t xml:space="preserve">12. Activist Assessment and Playbook</w:t>
      </w:r>
      <w:r>
        <w:rPr>
          <w:sz w:val="19"/>
          <w:szCs w:val="19"/>
        </w:rPr>
        <w:tab/>
        <w:t xml:space="preserve">17</w:t>
      </w:r>
    </w:p>
    <w:p>
      <w:pPr>
        <w:tabs>
          <w:tab w:val="right" w:pos="9746" w:leader="dot"/>
        </w:tabs>
        <w:spacing w:after="40"/>
      </w:pPr>
      <w:r>
        <w:rPr>
          <w:sz w:val="19"/>
          <w:szCs w:val="19"/>
        </w:rPr>
        <w:t xml:space="preserve">13. Catalyst Calendar and Monitoring Dashboard</w:t>
      </w:r>
      <w:r>
        <w:rPr>
          <w:sz w:val="19"/>
          <w:szCs w:val="19"/>
        </w:rPr>
        <w:tab/>
        <w:t xml:space="preserve">19</w:t>
      </w:r>
    </w:p>
    <w:p>
      <w:pPr>
        <w:tabs>
          <w:tab w:val="right" w:pos="9746" w:leader="dot"/>
        </w:tabs>
        <w:spacing w:after="40"/>
      </w:pPr>
      <w:r>
        <w:rPr>
          <w:sz w:val="19"/>
          <w:szCs w:val="19"/>
        </w:rPr>
        <w:t xml:space="preserve">Appendix A — Methodology, Sources and Data Gaps</w:t>
      </w:r>
      <w:r>
        <w:rPr>
          <w:sz w:val="19"/>
          <w:szCs w:val="19"/>
        </w:rPr>
        <w:tab/>
        <w:t xml:space="preserve">20</w:t>
      </w:r>
    </w:p>
    <w:p>
      <w:r>
        <w:br w:type="page"/>
      </w:r>
    </w:p>
    <w:p>
      <w:pPr>
        <w:pStyle w:val="Heading1"/>
      </w:pPr>
      <w:r>
        <w:t xml:space="preserve">1. Bull Case: Why Own GENT and How the Discount Narrows</w:t>
      </w:r>
    </w:p>
    <w:p>
      <w:pPr>
        <w:pStyle w:val="Heading2"/>
      </w:pPr>
      <w:r>
        <w:t xml:space="preserve">1.1 The core thesis in one paragraph</w:t>
      </w:r>
    </w:p>
    <w:p>
      <w:pPr>
        <w:spacing w:after="120"/>
        <w:jc w:val="both"/>
      </w:pPr>
      <w:r>
        <w:t xml:space="preserve">At RM1.45 the market capitalises GENT at RM5.58bn, against RM20.2bn of listed stakes at market, a 0.19x price-to-book and our base SOTP of RM2.95/share. The share price has fallen ~50% year-to-date (RM2.92 on 1 January 2026) and 23% on a single day after the rights announcement, the worst day since 1998. Capitulation of that kind, combined with insider buying and a controlling shareholder that is underwriting its pro-rata share of new equity, is the classic set-up for an event-driven value entry: </w:t>
      </w:r>
      <w:r>
        <w:rPr>
          <w:b/>
          <w:bCs/>
        </w:rPr>
        <w:t xml:space="preserve">the market is pricing a deleveraging failure, while the operating assets are approaching an earnings inflection in 2027–28.</w:t>
      </w:r>
    </w:p>
    <w:p>
      <w:pPr>
        <w:pStyle w:val="Heading2"/>
      </w:pPr>
      <w:r>
        <w:t xml:space="preserve">1.2 Six pillars of the bull case</w:t>
      </w:r>
    </w:p>
    <w:p>
      <w:pPr>
        <w:pStyle w:val="Heading3"/>
      </w:pPr>
      <w:r>
        <w:t xml:space="preserve">(1) Extreme valuation dislocation — the private assets are priced near zero</w:t>
      </w:r>
    </w:p>
    <w:p>
      <w:pPr>
        <w:pStyle w:val="ListParagraph"/>
        <w:numPr>
          <w:ilvl w:val="0"/>
          <w:numId w:val="2"/>
        </w:numPr>
        <w:spacing w:after="60"/>
      </w:pPr>
      <w:r>
        <w:t xml:space="preserve">Market-implied EV of all private assets is ~RM7.3bn (US$1.79bn). RWLV on its own, at 10x S&amp;P/Fitch 2026E EBITDA of US$150–160m, is worth US$1.5–1.6bn. That leaves essentially nothing for 1,474MW of net attributable power capacity, the Kasuri gas/FLNG project (5% stakes sold in 2026 imply ~US$964m for 100%) and RM2.2bn of JV/associate book (Meizhou Wan Phase II, Zhoushan gas, TauRx).</w:t>
      </w:r>
    </w:p>
    <w:p>
      <w:pPr>
        <w:pStyle w:val="ListParagraph"/>
        <w:numPr>
          <w:ilvl w:val="0"/>
          <w:numId w:val="2"/>
        </w:numPr>
        <w:spacing w:after="60"/>
      </w:pPr>
      <w:r>
        <w:t xml:space="preserve">Price/book is 0.19x (BVPS RM7.62). The share price is at its lowest since 2007 and the market value its lowest since 2003 (The Edge/Business Today). A valuation this low says the market doubts the book value of the private assets, not just the holdco structure.</w:t>
      </w:r>
    </w:p>
    <w:p>
      <w:pPr>
        <w:pStyle w:val="ListParagraph"/>
        <w:numPr>
          <w:ilvl w:val="0"/>
          <w:numId w:val="2"/>
        </w:numPr>
        <w:spacing w:after="60"/>
      </w:pPr>
      <w:r>
        <w:t xml:space="preserve">Probability-weighted NAV (25% low / 50% base / 25% high) is RM3.07/share, 112% above the price.</w:t>
      </w:r>
    </w:p>
    <w:p>
      <w:pPr>
        <w:pStyle w:val="Heading3"/>
      </w:pPr>
      <w:r>
        <w:t xml:space="preserve">(2) Earnings inflection 2027–28 is visible and largely funded at the subsidiary level</w:t>
      </w:r>
    </w:p>
    <w:p>
      <w:pPr>
        <w:pStyle w:val="ListParagraph"/>
        <w:numPr>
          <w:ilvl w:val="0"/>
          <w:numId w:val="2"/>
        </w:numPr>
        <w:spacing w:after="60"/>
      </w:pPr>
      <w:r>
        <w:rPr>
          <w:b/>
          <w:bCs/>
        </w:rPr>
        <w:t xml:space="preserve">RWNYC</w:t>
      </w:r>
      <w:r>
        <w:t xml:space="preserve"> (via 73.8%-owned GENM) received its full commercial casino licence on 15 December 2025 and launched live table games on 28 April 2026. GENM's US segment revenue rose 166% to US$378m in 2Q26. Fitch forecasts Genting New York EBITDA of US$208m in 2026 rising to ~US$450m by 2028. GENT now owns 73.8% of that upside versus 49.4% a year ago.</w:t>
      </w:r>
    </w:p>
    <w:p>
      <w:pPr>
        <w:pStyle w:val="ListParagraph"/>
        <w:numPr>
          <w:ilvl w:val="0"/>
          <w:numId w:val="2"/>
        </w:numPr>
        <w:spacing w:after="60"/>
      </w:pPr>
      <w:r>
        <w:rPr>
          <w:b/>
          <w:bCs/>
        </w:rPr>
        <w:t xml:space="preserve">RWLV</w:t>
      </w:r>
      <w:r>
        <w:t xml:space="preserve"> is recovering from a very weak 2025: implied adjusted EBITDA of RM296m in 1H26 (+129% y/y) on better convention business and premium play. Occupancy was 88% and ADR US$274 in 2Q26.</w:t>
      </w:r>
    </w:p>
    <w:p>
      <w:pPr>
        <w:pStyle w:val="ListParagraph"/>
        <w:numPr>
          <w:ilvl w:val="0"/>
          <w:numId w:val="2"/>
        </w:numPr>
        <w:spacing w:after="60"/>
      </w:pPr>
      <w:r>
        <w:rPr>
          <w:b/>
          <w:bCs/>
        </w:rPr>
        <w:t xml:space="preserve">Kasuri FLNG</w:t>
      </w:r>
      <w:r>
        <w:t xml:space="preserve"> (1.2mtpa, 230 mmscfd for 18 years) is 70–85% built; Indonesia's energy minister guides to operations in 2Q–3Q27. First LNG turns O&amp;G from a cash sink into a cash generator, just as the expired Chengdaoxi contract (April 2026) rolls off.</w:t>
      </w:r>
    </w:p>
    <w:p>
      <w:pPr>
        <w:pStyle w:val="ListParagraph"/>
        <w:numPr>
          <w:ilvl w:val="0"/>
          <w:numId w:val="2"/>
        </w:numPr>
        <w:spacing w:after="60"/>
      </w:pPr>
      <w:r>
        <w:rPr>
          <w:b/>
          <w:bCs/>
        </w:rPr>
        <w:t xml:space="preserve">Power</w:t>
      </w:r>
      <w:r>
        <w:t xml:space="preserve">: 1H26 power EBITDA of RM186.8m was strong (1Q26 +37% y/y, with no repeat of the January 2025 Banten outage); the 49%-owned 2x745MW Zhoushan gas plant and Meizhou Wan Phase III add contracted capacity.</w:t>
      </w:r>
    </w:p>
    <w:p>
      <w:pPr>
        <w:pStyle w:val="Heading3"/>
      </w:pPr>
      <w:r>
        <w:t xml:space="preserve">(3) Operational gearing to deleveraging is enormous</w:t>
      </w:r>
    </w:p>
    <w:p>
      <w:pPr>
        <w:pStyle w:val="ListParagraph"/>
        <w:numPr>
          <w:ilvl w:val="0"/>
          <w:numId w:val="2"/>
        </w:numPr>
        <w:spacing w:after="60"/>
      </w:pPr>
      <w:r>
        <w:t xml:space="preserve">Because equity is only ~34% of gross asset value, </w:t>
      </w:r>
      <w:r>
        <w:rPr>
          <w:b/>
          <w:bCs/>
        </w:rPr>
        <w:t xml:space="preserve">every RM1bn of ex-listed net debt repaid at book value adds RM0.26/share to NAV — 18% of the current share price.</w:t>
      </w:r>
      <w:r>
        <w:t xml:space="preserve"> The rights issue (RM1.23bn net) is small; asset monetisation is the bigger lever.</w:t>
      </w:r>
    </w:p>
    <w:p>
      <w:pPr>
        <w:pStyle w:val="ListParagraph"/>
        <w:numPr>
          <w:ilvl w:val="0"/>
          <w:numId w:val="2"/>
        </w:numPr>
        <w:spacing w:after="60"/>
      </w:pPr>
      <w:r>
        <w:t xml:space="preserve">CreditSights estimates GENM's unused Miami land could fetch more than US$1bn; the two 2026 Kasuri sell-downs prove there are buyers for the energy assets at prices well above what the GENT share price implies.</w:t>
      </w:r>
    </w:p>
    <w:p>
      <w:pPr>
        <w:pStyle w:val="Heading3"/>
      </w:pPr>
      <w:r>
        <w:t xml:space="preserve">(4) Genting Singapore is a cash machine sitting one step below the holdco</w:t>
      </w:r>
    </w:p>
    <w:p>
      <w:pPr>
        <w:pStyle w:val="ListParagraph"/>
        <w:numPr>
          <w:ilvl w:val="0"/>
          <w:numId w:val="2"/>
        </w:numPr>
        <w:spacing w:after="60"/>
      </w:pPr>
      <w:r>
        <w:t xml:space="preserve">GENS holds ~S$2.9bn of cash and no borrowings (S$0.24/share net cash against a S$0.61 price). DBS has argued for a 10% equal-access offer at S$0.90, which would upstream ~S$572m (RM1.8bn) to GENT — more than the entire rights issue — without GENT selling a single share. GENS restarted share buybacks in April 2026 for the first time in about ten years, a sign the board is engaging on capital returns.</w:t>
      </w:r>
    </w:p>
    <w:p>
      <w:pPr>
        <w:pStyle w:val="Heading3"/>
      </w:pPr>
      <w:r>
        <w:t xml:space="preserve">(5) Insider alignment and a controlling family with no exit</w:t>
      </w:r>
    </w:p>
    <w:p>
      <w:pPr>
        <w:pStyle w:val="ListParagraph"/>
        <w:numPr>
          <w:ilvl w:val="0"/>
          <w:numId w:val="2"/>
        </w:numPr>
        <w:spacing w:after="60"/>
      </w:pPr>
      <w:r>
        <w:t xml:space="preserve">Kien Huat Realty bought 6.0m shares at RM1.494 on 12 October and a further 422,500 shares on 14–15 October, taking Lim Kok Thay's deemed interest to 45.24%. President &amp; CEO Tan Kong Han bought 550,000 shares. Kien Huat has irrevocably undertaken to take up its full RM563.8m entitlement (45.1%).</w:t>
      </w:r>
    </w:p>
    <w:p>
      <w:pPr>
        <w:pStyle w:val="ListParagraph"/>
        <w:numPr>
          <w:ilvl w:val="0"/>
          <w:numId w:val="2"/>
        </w:numPr>
        <w:spacing w:after="60"/>
      </w:pPr>
      <w:r>
        <w:t xml:space="preserve">Family wealth is concentrated in GENT; the family has historically defended the group (the 2025 GENM offer), and the company has stated no further cash calls are planned.</w:t>
      </w:r>
    </w:p>
    <w:p>
      <w:pPr>
        <w:pStyle w:val="Heading3"/>
      </w:pPr>
      <w:r>
        <w:t xml:space="preserve">(6) Irreplaceable, licence-protected assets</w:t>
      </w:r>
    </w:p>
    <w:p>
      <w:pPr>
        <w:pStyle w:val="ListParagraph"/>
        <w:numPr>
          <w:ilvl w:val="0"/>
          <w:numId w:val="2"/>
        </w:numPr>
        <w:spacing w:after="60"/>
      </w:pPr>
      <w:r>
        <w:t xml:space="preserve">Singapore integrated-resort duopoly; Malaysia's only casino licence (Resorts World Genting); one of only three downstate New York licences (15-year term); a new-build Las Vegas Strip resort that cost US$4.3–4.5bn; contracted power with PLN (25-year PPA) and Chinese state partner SDIC.</w:t>
      </w:r>
    </w:p>
    <w:p>
      <w:pPr>
        <w:pStyle w:val="Heading2"/>
      </w:pPr>
      <w:r>
        <w:t xml:space="preserve">1.3 Prospects for the discount narrowing — catalyst 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1"/>
        <w:gridCol w:w="1306"/>
        <w:gridCol w:w="2612"/>
        <w:gridCol w:w="2612"/>
        <w:gridCol w:w="805"/>
      </w:tblGrid>
      <w:tr>
        <w:trPr>
          <w:tblHeader/>
        </w:trPr>
        <w:tc>
          <w:tcPr>
            <w:tcW w:type="dxa" w:w="2411"/>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Catalyst</w:t>
            </w:r>
          </w:p>
        </w:tc>
        <w:tc>
          <w:tcPr>
            <w:tcW w:type="dxa" w:w="130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Timing</w:t>
            </w:r>
          </w:p>
        </w:tc>
        <w:tc>
          <w:tcPr>
            <w:tcW w:type="dxa" w:w="2612"/>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Mechanism</w:t>
            </w:r>
          </w:p>
        </w:tc>
        <w:tc>
          <w:tcPr>
            <w:tcW w:type="dxa" w:w="2612"/>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Indicative NAV / value impact</w:t>
            </w:r>
          </w:p>
        </w:tc>
        <w:tc>
          <w:tcPr>
            <w:tcW w:type="dxa" w:w="805"/>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Prob.</w:t>
            </w:r>
          </w:p>
        </w:tc>
      </w:tr>
      <w:tr>
        <w:trPr>
          <w:cantSplit/>
        </w:trPr>
        <w:tc>
          <w:tcPr>
            <w:tcW w:type="dxa" w:w="241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Rights issue priced, underwritten and completed</w:t>
            </w:r>
          </w:p>
        </w:tc>
        <w:tc>
          <w:tcPr>
            <w:tcW w:type="dxa" w:w="130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EGM 4Q26; completion 1Q27</w:t>
            </w:r>
          </w:p>
        </w:tc>
        <w:tc>
          <w:tcPr>
            <w:tcW w:type="dxa" w:w="261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Removes overhang; RM800m debt repaid; refinancing risk on Jan-27 GOHL notes reduced</w:t>
            </w:r>
          </w:p>
        </w:tc>
        <w:tc>
          <w:tcPr>
            <w:tcW w:type="dxa" w:w="261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Pro forma base NAV RM2.62 on enlarged share base</w:t>
            </w:r>
          </w:p>
        </w:tc>
        <w:tc>
          <w:tcPr>
            <w:tcW w:type="dxa" w:w="80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5"/>
                <w:szCs w:val="15"/>
              </w:rPr>
              <w:t xml:space="preserve">High</w:t>
            </w:r>
          </w:p>
        </w:tc>
      </w:tr>
      <w:tr>
        <w:trPr>
          <w:cantSplit/>
        </w:trPr>
        <w:tc>
          <w:tcPr>
            <w:tcW w:type="dxa" w:w="241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GENM share price recovery toward offer price</w:t>
            </w:r>
          </w:p>
        </w:tc>
        <w:tc>
          <w:tcPr>
            <w:tcW w:type="dxa" w:w="130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2027–28</w:t>
            </w:r>
          </w:p>
        </w:tc>
        <w:tc>
          <w:tcPr>
            <w:tcW w:type="dxa" w:w="261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RWNYC ramp; GENM re-rating from 0.64x P/B</w:t>
            </w:r>
          </w:p>
        </w:tc>
        <w:tc>
          <w:tcPr>
            <w:tcW w:type="dxa" w:w="261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+RM4.5bn (+RM1.17/sh) if GENM returns to RM2.35</w:t>
            </w:r>
          </w:p>
        </w:tc>
        <w:tc>
          <w:tcPr>
            <w:tcW w:type="dxa" w:w="80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5"/>
                <w:szCs w:val="15"/>
              </w:rPr>
              <w:t xml:space="preserve">Medium</w:t>
            </w:r>
          </w:p>
        </w:tc>
      </w:tr>
      <w:tr>
        <w:trPr>
          <w:cantSplit/>
        </w:trPr>
        <w:tc>
          <w:tcPr>
            <w:tcW w:type="dxa" w:w="241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GENS capital return (EAO / special dividend)</w:t>
            </w:r>
          </w:p>
        </w:tc>
        <w:tc>
          <w:tcPr>
            <w:tcW w:type="dxa" w:w="130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2027</w:t>
            </w:r>
          </w:p>
        </w:tc>
        <w:tc>
          <w:tcPr>
            <w:tcW w:type="dxa" w:w="261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Upstreams S$ cash to holdco</w:t>
            </w:r>
          </w:p>
        </w:tc>
        <w:tc>
          <w:tcPr>
            <w:tcW w:type="dxa" w:w="261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~RM1.8bn to GENT on a 10% EAO at S$0.90</w:t>
            </w:r>
          </w:p>
        </w:tc>
        <w:tc>
          <w:tcPr>
            <w:tcW w:type="dxa" w:w="80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5"/>
                <w:szCs w:val="15"/>
              </w:rPr>
              <w:t xml:space="preserve">Low–Med</w:t>
            </w:r>
          </w:p>
        </w:tc>
      </w:tr>
      <w:tr>
        <w:trPr>
          <w:cantSplit/>
        </w:trPr>
        <w:tc>
          <w:tcPr>
            <w:tcW w:type="dxa" w:w="241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GENS re-rating to broker targets (S$0.85–0.90)</w:t>
            </w:r>
          </w:p>
        </w:tc>
        <w:tc>
          <w:tcPr>
            <w:tcW w:type="dxa" w:w="130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12–24m</w:t>
            </w:r>
          </w:p>
        </w:tc>
        <w:tc>
          <w:tcPr>
            <w:tcW w:type="dxa" w:w="261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Market-share recovery; RWS 2.0 progress</w:t>
            </w:r>
          </w:p>
        </w:tc>
        <w:tc>
          <w:tcPr>
            <w:tcW w:type="dxa" w:w="261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+RM4.9bn (+RM1.26/sh) at S$0.85</w:t>
            </w:r>
          </w:p>
        </w:tc>
        <w:tc>
          <w:tcPr>
            <w:tcW w:type="dxa" w:w="80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5"/>
                <w:szCs w:val="15"/>
              </w:rPr>
              <w:t xml:space="preserve">Medium</w:t>
            </w:r>
          </w:p>
        </w:tc>
      </w:tr>
      <w:tr>
        <w:trPr>
          <w:cantSplit/>
        </w:trPr>
        <w:tc>
          <w:tcPr>
            <w:tcW w:type="dxa" w:w="241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Kasuri first LNG + gas sales agreement</w:t>
            </w:r>
          </w:p>
        </w:tc>
        <w:tc>
          <w:tcPr>
            <w:tcW w:type="dxa" w:w="130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2Q–3Q27</w:t>
            </w:r>
          </w:p>
        </w:tc>
        <w:tc>
          <w:tcPr>
            <w:tcW w:type="dxa" w:w="261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De-risks RM7.2bn of O&amp;G assets; turns segment cash-positive</w:t>
            </w:r>
          </w:p>
        </w:tc>
        <w:tc>
          <w:tcPr>
            <w:tcW w:type="dxa" w:w="261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+RM0.4–0.8/sh vs our base O&amp;G value</w:t>
            </w:r>
          </w:p>
        </w:tc>
        <w:tc>
          <w:tcPr>
            <w:tcW w:type="dxa" w:w="80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5"/>
                <w:szCs w:val="15"/>
              </w:rPr>
              <w:t xml:space="preserve">Medium</w:t>
            </w:r>
          </w:p>
        </w:tc>
      </w:tr>
      <w:tr>
        <w:trPr>
          <w:cantSplit/>
        </w:trPr>
        <w:tc>
          <w:tcPr>
            <w:tcW w:type="dxa" w:w="241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RWLV recovery to US$200m EBITDA</w:t>
            </w:r>
          </w:p>
        </w:tc>
        <w:tc>
          <w:tcPr>
            <w:tcW w:type="dxa" w:w="130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2027–28</w:t>
            </w:r>
          </w:p>
        </w:tc>
        <w:tc>
          <w:tcPr>
            <w:tcW w:type="dxa" w:w="261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Convention mix, premium play, cost-out</w:t>
            </w:r>
          </w:p>
        </w:tc>
        <w:tc>
          <w:tcPr>
            <w:tcW w:type="dxa" w:w="261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+RM3.5bn (+RM0.90/sh) at 12x</w:t>
            </w:r>
          </w:p>
        </w:tc>
        <w:tc>
          <w:tcPr>
            <w:tcW w:type="dxa" w:w="80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5"/>
                <w:szCs w:val="15"/>
              </w:rPr>
              <w:t xml:space="preserve">Low–Med</w:t>
            </w:r>
          </w:p>
        </w:tc>
      </w:tr>
      <w:tr>
        <w:trPr>
          <w:cantSplit/>
        </w:trPr>
        <w:tc>
          <w:tcPr>
            <w:tcW w:type="dxa" w:w="241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Non-core disposals (Miami land at GENM, power stakes, further Kasuri sell-downs)</w:t>
            </w:r>
          </w:p>
        </w:tc>
        <w:tc>
          <w:tcPr>
            <w:tcW w:type="dxa" w:w="130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2026–28</w:t>
            </w:r>
          </w:p>
        </w:tc>
        <w:tc>
          <w:tcPr>
            <w:tcW w:type="dxa" w:w="261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Cash deleveraging; validates private marks</w:t>
            </w:r>
          </w:p>
        </w:tc>
        <w:tc>
          <w:tcPr>
            <w:tcW w:type="dxa" w:w="261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RM0.26/sh per RM1bn of ex-listed debt repaid</w:t>
            </w:r>
          </w:p>
        </w:tc>
        <w:tc>
          <w:tcPr>
            <w:tcW w:type="dxa" w:w="80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5"/>
                <w:szCs w:val="15"/>
              </w:rPr>
              <w:t xml:space="preserve">Medium</w:t>
            </w:r>
          </w:p>
        </w:tc>
      </w:tr>
      <w:tr>
        <w:trPr>
          <w:cantSplit/>
        </w:trPr>
        <w:tc>
          <w:tcPr>
            <w:tcW w:type="dxa" w:w="241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Rating stabilisation / dividend reinstatement</w:t>
            </w:r>
          </w:p>
        </w:tc>
        <w:tc>
          <w:tcPr>
            <w:tcW w:type="dxa" w:w="130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2027–28</w:t>
            </w:r>
          </w:p>
        </w:tc>
        <w:tc>
          <w:tcPr>
            <w:tcW w:type="dxa" w:w="261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Removes fallen-angel overhang</w:t>
            </w:r>
          </w:p>
        </w:tc>
        <w:tc>
          <w:tcPr>
            <w:tcW w:type="dxa" w:w="261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Discount compression 5–10 pts</w:t>
            </w:r>
          </w:p>
        </w:tc>
        <w:tc>
          <w:tcPr>
            <w:tcW w:type="dxa" w:w="80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5"/>
                <w:szCs w:val="15"/>
              </w:rPr>
              <w:t xml:space="preserve">Medium</w:t>
            </w:r>
          </w:p>
        </w:tc>
      </w:tr>
    </w:tbl>
    <w:p>
      <w:pPr>
        <w:spacing w:after="160"/>
      </w:pPr>
      <w:r>
        <w:rPr>
          <w:i/>
          <w:iCs/>
          <w:color w:val="595959"/>
          <w:sz w:val="16"/>
          <w:szCs w:val="16"/>
        </w:rPr>
        <w:t xml:space="preserve">Probabilities are qualitative analyst judgements. Upside figures are gross, before rights dilution, and are not additive.</w:t>
      </w:r>
    </w:p>
    <w:p>
      <w:pPr>
        <w:pStyle w:val="Heading1"/>
      </w:pPr>
      <w:r>
        <w:t xml:space="preserve">2. Bear Case: Why the Discount Widens or Stays Static</w:t>
      </w:r>
    </w:p>
    <w:p>
      <w:pPr>
        <w:pStyle w:val="Heading2"/>
      </w:pPr>
      <w:r>
        <w:t xml:space="preserve">2.1 The holdco cannot fund itself from upstream cash</w:t>
      </w:r>
    </w:p>
    <w:p>
      <w:pPr>
        <w:spacing w:after="120"/>
        <w:jc w:val="both"/>
      </w:pPr>
      <w:r>
        <w:t xml:space="preserve">On FY25 dividend rates, GENT would receive ~RM1,173m a year from its listed subsidiaries (GENS ~RM811m, GENM ~RM293m, GENP ~RM70m, ordinary dividends only). Against that, interest on ~RM26.9bn of ex-listed gross debt at the 5.16% weighted rate disclosed for the rights issue is ~RM1,386m — before the 7.6–8.3% distributions on the US$1.25bn perpetuals are fully reflected, before GENT's own dividend (RM193m at 5 sen) and before RWLV and Kasuri capital needs. GENM has already skipped its 2026 interim. </w:t>
      </w:r>
      <w:r>
        <w:rPr>
          <w:b/>
          <w:bCs/>
        </w:rPr>
        <w:t xml:space="preserve">The rights issue earmarks RM280m explicitly for interest and financing costs — equity is being raised in part to pay interest.</w:t>
      </w:r>
    </w:p>
    <w:p>
      <w:pPr>
        <w:pStyle w:val="Heading2"/>
      </w:pPr>
      <w:r>
        <w:t xml:space="preserve">2.2 Refinancing wall and the investment-grade cliff</w:t>
      </w:r>
    </w:p>
    <w:p>
      <w:pPr>
        <w:pStyle w:val="ListParagraph"/>
        <w:numPr>
          <w:ilvl w:val="0"/>
          <w:numId w:val="2"/>
        </w:numPr>
        <w:spacing w:after="60"/>
      </w:pPr>
      <w:r>
        <w:t xml:space="preserve">Ex-listed maturities within roughly 12 months: GOHL 4.25% notes US$617.5m (24 Jan 2027), Genting RMTN RM400m (Mar 2027), Genting Capital RM1.5bn (Jun 2027) and the RWLV term loan US$656m (Oct 2027): ~RM7.1bn against RM800m of rights proceeds earmarked for repayment.</w:t>
      </w:r>
    </w:p>
    <w:p>
      <w:pPr>
        <w:pStyle w:val="ListParagraph"/>
        <w:numPr>
          <w:ilvl w:val="0"/>
          <w:numId w:val="2"/>
        </w:numPr>
        <w:spacing w:after="60"/>
      </w:pPr>
      <w:r>
        <w:t xml:space="preserve">Ratings: Moody's Baa3 (cut Dec 2025), Fitch BBB- (cut 7 Sep 2026; RWLV cut to junk at BB+), S&amp;P BBB- with a negative outlook and an explicit "fallen angel" warning (September 2026), RAM AA1/Negative. Loss of investment grade at two agencies would raise funding costs, trigger index-driven bond selling and could tighten covenant headroom.</w:t>
      </w:r>
    </w:p>
    <w:p>
      <w:pPr>
        <w:pStyle w:val="ListParagraph"/>
        <w:numPr>
          <w:ilvl w:val="0"/>
          <w:numId w:val="2"/>
        </w:numPr>
        <w:spacing w:after="60"/>
      </w:pPr>
      <w:r>
        <w:t xml:space="preserve">Fitch projects group capex averaging RM9.2bn a year and free cash flow of about –RM4bn a year in 2026–28, with net leverage above 4.0x for three years. Group capital commitments were RM41.4bn at 30 June 2026 (RM15.0bn contracted): RWNYC US$5.5bn programme (~US$3.7bn still to spend), RWS 2.0 (more than S$4bn committed), Kasuri completion and Meizhou Wan Phase III.</w:t>
      </w:r>
    </w:p>
    <w:p>
      <w:pPr>
        <w:pStyle w:val="Heading2"/>
      </w:pPr>
      <w:r>
        <w:t xml:space="preserve">2.3 Further dilution is a live risk</w:t>
      </w:r>
    </w:p>
    <w:p>
      <w:pPr>
        <w:pStyle w:val="ListParagraph"/>
        <w:numPr>
          <w:ilvl w:val="0"/>
          <w:numId w:val="2"/>
        </w:numPr>
        <w:spacing w:after="60"/>
      </w:pPr>
      <w:r>
        <w:t xml:space="preserve">Maybank (Sell, TP RM1.49) cannot rule out further equity raising (including placements) or lower dividends; CIMB estimates 17–18% core EPS dilution in FY27–28 and notes gearing falls only from 102% to 94%. If the stock stays near RM1.45 the rights price must be reset lower (a 25–30% discount to TERP on a 1-for-4 ratio implies ~RM0.95–1.02, raising only ~RM0.9–1.0bn unless the ratio is enlarged), increasing the number of new shares for the same RM1.25bn.</w:t>
      </w:r>
    </w:p>
    <w:p>
      <w:pPr>
        <w:pStyle w:val="Heading2"/>
      </w:pPr>
      <w:r>
        <w:t xml:space="preserve">2.4 Capital-allocation record</w:t>
      </w:r>
    </w:p>
    <w:p>
      <w:pPr>
        <w:pStyle w:val="ListParagraph"/>
        <w:numPr>
          <w:ilvl w:val="0"/>
          <w:numId w:val="2"/>
        </w:numPr>
        <w:spacing w:after="60"/>
      </w:pPr>
      <w:r>
        <w:rPr>
          <w:b/>
          <w:bCs/>
        </w:rPr>
        <w:t xml:space="preserve">GENM offer:</w:t>
      </w:r>
      <w:r>
        <w:t xml:space="preserve"> ~1,387m GENM shares acquired for ~RM3.25bn (RM2.35 offer plus 2026 market purchases at ~RM1.97). The FY25 accounts show an equity charge of RM3,244.7m from "changes in composition of the Group", which matches. At RM1.27 they are worth ~RM1.76bn: a mark-to-market loss of ~RM1.5bn (RM0.39/GENT share), funded with debt. Kenanga, the independent adviser, called RM2.35 "not fair and not reasonable" and valued GENM at RM3.48–3.77; at RM1.27 the market currently endorses neither view.</w:t>
      </w:r>
    </w:p>
    <w:p>
      <w:pPr>
        <w:pStyle w:val="ListParagraph"/>
        <w:numPr>
          <w:ilvl w:val="0"/>
          <w:numId w:val="2"/>
        </w:numPr>
        <w:spacing w:after="60"/>
      </w:pPr>
      <w:r>
        <w:rPr>
          <w:b/>
          <w:bCs/>
        </w:rPr>
        <w:t xml:space="preserve">RWLV:</w:t>
      </w:r>
      <w:r>
        <w:t xml:space="preserve"> US$4.3–4.5bn invested; FY25 EBITDA was RM241m by our segment reconciliation (US$31m per trade-press quarterly sums). GENT has committed to keep funding RWLV to meet its covenants. A US$10.5m Nevada AML fine (second-largest in state history) and a federal RICO suit add regulatory overhang.</w:t>
      </w:r>
    </w:p>
    <w:p>
      <w:pPr>
        <w:pStyle w:val="ListParagraph"/>
        <w:numPr>
          <w:ilvl w:val="0"/>
          <w:numId w:val="2"/>
        </w:numPr>
        <w:spacing w:after="60"/>
      </w:pPr>
      <w:r>
        <w:rPr>
          <w:b/>
          <w:bCs/>
        </w:rPr>
        <w:t xml:space="preserve">Oil &amp; gas:</w:t>
      </w:r>
      <w:r>
        <w:t xml:space="preserve"> the Chengdaoxi petroleum contract expired in April 2026 (2Q26 O&amp;G EBITDA –RM1.1m); Kasuri first LNG has slipped from 3Q26 to 2027, and the gas sales agreement with SKK Migas is still outstanding.</w:t>
      </w:r>
    </w:p>
    <w:p>
      <w:pPr>
        <w:pStyle w:val="ListParagraph"/>
        <w:numPr>
          <w:ilvl w:val="0"/>
          <w:numId w:val="2"/>
        </w:numPr>
        <w:spacing w:after="60"/>
      </w:pPr>
      <w:r>
        <w:rPr>
          <w:b/>
          <w:bCs/>
        </w:rPr>
        <w:t xml:space="preserve">Non-core bets:</w:t>
      </w:r>
      <w:r>
        <w:t xml:space="preserve"> ~20% of TauRx (an Alzheimer's drug candidate whose MHRA approval is still pending), Celularity and a corporate venture-capital arm. These are optionality the balance sheet can no longer afford.</w:t>
      </w:r>
    </w:p>
    <w:p>
      <w:pPr>
        <w:pStyle w:val="Heading2"/>
      </w:pPr>
      <w:r>
        <w:t xml:space="preserve">2.5 Governance and structure keep the discount structural</w:t>
      </w:r>
    </w:p>
    <w:p>
      <w:pPr>
        <w:pStyle w:val="ListParagraph"/>
        <w:numPr>
          <w:ilvl w:val="0"/>
          <w:numId w:val="2"/>
        </w:numPr>
        <w:spacing w:after="60"/>
      </w:pPr>
      <w:r>
        <w:t xml:space="preserve">Double-holdco chain: Kien Huat (family trust) → GENT → GENM/GENS/GENP. Minorities at GENT bear the second layer of discount. Kien Huat at 45.24% can pass ordinary resolutions on typical turnout and blocks any special resolution.</w:t>
      </w:r>
    </w:p>
    <w:p>
      <w:pPr>
        <w:pStyle w:val="ListParagraph"/>
        <w:numPr>
          <w:ilvl w:val="0"/>
          <w:numId w:val="2"/>
        </w:numPr>
        <w:spacing w:after="60"/>
      </w:pPr>
      <w:r>
        <w:t xml:space="preserve">Related-party history: GENM bought Kien Huat Realty III's 51% of Genting Empire Resorts for RM174.1m in 2025; the 2019 Empire Resorts privatisation was also a joint transaction with the Lim family. Investors also still remember the 2022 collapse of the family-controlled (not GENT-owned) Genting Hong Kong.</w:t>
      </w:r>
    </w:p>
    <w:p>
      <w:pPr>
        <w:pStyle w:val="ListParagraph"/>
        <w:numPr>
          <w:ilvl w:val="0"/>
          <w:numId w:val="2"/>
        </w:numPr>
        <w:spacing w:after="60"/>
      </w:pPr>
      <w:r>
        <w:t xml:space="preserve">Keepwell covenants on the GOHL bonds and perpetuals require GENT to maintain specified shareholdings in GOHL and Genting Singapore. This limits the most obvious deleveraging lever (selling GENS shares) without bondholder engagement.</w:t>
      </w:r>
    </w:p>
    <w:p>
      <w:pPr>
        <w:pStyle w:val="Heading2"/>
      </w:pPr>
      <w:r>
        <w:t xml:space="preserve">2.6 Operating headwinds</w:t>
      </w:r>
    </w:p>
    <w:p>
      <w:pPr>
        <w:pStyle w:val="ListParagraph"/>
        <w:numPr>
          <w:ilvl w:val="0"/>
          <w:numId w:val="2"/>
        </w:numPr>
        <w:spacing w:after="60"/>
      </w:pPr>
      <w:r>
        <w:t xml:space="preserve">Singapore: GENS 1H26 net profit fell 33.5% and adjusted EBITDA 8% on lost market share to Marina Bay Sands. RWS 2.0 will not complete until 2030.</w:t>
      </w:r>
    </w:p>
    <w:p>
      <w:pPr>
        <w:pStyle w:val="ListParagraph"/>
        <w:numPr>
          <w:ilvl w:val="0"/>
          <w:numId w:val="2"/>
        </w:numPr>
        <w:spacing w:after="60"/>
      </w:pPr>
      <w:r>
        <w:t xml:space="preserve">New York: two other downstate licences were awarded alongside RWNYC (reported as Bally's Bronx and Hard Rock/Metropolitan Park in Queens); both are new builds that will add competition once open. Las Vegas: Strip softness in 2025 hit RWLV hardest among peers. UK: Genting UK reported a widened pre-tax loss of £24.5m.</w:t>
      </w:r>
    </w:p>
    <w:p>
      <w:pPr>
        <w:pStyle w:val="ListParagraph"/>
        <w:numPr>
          <w:ilvl w:val="0"/>
          <w:numId w:val="2"/>
        </w:numPr>
        <w:spacing w:after="60"/>
      </w:pPr>
      <w:r>
        <w:t xml:space="preserve">Index risk: with market capitalisation down to ~RM5.6bn, GENT is at risk of deletion from the FBM KLCI and of a smaller weight in MSCI Malaysia at the next reviews, which would mean passive selling. This is our inference and needs checking against the index providers' cut-offs.</w:t>
      </w:r>
    </w:p>
    <w:p>
      <w:pPr>
        <w:pStyle w:val="Heading2"/>
      </w:pPr>
      <w:r>
        <w:t xml:space="preserve">2.7 Bear-case arithmetic</w:t>
      </w:r>
    </w:p>
    <w:p>
      <w:pPr>
        <w:spacing w:after="120"/>
        <w:jc w:val="both"/>
      </w:pPr>
      <w:r>
        <w:t xml:space="preserve">Low-case private values with a 20% fall in listed-stake prices produce NAV of RM0.64/share — </w:t>
      </w:r>
      <w:r>
        <w:rPr>
          <w:b/>
          <w:bCs/>
        </w:rPr>
        <w:t xml:space="preserve">56% below the current price</w:t>
      </w:r>
      <w:r>
        <w:t xml:space="preserve">. Pro forma for the rights issue the low-case NAV is RM1.61. The bear case is not "the discount stays at 50%"; it is that NAV itself is fragile because of leverage.</w:t>
      </w:r>
    </w:p>
    <w:p>
      <w:pPr>
        <w:pStyle w:val="Heading1"/>
      </w:pPr>
      <w:r>
        <w:t xml:space="preserve">3. Group Structure and Listed Holdings</w:t>
      </w:r>
    </w:p>
    <w:p>
      <w:pPr>
        <w:pStyle w:val="Heading2"/>
      </w:pPr>
      <w:r>
        <w:t xml:space="preserve">3.1 Ownership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1"/>
        <w:gridCol w:w="2287"/>
        <w:gridCol w:w="2585"/>
        <w:gridCol w:w="3383"/>
      </w:tblGrid>
      <w:tr>
        <w:trPr>
          <w:tblHeader/>
        </w:trPr>
        <w:tc>
          <w:tcPr>
            <w:tcW w:type="dxa" w:w="1491"/>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Level</w:t>
            </w:r>
          </w:p>
        </w:tc>
        <w:tc>
          <w:tcPr>
            <w:tcW w:type="dxa" w:w="2287"/>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Entity</w:t>
            </w:r>
          </w:p>
        </w:tc>
        <w:tc>
          <w:tcPr>
            <w:tcW w:type="dxa" w:w="2585"/>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Holder / interest</w:t>
            </w:r>
          </w:p>
        </w:tc>
        <w:tc>
          <w:tcPr>
            <w:tcW w:type="dxa" w:w="3383"/>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Notes</w:t>
            </w:r>
          </w:p>
        </w:tc>
      </w:tr>
      <w:tr>
        <w:trPr>
          <w:cantSplit/>
        </w:trPr>
        <w:tc>
          <w:tcPr>
            <w:tcW w:type="dxa" w:w="14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Controlling shareholder</w:t>
            </w:r>
          </w:p>
        </w:tc>
        <w:tc>
          <w:tcPr>
            <w:tcW w:type="dxa" w:w="22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Kien Huat Realty Sdn Bhd + Kien Huat International Ltd</w:t>
            </w:r>
          </w:p>
        </w:tc>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43.82% + 1.25% (+ Oct-26 purchases); Lim Kok Thay deemed 45.24%</w:t>
            </w:r>
          </w:p>
        </w:tc>
        <w:tc>
          <w:tcPr>
            <w:tcW w:type="dxa" w:w="33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Parkview Management (trustee of a trust for Lim Kok Thay and Lim Keong Hui) is deemed interested</w:t>
            </w:r>
          </w:p>
        </w:tc>
      </w:tr>
      <w:tr>
        <w:trPr>
          <w:cantSplit/>
        </w:trPr>
        <w:tc>
          <w:tcPr>
            <w:tcW w:type="dxa" w:w="14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Listed holdco</w:t>
            </w:r>
          </w:p>
        </w:tc>
        <w:tc>
          <w:tcPr>
            <w:tcW w:type="dxa" w:w="228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Genting Berhad (GENT MK)</w:t>
            </w:r>
          </w:p>
        </w:tc>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3,850.6m voting shares</w:t>
            </w:r>
          </w:p>
        </w:tc>
        <w:tc>
          <w:tcPr>
            <w:tcW w:type="dxa" w:w="338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Chairman: Lim Kok Thay; Executive Director: Lim Keong Hui (Chairman's son); President &amp; Chief Executive: Tan Kong Han (signatory of AR2025)</w:t>
            </w:r>
          </w:p>
        </w:tc>
      </w:tr>
      <w:tr>
        <w:trPr>
          <w:cantSplit/>
        </w:trPr>
        <w:tc>
          <w:tcPr>
            <w:tcW w:type="dxa" w:w="14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Listed subsidiary</w:t>
            </w:r>
          </w:p>
        </w:tc>
        <w:tc>
          <w:tcPr>
            <w:tcW w:type="dxa" w:w="22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Genting Singapore (GENS SP)</w:t>
            </w:r>
          </w:p>
        </w:tc>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52.67% via Genting Overseas Holdings (GOHL, 100%)</w:t>
            </w:r>
          </w:p>
        </w:tc>
        <w:tc>
          <w:tcPr>
            <w:tcW w:type="dxa" w:w="33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Resorts World Sentosa</w:t>
            </w:r>
          </w:p>
        </w:tc>
      </w:tr>
      <w:tr>
        <w:trPr>
          <w:cantSplit/>
        </w:trPr>
        <w:tc>
          <w:tcPr>
            <w:tcW w:type="dxa" w:w="14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Listed subsidiary</w:t>
            </w:r>
          </w:p>
        </w:tc>
        <w:tc>
          <w:tcPr>
            <w:tcW w:type="dxa" w:w="228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Genting Malaysia (GENM MK)</w:t>
            </w:r>
          </w:p>
        </w:tc>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73.84% direct</w:t>
            </w:r>
          </w:p>
        </w:tc>
        <w:tc>
          <w:tcPr>
            <w:tcW w:type="dxa" w:w="338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RW Genting, Genting UK &amp; Egypt, RWNYC/Empire, RW Bimini, Miami land</w:t>
            </w:r>
          </w:p>
        </w:tc>
      </w:tr>
      <w:tr>
        <w:trPr>
          <w:cantSplit/>
        </w:trPr>
        <w:tc>
          <w:tcPr>
            <w:tcW w:type="dxa" w:w="14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Listed subsidiary</w:t>
            </w:r>
          </w:p>
        </w:tc>
        <w:tc>
          <w:tcPr>
            <w:tcW w:type="dxa" w:w="22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Genting Plantations (GENP MK)</w:t>
            </w:r>
          </w:p>
        </w:tc>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55.39% direct</w:t>
            </w:r>
          </w:p>
        </w:tc>
        <w:tc>
          <w:tcPr>
            <w:tcW w:type="dxa" w:w="33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Oil palm (Malaysia/Indonesia), downstream, property, Genting Simon JV (50%)</w:t>
            </w:r>
          </w:p>
        </w:tc>
      </w:tr>
      <w:tr>
        <w:trPr>
          <w:cantSplit/>
        </w:trPr>
        <w:tc>
          <w:tcPr>
            <w:tcW w:type="dxa" w:w="14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Unlisted (100%)</w:t>
            </w:r>
          </w:p>
        </w:tc>
        <w:tc>
          <w:tcPr>
            <w:tcW w:type="dxa" w:w="228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Resorts World Las Vegas LLC</w:t>
            </w:r>
          </w:p>
        </w:tc>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100%</w:t>
            </w:r>
          </w:p>
        </w:tc>
        <w:tc>
          <w:tcPr>
            <w:tcW w:type="dxa" w:w="338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Opened June 2021; keepwell (not guarantee) from GENT</w:t>
            </w:r>
          </w:p>
        </w:tc>
      </w:tr>
      <w:tr>
        <w:trPr>
          <w:cantSplit/>
        </w:trPr>
        <w:tc>
          <w:tcPr>
            <w:tcW w:type="dxa" w:w="14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Unlisted (100%)</w:t>
            </w:r>
          </w:p>
        </w:tc>
        <w:tc>
          <w:tcPr>
            <w:tcW w:type="dxa" w:w="22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Genting Energy Ltd</w:t>
            </w:r>
          </w:p>
        </w:tc>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100%</w:t>
            </w:r>
          </w:p>
        </w:tc>
        <w:tc>
          <w:tcPr>
            <w:tcW w:type="dxa" w:w="33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Power (Banten 55% eff., Jangi wind, Meizhou Wan JV 49%, Zhoushan gas JV 49%, Dongwu Cha solar 39%) and oil &amp; gas (Kasuri PSC ~95%, PT Layar Nusantara Gas ~90%, Block 15/33 China)</w:t>
            </w:r>
          </w:p>
        </w:tc>
      </w:tr>
      <w:tr>
        <w:trPr>
          <w:cantSplit/>
        </w:trPr>
        <w:tc>
          <w:tcPr>
            <w:tcW w:type="dxa" w:w="14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Associate</w:t>
            </w:r>
          </w:p>
        </w:tc>
        <w:tc>
          <w:tcPr>
            <w:tcW w:type="dxa" w:w="228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TauRx Pharmaceuticals</w:t>
            </w:r>
          </w:p>
        </w:tc>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~20%</w:t>
            </w:r>
          </w:p>
        </w:tc>
        <w:tc>
          <w:tcPr>
            <w:tcW w:type="dxa" w:w="338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Alzheimer's drug candidate; UK MHRA decision pending</w:t>
            </w:r>
          </w:p>
        </w:tc>
      </w:tr>
      <w:tr>
        <w:trPr>
          <w:cantSplit/>
        </w:trPr>
        <w:tc>
          <w:tcPr>
            <w:tcW w:type="dxa" w:w="14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Other</w:t>
            </w:r>
          </w:p>
        </w:tc>
        <w:tc>
          <w:tcPr>
            <w:tcW w:type="dxa" w:w="22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Genting Ventures; Dragasac Ltd (Celularity stake)</w:t>
            </w:r>
          </w:p>
        </w:tc>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100% / n.v.</w:t>
            </w:r>
          </w:p>
        </w:tc>
        <w:tc>
          <w:tcPr>
            <w:tcW w:type="dxa" w:w="33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Corporate VC (~US$80m AUM); Nasdaq-listed Celularity stake (size not verified)</w:t>
            </w:r>
          </w:p>
        </w:tc>
      </w:tr>
    </w:tbl>
    <w:p>
      <w:pPr>
        <w:pStyle w:val="Heading2"/>
      </w:pPr>
      <w:r>
        <w:t xml:space="preserve">3.2 Listed holdings at market value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5"/>
        <w:gridCol w:w="843"/>
        <w:gridCol w:w="937"/>
        <w:gridCol w:w="749"/>
        <w:gridCol w:w="655"/>
        <w:gridCol w:w="1030"/>
        <w:gridCol w:w="937"/>
        <w:gridCol w:w="749"/>
        <w:gridCol w:w="655"/>
        <w:gridCol w:w="1786"/>
      </w:tblGrid>
      <w:tr>
        <w:trPr>
          <w:tblHeader/>
        </w:trPr>
        <w:tc>
          <w:tcPr>
            <w:tcW w:type="dxa" w:w="1405"/>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Holding</w:t>
            </w:r>
          </w:p>
        </w:tc>
        <w:tc>
          <w:tcPr>
            <w:tcW w:type="dxa" w:w="843"/>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Ticker</w:t>
            </w:r>
          </w:p>
        </w:tc>
        <w:tc>
          <w:tcPr>
            <w:tcW w:type="dxa" w:w="937"/>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Shares held (m)</w:t>
            </w:r>
          </w:p>
        </w:tc>
        <w:tc>
          <w:tcPr>
            <w:tcW w:type="dxa" w:w="749"/>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 held</w:t>
            </w:r>
          </w:p>
        </w:tc>
        <w:tc>
          <w:tcPr>
            <w:tcW w:type="dxa" w:w="655"/>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Price</w:t>
            </w:r>
          </w:p>
        </w:tc>
        <w:tc>
          <w:tcPr>
            <w:tcW w:type="dxa" w:w="1030"/>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Market cap</w:t>
            </w:r>
          </w:p>
        </w:tc>
        <w:tc>
          <w:tcPr>
            <w:tcW w:type="dxa" w:w="937"/>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Stake value (RM m)</w:t>
            </w:r>
          </w:p>
        </w:tc>
        <w:tc>
          <w:tcPr>
            <w:tcW w:type="dxa" w:w="749"/>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RM / GENT sh</w:t>
            </w:r>
          </w:p>
        </w:tc>
        <w:tc>
          <w:tcPr>
            <w:tcW w:type="dxa" w:w="655"/>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 of listed</w:t>
            </w:r>
          </w:p>
        </w:tc>
        <w:tc>
          <w:tcPr>
            <w:tcW w:type="dxa" w:w="178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Consolidated?</w:t>
            </w:r>
          </w:p>
        </w:tc>
      </w:tr>
      <w:tr>
        <w:trPr>
          <w:cantSplit/>
        </w:trPr>
        <w:tc>
          <w:tcPr>
            <w:tcW w:type="dxa" w:w="140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Genting Singapore</w:t>
            </w:r>
          </w:p>
        </w:tc>
        <w:tc>
          <w:tcPr>
            <w:tcW w:type="dxa" w:w="84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G13 SP</w:t>
            </w:r>
          </w:p>
        </w:tc>
        <w:tc>
          <w:tcPr>
            <w:tcW w:type="dxa" w:w="93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6,353.7</w:t>
            </w:r>
          </w:p>
        </w:tc>
        <w:tc>
          <w:tcPr>
            <w:tcW w:type="dxa" w:w="74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52.67%</w:t>
            </w:r>
          </w:p>
        </w:tc>
        <w:tc>
          <w:tcPr>
            <w:tcW w:type="dxa" w:w="65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S$0.61</w:t>
            </w:r>
          </w:p>
        </w:tc>
        <w:tc>
          <w:tcPr>
            <w:tcW w:type="dxa" w:w="103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S$7,359m</w:t>
            </w:r>
          </w:p>
        </w:tc>
        <w:tc>
          <w:tcPr>
            <w:tcW w:type="dxa" w:w="93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12,366</w:t>
            </w:r>
          </w:p>
        </w:tc>
        <w:tc>
          <w:tcPr>
            <w:tcW w:type="dxa" w:w="74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3.21</w:t>
            </w:r>
          </w:p>
        </w:tc>
        <w:tc>
          <w:tcPr>
            <w:tcW w:type="dxa" w:w="65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61%</w:t>
            </w:r>
          </w:p>
        </w:tc>
        <w:tc>
          <w:tcPr>
            <w:tcW w:type="dxa" w:w="178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Yes – subsidiary (&gt;50%)</w:t>
            </w:r>
          </w:p>
        </w:tc>
      </w:tr>
      <w:tr>
        <w:trPr>
          <w:cantSplit/>
        </w:trPr>
        <w:tc>
          <w:tcPr>
            <w:tcW w:type="dxa" w:w="140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Genting Malaysia</w:t>
            </w:r>
          </w:p>
        </w:tc>
        <w:tc>
          <w:tcPr>
            <w:tcW w:type="dxa" w:w="84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GENM MK</w:t>
            </w:r>
          </w:p>
        </w:tc>
        <w:tc>
          <w:tcPr>
            <w:tcW w:type="dxa" w:w="93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4,184.9</w:t>
            </w:r>
          </w:p>
        </w:tc>
        <w:tc>
          <w:tcPr>
            <w:tcW w:type="dxa" w:w="74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73.84%</w:t>
            </w:r>
          </w:p>
        </w:tc>
        <w:tc>
          <w:tcPr>
            <w:tcW w:type="dxa" w:w="65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RM1.27</w:t>
            </w:r>
          </w:p>
        </w:tc>
        <w:tc>
          <w:tcPr>
            <w:tcW w:type="dxa" w:w="103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RM7,198m</w:t>
            </w:r>
          </w:p>
        </w:tc>
        <w:tc>
          <w:tcPr>
            <w:tcW w:type="dxa" w:w="93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5,315</w:t>
            </w:r>
          </w:p>
        </w:tc>
        <w:tc>
          <w:tcPr>
            <w:tcW w:type="dxa" w:w="74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1.38</w:t>
            </w:r>
          </w:p>
        </w:tc>
        <w:tc>
          <w:tcPr>
            <w:tcW w:type="dxa" w:w="65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26%</w:t>
            </w:r>
          </w:p>
        </w:tc>
        <w:tc>
          <w:tcPr>
            <w:tcW w:type="dxa" w:w="178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Yes – statutory majority since Nov-25 (de facto control before)</w:t>
            </w:r>
          </w:p>
        </w:tc>
      </w:tr>
      <w:tr>
        <w:trPr>
          <w:cantSplit/>
        </w:trPr>
        <w:tc>
          <w:tcPr>
            <w:tcW w:type="dxa" w:w="140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Genting Plantations</w:t>
            </w:r>
          </w:p>
        </w:tc>
        <w:tc>
          <w:tcPr>
            <w:tcW w:type="dxa" w:w="84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GENP MK</w:t>
            </w:r>
          </w:p>
        </w:tc>
        <w:tc>
          <w:tcPr>
            <w:tcW w:type="dxa" w:w="93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497.0</w:t>
            </w:r>
          </w:p>
        </w:tc>
        <w:tc>
          <w:tcPr>
            <w:tcW w:type="dxa" w:w="74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55.39%</w:t>
            </w:r>
          </w:p>
        </w:tc>
        <w:tc>
          <w:tcPr>
            <w:tcW w:type="dxa" w:w="65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RM5.17</w:t>
            </w:r>
          </w:p>
        </w:tc>
        <w:tc>
          <w:tcPr>
            <w:tcW w:type="dxa" w:w="103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RM4,638m</w:t>
            </w:r>
          </w:p>
        </w:tc>
        <w:tc>
          <w:tcPr>
            <w:tcW w:type="dxa" w:w="93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2,569</w:t>
            </w:r>
          </w:p>
        </w:tc>
        <w:tc>
          <w:tcPr>
            <w:tcW w:type="dxa" w:w="74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0.67</w:t>
            </w:r>
          </w:p>
        </w:tc>
        <w:tc>
          <w:tcPr>
            <w:tcW w:type="dxa" w:w="65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13%</w:t>
            </w:r>
          </w:p>
        </w:tc>
        <w:tc>
          <w:tcPr>
            <w:tcW w:type="dxa" w:w="178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Yes – subsidiary</w:t>
            </w:r>
          </w:p>
        </w:tc>
      </w:tr>
      <w:tr>
        <w:trPr>
          <w:cantSplit/>
        </w:trPr>
        <w:tc>
          <w:tcPr>
            <w:tcW w:type="dxa" w:w="140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Celularity Inc.</w:t>
            </w:r>
          </w:p>
        </w:tc>
        <w:tc>
          <w:tcPr>
            <w:tcW w:type="dxa" w:w="84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CELU US</w:t>
            </w:r>
          </w:p>
        </w:tc>
        <w:tc>
          <w:tcPr>
            <w:tcW w:type="dxa" w:w="93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n.v.</w:t>
            </w:r>
          </w:p>
        </w:tc>
        <w:tc>
          <w:tcPr>
            <w:tcW w:type="dxa" w:w="74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n.v.</w:t>
            </w:r>
          </w:p>
        </w:tc>
        <w:tc>
          <w:tcPr>
            <w:tcW w:type="dxa" w:w="65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w:t>
            </w:r>
          </w:p>
        </w:tc>
        <w:tc>
          <w:tcPr>
            <w:tcW w:type="dxa" w:w="103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w:t>
            </w:r>
          </w:p>
        </w:tc>
        <w:tc>
          <w:tcPr>
            <w:tcW w:type="dxa" w:w="93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immaterial</w:t>
            </w:r>
          </w:p>
        </w:tc>
        <w:tc>
          <w:tcPr>
            <w:tcW w:type="dxa" w:w="74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w:t>
            </w:r>
          </w:p>
        </w:tc>
        <w:tc>
          <w:tcPr>
            <w:tcW w:type="dxa" w:w="65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w:t>
            </w:r>
          </w:p>
        </w:tc>
        <w:tc>
          <w:tcPr>
            <w:tcW w:type="dxa" w:w="178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No (financial asset)</w:t>
            </w:r>
          </w:p>
        </w:tc>
      </w:tr>
      <w:tr>
        <w:trPr>
          <w:cantSplit/>
        </w:trPr>
        <w:tc>
          <w:tcPr>
            <w:tcW w:type="dxa" w:w="1405"/>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4"/>
                <w:szCs w:val="14"/>
              </w:rPr>
              <w:t xml:space="preserve">Total listed</w:t>
            </w:r>
          </w:p>
        </w:tc>
        <w:tc>
          <w:tcPr>
            <w:tcW w:type="dxa" w:w="843"/>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p>
        </w:tc>
        <w:tc>
          <w:tcPr>
            <w:tcW w:type="dxa" w:w="937"/>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p>
        </w:tc>
        <w:tc>
          <w:tcPr>
            <w:tcW w:type="dxa" w:w="749"/>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p>
        </w:tc>
        <w:tc>
          <w:tcPr>
            <w:tcW w:type="dxa" w:w="655"/>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p>
        </w:tc>
        <w:tc>
          <w:tcPr>
            <w:tcW w:type="dxa" w:w="1030"/>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p>
        </w:tc>
        <w:tc>
          <w:tcPr>
            <w:tcW w:type="dxa" w:w="937"/>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4"/>
                <w:szCs w:val="14"/>
              </w:rPr>
              <w:t xml:space="preserve">20,250</w:t>
            </w:r>
          </w:p>
        </w:tc>
        <w:tc>
          <w:tcPr>
            <w:tcW w:type="dxa" w:w="749"/>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4"/>
                <w:szCs w:val="14"/>
              </w:rPr>
              <w:t xml:space="preserve">5.26</w:t>
            </w:r>
          </w:p>
        </w:tc>
        <w:tc>
          <w:tcPr>
            <w:tcW w:type="dxa" w:w="655"/>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4"/>
                <w:szCs w:val="14"/>
              </w:rPr>
              <w:t xml:space="preserve">100%</w:t>
            </w:r>
          </w:p>
        </w:tc>
        <w:tc>
          <w:tcPr>
            <w:tcW w:type="dxa" w:w="178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p>
        </w:tc>
      </w:tr>
    </w:tbl>
    <w:p>
      <w:pPr>
        <w:spacing w:after="160"/>
      </w:pPr>
      <w:r>
        <w:rPr>
          <w:i/>
          <w:iCs/>
          <w:color w:val="595959"/>
          <w:sz w:val="16"/>
          <w:szCs w:val="16"/>
        </w:rPr>
        <w:t xml:space="preserve">Prices at 16-Oct-26 (S&amp;P Capital IQ). GENS stake 6,353,685,269 shares held via GOHL (52.57% of voting shares at 31-Dec-25; 52.67% on the 30-Jun-26 share count after GENS buybacks). GENM ~4,184.9m shares (73.84% of 5,667.7m voting shares; issued 5,938.0m less 271.1m treasury). GENP 496,972,800 shares. Celularity stake held by Dragasac Ltd (Isle of Man) is registered with the SEC but its size could not be verified; at Celularity's micro-cap valuation it is immaterial to NAV. n.v. = not verified.</w:t>
      </w:r>
    </w:p>
    <w:p>
      <w:pPr>
        <w:pStyle w:val="Heading2"/>
      </w:pPr>
      <w:r>
        <w:t xml:space="preserve">3.3 Valuation of the listed subsidiaries (LTM to 30-Jun-26)</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6"/>
        <w:gridCol w:w="2386"/>
        <w:gridCol w:w="2585"/>
        <w:gridCol w:w="2389"/>
      </w:tblGrid>
      <w:tr>
        <w:trPr>
          <w:tblHeader/>
        </w:trPr>
        <w:tc>
          <w:tcPr>
            <w:tcW w:type="dxa" w:w="238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p>
        </w:tc>
        <w:tc>
          <w:tcPr>
            <w:tcW w:type="dxa" w:w="238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Genting Singapore</w:t>
            </w:r>
          </w:p>
        </w:tc>
        <w:tc>
          <w:tcPr>
            <w:tcW w:type="dxa" w:w="2585"/>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Genting Malaysia</w:t>
            </w:r>
          </w:p>
        </w:tc>
        <w:tc>
          <w:tcPr>
            <w:tcW w:type="dxa" w:w="2389"/>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Genting Plantations</w:t>
            </w:r>
          </w:p>
        </w:tc>
      </w:tr>
      <w:tr>
        <w:trPr>
          <w:cantSplit/>
        </w:trPr>
        <w:tc>
          <w:tcPr>
            <w:tcW w:type="dxa" w:w="238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Price</w:t>
            </w:r>
          </w:p>
        </w:tc>
        <w:tc>
          <w:tcPr>
            <w:tcW w:type="dxa" w:w="238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S$0.61</w:t>
            </w:r>
          </w:p>
        </w:tc>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RM1.27</w:t>
            </w:r>
          </w:p>
        </w:tc>
        <w:tc>
          <w:tcPr>
            <w:tcW w:type="dxa" w:w="238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RM5.17</w:t>
            </w:r>
          </w:p>
        </w:tc>
      </w:tr>
      <w:tr>
        <w:trPr>
          <w:cantSplit/>
        </w:trPr>
        <w:tc>
          <w:tcPr>
            <w:tcW w:type="dxa" w:w="238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Market cap (local m)</w:t>
            </w:r>
          </w:p>
        </w:tc>
        <w:tc>
          <w:tcPr>
            <w:tcW w:type="dxa" w:w="238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7,358.8</w:t>
            </w:r>
          </w:p>
        </w:tc>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7,198.0</w:t>
            </w:r>
          </w:p>
        </w:tc>
        <w:tc>
          <w:tcPr>
            <w:tcW w:type="dxa" w:w="238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4,637.8</w:t>
            </w:r>
          </w:p>
        </w:tc>
      </w:tr>
      <w:tr>
        <w:trPr>
          <w:cantSplit/>
        </w:trPr>
        <w:tc>
          <w:tcPr>
            <w:tcW w:type="dxa" w:w="238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Net debt / (net cash) (local m)</w:t>
            </w:r>
          </w:p>
        </w:tc>
        <w:tc>
          <w:tcPr>
            <w:tcW w:type="dxa" w:w="238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(2,948.9)</w:t>
            </w:r>
          </w:p>
        </w:tc>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11,934.8 (+2,230.8 leases)</w:t>
            </w:r>
          </w:p>
        </w:tc>
        <w:tc>
          <w:tcPr>
            <w:tcW w:type="dxa" w:w="238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1,780.5</w:t>
            </w:r>
          </w:p>
        </w:tc>
      </w:tr>
      <w:tr>
        <w:trPr>
          <w:cantSplit/>
        </w:trPr>
        <w:tc>
          <w:tcPr>
            <w:tcW w:type="dxa" w:w="238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Enterprise value (local m)</w:t>
            </w:r>
          </w:p>
        </w:tc>
        <w:tc>
          <w:tcPr>
            <w:tcW w:type="dxa" w:w="238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4,409.9</w:t>
            </w:r>
          </w:p>
        </w:tc>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21,363.6 (incl. leases)</w:t>
            </w:r>
          </w:p>
        </w:tc>
        <w:tc>
          <w:tcPr>
            <w:tcW w:type="dxa" w:w="238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6,532.9 (incl. minorities)</w:t>
            </w:r>
          </w:p>
        </w:tc>
      </w:tr>
      <w:tr>
        <w:trPr>
          <w:cantSplit/>
        </w:trPr>
        <w:tc>
          <w:tcPr>
            <w:tcW w:type="dxa" w:w="238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LTM adj. EBITDA (local m)</w:t>
            </w:r>
          </w:p>
        </w:tc>
        <w:tc>
          <w:tcPr>
            <w:tcW w:type="dxa" w:w="238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732.1</w:t>
            </w:r>
          </w:p>
        </w:tc>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2,410.0</w:t>
            </w:r>
          </w:p>
        </w:tc>
        <w:tc>
          <w:tcPr>
            <w:tcW w:type="dxa" w:w="238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960.9</w:t>
            </w:r>
          </w:p>
        </w:tc>
      </w:tr>
      <w:tr>
        <w:trPr>
          <w:cantSplit/>
        </w:trPr>
        <w:tc>
          <w:tcPr>
            <w:tcW w:type="dxa" w:w="238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EV / LTM EBITDA</w:t>
            </w:r>
          </w:p>
        </w:tc>
        <w:tc>
          <w:tcPr>
            <w:tcW w:type="dxa" w:w="238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6.0x</w:t>
            </w:r>
          </w:p>
        </w:tc>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8.9x</w:t>
            </w:r>
          </w:p>
        </w:tc>
        <w:tc>
          <w:tcPr>
            <w:tcW w:type="dxa" w:w="238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6.8x</w:t>
            </w:r>
          </w:p>
        </w:tc>
      </w:tr>
      <w:tr>
        <w:trPr>
          <w:cantSplit/>
        </w:trPr>
        <w:tc>
          <w:tcPr>
            <w:tcW w:type="dxa" w:w="238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LTM net income (local m)</w:t>
            </w:r>
          </w:p>
        </w:tc>
        <w:tc>
          <w:tcPr>
            <w:tcW w:type="dxa" w:w="238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311.7</w:t>
            </w:r>
          </w:p>
        </w:tc>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309.1</w:t>
            </w:r>
          </w:p>
        </w:tc>
        <w:tc>
          <w:tcPr>
            <w:tcW w:type="dxa" w:w="238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309.6</w:t>
            </w:r>
          </w:p>
        </w:tc>
      </w:tr>
      <w:tr>
        <w:trPr>
          <w:cantSplit/>
        </w:trPr>
        <w:tc>
          <w:tcPr>
            <w:tcW w:type="dxa" w:w="238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P/E (LTM)</w:t>
            </w:r>
          </w:p>
        </w:tc>
        <w:tc>
          <w:tcPr>
            <w:tcW w:type="dxa" w:w="238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23.6x</w:t>
            </w:r>
          </w:p>
        </w:tc>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23.3x</w:t>
            </w:r>
          </w:p>
        </w:tc>
        <w:tc>
          <w:tcPr>
            <w:tcW w:type="dxa" w:w="238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15.0x</w:t>
            </w:r>
          </w:p>
        </w:tc>
      </w:tr>
      <w:tr>
        <w:trPr>
          <w:cantSplit/>
        </w:trPr>
        <w:tc>
          <w:tcPr>
            <w:tcW w:type="dxa" w:w="238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P/B</w:t>
            </w:r>
          </w:p>
        </w:tc>
        <w:tc>
          <w:tcPr>
            <w:tcW w:type="dxa" w:w="238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0.91x</w:t>
            </w:r>
          </w:p>
        </w:tc>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0.64x</w:t>
            </w:r>
          </w:p>
        </w:tc>
        <w:tc>
          <w:tcPr>
            <w:tcW w:type="dxa" w:w="238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0.95x</w:t>
            </w:r>
          </w:p>
        </w:tc>
      </w:tr>
      <w:tr>
        <w:trPr>
          <w:cantSplit/>
        </w:trPr>
        <w:tc>
          <w:tcPr>
            <w:tcW w:type="dxa" w:w="238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FY25 DPS / yield</w:t>
            </w:r>
          </w:p>
        </w:tc>
        <w:tc>
          <w:tcPr>
            <w:tcW w:type="dxa" w:w="238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S$0.04 / 6.6%</w:t>
            </w:r>
          </w:p>
        </w:tc>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7.0 sen / 5.5%</w:t>
            </w:r>
          </w:p>
        </w:tc>
        <w:tc>
          <w:tcPr>
            <w:tcW w:type="dxa" w:w="238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14.0 sen (+14.0 special) / 2.7%</w:t>
            </w:r>
          </w:p>
        </w:tc>
      </w:tr>
      <w:tr>
        <w:trPr>
          <w:cantSplit/>
        </w:trPr>
        <w:tc>
          <w:tcPr>
            <w:tcW w:type="dxa" w:w="238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52-week range</w:t>
            </w:r>
          </w:p>
        </w:tc>
        <w:tc>
          <w:tcPr>
            <w:tcW w:type="dxa" w:w="238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S$0.58–0.81</w:t>
            </w:r>
          </w:p>
        </w:tc>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RM1.22–2.39</w:t>
            </w:r>
          </w:p>
        </w:tc>
        <w:tc>
          <w:tcPr>
            <w:tcW w:type="dxa" w:w="238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RM4.85–6.13</w:t>
            </w:r>
          </w:p>
        </w:tc>
      </w:tr>
    </w:tbl>
    <w:p>
      <w:pPr>
        <w:spacing w:after="160"/>
      </w:pPr>
      <w:r>
        <w:rPr>
          <w:i/>
          <w:iCs/>
          <w:color w:val="595959"/>
          <w:sz w:val="16"/>
          <w:szCs w:val="16"/>
        </w:rPr>
        <w:t xml:space="preserve">Source: S&amp;P Capital IQ; our calculations. GENM net debt excludes RM56.5m restricted cash and treats RM1,148.3m of money-market funds as cash. GENM's 2026 interim dividend was skipped, so the trailing yield overstates the forward yield.</w:t>
      </w:r>
    </w:p>
    <w:p>
      <w:pPr>
        <w:pStyle w:val="Heading2"/>
      </w:pPr>
      <w:r>
        <w:t xml:space="preserve">3.4 Holding-by-holding: recent changes, news flow and consolidation</w:t>
      </w:r>
    </w:p>
    <w:p>
      <w:pPr>
        <w:pStyle w:val="Heading3"/>
      </w:pPr>
      <w:r>
        <w:t xml:space="preserve">Genting Singapore (52.67%) — consolidated subsidiary</w:t>
      </w:r>
    </w:p>
    <w:p>
      <w:pPr>
        <w:pStyle w:val="ListParagraph"/>
        <w:numPr>
          <w:ilvl w:val="0"/>
          <w:numId w:val="2"/>
        </w:numPr>
        <w:spacing w:after="60"/>
      </w:pPr>
      <w:r>
        <w:rPr>
          <w:b/>
          <w:bCs/>
        </w:rPr>
        <w:t xml:space="preserve">Holding change:</w:t>
      </w:r>
      <w:r>
        <w:t xml:space="preserve"> none at GENT level. The percentage drifts up passively as GENS buys back shares (52.57% at December 2025 to ~52.67% at June 2026). Held through GOHL, whose USD notes and the April-2026 perpetuals carry a GENT keepwell requiring specified shareholdings in GOHL and GENS to be maintained.</w:t>
      </w:r>
    </w:p>
    <w:p>
      <w:pPr>
        <w:pStyle w:val="ListParagraph"/>
        <w:numPr>
          <w:ilvl w:val="0"/>
          <w:numId w:val="2"/>
        </w:numPr>
        <w:spacing w:after="60"/>
      </w:pPr>
      <w:r>
        <w:rPr>
          <w:b/>
          <w:bCs/>
        </w:rPr>
        <w:t xml:space="preserve">Results:</w:t>
      </w:r>
      <w:r>
        <w:t xml:space="preserve"> 1H26 net profit S$156.1m (–33.5%), adjusted EBITDA S$389.8m (–8%); 2Q RWS EBITDA S$210.8m. Interim dividend S$0.02, unchanged. FY25 net profit S$390.3m; FY25 DPS S$0.04.</w:t>
      </w:r>
    </w:p>
    <w:p>
      <w:pPr>
        <w:pStyle w:val="ListParagraph"/>
        <w:numPr>
          <w:ilvl w:val="0"/>
          <w:numId w:val="2"/>
        </w:numPr>
        <w:spacing w:after="60"/>
      </w:pPr>
      <w:r>
        <w:rPr>
          <w:b/>
          <w:bCs/>
        </w:rPr>
        <w:t xml:space="preserve">Balance sheet and capex:</w:t>
      </w:r>
      <w:r>
        <w:t xml:space="preserve"> ~S$2.9bn cash and no borrowings. RWS 2.0 (~S$6.8bn approved, ~S$4.5bn committed under the Sentosa Development Corporation agreement) completes in 2030; 1H26 capex was S$322.5m.</w:t>
      </w:r>
    </w:p>
    <w:p>
      <w:pPr>
        <w:pStyle w:val="ListParagraph"/>
        <w:numPr>
          <w:ilvl w:val="0"/>
          <w:numId w:val="2"/>
        </w:numPr>
        <w:spacing w:after="60"/>
      </w:pPr>
      <w:r>
        <w:rPr>
          <w:b/>
          <w:bCs/>
        </w:rPr>
        <w:t xml:space="preserve">Capital return:</w:t>
      </w:r>
      <w:r>
        <w:t xml:space="preserve"> first share buyback in about ten years began 15 April 2026 (22.4m shares for S$13.65m by 9 June). DBS upgraded to Buy (TP S$0.90, Feb 2026) on an equal-access-offer thesis; management prefers gradual dividend growth given RWS 2.0. Moody's cut GENS to Baa1 in December 2025, in step with the parent.</w:t>
      </w:r>
    </w:p>
    <w:p>
      <w:pPr>
        <w:pStyle w:val="Heading3"/>
      </w:pPr>
      <w:r>
        <w:t xml:space="preserve">Genting Malaysia (73.84%) — consolidated subsidiary</w:t>
      </w:r>
    </w:p>
    <w:p>
      <w:pPr>
        <w:pStyle w:val="ListParagraph"/>
        <w:numPr>
          <w:ilvl w:val="0"/>
          <w:numId w:val="2"/>
        </w:numPr>
        <w:spacing w:after="60"/>
      </w:pPr>
      <w:r>
        <w:rPr>
          <w:b/>
          <w:bCs/>
        </w:rPr>
        <w:t xml:space="preserve">Holding change — the major event of the past year.</w:t>
      </w:r>
      <w:r>
        <w:t xml:space="preserve"> GENT launched a conditional voluntary offer at RM2.35 cash on 13 October 2025 when it held 49.36%. The offer went unconditional on 3 November (50.1%) and became mandatory on 13 November after market purchases breached the 2% creep limit (57.0%). It closed on 1 December 2025 at 73.133%, short of the 75% needed to delist, so GENM remains listed. GENT has since bought on market at ~RM1.97 to 73.84–73.86% (March 2026). It was funded by RM3.0bn of GENT-guaranteed MTNs (Genting RMTN, refinanced by Genting Vista RM3.0bn Series 1 at 3M KLIBOR + 1.80%) plus internal funds.</w:t>
      </w:r>
    </w:p>
    <w:p>
      <w:pPr>
        <w:pStyle w:val="ListParagraph"/>
        <w:numPr>
          <w:ilvl w:val="0"/>
          <w:numId w:val="2"/>
        </w:numPr>
        <w:spacing w:after="60"/>
      </w:pPr>
      <w:r>
        <w:rPr>
          <w:b/>
          <w:bCs/>
        </w:rPr>
        <w:t xml:space="preserve">Consolidation:</w:t>
      </w:r>
      <w:r>
        <w:t xml:space="preserve"> GENM was consolidated even at 49.4% under MFRS 10 on de facto control (largest holder, consistent majority of votes cast at general meetings, and the management agreement over Resorts World Genting). The CEO told the June 2026 AGM the offer was about cementing control as RWNYC outgrows RWG, not privatisation. Statutory majority now removes that accounting risk.</w:t>
      </w:r>
    </w:p>
    <w:p>
      <w:pPr>
        <w:pStyle w:val="ListParagraph"/>
        <w:numPr>
          <w:ilvl w:val="0"/>
          <w:numId w:val="2"/>
        </w:numPr>
        <w:spacing w:after="60"/>
      </w:pPr>
      <w:r>
        <w:rPr>
          <w:b/>
          <w:bCs/>
        </w:rPr>
        <w:t xml:space="preserve">News flow:</w:t>
      </w:r>
      <w:r>
        <w:t xml:space="preserve"> RWNYC selected 1 December and licensed 15 December 2025 (15-year term; US$500m licence fee drawn under a US$755m 1Q26 draw; US$5.5bn capex + US$2bn community benefits). Live table games opened 28 April 2026; phase-two groundbreaking July 2026; US revenue +166% to US$378m in 2Q26. Genting Americas signed a US$2.0bn secured facility (June 2026) and redeemed Empire's US$300m 7.75% notes on 2 July 2026. GENM bought the remaining 51% of Genting Empire Resorts LLC from Kien Huat Realty III for RM174.1m (related-party transaction).</w:t>
      </w:r>
    </w:p>
    <w:p>
      <w:pPr>
        <w:pStyle w:val="ListParagraph"/>
        <w:numPr>
          <w:ilvl w:val="0"/>
          <w:numId w:val="2"/>
        </w:numPr>
        <w:spacing w:after="60"/>
      </w:pPr>
      <w:r>
        <w:rPr>
          <w:b/>
          <w:bCs/>
        </w:rPr>
        <w:t xml:space="preserve">Financials:</w:t>
      </w:r>
      <w:r>
        <w:t xml:space="preserve"> FY25 net profit RM754.8m on record revenue of RM11.88bn; 2Q26 adjusted EBITDA RM844m (–18%); no 2026 interim. Borrowings rose to RM15.7bn (RM18.0bn with leases) at June 2026. Treasury shares 271.05m (4.56%) after small October 2026 buybacks. The unused Miami land is the most-cited monetisation candidate (CreditSights: possibly more than US$1bn). GENM fell 17% to RM1.23 on the day GENT announced its rights issue.</w:t>
      </w:r>
    </w:p>
    <w:p>
      <w:pPr>
        <w:pStyle w:val="Heading3"/>
      </w:pPr>
      <w:r>
        <w:t xml:space="preserve">Genting Plantations (55.39%) — consolidated subsidiary</w:t>
      </w:r>
    </w:p>
    <w:p>
      <w:pPr>
        <w:pStyle w:val="ListParagraph"/>
        <w:numPr>
          <w:ilvl w:val="0"/>
          <w:numId w:val="2"/>
        </w:numPr>
        <w:spacing w:after="60"/>
      </w:pPr>
      <w:r>
        <w:rPr>
          <w:b/>
          <w:bCs/>
        </w:rPr>
        <w:t xml:space="preserve">Holding change:</w:t>
      </w:r>
      <w:r>
        <w:t xml:space="preserve"> none. EPF owns 15.66% of GENP (September 2026), the largest minority.</w:t>
      </w:r>
    </w:p>
    <w:p>
      <w:pPr>
        <w:pStyle w:val="ListParagraph"/>
        <w:numPr>
          <w:ilvl w:val="0"/>
          <w:numId w:val="2"/>
        </w:numPr>
        <w:spacing w:after="60"/>
      </w:pPr>
      <w:r>
        <w:rPr>
          <w:b/>
          <w:bCs/>
        </w:rPr>
        <w:t xml:space="preserve">News flow:</w:t>
      </w:r>
      <w:r>
        <w:t xml:space="preserve"> 2Q26 net profit RM140.9m (–27%, against a 2Q25 that included a RM261.2m land-sale gain); revenue +30%; FFB output +12%. Interim 10 sen paid 25 September 2026. FY25 dividends included a 14-sen special, the group's most shareholder-friendly payout of the year. Genting Simon (50:50 with Simon Property Group) runs the Johor and Genting Highlands Premium Outlets.</w:t>
      </w:r>
    </w:p>
    <w:p>
      <w:pPr>
        <w:pStyle w:val="Heading3"/>
      </w:pPr>
      <w:r>
        <w:t xml:space="preserve">Celularity (via Dragasac) — not consolidated</w:t>
      </w:r>
    </w:p>
    <w:p>
      <w:pPr>
        <w:pStyle w:val="ListParagraph"/>
        <w:numPr>
          <w:ilvl w:val="0"/>
          <w:numId w:val="2"/>
        </w:numPr>
        <w:spacing w:after="60"/>
      </w:pPr>
      <w:r>
        <w:t xml:space="preserve">Legacy life-science investment alongside TauRx. Stake size not verified; immaterial to NAV. A candidate for disposal under any non-core clean-up.</w:t>
      </w:r>
    </w:p>
    <w:p>
      <w:pPr>
        <w:pStyle w:val="Heading2"/>
      </w:pPr>
      <w:r>
        <w:t xml:space="preserve">3.5 Consolidation summary</w:t>
      </w:r>
    </w:p>
    <w:p>
      <w:pPr>
        <w:spacing w:after="120"/>
        <w:jc w:val="both"/>
      </w:pPr>
      <w:r>
        <w:t xml:space="preserve">All three listed holdings are fully consolidated, so GENT's group accounts carry 100% of their debt and cash, and minorities of RM17.1bn sit in equity. That is why the group balance sheet (net debt RM26.4bn, gearing ~102% on CIMB's measure) overstates the risk to GENS (net cash) and understates the risk at the holdco and its wholly-owned subsidiaries. Section 6 strips the listed subsidiaries out.</w:t>
      </w:r>
    </w:p>
    <w:p>
      <w:pPr>
        <w:pStyle w:val="Heading1"/>
      </w:pPr>
      <w:r>
        <w:t xml:space="preserve">4. Treasury Shares and Shareholder Register</w:t>
      </w:r>
    </w:p>
    <w:p>
      <w:pPr>
        <w:pStyle w:val="Heading2"/>
      </w:pPr>
      <w:r>
        <w:t xml:space="preserve">4.1 Treasury shares across the group</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8"/>
        <w:gridCol w:w="1378"/>
        <w:gridCol w:w="1772"/>
        <w:gridCol w:w="689"/>
        <w:gridCol w:w="787"/>
        <w:gridCol w:w="2559"/>
        <w:gridCol w:w="1183"/>
      </w:tblGrid>
      <w:tr>
        <w:trPr>
          <w:tblHeader/>
        </w:trPr>
        <w:tc>
          <w:tcPr>
            <w:tcW w:type="dxa" w:w="137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Company</w:t>
            </w:r>
          </w:p>
        </w:tc>
        <w:tc>
          <w:tcPr>
            <w:tcW w:type="dxa" w:w="137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Issued shares</w:t>
            </w:r>
          </w:p>
        </w:tc>
        <w:tc>
          <w:tcPr>
            <w:tcW w:type="dxa" w:w="1772"/>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Treasury shares</w:t>
            </w:r>
          </w:p>
        </w:tc>
        <w:tc>
          <w:tcPr>
            <w:tcW w:type="dxa" w:w="689"/>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 of issued</w:t>
            </w:r>
          </w:p>
        </w:tc>
        <w:tc>
          <w:tcPr>
            <w:tcW w:type="dxa" w:w="787"/>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As at</w:t>
            </w:r>
          </w:p>
        </w:tc>
        <w:tc>
          <w:tcPr>
            <w:tcW w:type="dxa" w:w="2559"/>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Buyback activity 2025–26</w:t>
            </w:r>
          </w:p>
        </w:tc>
        <w:tc>
          <w:tcPr>
            <w:tcW w:type="dxa" w:w="1183"/>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Mandate</w:t>
            </w:r>
          </w:p>
        </w:tc>
      </w:tr>
      <w:tr>
        <w:trPr>
          <w:cantSplit/>
        </w:trPr>
        <w:tc>
          <w:tcPr>
            <w:tcW w:type="dxa" w:w="137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Genting Berhad</w:t>
            </w:r>
          </w:p>
        </w:tc>
        <w:tc>
          <w:tcPr>
            <w:tcW w:type="dxa" w:w="137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3,876,896,099</w:t>
            </w:r>
          </w:p>
        </w:tc>
        <w:tc>
          <w:tcPr>
            <w:tcW w:type="dxa" w:w="177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26,320,000 (cost RM221.2m)</w:t>
            </w:r>
          </w:p>
        </w:tc>
        <w:tc>
          <w:tcPr>
            <w:tcW w:type="dxa" w:w="68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0.68%</w:t>
            </w:r>
          </w:p>
        </w:tc>
        <w:tc>
          <w:tcPr>
            <w:tcW w:type="dxa" w:w="7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30-Jun-26</w:t>
            </w:r>
          </w:p>
        </w:tc>
        <w:tc>
          <w:tcPr>
            <w:tcW w:type="dxa" w:w="255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None — unchanged since at least 2020; CEO said in June 2026 the group is conserving cash</w:t>
            </w:r>
          </w:p>
        </w:tc>
        <w:tc>
          <w:tcPr>
            <w:tcW w:type="dxa" w:w="11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Renewed annually (4% cap in the 2022 circular)</w:t>
            </w:r>
          </w:p>
        </w:tc>
      </w:tr>
      <w:tr>
        <w:trPr>
          <w:cantSplit/>
        </w:trPr>
        <w:tc>
          <w:tcPr>
            <w:tcW w:type="dxa" w:w="137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Genting Malaysia</w:t>
            </w:r>
          </w:p>
        </w:tc>
        <w:tc>
          <w:tcPr>
            <w:tcW w:type="dxa" w:w="137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5,938,044,648</w:t>
            </w:r>
          </w:p>
        </w:tc>
        <w:tc>
          <w:tcPr>
            <w:tcW w:type="dxa" w:w="177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271,052,915</w:t>
            </w:r>
          </w:p>
        </w:tc>
        <w:tc>
          <w:tcPr>
            <w:tcW w:type="dxa" w:w="68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4.56%</w:t>
            </w:r>
          </w:p>
        </w:tc>
        <w:tc>
          <w:tcPr>
            <w:tcW w:type="dxa" w:w="78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12-Oct-26</w:t>
            </w:r>
          </w:p>
        </w:tc>
        <w:tc>
          <w:tcPr>
            <w:tcW w:type="dxa" w:w="255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None in 2024–25; ~0.75m shares bought October 2026</w:t>
            </w:r>
          </w:p>
        </w:tc>
        <w:tc>
          <w:tcPr>
            <w:tcW w:type="dxa" w:w="118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10%</w:t>
            </w:r>
          </w:p>
        </w:tc>
      </w:tr>
      <w:tr>
        <w:trPr>
          <w:cantSplit/>
        </w:trPr>
        <w:tc>
          <w:tcPr>
            <w:tcW w:type="dxa" w:w="137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Genting Singapore</w:t>
            </w:r>
          </w:p>
        </w:tc>
        <w:tc>
          <w:tcPr>
            <w:tcW w:type="dxa" w:w="137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12,094,026,824 (Dec-25)</w:t>
            </w:r>
          </w:p>
        </w:tc>
        <w:tc>
          <w:tcPr>
            <w:tcW w:type="dxa" w:w="177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8,121,350 (Dec-25); 16,384,550 (20-May-26); ~30m implied (Jun-26)</w:t>
            </w:r>
          </w:p>
        </w:tc>
        <w:tc>
          <w:tcPr>
            <w:tcW w:type="dxa" w:w="68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~0.1–0.25%</w:t>
            </w:r>
          </w:p>
        </w:tc>
        <w:tc>
          <w:tcPr>
            <w:tcW w:type="dxa" w:w="7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May/Jun-26</w:t>
            </w:r>
          </w:p>
        </w:tc>
        <w:tc>
          <w:tcPr>
            <w:tcW w:type="dxa" w:w="255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First buyback in ~10 years from 15-Apr-26: 22.4m shares for S$13.65m by 9-Jun-26; held for employee share schemes</w:t>
            </w:r>
          </w:p>
        </w:tc>
        <w:tc>
          <w:tcPr>
            <w:tcW w:type="dxa" w:w="11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10% (1,208.8m shares)</w:t>
            </w:r>
          </w:p>
        </w:tc>
      </w:tr>
      <w:tr>
        <w:trPr>
          <w:cantSplit/>
        </w:trPr>
        <w:tc>
          <w:tcPr>
            <w:tcW w:type="dxa" w:w="137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Genting Plantations</w:t>
            </w:r>
          </w:p>
        </w:tc>
        <w:tc>
          <w:tcPr>
            <w:tcW w:type="dxa" w:w="137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~897.3m</w:t>
            </w:r>
          </w:p>
        </w:tc>
        <w:tc>
          <w:tcPr>
            <w:tcW w:type="dxa" w:w="177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266,400</w:t>
            </w:r>
          </w:p>
        </w:tc>
        <w:tc>
          <w:tcPr>
            <w:tcW w:type="dxa" w:w="68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0.03%</w:t>
            </w:r>
          </w:p>
        </w:tc>
        <w:tc>
          <w:tcPr>
            <w:tcW w:type="dxa" w:w="78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29-Jun-26</w:t>
            </w:r>
          </w:p>
        </w:tc>
        <w:tc>
          <w:tcPr>
            <w:tcW w:type="dxa" w:w="255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Small purchases at RM5.20–5.28 in June 2026</w:t>
            </w:r>
          </w:p>
        </w:tc>
        <w:tc>
          <w:tcPr>
            <w:tcW w:type="dxa" w:w="118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10%</w:t>
            </w:r>
          </w:p>
        </w:tc>
      </w:tr>
    </w:tbl>
    <w:p>
      <w:pPr>
        <w:spacing w:after="160"/>
      </w:pPr>
      <w:r>
        <w:rPr>
          <w:i/>
          <w:iCs/>
          <w:color w:val="595959"/>
          <w:sz w:val="16"/>
          <w:szCs w:val="16"/>
        </w:rPr>
        <w:t xml:space="preserve">Sources: company circulars and Bursa/SGX notices as reported; S&amp;P Capital IQ. GENS June figure derived from the S&amp;P Capital IQ share count.</w:t>
      </w:r>
    </w:p>
    <w:p>
      <w:pPr>
        <w:pStyle w:val="Heading2"/>
      </w:pPr>
      <w:r>
        <w:t xml:space="preserve">4.2 GENT shareholder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7"/>
        <w:gridCol w:w="2585"/>
        <w:gridCol w:w="895"/>
        <w:gridCol w:w="3979"/>
      </w:tblGrid>
      <w:tr>
        <w:trPr>
          <w:tblHeader/>
        </w:trPr>
        <w:tc>
          <w:tcPr>
            <w:tcW w:type="dxa" w:w="2287"/>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Holder</w:t>
            </w:r>
          </w:p>
        </w:tc>
        <w:tc>
          <w:tcPr>
            <w:tcW w:type="dxa" w:w="2585"/>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Shares</w:t>
            </w:r>
          </w:p>
        </w:tc>
        <w:tc>
          <w:tcPr>
            <w:tcW w:type="dxa" w:w="895"/>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w:t>
            </w:r>
          </w:p>
        </w:tc>
        <w:tc>
          <w:tcPr>
            <w:tcW w:type="dxa" w:w="3979"/>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Comment</w:t>
            </w:r>
          </w:p>
        </w:tc>
      </w:tr>
      <w:tr>
        <w:trPr>
          <w:cantSplit/>
        </w:trPr>
        <w:tc>
          <w:tcPr>
            <w:tcW w:type="dxa" w:w="22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Kien Huat Realty Sdn Bhd</w:t>
            </w:r>
          </w:p>
        </w:tc>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1,687,398,610 (18-Mar-26) + ~6.4m (Oct-26)</w:t>
            </w:r>
          </w:p>
        </w:tc>
        <w:tc>
          <w:tcPr>
            <w:tcW w:type="dxa" w:w="8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~43.99%</w:t>
            </w:r>
          </w:p>
        </w:tc>
        <w:tc>
          <w:tcPr>
            <w:tcW w:type="dxa" w:w="39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Bought 6.0m at RM1.494 (12-Oct) and 422,500 at RM1.39–1.49 (14–15 Oct)</w:t>
            </w:r>
          </w:p>
        </w:tc>
      </w:tr>
      <w:tr>
        <w:trPr>
          <w:cantSplit/>
        </w:trPr>
        <w:tc>
          <w:tcPr>
            <w:tcW w:type="dxa" w:w="228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Kien Huat International Ltd</w:t>
            </w:r>
          </w:p>
        </w:tc>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48,119,980</w:t>
            </w:r>
          </w:p>
        </w:tc>
        <w:tc>
          <w:tcPr>
            <w:tcW w:type="dxa" w:w="8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1.25%</w:t>
            </w:r>
          </w:p>
        </w:tc>
        <w:tc>
          <w:tcPr>
            <w:tcW w:type="dxa" w:w="397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Family vehicle</w:t>
            </w:r>
          </w:p>
        </w:tc>
      </w:tr>
      <w:tr>
        <w:trPr>
          <w:cantSplit/>
        </w:trPr>
        <w:tc>
          <w:tcPr>
            <w:tcW w:type="dxa" w:w="22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Lim Keong Hui (direct)</w:t>
            </w:r>
          </w:p>
        </w:tc>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~1.2m</w:t>
            </w:r>
          </w:p>
        </w:tc>
        <w:tc>
          <w:tcPr>
            <w:tcW w:type="dxa" w:w="8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0.03%</w:t>
            </w:r>
          </w:p>
        </w:tc>
        <w:tc>
          <w:tcPr>
            <w:tcW w:type="dxa" w:w="39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Executive Director; son of the Chairman</w:t>
            </w:r>
          </w:p>
        </w:tc>
      </w:tr>
      <w:tr>
        <w:trPr>
          <w:cantSplit/>
        </w:trPr>
        <w:tc>
          <w:tcPr>
            <w:tcW w:type="dxa" w:w="228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Lim Kok Thay (deemed, total)</w:t>
            </w:r>
          </w:p>
        </w:tc>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~1.742bn</w:t>
            </w:r>
          </w:p>
        </w:tc>
        <w:tc>
          <w:tcPr>
            <w:tcW w:type="dxa" w:w="8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45.24%</w:t>
            </w:r>
          </w:p>
        </w:tc>
        <w:tc>
          <w:tcPr>
            <w:tcW w:type="dxa" w:w="397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Through Parkview Management as trustee</w:t>
            </w:r>
          </w:p>
        </w:tc>
      </w:tr>
      <w:tr>
        <w:trPr>
          <w:cantSplit/>
        </w:trPr>
        <w:tc>
          <w:tcPr>
            <w:tcW w:type="dxa" w:w="22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Employees Provident Fund (EPF)</w:t>
            </w:r>
          </w:p>
        </w:tc>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n.v.</w:t>
            </w:r>
          </w:p>
        </w:tc>
        <w:tc>
          <w:tcPr>
            <w:tcW w:type="dxa" w:w="8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&gt;5%</w:t>
            </w:r>
          </w:p>
        </w:tc>
        <w:tc>
          <w:tcPr>
            <w:tcW w:type="dxa" w:w="39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Substantial shareholder; active two-way trading in Sep-26</w:t>
            </w:r>
          </w:p>
        </w:tc>
      </w:tr>
      <w:tr>
        <w:trPr>
          <w:cantSplit/>
        </w:trPr>
        <w:tc>
          <w:tcPr>
            <w:tcW w:type="dxa" w:w="228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Tan Kong Han (CEO)</w:t>
            </w:r>
          </w:p>
        </w:tc>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2.04m</w:t>
            </w:r>
          </w:p>
        </w:tc>
        <w:tc>
          <w:tcPr>
            <w:tcW w:type="dxa" w:w="8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0.05%</w:t>
            </w:r>
          </w:p>
        </w:tc>
        <w:tc>
          <w:tcPr>
            <w:tcW w:type="dxa" w:w="397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Bought 550,000 shares after the rights announcement</w:t>
            </w:r>
          </w:p>
        </w:tc>
      </w:tr>
      <w:tr>
        <w:trPr>
          <w:cantSplit/>
        </w:trPr>
        <w:tc>
          <w:tcPr>
            <w:tcW w:type="dxa" w:w="22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Free float (approx.)</w:t>
            </w:r>
          </w:p>
        </w:tc>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~2.11bn</w:t>
            </w:r>
          </w:p>
        </w:tc>
        <w:tc>
          <w:tcPr>
            <w:tcW w:type="dxa" w:w="8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~54.8%</w:t>
            </w:r>
          </w:p>
        </w:tc>
        <w:tc>
          <w:tcPr>
            <w:tcW w:type="dxa" w:w="39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Local institutions (EPF, KWAP, PNB/ASB), foreign funds, retail</w:t>
            </w:r>
          </w:p>
        </w:tc>
      </w:tr>
    </w:tbl>
    <w:p>
      <w:pPr>
        <w:spacing w:after="160"/>
      </w:pPr>
      <w:r>
        <w:rPr>
          <w:i/>
          <w:iCs/>
          <w:color w:val="595959"/>
          <w:sz w:val="16"/>
          <w:szCs w:val="16"/>
        </w:rPr>
        <w:t xml:space="preserve">n.v. = not verified. KWAP, PNB and foreign-ownership percentages were not verifiable in this session; obtain the latest register and a share-register analysis before any engagement.</w:t>
      </w:r>
    </w:p>
    <w:p>
      <w:pPr>
        <w:pStyle w:val="Heading1"/>
      </w:pPr>
      <w:r>
        <w:t xml:space="preserve">5. Private (Unlisted) Holdings: Operating Metrics and Valuation</w:t>
      </w:r>
    </w:p>
    <w:p>
      <w:pPr>
        <w:pStyle w:val="Heading2"/>
      </w:pPr>
      <w:r>
        <w:t xml:space="preserve">5.1 Inventory of private holdings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9"/>
        <w:gridCol w:w="1350"/>
        <w:gridCol w:w="3473"/>
        <w:gridCol w:w="1157"/>
        <w:gridCol w:w="1547"/>
      </w:tblGrid>
      <w:tr>
        <w:trPr>
          <w:tblHeader/>
        </w:trPr>
        <w:tc>
          <w:tcPr>
            <w:tcW w:type="dxa" w:w="2219"/>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Asset</w:t>
            </w:r>
          </w:p>
        </w:tc>
        <w:tc>
          <w:tcPr>
            <w:tcW w:type="dxa" w:w="1350"/>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Effective interest</w:t>
            </w:r>
          </w:p>
        </w:tc>
        <w:tc>
          <w:tcPr>
            <w:tcW w:type="dxa" w:w="3473"/>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Description</w:t>
            </w:r>
          </w:p>
        </w:tc>
        <w:tc>
          <w:tcPr>
            <w:tcW w:type="dxa" w:w="1157"/>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Accounting</w:t>
            </w:r>
          </w:p>
        </w:tc>
        <w:tc>
          <w:tcPr>
            <w:tcW w:type="dxa" w:w="1547"/>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Valuation basis</w:t>
            </w:r>
          </w:p>
        </w:tc>
      </w:tr>
      <w:tr>
        <w:trPr>
          <w:cantSplit/>
        </w:trPr>
        <w:tc>
          <w:tcPr>
            <w:tcW w:type="dxa" w:w="221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Resorts World Las Vegas (RWLV)</w:t>
            </w:r>
          </w:p>
        </w:tc>
        <w:tc>
          <w:tcPr>
            <w:tcW w:type="dxa" w:w="135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100%</w:t>
            </w:r>
          </w:p>
        </w:tc>
        <w:tc>
          <w:tcPr>
            <w:tcW w:type="dxa" w:w="347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3,500-room Strip resort opened 24-Jun-21; cost US$4.3–4.5bn; ~US$2.4bn third-party debt (keepwell, no GENT guarantee)</w:t>
            </w:r>
          </w:p>
        </w:tc>
        <w:tc>
          <w:tcPr>
            <w:tcW w:type="dxa" w:w="115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Subsidiary</w:t>
            </w:r>
          </w:p>
        </w:tc>
        <w:tc>
          <w:tcPr>
            <w:tcW w:type="dxa" w:w="154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EV/EBITDA on 2026E</w:t>
            </w:r>
          </w:p>
        </w:tc>
      </w:tr>
      <w:tr>
        <w:trPr>
          <w:cantSplit/>
        </w:trPr>
        <w:tc>
          <w:tcPr>
            <w:tcW w:type="dxa" w:w="221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PT Lestari Banten Energi (660MW coal, Indonesia)</w:t>
            </w:r>
          </w:p>
        </w:tc>
        <w:tc>
          <w:tcPr>
            <w:tcW w:type="dxa" w:w="135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55% (57.9% of LLPL x 95%)</w:t>
            </w:r>
          </w:p>
        </w:tc>
        <w:tc>
          <w:tcPr>
            <w:tcW w:type="dxa" w:w="347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COD 2017; 25-year PLN PPA; LLPL US$775m 6.875% amortising notes due 2039</w:t>
            </w:r>
          </w:p>
        </w:tc>
        <w:tc>
          <w:tcPr>
            <w:tcW w:type="dxa" w:w="115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Subsidiary</w:t>
            </w:r>
          </w:p>
        </w:tc>
        <w:tc>
          <w:tcPr>
            <w:tcW w:type="dxa" w:w="154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EV/EBITDA (with Jangi), less minorities</w:t>
            </w:r>
          </w:p>
        </w:tc>
      </w:tr>
      <w:tr>
        <w:trPr>
          <w:cantSplit/>
        </w:trPr>
        <w:tc>
          <w:tcPr>
            <w:tcW w:type="dxa" w:w="221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Jangi wind farm (91.8MW, Gujarat)</w:t>
            </w:r>
          </w:p>
        </w:tc>
        <w:tc>
          <w:tcPr>
            <w:tcW w:type="dxa" w:w="135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95–100%</w:t>
            </w:r>
          </w:p>
        </w:tc>
        <w:tc>
          <w:tcPr>
            <w:tcW w:type="dxa" w:w="347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COD 2011; 25-year GUVNL PPA</w:t>
            </w:r>
          </w:p>
        </w:tc>
        <w:tc>
          <w:tcPr>
            <w:tcW w:type="dxa" w:w="115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Subsidiary</w:t>
            </w:r>
          </w:p>
        </w:tc>
        <w:tc>
          <w:tcPr>
            <w:tcW w:type="dxa" w:w="154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Included in power EV</w:t>
            </w:r>
          </w:p>
        </w:tc>
      </w:tr>
      <w:tr>
        <w:trPr>
          <w:cantSplit/>
        </w:trPr>
        <w:tc>
          <w:tcPr>
            <w:tcW w:type="dxa" w:w="221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Meizhou Wan Phase II (2x1,000MW, Fujian)</w:t>
            </w:r>
          </w:p>
        </w:tc>
        <w:tc>
          <w:tcPr>
            <w:tcW w:type="dxa" w:w="135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49% JV</w:t>
            </w:r>
          </w:p>
        </w:tc>
        <w:tc>
          <w:tcPr>
            <w:tcW w:type="dxa" w:w="347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With SDIC; Phase I (2x393MW) handed back at BOT expiry 30-Jun-25; Phase III under construction</w:t>
            </w:r>
          </w:p>
        </w:tc>
        <w:tc>
          <w:tcPr>
            <w:tcW w:type="dxa" w:w="115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Equity-accounted</w:t>
            </w:r>
          </w:p>
        </w:tc>
        <w:tc>
          <w:tcPr>
            <w:tcW w:type="dxa" w:w="154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Share of JV book, haircut</w:t>
            </w:r>
          </w:p>
        </w:tc>
      </w:tr>
      <w:tr>
        <w:trPr>
          <w:cantSplit/>
        </w:trPr>
        <w:tc>
          <w:tcPr>
            <w:tcW w:type="dxa" w:w="221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SDIC Jineng Zhoushan gas (2x745MW)</w:t>
            </w:r>
          </w:p>
        </w:tc>
        <w:tc>
          <w:tcPr>
            <w:tcW w:type="dxa" w:w="135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49% JV</w:t>
            </w:r>
          </w:p>
        </w:tc>
        <w:tc>
          <w:tcPr>
            <w:tcW w:type="dxa" w:w="347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Hydrogen-ready CCGT; ~RMB428m invested; COD around mid-2026</w:t>
            </w:r>
          </w:p>
        </w:tc>
        <w:tc>
          <w:tcPr>
            <w:tcW w:type="dxa" w:w="115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Equity-accounted</w:t>
            </w:r>
          </w:p>
        </w:tc>
        <w:tc>
          <w:tcPr>
            <w:tcW w:type="dxa" w:w="154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Share of JV book</w:t>
            </w:r>
          </w:p>
        </w:tc>
      </w:tr>
      <w:tr>
        <w:trPr>
          <w:cantSplit/>
        </w:trPr>
        <w:tc>
          <w:tcPr>
            <w:tcW w:type="dxa" w:w="221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Dongwu Cha solar (100MW, Fujian)</w:t>
            </w:r>
          </w:p>
        </w:tc>
        <w:tc>
          <w:tcPr>
            <w:tcW w:type="dxa" w:w="135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39%</w:t>
            </w:r>
          </w:p>
        </w:tc>
        <w:tc>
          <w:tcPr>
            <w:tcW w:type="dxa" w:w="347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With SDIC Power</w:t>
            </w:r>
          </w:p>
        </w:tc>
        <w:tc>
          <w:tcPr>
            <w:tcW w:type="dxa" w:w="115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Equity-accounted</w:t>
            </w:r>
          </w:p>
        </w:tc>
        <w:tc>
          <w:tcPr>
            <w:tcW w:type="dxa" w:w="154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Share of JV book</w:t>
            </w:r>
          </w:p>
        </w:tc>
      </w:tr>
      <w:tr>
        <w:trPr>
          <w:cantSplit/>
        </w:trPr>
        <w:tc>
          <w:tcPr>
            <w:tcW w:type="dxa" w:w="221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Kasuri PSC (West Papua)</w:t>
            </w:r>
          </w:p>
        </w:tc>
        <w:tc>
          <w:tcPr>
            <w:tcW w:type="dxa" w:w="135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~95% → ~90% after RATU sale</w:t>
            </w:r>
          </w:p>
        </w:tc>
        <w:tc>
          <w:tcPr>
            <w:tcW w:type="dxa" w:w="347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Asap/Merah/Kido gas; 1.7 tcf (Roabiba) + 1–2 tcf potential; 5% sold for US$9.6m (pending SKK Migas)</w:t>
            </w:r>
          </w:p>
        </w:tc>
        <w:tc>
          <w:tcPr>
            <w:tcW w:type="dxa" w:w="115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Subsidiary</w:t>
            </w:r>
          </w:p>
        </w:tc>
        <w:tc>
          <w:tcPr>
            <w:tcW w:type="dxa" w:w="154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Transaction-implied, haircut</w:t>
            </w:r>
          </w:p>
        </w:tc>
      </w:tr>
      <w:tr>
        <w:trPr>
          <w:cantSplit/>
        </w:trPr>
        <w:tc>
          <w:tcPr>
            <w:tcW w:type="dxa" w:w="221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PT Layar Nusantara Gas (onshore plant + 1.2mtpa FLNG)</w:t>
            </w:r>
          </w:p>
        </w:tc>
        <w:tc>
          <w:tcPr>
            <w:tcW w:type="dxa" w:w="135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~90% after sale to RAJA</w:t>
            </w:r>
          </w:p>
        </w:tc>
        <w:tc>
          <w:tcPr>
            <w:tcW w:type="dxa" w:w="347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5% sold for US$38.6m (completed Sep-26); first LNG guided 2Q–3Q27</w:t>
            </w:r>
          </w:p>
        </w:tc>
        <w:tc>
          <w:tcPr>
            <w:tcW w:type="dxa" w:w="115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Subsidiary</w:t>
            </w:r>
          </w:p>
        </w:tc>
        <w:tc>
          <w:tcPr>
            <w:tcW w:type="dxa" w:w="154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Transaction-implied, haircut</w:t>
            </w:r>
          </w:p>
        </w:tc>
      </w:tr>
      <w:tr>
        <w:trPr>
          <w:cantSplit/>
        </w:trPr>
        <w:tc>
          <w:tcPr>
            <w:tcW w:type="dxa" w:w="221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Block 15/33 oil field (China)</w:t>
            </w:r>
          </w:p>
        </w:tc>
        <w:tc>
          <w:tcPr>
            <w:tcW w:type="dxa" w:w="135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n.v.</w:t>
            </w:r>
          </w:p>
        </w:tc>
        <w:tc>
          <w:tcPr>
            <w:tcW w:type="dxa" w:w="347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Acquired 2026 (price undisclosed) after Chengdaoxi (49% WI) expired Apr-26</w:t>
            </w:r>
          </w:p>
        </w:tc>
        <w:tc>
          <w:tcPr>
            <w:tcW w:type="dxa" w:w="115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Subsidiary / JOA</w:t>
            </w:r>
          </w:p>
        </w:tc>
        <w:tc>
          <w:tcPr>
            <w:tcW w:type="dxa" w:w="154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Included in O&amp;G</w:t>
            </w:r>
          </w:p>
        </w:tc>
      </w:tr>
      <w:tr>
        <w:trPr>
          <w:cantSplit/>
        </w:trPr>
        <w:tc>
          <w:tcPr>
            <w:tcW w:type="dxa" w:w="221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TauRx Pharmaceuticals</w:t>
            </w:r>
          </w:p>
        </w:tc>
        <w:tc>
          <w:tcPr>
            <w:tcW w:type="dxa" w:w="135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~20%</w:t>
            </w:r>
          </w:p>
        </w:tc>
        <w:tc>
          <w:tcPr>
            <w:tcW w:type="dxa" w:w="347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HMTM Alzheimer's candidate; MHRA filing 1-Jul-24, decision pending; last round US$119m (2022)</w:t>
            </w:r>
          </w:p>
        </w:tc>
        <w:tc>
          <w:tcPr>
            <w:tcW w:type="dxa" w:w="115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Associate</w:t>
            </w:r>
          </w:p>
        </w:tc>
        <w:tc>
          <w:tcPr>
            <w:tcW w:type="dxa" w:w="154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Within associates; upside in high case</w:t>
            </w:r>
          </w:p>
        </w:tc>
      </w:tr>
      <w:tr>
        <w:trPr>
          <w:cantSplit/>
        </w:trPr>
        <w:tc>
          <w:tcPr>
            <w:tcW w:type="dxa" w:w="221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Genting Ventures; Celularity; other financial assets</w:t>
            </w:r>
          </w:p>
        </w:tc>
        <w:tc>
          <w:tcPr>
            <w:tcW w:type="dxa" w:w="135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100% / n.v.</w:t>
            </w:r>
          </w:p>
        </w:tc>
        <w:tc>
          <w:tcPr>
            <w:tcW w:type="dxa" w:w="347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Corporate VC ~US$80m AUM, ~20 portfolio companies</w:t>
            </w:r>
          </w:p>
        </w:tc>
        <w:tc>
          <w:tcPr>
            <w:tcW w:type="dxa" w:w="115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FVTPL / FVOCI</w:t>
            </w:r>
          </w:p>
        </w:tc>
        <w:tc>
          <w:tcPr>
            <w:tcW w:type="dxa" w:w="154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Approx. NAV</w:t>
            </w:r>
          </w:p>
        </w:tc>
      </w:tr>
    </w:tbl>
    <w:p>
      <w:pPr>
        <w:spacing w:after="160"/>
      </w:pPr>
      <w:r>
        <w:rPr>
          <w:i/>
          <w:iCs/>
          <w:color w:val="595959"/>
          <w:sz w:val="16"/>
          <w:szCs w:val="16"/>
        </w:rPr>
        <w:t xml:space="preserve">Not owned by GENT directly (so not in this section): RWNYC/Empire Resorts, Genting UK, RW Bimini, Crockfords Cairo and the Miami land (all GENM); Genting Simon (GENP). n.v. = not verified.</w:t>
      </w:r>
    </w:p>
    <w:p>
      <w:pPr>
        <w:pStyle w:val="Heading2"/>
      </w:pPr>
      <w:r>
        <w:t xml:space="preserve">5.2 Operating metrics of the unlisted businesses (FY2020–FY2025, 1H26)</w:t>
      </w:r>
    </w:p>
    <w:p>
      <w:pPr>
        <w:spacing w:after="120"/>
        <w:jc w:val="both"/>
      </w:pPr>
      <w:r>
        <w:t xml:space="preserve">Genting does not publish standalone accounts for its private subsidiaries, but its segment disclosure lets us isolate them. "EBITDA" is Genting's adjusted EBITDA (S&amp;P Capital IQ segment data, which ties to reported group totals: FY24 RM8,781.8m, FY25 RM7,990.1m). "EBIT" is EBITDA less segment D&amp;A, before impairments, pre-opening costs and finance costs, so it is an operating proxy rather than reported segment profit.</w:t>
      </w:r>
    </w:p>
    <w:p>
      <w:pPr>
        <w:keepNext/>
        <w:spacing w:after="60" w:before="160"/>
      </w:pPr>
      <w:r>
        <w:rPr>
          <w:b/>
          <w:bCs/>
          <w:color w:val="1F3864"/>
          <w:sz w:val="18"/>
          <w:szCs w:val="18"/>
        </w:rPr>
        <w:t xml:space="preserve">Table 5A — Resorts World Las Vegas (implied: group US &amp; Bahamas segment less GENM's US &amp; Bahamas segment)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6"/>
        <w:gridCol w:w="1218"/>
        <w:gridCol w:w="1218"/>
        <w:gridCol w:w="1218"/>
        <w:gridCol w:w="1218"/>
        <w:gridCol w:w="1218"/>
        <w:gridCol w:w="1220"/>
      </w:tblGrid>
      <w:tr>
        <w:trPr>
          <w:tblHeader/>
        </w:trPr>
        <w:tc>
          <w:tcPr>
            <w:tcW w:type="dxa" w:w="243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RM m</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FY21</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FY22</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FY23</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FY24</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FY25</w:t>
            </w:r>
          </w:p>
        </w:tc>
        <w:tc>
          <w:tcPr>
            <w:tcW w:type="dxa" w:w="1220"/>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1H26</w:t>
            </w:r>
          </w:p>
        </w:tc>
      </w:tr>
      <w:tr>
        <w:trPr>
          <w:cantSplit/>
        </w:trPr>
        <w:tc>
          <w:tcPr>
            <w:tcW w:type="dxa" w:w="243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Revenue</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1,499.9</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3,494.7</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4,091.5</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3,657.5</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3,032.7</w:t>
            </w:r>
          </w:p>
        </w:tc>
        <w:tc>
          <w:tcPr>
            <w:tcW w:type="dxa" w:w="1220"/>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1,556.6</w:t>
            </w:r>
          </w:p>
        </w:tc>
      </w:tr>
      <w:tr>
        <w:trPr>
          <w:cantSplit/>
        </w:trPr>
        <w:tc>
          <w:tcPr>
            <w:tcW w:type="dxa" w:w="243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Revenue growth (y/y)</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133.0%</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17.1%</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(10.6%)</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(17.1%)</w:t>
            </w:r>
          </w:p>
        </w:tc>
        <w:tc>
          <w:tcPr>
            <w:tcW w:type="dxa" w:w="122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+12.7% (US$)</w:t>
            </w:r>
          </w:p>
        </w:tc>
      </w:tr>
      <w:tr>
        <w:trPr>
          <w:cantSplit/>
        </w:trPr>
        <w:tc>
          <w:tcPr>
            <w:tcW w:type="dxa" w:w="243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Adj. EBITDA</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215.5</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505.6</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881.1</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507.8</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241.3</w:t>
            </w:r>
          </w:p>
        </w:tc>
        <w:tc>
          <w:tcPr>
            <w:tcW w:type="dxa" w:w="1220"/>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296.1</w:t>
            </w:r>
          </w:p>
        </w:tc>
      </w:tr>
      <w:tr>
        <w:trPr>
          <w:cantSplit/>
        </w:trPr>
        <w:tc>
          <w:tcPr>
            <w:tcW w:type="dxa" w:w="243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EBITDA margin</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14.4%</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14.5%</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21.5%</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13.9%</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8.0%</w:t>
            </w:r>
          </w:p>
        </w:tc>
        <w:tc>
          <w:tcPr>
            <w:tcW w:type="dxa" w:w="122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19.0%</w:t>
            </w:r>
          </w:p>
        </w:tc>
      </w:tr>
      <w:tr>
        <w:trPr>
          <w:cantSplit/>
        </w:trPr>
        <w:tc>
          <w:tcPr>
            <w:tcW w:type="dxa" w:w="243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D&amp;A</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426.0</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989.7</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983.1</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953.0</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930.0e</w:t>
            </w:r>
          </w:p>
        </w:tc>
        <w:tc>
          <w:tcPr>
            <w:tcW w:type="dxa" w:w="122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n/a</w:t>
            </w:r>
          </w:p>
        </w:tc>
      </w:tr>
      <w:tr>
        <w:trPr>
          <w:cantSplit/>
        </w:trPr>
        <w:tc>
          <w:tcPr>
            <w:tcW w:type="dxa" w:w="243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EBIT (EBITDA – D&amp;A)</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(210.5)</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(484.1)</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(102.0)</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(445.2)</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(688.7)e</w:t>
            </w:r>
          </w:p>
        </w:tc>
        <w:tc>
          <w:tcPr>
            <w:tcW w:type="dxa" w:w="122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n/a</w:t>
            </w:r>
          </w:p>
        </w:tc>
      </w:tr>
      <w:tr>
        <w:trPr>
          <w:cantSplit/>
        </w:trPr>
        <w:tc>
          <w:tcPr>
            <w:tcW w:type="dxa" w:w="243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EBIT margin</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(14.0%)</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(13.9%)</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(2.5%)</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(12.2%)</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(22.7%)</w:t>
            </w:r>
          </w:p>
        </w:tc>
        <w:tc>
          <w:tcPr>
            <w:tcW w:type="dxa" w:w="122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n/a</w:t>
            </w:r>
          </w:p>
        </w:tc>
      </w:tr>
    </w:tbl>
    <w:p>
      <w:pPr>
        <w:spacing w:after="160"/>
      </w:pPr>
      <w:r>
        <w:rPr>
          <w:i/>
          <w:iCs/>
          <w:color w:val="595959"/>
          <w:sz w:val="16"/>
          <w:szCs w:val="16"/>
        </w:rPr>
        <w:t xml:space="preserve">Method validated: the implied 1Q26 EBITDA (RM199.4m) and 1H26 EBITDA (RM296.1m) match the RWLV figures Genting disclosed (TA Research: 1Q26 RM199.4m; 1H26 RM296m, +129% y/y). FY21 covers 24 June–31 December only. FY25 D&amp;A of ~RM930m is our estimate (GENM's FY25 US D&amp;A was not available). Memo, US$m from quarterly trade-press sums: revenue/EBITDA FY21 362/54; FY22 794/116; FY23 ~895/~194; FY24 ~799/~107; FY25 ~708/~31; 1H26 390/74. The FY25 US$ EBITDA uses some analyst-estimated quarters and sits below the RM-implied figure (~US$56m).</w:t>
      </w:r>
    </w:p>
    <w:p>
      <w:pPr>
        <w:keepNext/>
        <w:spacing w:after="60" w:before="160"/>
      </w:pPr>
      <w:r>
        <w:rPr>
          <w:b/>
          <w:bCs/>
          <w:color w:val="1F3864"/>
          <w:sz w:val="18"/>
          <w:szCs w:val="18"/>
        </w:rPr>
        <w:t xml:space="preserve">Table 5B — Power (consolidated: Banten 55% effective and Jangi wind; Meizhou Wan, Zhoushan and Dongwu Cha JVs are equity-accounted and excluded)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6"/>
        <w:gridCol w:w="1218"/>
        <w:gridCol w:w="1218"/>
        <w:gridCol w:w="1218"/>
        <w:gridCol w:w="1218"/>
        <w:gridCol w:w="1218"/>
        <w:gridCol w:w="1220"/>
      </w:tblGrid>
      <w:tr>
        <w:trPr>
          <w:tblHeader/>
        </w:trPr>
        <w:tc>
          <w:tcPr>
            <w:tcW w:type="dxa" w:w="243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RM m</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FY21</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FY22</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FY23</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FY24</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FY25</w:t>
            </w:r>
          </w:p>
        </w:tc>
        <w:tc>
          <w:tcPr>
            <w:tcW w:type="dxa" w:w="1220"/>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1H26</w:t>
            </w:r>
          </w:p>
        </w:tc>
      </w:tr>
      <w:tr>
        <w:trPr>
          <w:cantSplit/>
        </w:trPr>
        <w:tc>
          <w:tcPr>
            <w:tcW w:type="dxa" w:w="243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Revenue</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1,052.6</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1,040.2</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1,192.4</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1,093.2</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1,033.5</w:t>
            </w:r>
          </w:p>
        </w:tc>
        <w:tc>
          <w:tcPr>
            <w:tcW w:type="dxa" w:w="1220"/>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565.2</w:t>
            </w:r>
          </w:p>
        </w:tc>
      </w:tr>
      <w:tr>
        <w:trPr>
          <w:cantSplit/>
        </w:trPr>
        <w:tc>
          <w:tcPr>
            <w:tcW w:type="dxa" w:w="243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Revenue growth (y/y)</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9.4%</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(1.2%)</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14.6%</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(8.3%)</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(5.5%)</w:t>
            </w:r>
          </w:p>
        </w:tc>
        <w:tc>
          <w:tcPr>
            <w:tcW w:type="dxa" w:w="122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w:t>
            </w:r>
          </w:p>
        </w:tc>
      </w:tr>
      <w:tr>
        <w:trPr>
          <w:cantSplit/>
        </w:trPr>
        <w:tc>
          <w:tcPr>
            <w:tcW w:type="dxa" w:w="243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Adj. EBITDA</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390.4</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371.0</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442.3</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373.2</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323.5</w:t>
            </w:r>
          </w:p>
        </w:tc>
        <w:tc>
          <w:tcPr>
            <w:tcW w:type="dxa" w:w="1220"/>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186.8</w:t>
            </w:r>
          </w:p>
        </w:tc>
      </w:tr>
      <w:tr>
        <w:trPr>
          <w:cantSplit/>
        </w:trPr>
        <w:tc>
          <w:tcPr>
            <w:tcW w:type="dxa" w:w="243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EBITDA margin</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37.1%</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35.7%</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37.1%</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34.1%</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31.3%</w:t>
            </w:r>
          </w:p>
        </w:tc>
        <w:tc>
          <w:tcPr>
            <w:tcW w:type="dxa" w:w="122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33.1%</w:t>
            </w:r>
          </w:p>
        </w:tc>
      </w:tr>
      <w:tr>
        <w:trPr>
          <w:cantSplit/>
        </w:trPr>
        <w:tc>
          <w:tcPr>
            <w:tcW w:type="dxa" w:w="243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D&amp;A</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22.8</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25.8</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32.5</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36.1</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36.9</w:t>
            </w:r>
          </w:p>
        </w:tc>
        <w:tc>
          <w:tcPr>
            <w:tcW w:type="dxa" w:w="122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n/a</w:t>
            </w:r>
          </w:p>
        </w:tc>
      </w:tr>
      <w:tr>
        <w:trPr>
          <w:cantSplit/>
        </w:trPr>
        <w:tc>
          <w:tcPr>
            <w:tcW w:type="dxa" w:w="243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EBIT (EBITDA – D&amp;A)</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367.6</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345.2</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409.8</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337.1</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286.6</w:t>
            </w:r>
          </w:p>
        </w:tc>
        <w:tc>
          <w:tcPr>
            <w:tcW w:type="dxa" w:w="122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n/a</w:t>
            </w:r>
          </w:p>
        </w:tc>
      </w:tr>
      <w:tr>
        <w:trPr>
          <w:cantSplit/>
        </w:trPr>
        <w:tc>
          <w:tcPr>
            <w:tcW w:type="dxa" w:w="243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EBIT margin</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34.9%</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33.2%</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34.4%</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30.8%</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27.7%</w:t>
            </w:r>
          </w:p>
        </w:tc>
        <w:tc>
          <w:tcPr>
            <w:tcW w:type="dxa" w:w="122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n/a</w:t>
            </w:r>
          </w:p>
        </w:tc>
      </w:tr>
    </w:tbl>
    <w:p>
      <w:pPr>
        <w:spacing w:after="160"/>
      </w:pPr>
      <w:r>
        <w:rPr>
          <w:i/>
          <w:iCs/>
          <w:color w:val="595959"/>
          <w:sz w:val="16"/>
          <w:szCs w:val="16"/>
        </w:rPr>
        <w:t xml:space="preserve">FY21 growth is versus FY20 revenue of RM962.0m (FY20 EBITDA RM407.9m). 1Q26 power EBITDA RM87.3m was +37% y/y because 1Q25 included an 8-day unplanned Banten outage. Segment EBITDA is at 100%, so it includes the 45% of Banten owned by minorities.</w:t>
      </w:r>
    </w:p>
    <w:p>
      <w:pPr>
        <w:keepNext/>
        <w:spacing w:after="60" w:before="160"/>
      </w:pPr>
      <w:r>
        <w:rPr>
          <w:b/>
          <w:bCs/>
          <w:color w:val="1F3864"/>
          <w:sz w:val="18"/>
          <w:szCs w:val="18"/>
        </w:rPr>
        <w:t xml:space="preserve">Table 5C — Oil &amp; Gas (Chengdaoxi, China, to Apr-26; Kasuri/FLNG under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6"/>
        <w:gridCol w:w="1218"/>
        <w:gridCol w:w="1218"/>
        <w:gridCol w:w="1218"/>
        <w:gridCol w:w="1218"/>
        <w:gridCol w:w="1218"/>
        <w:gridCol w:w="1220"/>
      </w:tblGrid>
      <w:tr>
        <w:trPr>
          <w:tblHeader/>
        </w:trPr>
        <w:tc>
          <w:tcPr>
            <w:tcW w:type="dxa" w:w="243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RM m</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FY21</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FY22</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FY23</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FY24</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FY25</w:t>
            </w:r>
          </w:p>
        </w:tc>
        <w:tc>
          <w:tcPr>
            <w:tcW w:type="dxa" w:w="1220"/>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1H26</w:t>
            </w:r>
          </w:p>
        </w:tc>
      </w:tr>
      <w:tr>
        <w:trPr>
          <w:cantSplit/>
        </w:trPr>
        <w:tc>
          <w:tcPr>
            <w:tcW w:type="dxa" w:w="243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Revenue</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351.3</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512.6</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453.4</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442.0</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351.0</w:t>
            </w:r>
          </w:p>
        </w:tc>
        <w:tc>
          <w:tcPr>
            <w:tcW w:type="dxa" w:w="1220"/>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98.8</w:t>
            </w:r>
          </w:p>
        </w:tc>
      </w:tr>
      <w:tr>
        <w:trPr>
          <w:cantSplit/>
        </w:trPr>
        <w:tc>
          <w:tcPr>
            <w:tcW w:type="dxa" w:w="243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Revenue growth (y/y)</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16.6%</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45.9%</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(11.5%)</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(2.5%)</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(20.6%)</w:t>
            </w:r>
          </w:p>
        </w:tc>
        <w:tc>
          <w:tcPr>
            <w:tcW w:type="dxa" w:w="122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w:t>
            </w:r>
          </w:p>
        </w:tc>
      </w:tr>
      <w:tr>
        <w:trPr>
          <w:cantSplit/>
        </w:trPr>
        <w:tc>
          <w:tcPr>
            <w:tcW w:type="dxa" w:w="243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Adj. EBITDA</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272.0</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425.1</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361.5</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334.7</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233.4</w:t>
            </w:r>
          </w:p>
        </w:tc>
        <w:tc>
          <w:tcPr>
            <w:tcW w:type="dxa" w:w="1220"/>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53.8</w:t>
            </w:r>
          </w:p>
        </w:tc>
      </w:tr>
      <w:tr>
        <w:trPr>
          <w:cantSplit/>
        </w:trPr>
        <w:tc>
          <w:tcPr>
            <w:tcW w:type="dxa" w:w="243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EBITDA margin</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77.4%</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82.9%</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79.7%</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75.7%</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66.5%</w:t>
            </w:r>
          </w:p>
        </w:tc>
        <w:tc>
          <w:tcPr>
            <w:tcW w:type="dxa" w:w="122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54.5%</w:t>
            </w:r>
          </w:p>
        </w:tc>
      </w:tr>
      <w:tr>
        <w:trPr>
          <w:cantSplit/>
        </w:trPr>
        <w:tc>
          <w:tcPr>
            <w:tcW w:type="dxa" w:w="243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D&amp;A</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99.4</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109.0</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114.7</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110.7</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112.1</w:t>
            </w:r>
          </w:p>
        </w:tc>
        <w:tc>
          <w:tcPr>
            <w:tcW w:type="dxa" w:w="122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n/a</w:t>
            </w:r>
          </w:p>
        </w:tc>
      </w:tr>
      <w:tr>
        <w:trPr>
          <w:cantSplit/>
        </w:trPr>
        <w:tc>
          <w:tcPr>
            <w:tcW w:type="dxa" w:w="243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EBIT (EBITDA – D&amp;A)</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172.6</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316.1</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246.8</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224.0</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121.3</w:t>
            </w:r>
          </w:p>
        </w:tc>
        <w:tc>
          <w:tcPr>
            <w:tcW w:type="dxa" w:w="122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n/a</w:t>
            </w:r>
          </w:p>
        </w:tc>
      </w:tr>
      <w:tr>
        <w:trPr>
          <w:cantSplit/>
        </w:trPr>
        <w:tc>
          <w:tcPr>
            <w:tcW w:type="dxa" w:w="243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EBIT margin</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49.1%</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61.7%</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54.4%</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50.7%</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34.6%</w:t>
            </w:r>
          </w:p>
        </w:tc>
        <w:tc>
          <w:tcPr>
            <w:tcW w:type="dxa" w:w="122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n/a</w:t>
            </w:r>
          </w:p>
        </w:tc>
      </w:tr>
    </w:tbl>
    <w:p>
      <w:pPr>
        <w:spacing w:after="160"/>
      </w:pPr>
      <w:r>
        <w:rPr>
          <w:i/>
          <w:iCs/>
          <w:color w:val="595959"/>
          <w:sz w:val="16"/>
          <w:szCs w:val="16"/>
        </w:rPr>
        <w:t xml:space="preserve">2Q26 revenue fell to RM18.5m and EBITDA to –RM1.1m after the Chengdaoxi petroleum contract expired in April 2026. Segment total assets rose from RM3.5bn (FY21) to RM7.2bn (Jun-26) as Kasuri/FLNG capex was capitalised, so earnings have fallen while capital employed doubled.</w:t>
      </w:r>
    </w:p>
    <w:p>
      <w:pPr>
        <w:keepNext/>
        <w:spacing w:after="60" w:before="160"/>
      </w:pPr>
      <w:r>
        <w:rPr>
          <w:b/>
          <w:bCs/>
          <w:color w:val="1F3864"/>
          <w:sz w:val="18"/>
          <w:szCs w:val="18"/>
        </w:rPr>
        <w:t xml:space="preserve">Table 5D — Investments &amp; Others (holdco corporate costs, investment income, fair-value items)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6"/>
        <w:gridCol w:w="1218"/>
        <w:gridCol w:w="1218"/>
        <w:gridCol w:w="1218"/>
        <w:gridCol w:w="1218"/>
        <w:gridCol w:w="1218"/>
        <w:gridCol w:w="1220"/>
      </w:tblGrid>
      <w:tr>
        <w:trPr>
          <w:tblHeader/>
        </w:trPr>
        <w:tc>
          <w:tcPr>
            <w:tcW w:type="dxa" w:w="243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RM m</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FY21</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FY22</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FY23</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FY24</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FY25</w:t>
            </w:r>
          </w:p>
        </w:tc>
        <w:tc>
          <w:tcPr>
            <w:tcW w:type="dxa" w:w="1220"/>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1H26</w:t>
            </w:r>
          </w:p>
        </w:tc>
      </w:tr>
      <w:tr>
        <w:trPr>
          <w:cantSplit/>
        </w:trPr>
        <w:tc>
          <w:tcPr>
            <w:tcW w:type="dxa" w:w="243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Revenue</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219.8</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255.0</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173.2</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183.9</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155.9</w:t>
            </w:r>
          </w:p>
        </w:tc>
        <w:tc>
          <w:tcPr>
            <w:tcW w:type="dxa" w:w="1220"/>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69.4</w:t>
            </w:r>
          </w:p>
        </w:tc>
      </w:tr>
      <w:tr>
        <w:trPr>
          <w:cantSplit/>
        </w:trPr>
        <w:tc>
          <w:tcPr>
            <w:tcW w:type="dxa" w:w="243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Revenue growth (y/y)</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(36.4%)</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16.0%</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(32.1%)</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6.2%</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(15.2%)</w:t>
            </w:r>
          </w:p>
        </w:tc>
        <w:tc>
          <w:tcPr>
            <w:tcW w:type="dxa" w:w="122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w:t>
            </w:r>
          </w:p>
        </w:tc>
      </w:tr>
      <w:tr>
        <w:trPr>
          <w:cantSplit/>
        </w:trPr>
        <w:tc>
          <w:tcPr>
            <w:tcW w:type="dxa" w:w="243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Adj. EBITDA</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(136.9)</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(484.9)</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(646.3)</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(188.7)</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(104.7)</w:t>
            </w:r>
          </w:p>
        </w:tc>
        <w:tc>
          <w:tcPr>
            <w:tcW w:type="dxa" w:w="1220"/>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(169.9)</w:t>
            </w:r>
          </w:p>
        </w:tc>
      </w:tr>
      <w:tr>
        <w:trPr>
          <w:cantSplit/>
        </w:trPr>
        <w:tc>
          <w:tcPr>
            <w:tcW w:type="dxa" w:w="243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EBITDA margin</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(62.3%)</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(190.2%)</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(373.2%)</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(102.6%)</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(67.2%)</w:t>
            </w:r>
          </w:p>
        </w:tc>
        <w:tc>
          <w:tcPr>
            <w:tcW w:type="dxa" w:w="122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(244.8%)</w:t>
            </w:r>
          </w:p>
        </w:tc>
      </w:tr>
      <w:tr>
        <w:trPr>
          <w:cantSplit/>
        </w:trPr>
        <w:tc>
          <w:tcPr>
            <w:tcW w:type="dxa" w:w="243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D&amp;A</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82.3</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77.0</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44.9</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32.6</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31.8</w:t>
            </w:r>
          </w:p>
        </w:tc>
        <w:tc>
          <w:tcPr>
            <w:tcW w:type="dxa" w:w="122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n/a</w:t>
            </w:r>
          </w:p>
        </w:tc>
      </w:tr>
      <w:tr>
        <w:trPr>
          <w:cantSplit/>
        </w:trPr>
        <w:tc>
          <w:tcPr>
            <w:tcW w:type="dxa" w:w="243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EBIT (EBITDA – D&amp;A)</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(219.2)</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(561.9)</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(691.2)</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(221.3)</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(136.5)</w:t>
            </w:r>
          </w:p>
        </w:tc>
        <w:tc>
          <w:tcPr>
            <w:tcW w:type="dxa" w:w="122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n/a</w:t>
            </w:r>
          </w:p>
        </w:tc>
      </w:tr>
      <w:tr>
        <w:trPr>
          <w:cantSplit/>
        </w:trPr>
        <w:tc>
          <w:tcPr>
            <w:tcW w:type="dxa" w:w="243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EBIT margin</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(99.7%)</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(220.4%)</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(399.1%)</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(120.3%)</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(87.6%)</w:t>
            </w:r>
          </w:p>
        </w:tc>
        <w:tc>
          <w:tcPr>
            <w:tcW w:type="dxa" w:w="122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n/a</w:t>
            </w:r>
          </w:p>
        </w:tc>
      </w:tr>
    </w:tbl>
    <w:p>
      <w:pPr>
        <w:spacing w:after="160"/>
      </w:pPr>
      <w:r>
        <w:rPr>
          <w:i/>
          <w:iCs/>
          <w:color w:val="595959"/>
          <w:sz w:val="16"/>
          <w:szCs w:val="16"/>
        </w:rPr>
        <w:t xml:space="preserve">Persistent negative EBITDA (cumulative –RM1.56bn over FY21–FY25) reflects central costs and fair-value/investment losses (including life-science investments). We capitalise a net holdco cost of RM500m in the SOTP.</w:t>
      </w:r>
    </w:p>
    <w:p>
      <w:pPr>
        <w:keepNext/>
        <w:spacing w:after="60" w:before="160"/>
      </w:pPr>
      <w:r>
        <w:rPr>
          <w:b/>
          <w:bCs/>
          <w:color w:val="1F3864"/>
          <w:sz w:val="18"/>
          <w:szCs w:val="18"/>
        </w:rPr>
        <w:t xml:space="preserve">Table 5E — Five-year summary of the private operating businesses (FY20→FY25)</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3"/>
        <w:gridCol w:w="946"/>
        <w:gridCol w:w="1324"/>
        <w:gridCol w:w="946"/>
        <w:gridCol w:w="946"/>
        <w:gridCol w:w="1135"/>
        <w:gridCol w:w="851"/>
        <w:gridCol w:w="2085"/>
      </w:tblGrid>
      <w:tr>
        <w:trPr>
          <w:tblHeader/>
        </w:trPr>
        <w:tc>
          <w:tcPr>
            <w:tcW w:type="dxa" w:w="1513"/>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Business</w:t>
            </w:r>
          </w:p>
        </w:tc>
        <w:tc>
          <w:tcPr>
            <w:tcW w:type="dxa" w:w="94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Revenue FY25</w:t>
            </w:r>
          </w:p>
        </w:tc>
        <w:tc>
          <w:tcPr>
            <w:tcW w:type="dxa" w:w="1324"/>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Revenue CAGR</w:t>
            </w:r>
          </w:p>
        </w:tc>
        <w:tc>
          <w:tcPr>
            <w:tcW w:type="dxa" w:w="94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EBITDA FY25</w:t>
            </w:r>
          </w:p>
        </w:tc>
        <w:tc>
          <w:tcPr>
            <w:tcW w:type="dxa" w:w="94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EBITDA margin FY25</w:t>
            </w:r>
          </w:p>
        </w:tc>
        <w:tc>
          <w:tcPr>
            <w:tcW w:type="dxa" w:w="1135"/>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Peak EBITDA (year)</w:t>
            </w:r>
          </w:p>
        </w:tc>
        <w:tc>
          <w:tcPr>
            <w:tcW w:type="dxa" w:w="851"/>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EBIT FY25</w:t>
            </w:r>
          </w:p>
        </w:tc>
        <w:tc>
          <w:tcPr>
            <w:tcW w:type="dxa" w:w="2085"/>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Trend</w:t>
            </w:r>
          </w:p>
        </w:tc>
      </w:tr>
      <w:tr>
        <w:trPr>
          <w:cantSplit/>
        </w:trPr>
        <w:tc>
          <w:tcPr>
            <w:tcW w:type="dxa" w:w="151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RWLV (implied)</w:t>
            </w:r>
          </w:p>
        </w:tc>
        <w:tc>
          <w:tcPr>
            <w:tcW w:type="dxa" w:w="94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3,033</w:t>
            </w:r>
          </w:p>
        </w:tc>
        <w:tc>
          <w:tcPr>
            <w:tcW w:type="dxa" w:w="1324"/>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(4.6%) (FY22–25)</w:t>
            </w:r>
          </w:p>
        </w:tc>
        <w:tc>
          <w:tcPr>
            <w:tcW w:type="dxa" w:w="94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241</w:t>
            </w:r>
          </w:p>
        </w:tc>
        <w:tc>
          <w:tcPr>
            <w:tcW w:type="dxa" w:w="94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8.0%</w:t>
            </w:r>
          </w:p>
        </w:tc>
        <w:tc>
          <w:tcPr>
            <w:tcW w:type="dxa" w:w="113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881 (FY23)</w:t>
            </w:r>
          </w:p>
        </w:tc>
        <w:tc>
          <w:tcPr>
            <w:tcW w:type="dxa" w:w="85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(689)e</w:t>
            </w:r>
          </w:p>
        </w:tc>
        <w:tc>
          <w:tcPr>
            <w:tcW w:type="dxa" w:w="20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Deteriorating to FY25; recovering in 1H26</w:t>
            </w:r>
          </w:p>
        </w:tc>
      </w:tr>
      <w:tr>
        <w:trPr>
          <w:cantSplit/>
        </w:trPr>
        <w:tc>
          <w:tcPr>
            <w:tcW w:type="dxa" w:w="151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Power</w:t>
            </w:r>
          </w:p>
        </w:tc>
        <w:tc>
          <w:tcPr>
            <w:tcW w:type="dxa" w:w="94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1,034</w:t>
            </w:r>
          </w:p>
        </w:tc>
        <w:tc>
          <w:tcPr>
            <w:tcW w:type="dxa" w:w="1324"/>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1.4% (FY20–25)</w:t>
            </w:r>
          </w:p>
        </w:tc>
        <w:tc>
          <w:tcPr>
            <w:tcW w:type="dxa" w:w="94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324</w:t>
            </w:r>
          </w:p>
        </w:tc>
        <w:tc>
          <w:tcPr>
            <w:tcW w:type="dxa" w:w="94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31.3%</w:t>
            </w:r>
          </w:p>
        </w:tc>
        <w:tc>
          <w:tcPr>
            <w:tcW w:type="dxa" w:w="113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442 (FY23)</w:t>
            </w:r>
          </w:p>
        </w:tc>
        <w:tc>
          <w:tcPr>
            <w:tcW w:type="dxa" w:w="85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287</w:t>
            </w:r>
          </w:p>
        </w:tc>
        <w:tc>
          <w:tcPr>
            <w:tcW w:type="dxa" w:w="20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Stable, contracted; FY25 dip on Banten outage</w:t>
            </w:r>
          </w:p>
        </w:tc>
      </w:tr>
      <w:tr>
        <w:trPr>
          <w:cantSplit/>
        </w:trPr>
        <w:tc>
          <w:tcPr>
            <w:tcW w:type="dxa" w:w="151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Oil &amp; Gas</w:t>
            </w:r>
          </w:p>
        </w:tc>
        <w:tc>
          <w:tcPr>
            <w:tcW w:type="dxa" w:w="94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351</w:t>
            </w:r>
          </w:p>
        </w:tc>
        <w:tc>
          <w:tcPr>
            <w:tcW w:type="dxa" w:w="1324"/>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3.1% (FY20–25)</w:t>
            </w:r>
          </w:p>
        </w:tc>
        <w:tc>
          <w:tcPr>
            <w:tcW w:type="dxa" w:w="94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233</w:t>
            </w:r>
          </w:p>
        </w:tc>
        <w:tc>
          <w:tcPr>
            <w:tcW w:type="dxa" w:w="94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66.5%</w:t>
            </w:r>
          </w:p>
        </w:tc>
        <w:tc>
          <w:tcPr>
            <w:tcW w:type="dxa" w:w="113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425 (FY22)</w:t>
            </w:r>
          </w:p>
        </w:tc>
        <w:tc>
          <w:tcPr>
            <w:tcW w:type="dxa" w:w="85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121</w:t>
            </w:r>
          </w:p>
        </w:tc>
        <w:tc>
          <w:tcPr>
            <w:tcW w:type="dxa" w:w="20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Production gap until Kasuri first LNG</w:t>
            </w:r>
          </w:p>
        </w:tc>
      </w:tr>
      <w:tr>
        <w:trPr>
          <w:cantSplit/>
        </w:trPr>
        <w:tc>
          <w:tcPr>
            <w:tcW w:type="dxa" w:w="151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Investments &amp; Others</w:t>
            </w:r>
          </w:p>
        </w:tc>
        <w:tc>
          <w:tcPr>
            <w:tcW w:type="dxa" w:w="94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156</w:t>
            </w:r>
          </w:p>
        </w:tc>
        <w:tc>
          <w:tcPr>
            <w:tcW w:type="dxa" w:w="1324"/>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(14.7%) (FY20–25)</w:t>
            </w:r>
          </w:p>
        </w:tc>
        <w:tc>
          <w:tcPr>
            <w:tcW w:type="dxa" w:w="94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(105)</w:t>
            </w:r>
          </w:p>
        </w:tc>
        <w:tc>
          <w:tcPr>
            <w:tcW w:type="dxa" w:w="94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n.m.</w:t>
            </w:r>
          </w:p>
        </w:tc>
        <w:tc>
          <w:tcPr>
            <w:tcW w:type="dxa" w:w="113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n.m.</w:t>
            </w:r>
          </w:p>
        </w:tc>
        <w:tc>
          <w:tcPr>
            <w:tcW w:type="dxa" w:w="85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(137)</w:t>
            </w:r>
          </w:p>
        </w:tc>
        <w:tc>
          <w:tcPr>
            <w:tcW w:type="dxa" w:w="20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Cost centre</w:t>
            </w:r>
          </w:p>
        </w:tc>
      </w:tr>
    </w:tbl>
    <w:p>
      <w:pPr>
        <w:keepNext/>
        <w:spacing w:after="60" w:before="160"/>
      </w:pPr>
      <w:r>
        <w:rPr>
          <w:b/>
          <w:bCs/>
          <w:color w:val="1F3864"/>
          <w:sz w:val="18"/>
          <w:szCs w:val="18"/>
        </w:rPr>
        <w:t xml:space="preserve">Figure 2 — Adjusted EBITDA of the private operating businesses, FY21–FY25 (RM m)</w:t>
      </w:r>
    </w:p>
    <w:p>
      <w:pPr>
        <w:keepLines/>
        <w:spacing w:after="60" w:before="80"/>
        <w:jc w:val="center"/>
      </w:pPr>
      <w:r>
        <w:drawing>
          <wp:inline distT="0" distB="0" distL="0" distR="0">
            <wp:extent cx="6096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609850"/>
                    </a:xfrm>
                    <a:prstGeom prst="rect">
                      <a:avLst/>
                    </a:prstGeom>
                  </pic:spPr>
                </pic:pic>
              </a:graphicData>
            </a:graphic>
          </wp:inline>
        </w:drawing>
      </w:r>
    </w:p>
    <w:p>
      <w:pPr>
        <w:pStyle w:val="Heading2"/>
      </w:pPr>
      <w:r>
        <w:t xml:space="preserve">5.3 Valuation of each private holding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4"/>
        <w:gridCol w:w="2144"/>
        <w:gridCol w:w="730"/>
        <w:gridCol w:w="730"/>
        <w:gridCol w:w="730"/>
        <w:gridCol w:w="730"/>
        <w:gridCol w:w="2538"/>
      </w:tblGrid>
      <w:tr>
        <w:trPr>
          <w:tblHeader/>
        </w:trPr>
        <w:tc>
          <w:tcPr>
            <w:tcW w:type="dxa" w:w="2144"/>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Asset</w:t>
            </w:r>
          </w:p>
        </w:tc>
        <w:tc>
          <w:tcPr>
            <w:tcW w:type="dxa" w:w="2144"/>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Basis (low / base / high)</w:t>
            </w:r>
          </w:p>
        </w:tc>
        <w:tc>
          <w:tcPr>
            <w:tcW w:type="dxa" w:w="730"/>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Low</w:t>
            </w:r>
          </w:p>
        </w:tc>
        <w:tc>
          <w:tcPr>
            <w:tcW w:type="dxa" w:w="730"/>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Base</w:t>
            </w:r>
          </w:p>
        </w:tc>
        <w:tc>
          <w:tcPr>
            <w:tcW w:type="dxa" w:w="730"/>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High</w:t>
            </w:r>
          </w:p>
        </w:tc>
        <w:tc>
          <w:tcPr>
            <w:tcW w:type="dxa" w:w="730"/>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Base RM/sh</w:t>
            </w:r>
          </w:p>
        </w:tc>
        <w:tc>
          <w:tcPr>
            <w:tcW w:type="dxa" w:w="253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Key judgement</w:t>
            </w:r>
          </w:p>
        </w:tc>
      </w:tr>
      <w:tr>
        <w:trPr>
          <w:cantSplit/>
        </w:trPr>
        <w:tc>
          <w:tcPr>
            <w:tcW w:type="dxa" w:w="2144"/>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RWLV (100% EV)</w:t>
            </w:r>
          </w:p>
        </w:tc>
        <w:tc>
          <w:tcPr>
            <w:tcW w:type="dxa" w:w="2144"/>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8x US$130m / 10x US$155m / 12x US$200m 2026E EBITDA</w:t>
            </w:r>
          </w:p>
        </w:tc>
        <w:tc>
          <w:tcPr>
            <w:tcW w:type="dxa" w:w="73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4,246</w:t>
            </w:r>
          </w:p>
        </w:tc>
        <w:tc>
          <w:tcPr>
            <w:tcW w:type="dxa" w:w="73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6,328</w:t>
            </w:r>
          </w:p>
        </w:tc>
        <w:tc>
          <w:tcPr>
            <w:tcW w:type="dxa" w:w="73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9,799</w:t>
            </w:r>
          </w:p>
        </w:tc>
        <w:tc>
          <w:tcPr>
            <w:tcW w:type="dxa" w:w="73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1.64</w:t>
            </w:r>
          </w:p>
        </w:tc>
        <w:tc>
          <w:tcPr>
            <w:tcW w:type="dxa" w:w="253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S&amp;P 2026E ~US$150m, Fitch ~US$160m; 1H26 actual ~US$74m. EV ≈ 0.35x cost</w:t>
            </w:r>
          </w:p>
        </w:tc>
      </w:tr>
      <w:tr>
        <w:trPr>
          <w:cantSplit/>
        </w:trPr>
        <w:tc>
          <w:tcPr>
            <w:tcW w:type="dxa" w:w="2144"/>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Power — consolidated (100% EV)</w:t>
            </w:r>
          </w:p>
        </w:tc>
        <w:tc>
          <w:tcPr>
            <w:tcW w:type="dxa" w:w="2144"/>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5.5x RM320m / 7.0x RM360m / 8.0x RM373m</w:t>
            </w:r>
          </w:p>
        </w:tc>
        <w:tc>
          <w:tcPr>
            <w:tcW w:type="dxa" w:w="73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1,760</w:t>
            </w:r>
          </w:p>
        </w:tc>
        <w:tc>
          <w:tcPr>
            <w:tcW w:type="dxa" w:w="73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2,520</w:t>
            </w:r>
          </w:p>
        </w:tc>
        <w:tc>
          <w:tcPr>
            <w:tcW w:type="dxa" w:w="73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2,984</w:t>
            </w:r>
          </w:p>
        </w:tc>
        <w:tc>
          <w:tcPr>
            <w:tcW w:type="dxa" w:w="73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0.65</w:t>
            </w:r>
          </w:p>
        </w:tc>
        <w:tc>
          <w:tcPr>
            <w:tcW w:type="dxa" w:w="253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~16 years of PLN PPA remaining; coal ESG discount</w:t>
            </w:r>
          </w:p>
        </w:tc>
      </w:tr>
      <w:tr>
        <w:trPr>
          <w:cantSplit/>
        </w:trPr>
        <w:tc>
          <w:tcPr>
            <w:tcW w:type="dxa" w:w="2144"/>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Less: Banten minorities (45%)</w:t>
            </w:r>
          </w:p>
        </w:tc>
        <w:tc>
          <w:tcPr>
            <w:tcW w:type="dxa" w:w="2144"/>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Est. 45% of Banten equity after LLPL notes</w:t>
            </w:r>
          </w:p>
        </w:tc>
        <w:tc>
          <w:tcPr>
            <w:tcW w:type="dxa" w:w="73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(100)</w:t>
            </w:r>
          </w:p>
        </w:tc>
        <w:tc>
          <w:tcPr>
            <w:tcW w:type="dxa" w:w="73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(250)</w:t>
            </w:r>
          </w:p>
        </w:tc>
        <w:tc>
          <w:tcPr>
            <w:tcW w:type="dxa" w:w="73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(400)</w:t>
            </w:r>
          </w:p>
        </w:tc>
        <w:tc>
          <w:tcPr>
            <w:tcW w:type="dxa" w:w="73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(0.06)</w:t>
            </w:r>
          </w:p>
        </w:tc>
        <w:tc>
          <w:tcPr>
            <w:tcW w:type="dxa" w:w="253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LLPL notes (~US$0.56bn derived) absorb most of Banten EV</w:t>
            </w:r>
          </w:p>
        </w:tc>
      </w:tr>
      <w:tr>
        <w:trPr>
          <w:cantSplit/>
        </w:trPr>
        <w:tc>
          <w:tcPr>
            <w:tcW w:type="dxa" w:w="2144"/>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Power JVs &amp; associates (MZW II, Zhoushan, Dongwu Cha, TauRx, other)</w:t>
            </w:r>
          </w:p>
        </w:tc>
        <w:tc>
          <w:tcPr>
            <w:tcW w:type="dxa" w:w="2144"/>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50% / 75% of est. book RM2.24bn / book + TauRx upside</w:t>
            </w:r>
          </w:p>
        </w:tc>
        <w:tc>
          <w:tcPr>
            <w:tcW w:type="dxa" w:w="73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1,100</w:t>
            </w:r>
          </w:p>
        </w:tc>
        <w:tc>
          <w:tcPr>
            <w:tcW w:type="dxa" w:w="73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1,650</w:t>
            </w:r>
          </w:p>
        </w:tc>
        <w:tc>
          <w:tcPr>
            <w:tcW w:type="dxa" w:w="73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3,000</w:t>
            </w:r>
          </w:p>
        </w:tc>
        <w:tc>
          <w:tcPr>
            <w:tcW w:type="dxa" w:w="73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0.43</w:t>
            </w:r>
          </w:p>
        </w:tc>
        <w:tc>
          <w:tcPr>
            <w:tcW w:type="dxa" w:w="253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Book derived from the group JV/associate line less GENM/GENP/GENS shares</w:t>
            </w:r>
          </w:p>
        </w:tc>
      </w:tr>
      <w:tr>
        <w:trPr>
          <w:cantSplit/>
        </w:trPr>
        <w:tc>
          <w:tcPr>
            <w:tcW w:type="dxa" w:w="2144"/>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Oil &amp; gas (Kasuri PSC + FLNG + Block 15/33)</w:t>
            </w:r>
          </w:p>
        </w:tc>
        <w:tc>
          <w:tcPr>
            <w:tcW w:type="dxa" w:w="2144"/>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RM1.5bn / RM3.0bn / RM4.5bn</w:t>
            </w:r>
          </w:p>
        </w:tc>
        <w:tc>
          <w:tcPr>
            <w:tcW w:type="dxa" w:w="73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1,500</w:t>
            </w:r>
          </w:p>
        </w:tc>
        <w:tc>
          <w:tcPr>
            <w:tcW w:type="dxa" w:w="73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3,000</w:t>
            </w:r>
          </w:p>
        </w:tc>
        <w:tc>
          <w:tcPr>
            <w:tcW w:type="dxa" w:w="73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4,500</w:t>
            </w:r>
          </w:p>
        </w:tc>
        <w:tc>
          <w:tcPr>
            <w:tcW w:type="dxa" w:w="73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0.78</w:t>
            </w:r>
          </w:p>
        </w:tc>
        <w:tc>
          <w:tcPr>
            <w:tcW w:type="dxa" w:w="253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2026 sell-downs imply ~US$964m for 100% (RM3.5–3.9bn for GENT's ~90%); base haircut for GSA/execution risk</w:t>
            </w:r>
          </w:p>
        </w:tc>
      </w:tr>
      <w:tr>
        <w:trPr>
          <w:cantSplit/>
        </w:trPr>
        <w:tc>
          <w:tcPr>
            <w:tcW w:type="dxa" w:w="2144"/>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Genting Ventures &amp; other financial assets</w:t>
            </w:r>
          </w:p>
        </w:tc>
        <w:tc>
          <w:tcPr>
            <w:tcW w:type="dxa" w:w="2144"/>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Approx. NAV</w:t>
            </w:r>
          </w:p>
        </w:tc>
        <w:tc>
          <w:tcPr>
            <w:tcW w:type="dxa" w:w="73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200</w:t>
            </w:r>
          </w:p>
        </w:tc>
        <w:tc>
          <w:tcPr>
            <w:tcW w:type="dxa" w:w="73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330</w:t>
            </w:r>
          </w:p>
        </w:tc>
        <w:tc>
          <w:tcPr>
            <w:tcW w:type="dxa" w:w="73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400</w:t>
            </w:r>
          </w:p>
        </w:tc>
        <w:tc>
          <w:tcPr>
            <w:tcW w:type="dxa" w:w="73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0.09</w:t>
            </w:r>
          </w:p>
        </w:tc>
        <w:tc>
          <w:tcPr>
            <w:tcW w:type="dxa" w:w="253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US$80m AUM corporate VC; Celularity</w:t>
            </w:r>
          </w:p>
        </w:tc>
      </w:tr>
      <w:tr>
        <w:trPr>
          <w:cantSplit/>
        </w:trPr>
        <w:tc>
          <w:tcPr>
            <w:tcW w:type="dxa" w:w="2144"/>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Capitalised holdco costs</w:t>
            </w:r>
          </w:p>
        </w:tc>
        <w:tc>
          <w:tcPr>
            <w:tcW w:type="dxa" w:w="2144"/>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~RM100m p.a. x 5</w:t>
            </w:r>
          </w:p>
        </w:tc>
        <w:tc>
          <w:tcPr>
            <w:tcW w:type="dxa" w:w="73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(500)</w:t>
            </w:r>
          </w:p>
        </w:tc>
        <w:tc>
          <w:tcPr>
            <w:tcW w:type="dxa" w:w="73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(500)</w:t>
            </w:r>
          </w:p>
        </w:tc>
        <w:tc>
          <w:tcPr>
            <w:tcW w:type="dxa" w:w="73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(500)</w:t>
            </w:r>
          </w:p>
        </w:tc>
        <w:tc>
          <w:tcPr>
            <w:tcW w:type="dxa" w:w="73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(0.13)</w:t>
            </w:r>
          </w:p>
        </w:tc>
        <w:tc>
          <w:tcPr>
            <w:tcW w:type="dxa" w:w="253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Investments &amp; Others segment persistently loss-making</w:t>
            </w:r>
          </w:p>
        </w:tc>
      </w:tr>
      <w:tr>
        <w:trPr>
          <w:cantSplit/>
        </w:trPr>
        <w:tc>
          <w:tcPr>
            <w:tcW w:type="dxa" w:w="2144"/>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4"/>
                <w:szCs w:val="14"/>
              </w:rPr>
              <w:t xml:space="preserve">Total private assets (EV)</w:t>
            </w:r>
          </w:p>
        </w:tc>
        <w:tc>
          <w:tcPr>
            <w:tcW w:type="dxa" w:w="2144"/>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p>
        </w:tc>
        <w:tc>
          <w:tcPr>
            <w:tcW w:type="dxa" w:w="730"/>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4"/>
                <w:szCs w:val="14"/>
              </w:rPr>
              <w:t xml:space="preserve">8,206</w:t>
            </w:r>
          </w:p>
        </w:tc>
        <w:tc>
          <w:tcPr>
            <w:tcW w:type="dxa" w:w="730"/>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4"/>
                <w:szCs w:val="14"/>
              </w:rPr>
              <w:t xml:space="preserve">13,078</w:t>
            </w:r>
          </w:p>
        </w:tc>
        <w:tc>
          <w:tcPr>
            <w:tcW w:type="dxa" w:w="730"/>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4"/>
                <w:szCs w:val="14"/>
              </w:rPr>
              <w:t xml:space="preserve">19,783</w:t>
            </w:r>
          </w:p>
        </w:tc>
        <w:tc>
          <w:tcPr>
            <w:tcW w:type="dxa" w:w="730"/>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4"/>
                <w:szCs w:val="14"/>
              </w:rPr>
              <w:t xml:space="preserve">3.40</w:t>
            </w:r>
          </w:p>
        </w:tc>
        <w:tc>
          <w:tcPr>
            <w:tcW w:type="dxa" w:w="253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4"/>
                <w:szCs w:val="14"/>
              </w:rPr>
              <w:t xml:space="preserve">Market-implied: RM7,294m</w:t>
            </w:r>
          </w:p>
        </w:tc>
      </w:tr>
    </w:tbl>
    <w:p>
      <w:pPr>
        <w:spacing w:after="160"/>
      </w:pPr>
      <w:r>
        <w:rPr>
          <w:i/>
          <w:iCs/>
          <w:color w:val="595959"/>
          <w:sz w:val="16"/>
          <w:szCs w:val="16"/>
        </w:rPr>
        <w:t xml:space="preserve">All values RM m and our estimates. Debt of the consolidated private subsidiaries (RWLV, LLPL/Banten, Kasuri if any) sits in the ex-listed net debt in Section 6, so assets are valued at enterprise value. US$ at RM4.0828.</w:t>
      </w:r>
    </w:p>
    <w:p>
      <w:pPr>
        <w:pStyle w:val="Heading3"/>
      </w:pPr>
      <w:r>
        <w:t xml:space="preserve">Asset-by-asset commentary</w:t>
      </w:r>
    </w:p>
    <w:p>
      <w:pPr>
        <w:pStyle w:val="ListParagraph"/>
        <w:numPr>
          <w:ilvl w:val="0"/>
          <w:numId w:val="2"/>
        </w:numPr>
        <w:spacing w:after="60"/>
      </w:pPr>
      <w:r>
        <w:rPr>
          <w:b/>
          <w:bCs/>
        </w:rPr>
        <w:t xml:space="preserve">RWLV — the swing factor.</w:t>
      </w:r>
      <w:r>
        <w:t xml:space="preserve"> At our base US$1.55bn EV, RWLV is valued at ~0.35x its US$4.3–4.5bn cost and below its ~US$2.4bn of third-party debt. Each US$100m of EV is RM0.11/GENT share. Covenants (net leverage ≤5.7x stepping down to 3.0x; interest cover ≥1.0x stepping up to 2.25x) and the US$656m term loan due October 2027 make 2027 a refinancing event; GENT has stated it will keep funding RWLV to stay compliant. Strategic options: a JV partner, a sale-leaseback of the real estate to a gaming REIT (limited by low EBITDAR coverage today) or, more radically, ring-fencing (Section 11).</w:t>
      </w:r>
    </w:p>
    <w:p>
      <w:pPr>
        <w:pStyle w:val="ListParagraph"/>
        <w:numPr>
          <w:ilvl w:val="0"/>
          <w:numId w:val="2"/>
        </w:numPr>
        <w:spacing w:after="60"/>
      </w:pPr>
      <w:r>
        <w:rPr>
          <w:b/>
          <w:bCs/>
        </w:rPr>
        <w:t xml:space="preserve">Power — stable, contracted, unloved.</w:t>
      </w:r>
      <w:r>
        <w:t xml:space="preserve"> Banten (660MW supercritical, 25-year PLN PPA from 2017) carries most of the consolidated EBITDA, but 45% belongs to minorities and the amortising LLPL notes absorb much of the equity value. The better value is in the Chinese JVs with state partner SDIC (Meizhou Wan Phase II 2GW ultra-supercritical; Zhoushan 1.49GW hydrogen-ready gas), carried at ~RM2bn of book but producing no visible cash to GENT. Natural buyers include SDIC itself and Asian infrastructure funds.</w:t>
      </w:r>
    </w:p>
    <w:p>
      <w:pPr>
        <w:pStyle w:val="ListParagraph"/>
        <w:numPr>
          <w:ilvl w:val="0"/>
          <w:numId w:val="2"/>
        </w:numPr>
        <w:spacing w:after="60"/>
      </w:pPr>
      <w:r>
        <w:rPr>
          <w:b/>
          <w:bCs/>
        </w:rPr>
        <w:t xml:space="preserve">Kasuri/FLNG — the hidden, most liquid private asset.</w:t>
      </w:r>
      <w:r>
        <w:t xml:space="preserve"> The two 2026 sell-downs (5% of the FLNG company for US$38.6m; 5% of the PSC for US$9.6m) imply ~US$964m for 100%, about RM0.90–1.05 per GENT share for GENT's ~90%. Our base RM3.0bn haircut reflects the outstanding gas sales agreement, the slip from 3Q26 to 2027, and uncertainty over whether the transaction prices reflect cost reimbursement. Segment book value is RM7.2bn.</w:t>
      </w:r>
    </w:p>
    <w:p>
      <w:pPr>
        <w:pStyle w:val="ListParagraph"/>
        <w:numPr>
          <w:ilvl w:val="0"/>
          <w:numId w:val="2"/>
        </w:numPr>
        <w:spacing w:after="60"/>
      </w:pPr>
      <w:r>
        <w:rPr>
          <w:b/>
          <w:bCs/>
        </w:rPr>
        <w:t xml:space="preserve">TauRx — binary.</w:t>
      </w:r>
      <w:r>
        <w:t xml:space="preserve"> Valuations range from US$476m (Dealroom) to Maybank's US$15bn blue-sky case; an MHRA decision is "expected in 2026". We include it only within associate book (base) and give ~RM0.76bn of approval upside in the high case.</w:t>
      </w:r>
    </w:p>
    <w:p>
      <w:pPr>
        <w:pStyle w:val="Heading1"/>
      </w:pPr>
      <w:r>
        <w:t xml:space="preserve">6. Holding-Company Net Debt (De-consolidated)</w:t>
      </w:r>
    </w:p>
    <w:p>
      <w:pPr>
        <w:spacing w:after="120"/>
        <w:jc w:val="both"/>
      </w:pPr>
      <w:r>
        <w:t xml:space="preserve">Method: start from consolidated borrowings and liquid assets, then remove 100% of the debt and cash of the three consolidated listed subsidiaries (GENS, GENM, GENP). What remains is the net debt of GENT the company plus its unlisted subsidiaries (RWLV, GOHL, Genting Energy, Banten/LLPL, Kasuri, the MTN issuers). Leases and restricted cash are excluded; money-market and other liquid financial assets are treated as cash.</w:t>
      </w:r>
    </w:p>
    <w:p>
      <w:pPr>
        <w:keepNext/>
        <w:spacing w:after="60" w:before="160"/>
      </w:pPr>
      <w:r>
        <w:rPr>
          <w:b/>
          <w:bCs/>
          <w:color w:val="1F3864"/>
          <w:sz w:val="18"/>
          <w:szCs w:val="18"/>
        </w:rPr>
        <w:t xml:space="preserve">Table 6A — From consolidated to ex-listed net debt (RM m)</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22"/>
        <w:gridCol w:w="1218"/>
        <w:gridCol w:w="1218"/>
        <w:gridCol w:w="3988"/>
      </w:tblGrid>
      <w:tr>
        <w:trPr>
          <w:tblHeader/>
        </w:trPr>
        <w:tc>
          <w:tcPr>
            <w:tcW w:type="dxa" w:w="3322"/>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RM m</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31-Dec-25</w:t>
            </w:r>
          </w:p>
        </w:tc>
        <w:tc>
          <w:tcPr>
            <w:tcW w:type="dxa" w:w="12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30-Jun-26</w:t>
            </w:r>
          </w:p>
        </w:tc>
        <w:tc>
          <w:tcPr>
            <w:tcW w:type="dxa" w:w="398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Comment</w:t>
            </w:r>
          </w:p>
        </w:tc>
      </w:tr>
      <w:tr>
        <w:trPr>
          <w:cantSplit/>
        </w:trPr>
        <w:tc>
          <w:tcPr>
            <w:tcW w:type="dxa" w:w="332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Group borrowings</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40,806.7</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45,251.5</w:t>
            </w:r>
          </w:p>
        </w:tc>
        <w:tc>
          <w:tcPr>
            <w:tcW w:type="dxa" w:w="39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Company quarterly report; includes US$1.25bn perpetuals from Apr-26</w:t>
            </w:r>
          </w:p>
        </w:tc>
      </w:tr>
      <w:tr>
        <w:trPr>
          <w:cantSplit/>
        </w:trPr>
        <w:tc>
          <w:tcPr>
            <w:tcW w:type="dxa" w:w="332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less: Genting Malaysia borrowings</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(12,716.0)</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(15,703.1)</w:t>
            </w:r>
          </w:p>
        </w:tc>
        <w:tc>
          <w:tcPr>
            <w:tcW w:type="dxa" w:w="39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Includes RWNYC US$1,040m secured facility</w:t>
            </w:r>
          </w:p>
        </w:tc>
      </w:tr>
      <w:tr>
        <w:trPr>
          <w:cantSplit/>
        </w:trPr>
        <w:tc>
          <w:tcPr>
            <w:tcW w:type="dxa" w:w="332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less: Genting Plantations borrowings</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(2,706.8)</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(2,691.0)</w:t>
            </w:r>
          </w:p>
        </w:tc>
        <w:tc>
          <w:tcPr>
            <w:tcW w:type="dxa" w:w="39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p>
        </w:tc>
      </w:tr>
      <w:tr>
        <w:trPr>
          <w:cantSplit/>
        </w:trPr>
        <w:tc>
          <w:tcPr>
            <w:tcW w:type="dxa" w:w="332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less: Genting Singapore borrowings</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w:t>
            </w:r>
          </w:p>
        </w:tc>
        <w:tc>
          <w:tcPr>
            <w:tcW w:type="dxa" w:w="39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Nil (leases only)</w:t>
            </w:r>
          </w:p>
        </w:tc>
      </w:tr>
      <w:tr>
        <w:trPr>
          <w:cantSplit/>
        </w:trPr>
        <w:tc>
          <w:tcPr>
            <w:tcW w:type="dxa" w:w="3322"/>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 Ex-listed gross borrowings</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25,383.9</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26,857.4</w:t>
            </w:r>
          </w:p>
        </w:tc>
        <w:tc>
          <w:tcPr>
            <w:tcW w:type="dxa" w:w="398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Holdco + unlisted subsidiaries</w:t>
            </w:r>
          </w:p>
        </w:tc>
      </w:tr>
      <w:tr>
        <w:trPr>
          <w:cantSplit/>
        </w:trPr>
        <w:tc>
          <w:tcPr>
            <w:tcW w:type="dxa" w:w="332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Group cash, deposits &amp; liquid financial assets</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19,222.9</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18,941.5</w:t>
            </w:r>
          </w:p>
        </w:tc>
        <w:tc>
          <w:tcPr>
            <w:tcW w:type="dxa" w:w="39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Cash + FVTPL funds + FVOCI current</w:t>
            </w:r>
          </w:p>
        </w:tc>
      </w:tr>
      <w:tr>
        <w:trPr>
          <w:cantSplit/>
        </w:trPr>
        <w:tc>
          <w:tcPr>
            <w:tcW w:type="dxa" w:w="332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less: Genting Singapore cash</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(10,104.9)</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(9,311.2)</w:t>
            </w:r>
          </w:p>
        </w:tc>
        <w:tc>
          <w:tcPr>
            <w:tcW w:type="dxa" w:w="39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S$3,200.3m / S$2,948.9m</w:t>
            </w:r>
          </w:p>
        </w:tc>
      </w:tr>
      <w:tr>
        <w:trPr>
          <w:cantSplit/>
        </w:trPr>
        <w:tc>
          <w:tcPr>
            <w:tcW w:type="dxa" w:w="332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less: Genting Malaysia cash &amp; funds</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(3,878.0)</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(3,822.3)</w:t>
            </w:r>
          </w:p>
        </w:tc>
        <w:tc>
          <w:tcPr>
            <w:tcW w:type="dxa" w:w="39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p>
        </w:tc>
      </w:tr>
      <w:tr>
        <w:trPr>
          <w:cantSplit/>
        </w:trPr>
        <w:tc>
          <w:tcPr>
            <w:tcW w:type="dxa" w:w="332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less: Genting Plantations cash</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(1,164.4)</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(910.5)</w:t>
            </w:r>
          </w:p>
        </w:tc>
        <w:tc>
          <w:tcPr>
            <w:tcW w:type="dxa" w:w="39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p>
        </w:tc>
      </w:tr>
      <w:tr>
        <w:trPr>
          <w:cantSplit/>
        </w:trPr>
        <w:tc>
          <w:tcPr>
            <w:tcW w:type="dxa" w:w="3322"/>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 Ex-listed cash</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4,075.6</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4,897.5</w:t>
            </w:r>
          </w:p>
        </w:tc>
        <w:tc>
          <w:tcPr>
            <w:tcW w:type="dxa" w:w="398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Company-level cash RM1,261.7m at Dec-25</w:t>
            </w:r>
          </w:p>
        </w:tc>
      </w:tr>
      <w:tr>
        <w:trPr>
          <w:cantSplit/>
        </w:trPr>
        <w:tc>
          <w:tcPr>
            <w:tcW w:type="dxa" w:w="3322"/>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Ex-listed NET DEBT</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21,308.3</w:t>
            </w:r>
          </w:p>
        </w:tc>
        <w:tc>
          <w:tcPr>
            <w:tcW w:type="dxa" w:w="121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21,959.9</w:t>
            </w:r>
          </w:p>
        </w:tc>
        <w:tc>
          <w:tcPr>
            <w:tcW w:type="dxa" w:w="398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US$5.38bn at Jun-26</w:t>
            </w:r>
          </w:p>
        </w:tc>
      </w:tr>
      <w:tr>
        <w:trPr>
          <w:cantSplit/>
        </w:trPr>
        <w:tc>
          <w:tcPr>
            <w:tcW w:type="dxa" w:w="332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Per GENT share (RM)</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5.53</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5.70</w:t>
            </w:r>
          </w:p>
        </w:tc>
        <w:tc>
          <w:tcPr>
            <w:tcW w:type="dxa" w:w="39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vs share price RM1.45</w:t>
            </w:r>
          </w:p>
        </w:tc>
      </w:tr>
      <w:tr>
        <w:trPr>
          <w:cantSplit/>
        </w:trPr>
        <w:tc>
          <w:tcPr>
            <w:tcW w:type="dxa" w:w="332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Memo: excluding perpetuals (US$1.25bn)</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21,308.3</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16,860.5</w:t>
            </w:r>
          </w:p>
        </w:tc>
        <w:tc>
          <w:tcPr>
            <w:tcW w:type="dxa" w:w="39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If perps treated as equity</w:t>
            </w:r>
          </w:p>
        </w:tc>
      </w:tr>
      <w:tr>
        <w:trPr>
          <w:cantSplit/>
        </w:trPr>
        <w:tc>
          <w:tcPr>
            <w:tcW w:type="dxa" w:w="332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Memo: perps at 50% equity credit (Fitch)</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19,410.2</w:t>
            </w:r>
          </w:p>
        </w:tc>
        <w:tc>
          <w:tcPr>
            <w:tcW w:type="dxa" w:w="39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p>
        </w:tc>
      </w:tr>
      <w:tr>
        <w:trPr>
          <w:cantSplit/>
        </w:trPr>
        <w:tc>
          <w:tcPr>
            <w:tcW w:type="dxa" w:w="332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Memo: pro forma rights (net RM1,229.5m)</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w:t>
            </w:r>
          </w:p>
        </w:tc>
        <w:tc>
          <w:tcPr>
            <w:tcW w:type="dxa" w:w="12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20,730.4</w:t>
            </w:r>
          </w:p>
        </w:tc>
        <w:tc>
          <w:tcPr>
            <w:tcW w:type="dxa" w:w="39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RM800m repays debt; balance working capital/interest</w:t>
            </w:r>
          </w:p>
        </w:tc>
      </w:tr>
      <w:tr>
        <w:trPr>
          <w:cantSplit/>
        </w:trPr>
        <w:tc>
          <w:tcPr>
            <w:tcW w:type="dxa" w:w="332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Memo: group net debt (same basis)</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21,583.8</w:t>
            </w:r>
          </w:p>
        </w:tc>
        <w:tc>
          <w:tcPr>
            <w:tcW w:type="dxa" w:w="12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26,364.0</w:t>
            </w:r>
          </w:p>
        </w:tc>
        <w:tc>
          <w:tcPr>
            <w:tcW w:type="dxa" w:w="39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Consolidated view</w:t>
            </w:r>
          </w:p>
        </w:tc>
      </w:tr>
    </w:tbl>
    <w:p>
      <w:pPr>
        <w:spacing w:after="160"/>
      </w:pPr>
      <w:r>
        <w:rPr>
          <w:i/>
          <w:iCs/>
          <w:color w:val="595959"/>
          <w:sz w:val="16"/>
          <w:szCs w:val="16"/>
        </w:rPr>
        <w:t xml:space="preserve">GENS cash translated at S$1 = RM3.1575 (both dates). Borrowings per company quarterly report; S&amp;P Capital IQ shows RM54m more in both the group and GENM totals, which cancels. The ex-listed figure includes 100% of Banten/LLPL debt although GENT owns 55% of Banten effectively.</w:t>
      </w:r>
    </w:p>
    <w:p>
      <w:pPr>
        <w:pStyle w:val="Heading2"/>
      </w:pPr>
      <w:r>
        <w:t xml:space="preserve">6.1 What makes up RM26.9bn of ex-listed debt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5"/>
        <w:gridCol w:w="1193"/>
        <w:gridCol w:w="795"/>
        <w:gridCol w:w="1790"/>
        <w:gridCol w:w="895"/>
        <w:gridCol w:w="2488"/>
      </w:tblGrid>
      <w:tr>
        <w:trPr>
          <w:tblHeader/>
        </w:trPr>
        <w:tc>
          <w:tcPr>
            <w:tcW w:type="dxa" w:w="2585"/>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Instrument</w:t>
            </w:r>
          </w:p>
        </w:tc>
        <w:tc>
          <w:tcPr>
            <w:tcW w:type="dxa" w:w="1193"/>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Face</w:t>
            </w:r>
          </w:p>
        </w:tc>
        <w:tc>
          <w:tcPr>
            <w:tcW w:type="dxa" w:w="795"/>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RM m</w:t>
            </w:r>
          </w:p>
        </w:tc>
        <w:tc>
          <w:tcPr>
            <w:tcW w:type="dxa" w:w="1790"/>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Coupon</w:t>
            </w:r>
          </w:p>
        </w:tc>
        <w:tc>
          <w:tcPr>
            <w:tcW w:type="dxa" w:w="895"/>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Maturity</w:t>
            </w:r>
          </w:p>
        </w:tc>
        <w:tc>
          <w:tcPr>
            <w:tcW w:type="dxa" w:w="248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Recourse to GENT</w:t>
            </w:r>
          </w:p>
        </w:tc>
      </w:tr>
      <w:tr>
        <w:trPr>
          <w:cantSplit/>
        </w:trPr>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RWLV senior notes</w:t>
            </w:r>
          </w:p>
        </w:tc>
        <w:tc>
          <w:tcPr>
            <w:tcW w:type="dxa" w:w="119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US$1,750m</w:t>
            </w:r>
          </w:p>
        </w:tc>
        <w:tc>
          <w:tcPr>
            <w:tcW w:type="dxa" w:w="7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7,139</w:t>
            </w:r>
          </w:p>
        </w:tc>
        <w:tc>
          <w:tcPr>
            <w:tcW w:type="dxa" w:w="179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4.625% (2029, 2031); 8.45% (2030)</w:t>
            </w:r>
          </w:p>
        </w:tc>
        <w:tc>
          <w:tcPr>
            <w:tcW w:type="dxa" w:w="8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2029–31</w:t>
            </w:r>
          </w:p>
        </w:tc>
        <w:tc>
          <w:tcPr>
            <w:tcW w:type="dxa" w:w="24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Keepwell only (no guarantee)</w:t>
            </w:r>
          </w:p>
        </w:tc>
      </w:tr>
      <w:tr>
        <w:trPr>
          <w:cantSplit/>
        </w:trPr>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RWLV term loan (Amended Facilities No. 3)</w:t>
            </w:r>
          </w:p>
        </w:tc>
        <w:tc>
          <w:tcPr>
            <w:tcW w:type="dxa" w:w="119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US$656m</w:t>
            </w:r>
          </w:p>
        </w:tc>
        <w:tc>
          <w:tcPr>
            <w:tcW w:type="dxa" w:w="7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2,677</w:t>
            </w:r>
          </w:p>
        </w:tc>
        <w:tc>
          <w:tcPr>
            <w:tcW w:type="dxa" w:w="179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Floating</w:t>
            </w:r>
          </w:p>
        </w:tc>
        <w:tc>
          <w:tcPr>
            <w:tcW w:type="dxa" w:w="8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Oct-27</w:t>
            </w:r>
          </w:p>
        </w:tc>
        <w:tc>
          <w:tcPr>
            <w:tcW w:type="dxa" w:w="24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Keepwell; covenants ND/EBITDA ≤5.7x → 3.0x</w:t>
            </w:r>
          </w:p>
        </w:tc>
      </w:tr>
      <w:tr>
        <w:trPr>
          <w:cantSplit/>
        </w:trPr>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GOHL Capital 4.25% notes</w:t>
            </w:r>
          </w:p>
        </w:tc>
        <w:tc>
          <w:tcPr>
            <w:tcW w:type="dxa" w:w="119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US$617.5m</w:t>
            </w:r>
          </w:p>
        </w:tc>
        <w:tc>
          <w:tcPr>
            <w:tcW w:type="dxa" w:w="7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2,519</w:t>
            </w:r>
          </w:p>
        </w:tc>
        <w:tc>
          <w:tcPr>
            <w:tcW w:type="dxa" w:w="179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4.25%</w:t>
            </w:r>
          </w:p>
        </w:tc>
        <w:tc>
          <w:tcPr>
            <w:tcW w:type="dxa" w:w="8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24-Jan-27</w:t>
            </w:r>
          </w:p>
        </w:tc>
        <w:tc>
          <w:tcPr>
            <w:tcW w:type="dxa" w:w="24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GOHL guarantee + GENT keepwell</w:t>
            </w:r>
          </w:p>
        </w:tc>
      </w:tr>
      <w:tr>
        <w:trPr>
          <w:cantSplit/>
        </w:trPr>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GOHL Capital Holdings perpetuals</w:t>
            </w:r>
          </w:p>
        </w:tc>
        <w:tc>
          <w:tcPr>
            <w:tcW w:type="dxa" w:w="119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US$1,250m</w:t>
            </w:r>
          </w:p>
        </w:tc>
        <w:tc>
          <w:tcPr>
            <w:tcW w:type="dxa" w:w="7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5,099</w:t>
            </w:r>
          </w:p>
        </w:tc>
        <w:tc>
          <w:tcPr>
            <w:tcW w:type="dxa" w:w="179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7.625% (NC5.5) / 8.30% (NC10)</w:t>
            </w:r>
          </w:p>
        </w:tc>
        <w:tc>
          <w:tcPr>
            <w:tcW w:type="dxa" w:w="8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Perpetual</w:t>
            </w:r>
          </w:p>
        </w:tc>
        <w:tc>
          <w:tcPr>
            <w:tcW w:type="dxa" w:w="24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Sub. guarantee; GENT contingent put</w:t>
            </w:r>
          </w:p>
        </w:tc>
      </w:tr>
      <w:tr>
        <w:trPr>
          <w:cantSplit/>
        </w:trPr>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Genting Vista MTN Series 1 (GENM offer refi)</w:t>
            </w:r>
          </w:p>
        </w:tc>
        <w:tc>
          <w:tcPr>
            <w:tcW w:type="dxa" w:w="119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RM3,000m</w:t>
            </w:r>
          </w:p>
        </w:tc>
        <w:tc>
          <w:tcPr>
            <w:tcW w:type="dxa" w:w="7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3,000</w:t>
            </w:r>
          </w:p>
        </w:tc>
        <w:tc>
          <w:tcPr>
            <w:tcW w:type="dxa" w:w="179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3M KLIBOR + 1.80%</w:t>
            </w:r>
          </w:p>
        </w:tc>
        <w:tc>
          <w:tcPr>
            <w:tcW w:type="dxa" w:w="8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1–5 yrs</w:t>
            </w:r>
          </w:p>
        </w:tc>
        <w:tc>
          <w:tcPr>
            <w:tcW w:type="dxa" w:w="24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GENT guaranteed (unrated)</w:t>
            </w:r>
          </w:p>
        </w:tc>
      </w:tr>
      <w:tr>
        <w:trPr>
          <w:cantSplit/>
        </w:trPr>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Genting Capital MTN</w:t>
            </w:r>
          </w:p>
        </w:tc>
        <w:tc>
          <w:tcPr>
            <w:tcW w:type="dxa" w:w="119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RM1,500m</w:t>
            </w:r>
          </w:p>
        </w:tc>
        <w:tc>
          <w:tcPr>
            <w:tcW w:type="dxa" w:w="7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1,500</w:t>
            </w:r>
          </w:p>
        </w:tc>
        <w:tc>
          <w:tcPr>
            <w:tcW w:type="dxa" w:w="179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4.86%</w:t>
            </w:r>
          </w:p>
        </w:tc>
        <w:tc>
          <w:tcPr>
            <w:tcW w:type="dxa" w:w="8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Jun-27</w:t>
            </w:r>
          </w:p>
        </w:tc>
        <w:tc>
          <w:tcPr>
            <w:tcW w:type="dxa" w:w="24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GENT guaranteed</w:t>
            </w:r>
          </w:p>
        </w:tc>
      </w:tr>
      <w:tr>
        <w:trPr>
          <w:cantSplit/>
        </w:trPr>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Genting RMTN MTN</w:t>
            </w:r>
          </w:p>
        </w:tc>
        <w:tc>
          <w:tcPr>
            <w:tcW w:type="dxa" w:w="119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RM400m</w:t>
            </w:r>
          </w:p>
        </w:tc>
        <w:tc>
          <w:tcPr>
            <w:tcW w:type="dxa" w:w="7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400</w:t>
            </w:r>
          </w:p>
        </w:tc>
        <w:tc>
          <w:tcPr>
            <w:tcW w:type="dxa" w:w="179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5.19%</w:t>
            </w:r>
          </w:p>
        </w:tc>
        <w:tc>
          <w:tcPr>
            <w:tcW w:type="dxa" w:w="8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Mar-27</w:t>
            </w:r>
          </w:p>
        </w:tc>
        <w:tc>
          <w:tcPr>
            <w:tcW w:type="dxa" w:w="24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GENT guaranteed</w:t>
            </w:r>
          </w:p>
        </w:tc>
      </w:tr>
      <w:tr>
        <w:trPr>
          <w:cantSplit/>
        </w:trPr>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LLPL Capital notes (Banten)</w:t>
            </w:r>
          </w:p>
        </w:tc>
        <w:tc>
          <w:tcPr>
            <w:tcW w:type="dxa" w:w="119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~US$557m (derived)</w:t>
            </w:r>
          </w:p>
        </w:tc>
        <w:tc>
          <w:tcPr>
            <w:tcW w:type="dxa" w:w="7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2,272</w:t>
            </w:r>
          </w:p>
        </w:tc>
        <w:tc>
          <w:tcPr>
            <w:tcW w:type="dxa" w:w="179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6.875% amortising</w:t>
            </w:r>
          </w:p>
        </w:tc>
        <w:tc>
          <w:tcPr>
            <w:tcW w:type="dxa" w:w="8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2039</w:t>
            </w:r>
          </w:p>
        </w:tc>
        <w:tc>
          <w:tcPr>
            <w:tcW w:type="dxa" w:w="24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Project-level; no GENT guarantee disclosed</w:t>
            </w:r>
          </w:p>
        </w:tc>
      </w:tr>
      <w:tr>
        <w:trPr>
          <w:cantSplit/>
        </w:trPr>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Other (balancing: bank loans, project facilities)</w:t>
            </w:r>
          </w:p>
        </w:tc>
        <w:tc>
          <w:tcPr>
            <w:tcW w:type="dxa" w:w="119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p>
        </w:tc>
        <w:tc>
          <w:tcPr>
            <w:tcW w:type="dxa" w:w="7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2,250</w:t>
            </w:r>
          </w:p>
        </w:tc>
        <w:tc>
          <w:tcPr>
            <w:tcW w:type="dxa" w:w="179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p>
        </w:tc>
        <w:tc>
          <w:tcPr>
            <w:tcW w:type="dxa" w:w="8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p>
        </w:tc>
        <w:tc>
          <w:tcPr>
            <w:tcW w:type="dxa" w:w="24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Kasuri/FLNG financing not disclosed</w:t>
            </w:r>
          </w:p>
        </w:tc>
      </w:tr>
      <w:tr>
        <w:trPr>
          <w:cantSplit/>
        </w:trPr>
        <w:tc>
          <w:tcPr>
            <w:tcW w:type="dxa" w:w="2585"/>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4"/>
                <w:szCs w:val="14"/>
              </w:rPr>
              <w:t xml:space="preserve">Total ex-listed borrowings</w:t>
            </w:r>
          </w:p>
        </w:tc>
        <w:tc>
          <w:tcPr>
            <w:tcW w:type="dxa" w:w="1193"/>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p>
        </w:tc>
        <w:tc>
          <w:tcPr>
            <w:tcW w:type="dxa" w:w="795"/>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4"/>
                <w:szCs w:val="14"/>
              </w:rPr>
              <w:t xml:space="preserve">26,857</w:t>
            </w:r>
          </w:p>
        </w:tc>
        <w:tc>
          <w:tcPr>
            <w:tcW w:type="dxa" w:w="1790"/>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4"/>
                <w:szCs w:val="14"/>
              </w:rPr>
              <w:t xml:space="preserve">Wtd avg ~5.16% (rights circular)</w:t>
            </w:r>
          </w:p>
        </w:tc>
        <w:tc>
          <w:tcPr>
            <w:tcW w:type="dxa" w:w="895"/>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p>
        </w:tc>
        <w:tc>
          <w:tcPr>
            <w:tcW w:type="dxa" w:w="248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p>
        </w:tc>
      </w:tr>
    </w:tbl>
    <w:p>
      <w:pPr>
        <w:spacing w:after="160"/>
      </w:pPr>
      <w:r>
        <w:rPr>
          <w:i/>
          <w:iCs/>
          <w:color w:val="595959"/>
          <w:sz w:val="16"/>
          <w:szCs w:val="16"/>
        </w:rPr>
        <w:t xml:space="preserve">Indicative composition from company disclosures (AR2025, 2Q26 QR, bond documentation as reported). The LLPL balance is derived: group USD secured debt US$2,253.4m less GENM's US$1,040.2m RWNYC facility less the RWLV term loan. An undrawn US$1.2bn Genting USA facility (Oct-25) is excluded.</w:t>
      </w:r>
    </w:p>
    <w:p>
      <w:pPr>
        <w:pStyle w:val="Heading2"/>
      </w:pPr>
      <w:r>
        <w:t xml:space="preserve">6.2 Maturities, cash-flow coverage and recourse</w:t>
      </w:r>
    </w:p>
    <w:p>
      <w:pPr>
        <w:pStyle w:val="ListParagraph"/>
        <w:numPr>
          <w:ilvl w:val="0"/>
          <w:numId w:val="2"/>
        </w:numPr>
        <w:spacing w:after="60"/>
      </w:pPr>
      <w:r>
        <w:rPr>
          <w:b/>
          <w:bCs/>
        </w:rPr>
        <w:t xml:space="preserve">Twelve-to-fifteen-month wall:</w:t>
      </w:r>
      <w:r>
        <w:t xml:space="preserve"> GOHL US$617.5m (Jan-27), RMTN RM400m (Mar-27), Genting Capital RM1.5bn (Jun-27) and the RWLV term loan US$656m (Oct-27): ~RM7.1bn, against RM800m of rights proceeds for repayment.</w:t>
      </w:r>
    </w:p>
    <w:p>
      <w:pPr>
        <w:pStyle w:val="ListParagraph"/>
        <w:numPr>
          <w:ilvl w:val="0"/>
          <w:numId w:val="2"/>
        </w:numPr>
        <w:spacing w:after="60"/>
      </w:pPr>
      <w:r>
        <w:rPr>
          <w:b/>
          <w:bCs/>
        </w:rPr>
        <w:t xml:space="preserve">Interest burden:</w:t>
      </w:r>
      <w:r>
        <w:t xml:space="preserve"> ~RM1,386m a year at the 5.16% average rate; ~RM1.6bn on identified coupons including perpetual distributions (US$99m a year on the perps alone). Upstream ordinary dividends on FY25 rates: ~RM1,173m (GENS RM811m; GENM RM293m, though the 2026 interim was skipped; GENP RM70m). </w:t>
      </w:r>
      <w:r>
        <w:rPr>
          <w:b/>
          <w:bCs/>
        </w:rPr>
        <w:t xml:space="preserve">Upstream dividends cover holdco interest roughly 0.7–0.85x</w:t>
      </w:r>
      <w:r>
        <w:t xml:space="preserve">, before GENT's own dividend, RWLV capex and Kasuri spend. The deficit is funded by RWLV/power EBITDA, new debt and now equity.</w:t>
      </w:r>
    </w:p>
    <w:p>
      <w:pPr>
        <w:pStyle w:val="ListParagraph"/>
        <w:numPr>
          <w:ilvl w:val="0"/>
          <w:numId w:val="2"/>
        </w:numPr>
        <w:spacing w:after="60"/>
      </w:pPr>
      <w:r>
        <w:rPr>
          <w:b/>
          <w:bCs/>
        </w:rPr>
        <w:t xml:space="preserve">Recourse layering matters.</w:t>
      </w:r>
      <w:r>
        <w:t xml:space="preserve"> Only the MTNs (RM4.9bn) are directly guaranteed by GENT. RWLV debt (~US$2.4bn) has a keepwell, not a guarantee; LLPL is project-level. That opens the ring-fencing argument in Section 11, but GENT has repeatedly chosen to support RWLV, and keepwells carry heavy reputational and cross-market weight in Asian credit.</w:t>
      </w:r>
    </w:p>
    <w:p>
      <w:pPr>
        <w:pStyle w:val="ListParagraph"/>
        <w:numPr>
          <w:ilvl w:val="0"/>
          <w:numId w:val="2"/>
        </w:numPr>
        <w:spacing w:after="60"/>
      </w:pPr>
      <w:r>
        <w:rPr>
          <w:b/>
          <w:bCs/>
        </w:rPr>
        <w:t xml:space="preserve">Company-only balance sheet (31-Dec-25):</w:t>
      </w:r>
      <w:r>
        <w:t xml:space="preserve"> cash RM1,261.7m; external borrowings RM147.2m (a share-margin loan, repaid 6-Feb-26); interest-bearing amounts owed to financing subsidiaries RM6,184.0m (on-lent Genting Capital/Genting Vista proceeds and a US$45m loan) — company-level net debt of ~RM5.1bn; investment in subsidiaries RM18,755.2m; equity RM13,575.2m. FY25 company profit RM286.1m after RM489.9m of impairments.</w:t>
      </w:r>
    </w:p>
    <w:p>
      <w:pPr>
        <w:pStyle w:val="ListParagraph"/>
        <w:numPr>
          <w:ilvl w:val="0"/>
          <w:numId w:val="2"/>
        </w:numPr>
        <w:spacing w:after="60"/>
      </w:pPr>
      <w:r>
        <w:rPr>
          <w:b/>
          <w:bCs/>
        </w:rPr>
        <w:t xml:space="preserve">Proportionate (look-through) net debt:</w:t>
      </w:r>
      <w:r>
        <w:t xml:space="preserve"> adding GENT's share of GENM net debt (RM8,813m) and GENP (RM986m) and deducting its share of GENS net cash (RM4,904m) gives RM26,855m, or RM6.97 per GENT share.</w:t>
      </w:r>
    </w:p>
    <w:p>
      <w:pPr>
        <w:pStyle w:val="Heading1"/>
      </w:pPr>
      <w:r>
        <w:t xml:space="preserve">7. Sum-of-the-Parts NAV and the Discount</w:t>
      </w:r>
    </w:p>
    <w:p>
      <w:pPr>
        <w:keepNext/>
        <w:spacing w:after="60" w:before="160"/>
      </w:pPr>
      <w:r>
        <w:rPr>
          <w:b/>
          <w:bCs/>
          <w:color w:val="1F3864"/>
          <w:sz w:val="18"/>
          <w:szCs w:val="18"/>
        </w:rPr>
        <w:t xml:space="preserve">Table 7A — SOTP (RM m, 16-Oct-26 prices; balance sheet 30-Jun-26)</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9"/>
        <w:gridCol w:w="996"/>
        <w:gridCol w:w="996"/>
        <w:gridCol w:w="996"/>
        <w:gridCol w:w="996"/>
        <w:gridCol w:w="2883"/>
      </w:tblGrid>
      <w:tr>
        <w:trPr>
          <w:tblHeader/>
        </w:trPr>
        <w:tc>
          <w:tcPr>
            <w:tcW w:type="dxa" w:w="2879"/>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Component</w:t>
            </w:r>
          </w:p>
        </w:tc>
        <w:tc>
          <w:tcPr>
            <w:tcW w:type="dxa" w:w="99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Low</w:t>
            </w:r>
          </w:p>
        </w:tc>
        <w:tc>
          <w:tcPr>
            <w:tcW w:type="dxa" w:w="99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Base</w:t>
            </w:r>
          </w:p>
        </w:tc>
        <w:tc>
          <w:tcPr>
            <w:tcW w:type="dxa" w:w="99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High</w:t>
            </w:r>
          </w:p>
        </w:tc>
        <w:tc>
          <w:tcPr>
            <w:tcW w:type="dxa" w:w="99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Base RM/sh</w:t>
            </w:r>
          </w:p>
        </w:tc>
        <w:tc>
          <w:tcPr>
            <w:tcW w:type="dxa" w:w="2883"/>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Basis</w:t>
            </w:r>
          </w:p>
        </w:tc>
      </w:tr>
      <w:tr>
        <w:trPr>
          <w:cantSplit/>
        </w:trPr>
        <w:tc>
          <w:tcPr>
            <w:tcW w:type="dxa" w:w="28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Genting Singapore (52.67%)</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12,366</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12,366</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12,366</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3.21</w:t>
            </w:r>
          </w:p>
        </w:tc>
        <w:tc>
          <w:tcPr>
            <w:tcW w:type="dxa" w:w="28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Market S$0.61</w:t>
            </w:r>
          </w:p>
        </w:tc>
      </w:tr>
      <w:tr>
        <w:trPr>
          <w:cantSplit/>
        </w:trPr>
        <w:tc>
          <w:tcPr>
            <w:tcW w:type="dxa" w:w="287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Genting Malaysia (73.84%)</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5,315</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5,315</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5,315</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1.38</w:t>
            </w:r>
          </w:p>
        </w:tc>
        <w:tc>
          <w:tcPr>
            <w:tcW w:type="dxa" w:w="288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Market RM1.27</w:t>
            </w:r>
          </w:p>
        </w:tc>
      </w:tr>
      <w:tr>
        <w:trPr>
          <w:cantSplit/>
        </w:trPr>
        <w:tc>
          <w:tcPr>
            <w:tcW w:type="dxa" w:w="28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Genting Plantations (55.39%)</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2,569</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2,569</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2,569</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0.67</w:t>
            </w:r>
          </w:p>
        </w:tc>
        <w:tc>
          <w:tcPr>
            <w:tcW w:type="dxa" w:w="28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Market RM5.17</w:t>
            </w:r>
          </w:p>
        </w:tc>
      </w:tr>
      <w:tr>
        <w:trPr>
          <w:cantSplit/>
        </w:trPr>
        <w:tc>
          <w:tcPr>
            <w:tcW w:type="dxa" w:w="2879"/>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Listed stakes</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20,250</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20,250</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20,250</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5.26</w:t>
            </w:r>
          </w:p>
        </w:tc>
        <w:tc>
          <w:tcPr>
            <w:tcW w:type="dxa" w:w="2883"/>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p>
        </w:tc>
      </w:tr>
      <w:tr>
        <w:trPr>
          <w:cantSplit/>
        </w:trPr>
        <w:tc>
          <w:tcPr>
            <w:tcW w:type="dxa" w:w="28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RWLV (EV)</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4,246</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6,328</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9,799</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1.64</w:t>
            </w:r>
          </w:p>
        </w:tc>
        <w:tc>
          <w:tcPr>
            <w:tcW w:type="dxa" w:w="28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8x / 10x / 12x 2026E EBITDA</w:t>
            </w:r>
          </w:p>
        </w:tc>
      </w:tr>
      <w:tr>
        <w:trPr>
          <w:cantSplit/>
        </w:trPr>
        <w:tc>
          <w:tcPr>
            <w:tcW w:type="dxa" w:w="287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Power – consolidated (EV)</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1,760</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2,520</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2,984</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0.65</w:t>
            </w:r>
          </w:p>
        </w:tc>
        <w:tc>
          <w:tcPr>
            <w:tcW w:type="dxa" w:w="288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EV/EBITDA 5.5–8.0x</w:t>
            </w:r>
          </w:p>
        </w:tc>
      </w:tr>
      <w:tr>
        <w:trPr>
          <w:cantSplit/>
        </w:trPr>
        <w:tc>
          <w:tcPr>
            <w:tcW w:type="dxa" w:w="28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Less Banten minorities</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(100)</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(250)</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(400)</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(0.06)</w:t>
            </w:r>
          </w:p>
        </w:tc>
        <w:tc>
          <w:tcPr>
            <w:tcW w:type="dxa" w:w="28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45% of Banten equity</w:t>
            </w:r>
          </w:p>
        </w:tc>
      </w:tr>
      <w:tr>
        <w:trPr>
          <w:cantSplit/>
        </w:trPr>
        <w:tc>
          <w:tcPr>
            <w:tcW w:type="dxa" w:w="287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Power JVs &amp; associates (incl. TauRx)</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1,100</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1,650</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3,000</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0.43</w:t>
            </w:r>
          </w:p>
        </w:tc>
        <w:tc>
          <w:tcPr>
            <w:tcW w:type="dxa" w:w="288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50% / 75% / 100% of book (+TauRx upside)</w:t>
            </w:r>
          </w:p>
        </w:tc>
      </w:tr>
      <w:tr>
        <w:trPr>
          <w:cantSplit/>
        </w:trPr>
        <w:tc>
          <w:tcPr>
            <w:tcW w:type="dxa" w:w="28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Oil &amp; gas (Kasuri, FLNG, Block 15/33)</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1,500</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3,000</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4,500</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0.78</w:t>
            </w:r>
          </w:p>
        </w:tc>
        <w:tc>
          <w:tcPr>
            <w:tcW w:type="dxa" w:w="28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Transaction-implied, haircut</w:t>
            </w:r>
          </w:p>
        </w:tc>
      </w:tr>
      <w:tr>
        <w:trPr>
          <w:cantSplit/>
        </w:trPr>
        <w:tc>
          <w:tcPr>
            <w:tcW w:type="dxa" w:w="287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Genting Ventures &amp; other investments</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200</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330</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400</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0.09</w:t>
            </w:r>
          </w:p>
        </w:tc>
        <w:tc>
          <w:tcPr>
            <w:tcW w:type="dxa" w:w="288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Approx. NAV</w:t>
            </w:r>
          </w:p>
        </w:tc>
      </w:tr>
      <w:tr>
        <w:trPr>
          <w:cantSplit/>
        </w:trPr>
        <w:tc>
          <w:tcPr>
            <w:tcW w:type="dxa" w:w="28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Capitalised holdco costs</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(500)</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(500)</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(500)</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(0.13)</w:t>
            </w:r>
          </w:p>
        </w:tc>
        <w:tc>
          <w:tcPr>
            <w:tcW w:type="dxa" w:w="28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RM100m x 5</w:t>
            </w:r>
          </w:p>
        </w:tc>
      </w:tr>
      <w:tr>
        <w:trPr>
          <w:cantSplit/>
        </w:trPr>
        <w:tc>
          <w:tcPr>
            <w:tcW w:type="dxa" w:w="2879"/>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Private assets</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8,206</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13,078</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19,783</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3.40</w:t>
            </w:r>
          </w:p>
        </w:tc>
        <w:tc>
          <w:tcPr>
            <w:tcW w:type="dxa" w:w="2883"/>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p>
        </w:tc>
      </w:tr>
      <w:tr>
        <w:trPr>
          <w:cantSplit/>
        </w:trPr>
        <w:tc>
          <w:tcPr>
            <w:tcW w:type="dxa" w:w="2879"/>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Gross asset value (GAV)</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28,456</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33,328</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40,032</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8.66</w:t>
            </w:r>
          </w:p>
        </w:tc>
        <w:tc>
          <w:tcPr>
            <w:tcW w:type="dxa" w:w="2883"/>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p>
        </w:tc>
      </w:tr>
      <w:tr>
        <w:trPr>
          <w:cantSplit/>
        </w:trPr>
        <w:tc>
          <w:tcPr>
            <w:tcW w:type="dxa" w:w="287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Less ex-listed net debt</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(21,960)</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(21,960)</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(21,960)</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(5.70)</w:t>
            </w:r>
          </w:p>
        </w:tc>
        <w:tc>
          <w:tcPr>
            <w:tcW w:type="dxa" w:w="288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Incl. perpetuals at 100%</w:t>
            </w:r>
          </w:p>
        </w:tc>
      </w:tr>
      <w:tr>
        <w:trPr>
          <w:cantSplit/>
        </w:trPr>
        <w:tc>
          <w:tcPr>
            <w:tcW w:type="dxa" w:w="2879"/>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NAV</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6,496</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11,368</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18,073</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2.95</w:t>
            </w:r>
          </w:p>
        </w:tc>
        <w:tc>
          <w:tcPr>
            <w:tcW w:type="dxa" w:w="2883"/>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p>
        </w:tc>
      </w:tr>
      <w:tr>
        <w:trPr>
          <w:cantSplit/>
        </w:trPr>
        <w:tc>
          <w:tcPr>
            <w:tcW w:type="dxa" w:w="2879"/>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NAV per share (RM)</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1.69</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2.95</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4.69</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p>
        </w:tc>
        <w:tc>
          <w:tcPr>
            <w:tcW w:type="dxa" w:w="2883"/>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3,850.6m shares</w:t>
            </w:r>
          </w:p>
        </w:tc>
      </w:tr>
      <w:tr>
        <w:trPr>
          <w:cantSplit/>
        </w:trPr>
        <w:tc>
          <w:tcPr>
            <w:tcW w:type="dxa" w:w="2879"/>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Discount at RM1.45</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14.0%</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50.9%</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5"/>
                <w:szCs w:val="15"/>
              </w:rPr>
              <w:t xml:space="preserve">69.1%</w:t>
            </w:r>
          </w:p>
        </w:tc>
        <w:tc>
          <w:tcPr>
            <w:tcW w:type="dxa" w:w="99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p>
        </w:tc>
        <w:tc>
          <w:tcPr>
            <w:tcW w:type="dxa" w:w="2883"/>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p>
        </w:tc>
      </w:tr>
      <w:tr>
        <w:trPr>
          <w:cantSplit/>
        </w:trPr>
        <w:tc>
          <w:tcPr>
            <w:tcW w:type="dxa" w:w="287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NAV / GAV (equity cushion)</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22.8%</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34.1%</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45.1%</w:t>
            </w:r>
          </w:p>
        </w:tc>
        <w:tc>
          <w:tcPr>
            <w:tcW w:type="dxa" w:w="99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p>
        </w:tc>
        <w:tc>
          <w:tcPr>
            <w:tcW w:type="dxa" w:w="288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Leverage of the equity stub</w:t>
            </w:r>
          </w:p>
        </w:tc>
      </w:tr>
      <w:tr>
        <w:trPr>
          <w:cantSplit/>
        </w:trPr>
        <w:tc>
          <w:tcPr>
            <w:tcW w:type="dxa" w:w="28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Pro forma rights: NAV per share</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1.61</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2.62</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4.01</w:t>
            </w:r>
          </w:p>
        </w:tc>
        <w:tc>
          <w:tcPr>
            <w:tcW w:type="dxa" w:w="99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p>
        </w:tc>
        <w:tc>
          <w:tcPr>
            <w:tcW w:type="dxa" w:w="28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+962.6m shares, +RM1,229.5m</w:t>
            </w:r>
          </w:p>
        </w:tc>
      </w:tr>
    </w:tbl>
    <w:p>
      <w:pPr>
        <w:keepNext/>
        <w:spacing w:after="60" w:before="160"/>
      </w:pPr>
      <w:r>
        <w:rPr>
          <w:b/>
          <w:bCs/>
          <w:color w:val="1F3864"/>
          <w:sz w:val="18"/>
          <w:szCs w:val="18"/>
        </w:rPr>
        <w:t xml:space="preserve">Figure 1 — Base-case SOTP bridge (RM per GENT share)</w:t>
      </w:r>
    </w:p>
    <w:p>
      <w:pPr>
        <w:keepLines/>
        <w:spacing w:after="60" w:before="80"/>
        <w:jc w:val="center"/>
      </w:pPr>
      <w:r>
        <w:drawing>
          <wp:inline distT="0" distB="0" distL="0" distR="0">
            <wp:extent cx="6096000" cy="31337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133725"/>
                    </a:xfrm>
                    <a:prstGeom prst="rect">
                      <a:avLst/>
                    </a:prstGeom>
                  </pic:spPr>
                </pic:pic>
              </a:graphicData>
            </a:graphic>
          </wp:inline>
        </w:drawing>
      </w:r>
    </w:p>
    <w:p>
      <w:pPr>
        <w:pStyle w:val="Heading2"/>
      </w:pPr>
      <w:r>
        <w:t xml:space="preserve">7.1 Sensitivity — NAV per share (RM)</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1"/>
        <w:gridCol w:w="2411"/>
        <w:gridCol w:w="2411"/>
        <w:gridCol w:w="2413"/>
      </w:tblGrid>
      <w:tr>
        <w:trPr>
          <w:tblHeader/>
        </w:trPr>
        <w:tc>
          <w:tcPr>
            <w:tcW w:type="dxa" w:w="2511"/>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6"/>
                <w:szCs w:val="16"/>
              </w:rPr>
              <w:t xml:space="preserve">Listed-stake prices</w:t>
            </w:r>
          </w:p>
        </w:tc>
        <w:tc>
          <w:tcPr>
            <w:tcW w:type="dxa" w:w="2411"/>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6"/>
                <w:szCs w:val="16"/>
              </w:rPr>
              <w:t xml:space="preserve">Low private</w:t>
            </w:r>
          </w:p>
        </w:tc>
        <w:tc>
          <w:tcPr>
            <w:tcW w:type="dxa" w:w="2411"/>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6"/>
                <w:szCs w:val="16"/>
              </w:rPr>
              <w:t xml:space="preserve">Base private</w:t>
            </w:r>
          </w:p>
        </w:tc>
        <w:tc>
          <w:tcPr>
            <w:tcW w:type="dxa" w:w="2413"/>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6"/>
                <w:szCs w:val="16"/>
              </w:rPr>
              <w:t xml:space="preserve">High private</w:t>
            </w:r>
          </w:p>
        </w:tc>
      </w:tr>
      <w:tr>
        <w:trPr>
          <w:cantSplit/>
        </w:trPr>
        <w:tc>
          <w:tcPr>
            <w:tcW w:type="dxa" w:w="251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6"/>
                <w:szCs w:val="16"/>
              </w:rPr>
              <w:t xml:space="preserve">-20%</w:t>
            </w:r>
          </w:p>
        </w:tc>
        <w:tc>
          <w:tcPr>
            <w:tcW w:type="dxa" w:w="241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6"/>
                <w:szCs w:val="16"/>
              </w:rPr>
              <w:t xml:space="preserve">0.64</w:t>
            </w:r>
          </w:p>
        </w:tc>
        <w:tc>
          <w:tcPr>
            <w:tcW w:type="dxa" w:w="241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6"/>
                <w:szCs w:val="16"/>
              </w:rPr>
              <w:t xml:space="preserve">1.90</w:t>
            </w:r>
          </w:p>
        </w:tc>
        <w:tc>
          <w:tcPr>
            <w:tcW w:type="dxa" w:w="241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6"/>
                <w:szCs w:val="16"/>
              </w:rPr>
              <w:t xml:space="preserve">3.64</w:t>
            </w:r>
          </w:p>
        </w:tc>
      </w:tr>
      <w:tr>
        <w:trPr>
          <w:cantSplit/>
        </w:trPr>
        <w:tc>
          <w:tcPr>
            <w:tcW w:type="dxa" w:w="251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6"/>
                <w:szCs w:val="16"/>
              </w:rPr>
              <w:t xml:space="preserve">-10%</w:t>
            </w:r>
          </w:p>
        </w:tc>
        <w:tc>
          <w:tcPr>
            <w:tcW w:type="dxa" w:w="241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6"/>
                <w:szCs w:val="16"/>
              </w:rPr>
              <w:t xml:space="preserve">1.16</w:t>
            </w:r>
          </w:p>
        </w:tc>
        <w:tc>
          <w:tcPr>
            <w:tcW w:type="dxa" w:w="241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6"/>
                <w:szCs w:val="16"/>
              </w:rPr>
              <w:t xml:space="preserve">2.43</w:t>
            </w:r>
          </w:p>
        </w:tc>
        <w:tc>
          <w:tcPr>
            <w:tcW w:type="dxa" w:w="241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6"/>
                <w:szCs w:val="16"/>
              </w:rPr>
              <w:t xml:space="preserve">4.17</w:t>
            </w:r>
          </w:p>
        </w:tc>
      </w:tr>
      <w:tr>
        <w:trPr>
          <w:cantSplit/>
        </w:trPr>
        <w:tc>
          <w:tcPr>
            <w:tcW w:type="dxa" w:w="2511"/>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6"/>
                <w:szCs w:val="16"/>
              </w:rPr>
              <w:t xml:space="preserve">Unchanged</w:t>
            </w:r>
          </w:p>
        </w:tc>
        <w:tc>
          <w:tcPr>
            <w:tcW w:type="dxa" w:w="2411"/>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6"/>
                <w:szCs w:val="16"/>
              </w:rPr>
              <w:t xml:space="preserve">1.69</w:t>
            </w:r>
          </w:p>
        </w:tc>
        <w:tc>
          <w:tcPr>
            <w:tcW w:type="dxa" w:w="2411"/>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6"/>
                <w:szCs w:val="16"/>
              </w:rPr>
              <w:t xml:space="preserve">2.95</w:t>
            </w:r>
          </w:p>
        </w:tc>
        <w:tc>
          <w:tcPr>
            <w:tcW w:type="dxa" w:w="2413"/>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6"/>
                <w:szCs w:val="16"/>
              </w:rPr>
              <w:t xml:space="preserve">4.69</w:t>
            </w:r>
          </w:p>
        </w:tc>
      </w:tr>
      <w:tr>
        <w:trPr>
          <w:cantSplit/>
        </w:trPr>
        <w:tc>
          <w:tcPr>
            <w:tcW w:type="dxa" w:w="251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6"/>
                <w:szCs w:val="16"/>
              </w:rPr>
              <w:t xml:space="preserve">+10%</w:t>
            </w:r>
          </w:p>
        </w:tc>
        <w:tc>
          <w:tcPr>
            <w:tcW w:type="dxa" w:w="241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6"/>
                <w:szCs w:val="16"/>
              </w:rPr>
              <w:t xml:space="preserve">2.21</w:t>
            </w:r>
          </w:p>
        </w:tc>
        <w:tc>
          <w:tcPr>
            <w:tcW w:type="dxa" w:w="241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6"/>
                <w:szCs w:val="16"/>
              </w:rPr>
              <w:t xml:space="preserve">3.48</w:t>
            </w:r>
          </w:p>
        </w:tc>
        <w:tc>
          <w:tcPr>
            <w:tcW w:type="dxa" w:w="241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6"/>
                <w:szCs w:val="16"/>
              </w:rPr>
              <w:t xml:space="preserve">5.22</w:t>
            </w:r>
          </w:p>
        </w:tc>
      </w:tr>
      <w:tr>
        <w:trPr>
          <w:cantSplit/>
        </w:trPr>
        <w:tc>
          <w:tcPr>
            <w:tcW w:type="dxa" w:w="251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6"/>
                <w:szCs w:val="16"/>
              </w:rPr>
              <w:t xml:space="preserve">+20%</w:t>
            </w:r>
          </w:p>
        </w:tc>
        <w:tc>
          <w:tcPr>
            <w:tcW w:type="dxa" w:w="241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6"/>
                <w:szCs w:val="16"/>
              </w:rPr>
              <w:t xml:space="preserve">2.74</w:t>
            </w:r>
          </w:p>
        </w:tc>
        <w:tc>
          <w:tcPr>
            <w:tcW w:type="dxa" w:w="241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6"/>
                <w:szCs w:val="16"/>
              </w:rPr>
              <w:t xml:space="preserve">4.00</w:t>
            </w:r>
          </w:p>
        </w:tc>
        <w:tc>
          <w:tcPr>
            <w:tcW w:type="dxa" w:w="241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6"/>
                <w:szCs w:val="16"/>
              </w:rPr>
              <w:t xml:space="preserve">5.75</w:t>
            </w:r>
          </w:p>
        </w:tc>
      </w:tr>
    </w:tbl>
    <w:p>
      <w:pPr>
        <w:spacing w:after="160"/>
      </w:pPr>
      <w:r>
        <w:rPr>
          <w:i/>
          <w:iCs/>
          <w:color w:val="595959"/>
          <w:sz w:val="16"/>
          <w:szCs w:val="16"/>
        </w:rPr>
        <w:t xml:space="preserve">Pre-rights. Each RM1bn change in private-asset value or in ex-listed net debt is worth RM0.26 per share; each US$100m of RWLV EV is worth RM0.11 per share.</w:t>
      </w:r>
    </w:p>
    <w:p>
      <w:pPr>
        <w:pStyle w:val="Heading2"/>
      </w:pPr>
      <w:r>
        <w:t xml:space="preserve">7.2 The market-implied stub and alternative lenses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76"/>
        <w:gridCol w:w="1591"/>
        <w:gridCol w:w="3979"/>
      </w:tblGrid>
      <w:tr>
        <w:trPr>
          <w:tblHeader/>
        </w:trPr>
        <w:tc>
          <w:tcPr>
            <w:tcW w:type="dxa" w:w="417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Lens</w:t>
            </w:r>
          </w:p>
        </w:tc>
        <w:tc>
          <w:tcPr>
            <w:tcW w:type="dxa" w:w="1591"/>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NAV / value per share</w:t>
            </w:r>
          </w:p>
        </w:tc>
        <w:tc>
          <w:tcPr>
            <w:tcW w:type="dxa" w:w="3979"/>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Comment</w:t>
            </w:r>
          </w:p>
        </w:tc>
      </w:tr>
      <w:tr>
        <w:trPr>
          <w:cantSplit/>
        </w:trPr>
        <w:tc>
          <w:tcPr>
            <w:tcW w:type="dxa" w:w="417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Market capitalisation</w:t>
            </w:r>
          </w:p>
        </w:tc>
        <w:tc>
          <w:tcPr>
            <w:tcW w:type="dxa" w:w="15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RM1.45</w:t>
            </w:r>
          </w:p>
        </w:tc>
        <w:tc>
          <w:tcPr>
            <w:tcW w:type="dxa" w:w="39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RM5,583m</w:t>
            </w:r>
          </w:p>
        </w:tc>
      </w:tr>
      <w:tr>
        <w:trPr>
          <w:cantSplit/>
        </w:trPr>
        <w:tc>
          <w:tcPr>
            <w:tcW w:type="dxa" w:w="417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Listed stakes less ex-listed net debt (the "stub" before private assets)</w:t>
            </w:r>
          </w:p>
        </w:tc>
        <w:tc>
          <w:tcPr>
            <w:tcW w:type="dxa" w:w="15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(0.44)</w:t>
            </w:r>
          </w:p>
        </w:tc>
        <w:tc>
          <w:tcPr>
            <w:tcW w:type="dxa" w:w="397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Negative: the listed stakes do not cover holdco-level debt</w:t>
            </w:r>
          </w:p>
        </w:tc>
      </w:tr>
      <w:tr>
        <w:trPr>
          <w:cantSplit/>
        </w:trPr>
        <w:tc>
          <w:tcPr>
            <w:tcW w:type="dxa" w:w="417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Market-implied EV of private assets</w:t>
            </w:r>
          </w:p>
        </w:tc>
        <w:tc>
          <w:tcPr>
            <w:tcW w:type="dxa" w:w="15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RM7,294m</w:t>
            </w:r>
          </w:p>
        </w:tc>
        <w:tc>
          <w:tcPr>
            <w:tcW w:type="dxa" w:w="39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~US$1,786m — roughly RWLV alone</w:t>
            </w:r>
          </w:p>
        </w:tc>
      </w:tr>
      <w:tr>
        <w:trPr>
          <w:cantSplit/>
        </w:trPr>
        <w:tc>
          <w:tcPr>
            <w:tcW w:type="dxa" w:w="417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Base SOTP</w:t>
            </w:r>
          </w:p>
        </w:tc>
        <w:tc>
          <w:tcPr>
            <w:tcW w:type="dxa" w:w="15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2.95</w:t>
            </w:r>
          </w:p>
        </w:tc>
        <w:tc>
          <w:tcPr>
            <w:tcW w:type="dxa" w:w="397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51% discount</w:t>
            </w:r>
          </w:p>
        </w:tc>
      </w:tr>
      <w:tr>
        <w:trPr>
          <w:cantSplit/>
        </w:trPr>
        <w:tc>
          <w:tcPr>
            <w:tcW w:type="dxa" w:w="417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Base SOTP with perpetuals at 50% equity credit</w:t>
            </w:r>
          </w:p>
        </w:tc>
        <w:tc>
          <w:tcPr>
            <w:tcW w:type="dxa" w:w="15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3.61</w:t>
            </w:r>
          </w:p>
        </w:tc>
        <w:tc>
          <w:tcPr>
            <w:tcW w:type="dxa" w:w="39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Fitch treatment</w:t>
            </w:r>
          </w:p>
        </w:tc>
      </w:tr>
      <w:tr>
        <w:trPr>
          <w:cantSplit/>
        </w:trPr>
        <w:tc>
          <w:tcPr>
            <w:tcW w:type="dxa" w:w="417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Base SOTP with RWLV ring-fenced (equity at max(0, EV – debt))</w:t>
            </w:r>
          </w:p>
        </w:tc>
        <w:tc>
          <w:tcPr>
            <w:tcW w:type="dxa" w:w="15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3.86</w:t>
            </w:r>
          </w:p>
        </w:tc>
        <w:tc>
          <w:tcPr>
            <w:tcW w:type="dxa" w:w="397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Limited-liability lens; see Section 11</w:t>
            </w:r>
          </w:p>
        </w:tc>
      </w:tr>
      <w:tr>
        <w:trPr>
          <w:cantSplit/>
        </w:trPr>
        <w:tc>
          <w:tcPr>
            <w:tcW w:type="dxa" w:w="417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Base SOTP with GENS at S$0.85 and GENM at RM2.35</w:t>
            </w:r>
          </w:p>
        </w:tc>
        <w:tc>
          <w:tcPr>
            <w:tcW w:type="dxa" w:w="15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5.39</w:t>
            </w:r>
          </w:p>
        </w:tc>
        <w:tc>
          <w:tcPr>
            <w:tcW w:type="dxa" w:w="39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Broker GENS target; GENM offer price</w:t>
            </w:r>
          </w:p>
        </w:tc>
      </w:tr>
      <w:tr>
        <w:trPr>
          <w:cantSplit/>
        </w:trPr>
        <w:tc>
          <w:tcPr>
            <w:tcW w:type="dxa" w:w="417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Probability-weighted (25/50/25)</w:t>
            </w:r>
          </w:p>
        </w:tc>
        <w:tc>
          <w:tcPr>
            <w:tcW w:type="dxa" w:w="15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3.07</w:t>
            </w:r>
          </w:p>
        </w:tc>
        <w:tc>
          <w:tcPr>
            <w:tcW w:type="dxa" w:w="397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p>
        </w:tc>
      </w:tr>
    </w:tbl>
    <w:p>
      <w:pPr>
        <w:pStyle w:val="Heading2"/>
      </w:pPr>
      <w:r>
        <w:t xml:space="preserve">7.3 Discount history and broker context</w:t>
      </w:r>
    </w:p>
    <w:p>
      <w:pPr>
        <w:spacing w:after="120"/>
        <w:jc w:val="both"/>
      </w:pPr>
      <w:r>
        <w:t xml:space="preserve">Brokers value the subsidiaries on DCF/target prices rather than at market, so their discounts are not directly comparable with ours. With that caveat: Maybank measured a 65% discount to SOP in January 2024 (two standard deviations below the 25-year mean, with high foreign ownership linking the discount to MYR/USD); PhillipCapital put it at 46% in 2025 against a 5-year average of ~40%; Kenanga used 40% in 2022–23. In 2026 the discounts applied range from 15% (PublicInvest) to 50% (TA). Our 51% discount to a market-based SOTP is at the wide end of history, but the leverage-adjusted risk is also far higher than in any prior period: the group had consolidated net cash of RM7.5–9.1bn as recently as 2015–16 (S&amp;P Capital IQ), against consolidated net debt of RM26.4bn today.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0"/>
        <w:gridCol w:w="895"/>
        <w:gridCol w:w="1591"/>
        <w:gridCol w:w="1591"/>
        <w:gridCol w:w="3879"/>
      </w:tblGrid>
      <w:tr>
        <w:trPr>
          <w:tblHeader/>
        </w:trPr>
        <w:tc>
          <w:tcPr>
            <w:tcW w:type="dxa" w:w="1790"/>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Broker</w:t>
            </w:r>
          </w:p>
        </w:tc>
        <w:tc>
          <w:tcPr>
            <w:tcW w:type="dxa" w:w="895"/>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Date</w:t>
            </w:r>
          </w:p>
        </w:tc>
        <w:tc>
          <w:tcPr>
            <w:tcW w:type="dxa" w:w="1591"/>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Rating</w:t>
            </w:r>
          </w:p>
        </w:tc>
        <w:tc>
          <w:tcPr>
            <w:tcW w:type="dxa" w:w="1591"/>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Target (RM)</w:t>
            </w:r>
          </w:p>
        </w:tc>
        <w:tc>
          <w:tcPr>
            <w:tcW w:type="dxa" w:w="3879"/>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Holdco discount / note</w:t>
            </w:r>
          </w:p>
        </w:tc>
      </w:tr>
      <w:tr>
        <w:trPr>
          <w:cantSplit/>
        </w:trPr>
        <w:tc>
          <w:tcPr>
            <w:tcW w:type="dxa" w:w="179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Maybank IB</w:t>
            </w:r>
          </w:p>
        </w:tc>
        <w:tc>
          <w:tcPr>
            <w:tcW w:type="dxa" w:w="8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Oct-26</w:t>
            </w:r>
          </w:p>
        </w:tc>
        <w:tc>
          <w:tcPr>
            <w:tcW w:type="dxa" w:w="15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Sell (from Buy)</w:t>
            </w:r>
          </w:p>
        </w:tc>
        <w:tc>
          <w:tcPr>
            <w:tcW w:type="dxa" w:w="15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1.49 (from 2.88)</w:t>
            </w:r>
          </w:p>
        </w:tc>
        <w:tc>
          <w:tcPr>
            <w:tcW w:type="dxa" w:w="38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Dilution; risk of further equity</w:t>
            </w:r>
          </w:p>
        </w:tc>
      </w:tr>
      <w:tr>
        <w:trPr>
          <w:cantSplit/>
        </w:trPr>
        <w:tc>
          <w:tcPr>
            <w:tcW w:type="dxa" w:w="179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CIMB Securities</w:t>
            </w:r>
          </w:p>
        </w:tc>
        <w:tc>
          <w:tcPr>
            <w:tcW w:type="dxa" w:w="8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Oct-26</w:t>
            </w:r>
          </w:p>
        </w:tc>
        <w:tc>
          <w:tcPr>
            <w:tcW w:type="dxa" w:w="15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Hold</w:t>
            </w:r>
          </w:p>
        </w:tc>
        <w:tc>
          <w:tcPr>
            <w:tcW w:type="dxa" w:w="15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2.10 (from 2.30)</w:t>
            </w:r>
          </w:p>
        </w:tc>
        <w:tc>
          <w:tcPr>
            <w:tcW w:type="dxa" w:w="387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17–18% EPS dilution; gearing 102% → 94%</w:t>
            </w:r>
          </w:p>
        </w:tc>
      </w:tr>
      <w:tr>
        <w:trPr>
          <w:cantSplit/>
        </w:trPr>
        <w:tc>
          <w:tcPr>
            <w:tcW w:type="dxa" w:w="179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PublicInvest</w:t>
            </w:r>
          </w:p>
        </w:tc>
        <w:tc>
          <w:tcPr>
            <w:tcW w:type="dxa" w:w="8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Oct-26</w:t>
            </w:r>
          </w:p>
        </w:tc>
        <w:tc>
          <w:tcPr>
            <w:tcW w:type="dxa" w:w="15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Neutral</w:t>
            </w:r>
          </w:p>
        </w:tc>
        <w:tc>
          <w:tcPr>
            <w:tcW w:type="dxa" w:w="15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2.00 (–0.35)</w:t>
            </w:r>
          </w:p>
        </w:tc>
        <w:tc>
          <w:tcPr>
            <w:tcW w:type="dxa" w:w="38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15% holdco discount</w:t>
            </w:r>
          </w:p>
        </w:tc>
      </w:tr>
      <w:tr>
        <w:trPr>
          <w:cantSplit/>
        </w:trPr>
        <w:tc>
          <w:tcPr>
            <w:tcW w:type="dxa" w:w="179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TA Research</w:t>
            </w:r>
          </w:p>
        </w:tc>
        <w:tc>
          <w:tcPr>
            <w:tcW w:type="dxa" w:w="8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Aug-26</w:t>
            </w:r>
          </w:p>
        </w:tc>
        <w:tc>
          <w:tcPr>
            <w:tcW w:type="dxa" w:w="15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Buy</w:t>
            </w:r>
          </w:p>
        </w:tc>
        <w:tc>
          <w:tcPr>
            <w:tcW w:type="dxa" w:w="15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2.48</w:t>
            </w:r>
          </w:p>
        </w:tc>
        <w:tc>
          <w:tcPr>
            <w:tcW w:type="dxa" w:w="387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50% holdco discount</w:t>
            </w:r>
          </w:p>
        </w:tc>
      </w:tr>
      <w:tr>
        <w:trPr>
          <w:cantSplit/>
        </w:trPr>
        <w:tc>
          <w:tcPr>
            <w:tcW w:type="dxa" w:w="179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Nomura</w:t>
            </w:r>
          </w:p>
        </w:tc>
        <w:tc>
          <w:tcPr>
            <w:tcW w:type="dxa" w:w="8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May-26</w:t>
            </w:r>
          </w:p>
        </w:tc>
        <w:tc>
          <w:tcPr>
            <w:tcW w:type="dxa" w:w="15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Hold</w:t>
            </w:r>
          </w:p>
        </w:tc>
        <w:tc>
          <w:tcPr>
            <w:tcW w:type="dxa" w:w="15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2.40 (from 3.00)</w:t>
            </w:r>
          </w:p>
        </w:tc>
        <w:tc>
          <w:tcPr>
            <w:tcW w:type="dxa" w:w="38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p>
        </w:tc>
      </w:tr>
      <w:tr>
        <w:trPr>
          <w:cantSplit/>
        </w:trPr>
        <w:tc>
          <w:tcPr>
            <w:tcW w:type="dxa" w:w="179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Citi</w:t>
            </w:r>
          </w:p>
        </w:tc>
        <w:tc>
          <w:tcPr>
            <w:tcW w:type="dxa" w:w="8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May-26</w:t>
            </w:r>
          </w:p>
        </w:tc>
        <w:tc>
          <w:tcPr>
            <w:tcW w:type="dxa" w:w="15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Buy</w:t>
            </w:r>
          </w:p>
        </w:tc>
        <w:tc>
          <w:tcPr>
            <w:tcW w:type="dxa" w:w="15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3.50 (from 3.80)</w:t>
            </w:r>
          </w:p>
        </w:tc>
        <w:tc>
          <w:tcPr>
            <w:tcW w:type="dxa" w:w="387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p>
        </w:tc>
      </w:tr>
      <w:tr>
        <w:trPr>
          <w:cantSplit/>
        </w:trPr>
        <w:tc>
          <w:tcPr>
            <w:tcW w:type="dxa" w:w="1790"/>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PhillipCapital</w:t>
            </w:r>
          </w:p>
        </w:tc>
        <w:tc>
          <w:tcPr>
            <w:tcW w:type="dxa" w:w="8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May-26</w:t>
            </w:r>
          </w:p>
        </w:tc>
        <w:tc>
          <w:tcPr>
            <w:tcW w:type="dxa" w:w="15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Buy</w:t>
            </w:r>
          </w:p>
        </w:tc>
        <w:tc>
          <w:tcPr>
            <w:tcW w:type="dxa" w:w="15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5"/>
                <w:szCs w:val="15"/>
              </w:rPr>
              <w:t xml:space="preserve">3.55 (from 3.95)</w:t>
            </w:r>
          </w:p>
        </w:tc>
        <w:tc>
          <w:tcPr>
            <w:tcW w:type="dxa" w:w="387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SOP</w:t>
            </w:r>
          </w:p>
        </w:tc>
      </w:tr>
      <w:tr>
        <w:trPr>
          <w:cantSplit/>
        </w:trPr>
        <w:tc>
          <w:tcPr>
            <w:tcW w:type="dxa" w:w="1790"/>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Bloomberg consensus</w:t>
            </w:r>
          </w:p>
        </w:tc>
        <w:tc>
          <w:tcPr>
            <w:tcW w:type="dxa" w:w="8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Oct-26</w:t>
            </w:r>
          </w:p>
        </w:tc>
        <w:tc>
          <w:tcPr>
            <w:tcW w:type="dxa" w:w="15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4 Buy / 7 Hold / 1 Sell</w:t>
            </w:r>
          </w:p>
        </w:tc>
        <w:tc>
          <w:tcPr>
            <w:tcW w:type="dxa" w:w="15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5"/>
                <w:szCs w:val="15"/>
              </w:rPr>
              <w:t xml:space="preserve">2.38 (avg)</w:t>
            </w:r>
          </w:p>
        </w:tc>
        <w:tc>
          <w:tcPr>
            <w:tcW w:type="dxa" w:w="387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Likely stale after October cuts</w:t>
            </w:r>
          </w:p>
        </w:tc>
      </w:tr>
    </w:tbl>
    <w:p>
      <w:pPr>
        <w:pStyle w:val="Heading1"/>
      </w:pPr>
      <w:r>
        <w:t xml:space="preserve">8. Management's Record on the Discount</w:t>
      </w:r>
    </w:p>
    <w:p>
      <w:pPr>
        <w:spacing w:after="120"/>
        <w:jc w:val="both"/>
      </w:pPr>
      <w:r>
        <w:rPr>
          <w:b/>
          <w:bCs/>
        </w:rPr>
        <w:t xml:space="preserve">Verdict: GENT has never run an explicit discount-narrowing programme.</w:t>
      </w:r>
      <w:r>
        <w:t xml:space="preserve"> Its capital allocation has prioritised control and growth (GENM, RWLV, RWNYC, Kasuri), increasingly funded with holdco-level debt. The few shareholder-friendly measures (special dividends in 2016–20, partial Kasuri sell-downs in 2026, family share purchases) were outweighed by actions that widened the discount.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1"/>
        <w:gridCol w:w="4308"/>
        <w:gridCol w:w="923"/>
        <w:gridCol w:w="2256"/>
        <w:gridCol w:w="618"/>
      </w:tblGrid>
      <w:tr>
        <w:trPr>
          <w:tblHeader/>
        </w:trPr>
        <w:tc>
          <w:tcPr>
            <w:tcW w:type="dxa" w:w="1641"/>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Lever</w:t>
            </w:r>
          </w:p>
        </w:tc>
        <w:tc>
          <w:tcPr>
            <w:tcW w:type="dxa" w:w="430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What management has done</w:t>
            </w:r>
          </w:p>
        </w:tc>
        <w:tc>
          <w:tcPr>
            <w:tcW w:type="dxa" w:w="923"/>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When</w:t>
            </w:r>
          </w:p>
        </w:tc>
        <w:tc>
          <w:tcPr>
            <w:tcW w:type="dxa" w:w="225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Effect on discount</w:t>
            </w:r>
          </w:p>
        </w:tc>
        <w:tc>
          <w:tcPr>
            <w:tcW w:type="dxa" w:w="61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Grade</w:t>
            </w:r>
          </w:p>
        </w:tc>
      </w:tr>
      <w:tr>
        <w:trPr>
          <w:cantSplit/>
        </w:trPr>
        <w:tc>
          <w:tcPr>
            <w:tcW w:type="dxa" w:w="164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Share buybacks (GENT)</w:t>
            </w:r>
          </w:p>
        </w:tc>
        <w:tc>
          <w:tcPr>
            <w:tcW w:type="dxa" w:w="430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26.32m treasury shares (cost RM221.2m), unchanged since at least 2020 and never cancelled. Mandate renewed every year but unused; CEO (June 2026): no buybacks, to conserve cash</w:t>
            </w:r>
          </w:p>
        </w:tc>
        <w:tc>
          <w:tcPr>
            <w:tcW w:type="dxa" w:w="92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≤2020; none since</w:t>
            </w:r>
          </w:p>
        </w:tc>
        <w:tc>
          <w:tcPr>
            <w:tcW w:type="dxa" w:w="225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Nil</w:t>
            </w:r>
          </w:p>
        </w:tc>
        <w:tc>
          <w:tcPr>
            <w:tcW w:type="dxa" w:w="6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4"/>
                <w:szCs w:val="14"/>
              </w:rPr>
              <w:t xml:space="preserve">D</w:t>
            </w:r>
          </w:p>
        </w:tc>
      </w:tr>
      <w:tr>
        <w:trPr>
          <w:cantSplit/>
        </w:trPr>
        <w:tc>
          <w:tcPr>
            <w:tcW w:type="dxa" w:w="164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Ordinary dividends</w:t>
            </w:r>
          </w:p>
        </w:tc>
        <w:tc>
          <w:tcPr>
            <w:tcW w:type="dxa" w:w="430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DPS (incl. specials, sen): 12.5 (2016), 21.5 (2017), 21.5 (2018), 22.0 (2019), 15.0 (2020), 11.0 (2021), 16.0 (2022), 15.0 (2023), 11.0 (2024), 5.0 (2025). First-ever skipped interim (Aug-25); 2026 interim skipped too</w:t>
            </w:r>
          </w:p>
        </w:tc>
        <w:tc>
          <w:tcPr>
            <w:tcW w:type="dxa" w:w="92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2016–26</w:t>
            </w:r>
          </w:p>
        </w:tc>
        <w:tc>
          <w:tcPr>
            <w:tcW w:type="dxa" w:w="225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Supportive in 2016–19; now negative</w:t>
            </w:r>
          </w:p>
        </w:tc>
        <w:tc>
          <w:tcPr>
            <w:tcW w:type="dxa" w:w="6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4"/>
                <w:szCs w:val="14"/>
              </w:rPr>
              <w:t xml:space="preserve">C–</w:t>
            </w:r>
          </w:p>
        </w:tc>
      </w:tr>
      <w:tr>
        <w:trPr>
          <w:cantSplit/>
        </w:trPr>
        <w:tc>
          <w:tcPr>
            <w:tcW w:type="dxa" w:w="164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Special dividends</w:t>
            </w:r>
          </w:p>
        </w:tc>
        <w:tc>
          <w:tcPr>
            <w:tcW w:type="dxa" w:w="430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6.5 sen (2016), 7.0 (2017), 7.0 (2018), 9.5 (2019), 8.5 (2020); none since</w:t>
            </w:r>
          </w:p>
        </w:tc>
        <w:tc>
          <w:tcPr>
            <w:tcW w:type="dxa" w:w="92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2016–20</w:t>
            </w:r>
          </w:p>
        </w:tc>
        <w:tc>
          <w:tcPr>
            <w:tcW w:type="dxa" w:w="225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Positive while it lasted</w:t>
            </w:r>
          </w:p>
        </w:tc>
        <w:tc>
          <w:tcPr>
            <w:tcW w:type="dxa" w:w="6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4"/>
                <w:szCs w:val="14"/>
              </w:rPr>
              <w:t xml:space="preserve">B</w:t>
            </w:r>
          </w:p>
        </w:tc>
      </w:tr>
      <w:tr>
        <w:trPr>
          <w:cantSplit/>
        </w:trPr>
        <w:tc>
          <w:tcPr>
            <w:tcW w:type="dxa" w:w="164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Asset sales / monetisation</w:t>
            </w:r>
          </w:p>
        </w:tc>
        <w:tc>
          <w:tcPr>
            <w:tcW w:type="dxa" w:w="430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5% of PT Layar Nusantara Gas (US$38.6m, Sep-26) and 5% of the Kasuri PSC (US$9.6m, pending); a subsidiary sold in 1Q26 (proceeds RM46.9m); GENP land sale (2025, RM261.2m gain) and GENM disposals (RM77.1m gain) at subsidiary level</w:t>
            </w:r>
          </w:p>
        </w:tc>
        <w:tc>
          <w:tcPr>
            <w:tcW w:type="dxa" w:w="92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2025–26</w:t>
            </w:r>
          </w:p>
        </w:tc>
        <w:tc>
          <w:tcPr>
            <w:tcW w:type="dxa" w:w="225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Small vs RM22bn ex-listed net debt; validates private marks</w:t>
            </w:r>
          </w:p>
        </w:tc>
        <w:tc>
          <w:tcPr>
            <w:tcW w:type="dxa" w:w="6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4"/>
                <w:szCs w:val="14"/>
              </w:rPr>
              <w:t xml:space="preserve">C</w:t>
            </w:r>
          </w:p>
        </w:tc>
      </w:tr>
      <w:tr>
        <w:trPr>
          <w:cantSplit/>
        </w:trPr>
        <w:tc>
          <w:tcPr>
            <w:tcW w:type="dxa" w:w="164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Reduction in listed holdings</w:t>
            </w:r>
          </w:p>
        </w:tc>
        <w:tc>
          <w:tcPr>
            <w:tcW w:type="dxa" w:w="430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None. The opposite: GENM raised from 49.4% to 73.8% for ~RM3.2bn of debt-funded cash; GENS and GENP stakes unchanged</w:t>
            </w:r>
          </w:p>
        </w:tc>
        <w:tc>
          <w:tcPr>
            <w:tcW w:type="dxa" w:w="92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2025–26</w:t>
            </w:r>
          </w:p>
        </w:tc>
        <w:tc>
          <w:tcPr>
            <w:tcW w:type="dxa" w:w="225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Widened — added holdco debt; GENM now trades 46% below the offer price</w:t>
            </w:r>
          </w:p>
        </w:tc>
        <w:tc>
          <w:tcPr>
            <w:tcW w:type="dxa" w:w="6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4"/>
                <w:szCs w:val="14"/>
              </w:rPr>
              <w:t xml:space="preserve">F</w:t>
            </w:r>
          </w:p>
        </w:tc>
      </w:tr>
      <w:tr>
        <w:trPr>
          <w:cantSplit/>
        </w:trPr>
        <w:tc>
          <w:tcPr>
            <w:tcW w:type="dxa" w:w="164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Subsidiary capital returns</w:t>
            </w:r>
          </w:p>
        </w:tc>
        <w:tc>
          <w:tcPr>
            <w:tcW w:type="dxa" w:w="430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GENS buyback restarted Apr-26 (S$13.65m against S$2.9bn of cash); GENP 14-sen special (FY25); GENM none (2026 interim skipped)</w:t>
            </w:r>
          </w:p>
        </w:tc>
        <w:tc>
          <w:tcPr>
            <w:tcW w:type="dxa" w:w="92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2025–26</w:t>
            </w:r>
          </w:p>
        </w:tc>
        <w:tc>
          <w:tcPr>
            <w:tcW w:type="dxa" w:w="225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Marginal</w:t>
            </w:r>
          </w:p>
        </w:tc>
        <w:tc>
          <w:tcPr>
            <w:tcW w:type="dxa" w:w="6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4"/>
                <w:szCs w:val="14"/>
              </w:rPr>
              <w:t xml:space="preserve">C</w:t>
            </w:r>
          </w:p>
        </w:tc>
      </w:tr>
      <w:tr>
        <w:trPr>
          <w:cantSplit/>
        </w:trPr>
        <w:tc>
          <w:tcPr>
            <w:tcW w:type="dxa" w:w="164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Liability management</w:t>
            </w:r>
          </w:p>
        </w:tc>
        <w:tc>
          <w:tcPr>
            <w:tcW w:type="dxa" w:w="430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US$1.25bn perpetuals (Apr-26) with a tender for US$882.5m of GOHL 2027 notes: extends maturities, but at 7.6–8.3% coupons and with a GENT contingent put</w:t>
            </w:r>
          </w:p>
        </w:tc>
        <w:tc>
          <w:tcPr>
            <w:tcW w:type="dxa" w:w="92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2026</w:t>
            </w:r>
          </w:p>
        </w:tc>
        <w:tc>
          <w:tcPr>
            <w:tcW w:type="dxa" w:w="225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Neutral; costly, "not cash deleveraging" (Fitch)</w:t>
            </w:r>
          </w:p>
        </w:tc>
        <w:tc>
          <w:tcPr>
            <w:tcW w:type="dxa" w:w="6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4"/>
                <w:szCs w:val="14"/>
              </w:rPr>
              <w:t xml:space="preserve">C</w:t>
            </w:r>
          </w:p>
        </w:tc>
      </w:tr>
      <w:tr>
        <w:trPr>
          <w:cantSplit/>
        </w:trPr>
        <w:tc>
          <w:tcPr>
            <w:tcW w:type="dxa" w:w="164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Equity raising</w:t>
            </w:r>
          </w:p>
        </w:tc>
        <w:tc>
          <w:tcPr>
            <w:tcW w:type="dxa" w:w="430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RM1.25bn renounceable rights at a 25–30% discount to TERP; RM280m earmarked for interest</w:t>
            </w:r>
          </w:p>
        </w:tc>
        <w:tc>
          <w:tcPr>
            <w:tcW w:type="dxa" w:w="92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Oct-26</w:t>
            </w:r>
          </w:p>
        </w:tc>
        <w:tc>
          <w:tcPr>
            <w:tcW w:type="dxa" w:w="225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Negative short-term (–23% day one); necessary for the balance sheet</w:t>
            </w:r>
          </w:p>
        </w:tc>
        <w:tc>
          <w:tcPr>
            <w:tcW w:type="dxa" w:w="6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4"/>
                <w:szCs w:val="14"/>
              </w:rPr>
              <w:t xml:space="preserve">D</w:t>
            </w:r>
          </w:p>
        </w:tc>
      </w:tr>
      <w:tr>
        <w:trPr>
          <w:cantSplit/>
        </w:trPr>
        <w:tc>
          <w:tcPr>
            <w:tcW w:type="dxa" w:w="164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Structural simplification</w:t>
            </w:r>
          </w:p>
        </w:tc>
        <w:tc>
          <w:tcPr>
            <w:tcW w:type="dxa" w:w="430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None proposed. GENM kept listed at 73.8%; no GENT–GENM merger, no in-specie distribution, no sale of GENP</w:t>
            </w:r>
          </w:p>
        </w:tc>
        <w:tc>
          <w:tcPr>
            <w:tcW w:type="dxa" w:w="92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w:t>
            </w:r>
          </w:p>
        </w:tc>
        <w:tc>
          <w:tcPr>
            <w:tcW w:type="dxa" w:w="225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Nil</w:t>
            </w:r>
          </w:p>
        </w:tc>
        <w:tc>
          <w:tcPr>
            <w:tcW w:type="dxa" w:w="6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4"/>
                <w:szCs w:val="14"/>
              </w:rPr>
              <w:t xml:space="preserve">F</w:t>
            </w:r>
          </w:p>
        </w:tc>
      </w:tr>
      <w:tr>
        <w:trPr>
          <w:cantSplit/>
        </w:trPr>
        <w:tc>
          <w:tcPr>
            <w:tcW w:type="dxa" w:w="164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Insider / controlling-holder support</w:t>
            </w:r>
          </w:p>
        </w:tc>
        <w:tc>
          <w:tcPr>
            <w:tcW w:type="dxa" w:w="430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Kien Huat buying at RM1.39–1.49 (Oct-26); full rights take-up undertaken (RM563.8m); CEO buying</w:t>
            </w:r>
          </w:p>
        </w:tc>
        <w:tc>
          <w:tcPr>
            <w:tcW w:type="dxa" w:w="92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Oct-26</w:t>
            </w:r>
          </w:p>
        </w:tc>
        <w:tc>
          <w:tcPr>
            <w:tcW w:type="dxa" w:w="225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Positive signal</w:t>
            </w:r>
          </w:p>
        </w:tc>
        <w:tc>
          <w:tcPr>
            <w:tcW w:type="dxa" w:w="61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4"/>
                <w:szCs w:val="14"/>
              </w:rPr>
              <w:t xml:space="preserve">B</w:t>
            </w:r>
          </w:p>
        </w:tc>
      </w:tr>
      <w:tr>
        <w:trPr>
          <w:cantSplit/>
        </w:trPr>
        <w:tc>
          <w:tcPr>
            <w:tcW w:type="dxa" w:w="164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Disclosure / NAV communication</w:t>
            </w:r>
          </w:p>
        </w:tc>
        <w:tc>
          <w:tcPr>
            <w:tcW w:type="dxa" w:w="430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Good segment disclosure and RWLV commentary; no published NAV, holdco net debt or capital-allocation framework; no discount target</w:t>
            </w:r>
          </w:p>
        </w:tc>
        <w:tc>
          <w:tcPr>
            <w:tcW w:type="dxa" w:w="92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Ongoing</w:t>
            </w:r>
          </w:p>
        </w:tc>
        <w:tc>
          <w:tcPr>
            <w:tcW w:type="dxa" w:w="225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Missed opportunity</w:t>
            </w:r>
          </w:p>
        </w:tc>
        <w:tc>
          <w:tcPr>
            <w:tcW w:type="dxa" w:w="61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4"/>
                <w:szCs w:val="14"/>
              </w:rPr>
              <w:t xml:space="preserve">C–</w:t>
            </w:r>
          </w:p>
        </w:tc>
      </w:tr>
    </w:tbl>
    <w:p>
      <w:pPr>
        <w:spacing w:after="160"/>
      </w:pPr>
      <w:r>
        <w:rPr>
          <w:i/>
          <w:iCs/>
          <w:color w:val="595959"/>
          <w:sz w:val="16"/>
          <w:szCs w:val="16"/>
        </w:rPr>
        <w:t xml:space="preserve">DPS history from annual reports via S&amp;P Capital IQ (CapIQ's own DPS series excludes specials). Earlier disposals (Lanco, Genting Sanyen) and the 2013–18 warrants could not be verified in this session and are omitted. Grades are our assessment.</w:t>
      </w:r>
    </w:p>
    <w:p>
      <w:pPr>
        <w:pStyle w:val="Heading2"/>
      </w:pPr>
      <w:r>
        <w:t xml:space="preserve">8.1 What the pattern tells us</w:t>
      </w:r>
    </w:p>
    <w:p>
      <w:pPr>
        <w:pStyle w:val="ListParagraph"/>
        <w:numPr>
          <w:ilvl w:val="0"/>
          <w:numId w:val="2"/>
        </w:numPr>
        <w:spacing w:after="60"/>
      </w:pPr>
      <w:r>
        <w:rPr>
          <w:b/>
          <w:bCs/>
        </w:rPr>
        <w:t xml:space="preserve">The discount widened most when the holdco borrowed for control.</w:t>
      </w:r>
      <w:r>
        <w:t xml:space="preserve"> The GENM offer added ~RM3.2bn of holdco debt; at today's GENM price the stake bought is worth ~RM1.8bn — a ~RM1.5bn (RM0.39/share) mark-to-market loss, roughly a quarter of GENT's current market value.</w:t>
      </w:r>
    </w:p>
    <w:p>
      <w:pPr>
        <w:pStyle w:val="ListParagraph"/>
        <w:numPr>
          <w:ilvl w:val="0"/>
          <w:numId w:val="2"/>
        </w:numPr>
        <w:spacing w:after="60"/>
      </w:pPr>
      <w:r>
        <w:rPr>
          <w:b/>
          <w:bCs/>
        </w:rPr>
        <w:t xml:space="preserve">Management does respond to balance-sheet pressure</w:t>
      </w:r>
      <w:r>
        <w:t xml:space="preserve">, not to the discount itself: interim dividends were skipped, perpetuals issued, Kasuri partially sold and equity raised only once ratings were cut. An activist agenda framed around credit metrics (protecting investment grade) is more likely to land than one framed around the share-price discount.</w:t>
      </w:r>
    </w:p>
    <w:p>
      <w:pPr>
        <w:pStyle w:val="ListParagraph"/>
        <w:numPr>
          <w:ilvl w:val="0"/>
          <w:numId w:val="2"/>
        </w:numPr>
        <w:spacing w:after="60"/>
      </w:pPr>
      <w:r>
        <w:rPr>
          <w:b/>
          <w:bCs/>
        </w:rPr>
        <w:t xml:space="preserve">Family alignment shows up in buying, not in distributions.</w:t>
      </w:r>
      <w:r>
        <w:t xml:space="preserve"> Kien Huat prefers to add to its stake when the shares are cheap (2025 and October 2026) rather than press for payouts. That fits a long-horizon controlling holder, and carries a latent risk that it eventually proposes to take GENT private at a low premium.</w:t>
      </w:r>
    </w:p>
    <w:p>
      <w:pPr>
        <w:pStyle w:val="Heading1"/>
      </w:pPr>
      <w:r>
        <w:t xml:space="preserve">9. Pre-Mortem</w:t>
      </w:r>
    </w:p>
    <w:p>
      <w:pPr>
        <w:spacing w:after="120"/>
        <w:jc w:val="both"/>
      </w:pPr>
      <w:r>
        <w:rPr>
          <w:b/>
          <w:bCs/>
        </w:rPr>
        <w:t xml:space="preserve">Premise:</w:t>
      </w:r>
      <w:r>
        <w:t xml:space="preserve"> it is October 2027. A position initiated at RM1.45 is down 40–50%, and the discount to NAV is wider than when we bought. Working backwards, these are the most plausible causes, ranked by our estimate of likelihood × severity.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
        <w:gridCol w:w="1491"/>
        <w:gridCol w:w="2983"/>
        <w:gridCol w:w="895"/>
        <w:gridCol w:w="1988"/>
        <w:gridCol w:w="2091"/>
      </w:tblGrid>
      <w:tr>
        <w:trPr>
          <w:tblHeader/>
        </w:trPr>
        <w:tc>
          <w:tcPr>
            <w:tcW w:type="dxa" w:w="29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3"/>
                <w:szCs w:val="13"/>
              </w:rPr>
              <w:t xml:space="preserve">#</w:t>
            </w:r>
          </w:p>
        </w:tc>
        <w:tc>
          <w:tcPr>
            <w:tcW w:type="dxa" w:w="1491"/>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3"/>
                <w:szCs w:val="13"/>
              </w:rPr>
              <w:t xml:space="preserve">Failure mode</w:t>
            </w:r>
          </w:p>
        </w:tc>
        <w:tc>
          <w:tcPr>
            <w:tcW w:type="dxa" w:w="2983"/>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3"/>
                <w:szCs w:val="13"/>
              </w:rPr>
              <w:t xml:space="preserve">How it unfolds</w:t>
            </w:r>
          </w:p>
        </w:tc>
        <w:tc>
          <w:tcPr>
            <w:tcW w:type="dxa" w:w="895"/>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3"/>
                <w:szCs w:val="13"/>
              </w:rPr>
              <w:t xml:space="preserve">Likelihood</w:t>
            </w:r>
          </w:p>
        </w:tc>
        <w:tc>
          <w:tcPr>
            <w:tcW w:type="dxa" w:w="198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3"/>
                <w:szCs w:val="13"/>
              </w:rPr>
              <w:t xml:space="preserve">Early-warning indicators</w:t>
            </w:r>
          </w:p>
        </w:tc>
        <w:tc>
          <w:tcPr>
            <w:tcW w:type="dxa" w:w="2091"/>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3"/>
                <w:szCs w:val="13"/>
              </w:rPr>
              <w:t xml:space="preserve">Mitigant / response</w:t>
            </w:r>
          </w:p>
        </w:tc>
      </w:tr>
      <w:tr>
        <w:trPr>
          <w:cantSplit/>
        </w:trPr>
        <w:tc>
          <w:tcPr>
            <w:tcW w:type="dxa" w:w="29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3"/>
                <w:szCs w:val="13"/>
              </w:rPr>
              <w:t xml:space="preserve">1</w:t>
            </w:r>
          </w:p>
        </w:tc>
        <w:tc>
          <w:tcPr>
            <w:tcW w:type="dxa" w:w="14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Second equity raise / dilution spiral</w:t>
            </w:r>
          </w:p>
        </w:tc>
        <w:tc>
          <w:tcPr>
            <w:tcW w:type="dxa" w:w="29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Rights priced near RM0.95–1.00 because the share price stays low; S&amp;P cuts to BB+; GOHL refinancing and RWLV support require a 2027 placement or a second rights issue (Maybank's scenario)</w:t>
            </w:r>
          </w:p>
        </w:tc>
        <w:tc>
          <w:tcPr>
            <w:tcW w:type="dxa" w:w="8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3"/>
                <w:szCs w:val="13"/>
              </w:rPr>
              <w:t xml:space="preserve">Medium–High</w:t>
            </w:r>
          </w:p>
        </w:tc>
        <w:tc>
          <w:tcPr>
            <w:tcW w:type="dxa" w:w="19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S&amp;P action; GOHL 2027/perp bond prices; rights take-up and underwriter shortfall; drawdowns on the US$1.2bn Genting USA facility</w:t>
            </w:r>
          </w:p>
        </w:tc>
        <w:tc>
          <w:tcPr>
            <w:tcW w:type="dxa" w:w="20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Participate only via nil-paid rights / excess at TERP discounts; hedge with GENS/GENM shorts; exit if a further raise is announced</w:t>
            </w:r>
          </w:p>
        </w:tc>
      </w:tr>
      <w:tr>
        <w:trPr>
          <w:cantSplit/>
        </w:trPr>
        <w:tc>
          <w:tcPr>
            <w:tcW w:type="dxa" w:w="29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3"/>
                <w:szCs w:val="13"/>
              </w:rPr>
              <w:t xml:space="preserve">2</w:t>
            </w:r>
          </w:p>
        </w:tc>
        <w:tc>
          <w:tcPr>
            <w:tcW w:type="dxa" w:w="14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3"/>
                <w:szCs w:val="13"/>
              </w:rPr>
              <w:t xml:space="preserve">RWLV becomes a capital sink</w:t>
            </w:r>
          </w:p>
        </w:tc>
        <w:tc>
          <w:tcPr>
            <w:tcW w:type="dxa" w:w="298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3"/>
                <w:szCs w:val="13"/>
              </w:rPr>
              <w:t xml:space="preserve">EBITDA stalls at US$100–150m; covenant step-downs force GENT to inject US$300–500m before the Oct-27 term-loan refinancing; RWLV book (~RM14.5bn) impaired; RICO/AML escalation</w:t>
            </w:r>
          </w:p>
        </w:tc>
        <w:tc>
          <w:tcPr>
            <w:tcW w:type="dxa" w:w="8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3"/>
                <w:szCs w:val="13"/>
              </w:rPr>
              <w:t xml:space="preserve">Medium</w:t>
            </w:r>
          </w:p>
        </w:tc>
        <w:tc>
          <w:tcPr>
            <w:tcW w:type="dxa" w:w="19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3"/>
                <w:szCs w:val="13"/>
              </w:rPr>
              <w:t xml:space="preserve">Quarterly RWLV adjusted EBITDA (&lt; RM150m a quarter); covenant disclosures; Nevada regulatory actions</w:t>
            </w:r>
          </w:p>
        </w:tc>
        <w:tc>
          <w:tcPr>
            <w:tcW w:type="dxa" w:w="20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3"/>
                <w:szCs w:val="13"/>
              </w:rPr>
              <w:t xml:space="preserve">Push for ring-fencing / partner; size the position to survive RWLV equity at zero</w:t>
            </w:r>
          </w:p>
        </w:tc>
      </w:tr>
      <w:tr>
        <w:trPr>
          <w:cantSplit/>
        </w:trPr>
        <w:tc>
          <w:tcPr>
            <w:tcW w:type="dxa" w:w="29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3"/>
                <w:szCs w:val="13"/>
              </w:rPr>
              <w:t xml:space="preserve">3</w:t>
            </w:r>
          </w:p>
        </w:tc>
        <w:tc>
          <w:tcPr>
            <w:tcW w:type="dxa" w:w="14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Kasuri slips again</w:t>
            </w:r>
          </w:p>
        </w:tc>
        <w:tc>
          <w:tcPr>
            <w:tcW w:type="dxa" w:w="29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Gas sales agreement unsigned; FLNG commissioning issues; first LNG moves to 2028+; capex overrun on a US$3.4bn programme; RAJA/RATU do not complete the PSC tranche</w:t>
            </w:r>
          </w:p>
        </w:tc>
        <w:tc>
          <w:tcPr>
            <w:tcW w:type="dxa" w:w="8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3"/>
                <w:szCs w:val="13"/>
              </w:rPr>
              <w:t xml:space="preserve">Medium</w:t>
            </w:r>
          </w:p>
        </w:tc>
        <w:tc>
          <w:tcPr>
            <w:tcW w:type="dxa" w:w="19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SKK Migas statements; Wison delivery; PSC tranche completion by Feb-27</w:t>
            </w:r>
          </w:p>
        </w:tc>
        <w:tc>
          <w:tcPr>
            <w:tcW w:type="dxa" w:w="20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Haircut O&amp;G value to zero in the stress case; still NAV-positive in base case</w:t>
            </w:r>
          </w:p>
        </w:tc>
      </w:tr>
      <w:tr>
        <w:trPr>
          <w:cantSplit/>
        </w:trPr>
        <w:tc>
          <w:tcPr>
            <w:tcW w:type="dxa" w:w="29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3"/>
                <w:szCs w:val="13"/>
              </w:rPr>
              <w:t xml:space="preserve">4</w:t>
            </w:r>
          </w:p>
        </w:tc>
        <w:tc>
          <w:tcPr>
            <w:tcW w:type="dxa" w:w="14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3"/>
                <w:szCs w:val="13"/>
              </w:rPr>
              <w:t xml:space="preserve">GENM/RWNYC disappoints</w:t>
            </w:r>
          </w:p>
        </w:tc>
        <w:tc>
          <w:tcPr>
            <w:tcW w:type="dxa" w:w="298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3"/>
                <w:szCs w:val="13"/>
              </w:rPr>
              <w:t xml:space="preserve">Bronx and Queens competition; slower table-game ramp; US$5.5bn capex overruns; GENM needs equity and GENT funds 73.8%</w:t>
            </w:r>
          </w:p>
        </w:tc>
        <w:tc>
          <w:tcPr>
            <w:tcW w:type="dxa" w:w="8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3"/>
                <w:szCs w:val="13"/>
              </w:rPr>
              <w:t xml:space="preserve">Medium</w:t>
            </w:r>
          </w:p>
        </w:tc>
        <w:tc>
          <w:tcPr>
            <w:tcW w:type="dxa" w:w="19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3"/>
                <w:szCs w:val="13"/>
              </w:rPr>
              <w:t xml:space="preserve">NY Gaming Commission weekly GGR; GENM gearing (net ~135%); GENM dividend</w:t>
            </w:r>
          </w:p>
        </w:tc>
        <w:tc>
          <w:tcPr>
            <w:tcW w:type="dxa" w:w="20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3"/>
                <w:szCs w:val="13"/>
              </w:rPr>
              <w:t xml:space="preserve">GENM is 26% of listed value; hedge with a GENM short</w:t>
            </w:r>
          </w:p>
        </w:tc>
      </w:tr>
      <w:tr>
        <w:trPr>
          <w:cantSplit/>
        </w:trPr>
        <w:tc>
          <w:tcPr>
            <w:tcW w:type="dxa" w:w="29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3"/>
                <w:szCs w:val="13"/>
              </w:rPr>
              <w:t xml:space="preserve">5</w:t>
            </w:r>
          </w:p>
        </w:tc>
        <w:tc>
          <w:tcPr>
            <w:tcW w:type="dxa" w:w="14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Genting Singapore earnings erosion</w:t>
            </w:r>
          </w:p>
        </w:tc>
        <w:tc>
          <w:tcPr>
            <w:tcW w:type="dxa" w:w="29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Market-share loss to MBS persists; RWS 2.0 capex absorbs cash; GENS cuts its dividend, removing ~RM0.8bn of upstream cash</w:t>
            </w:r>
          </w:p>
        </w:tc>
        <w:tc>
          <w:tcPr>
            <w:tcW w:type="dxa" w:w="8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3"/>
                <w:szCs w:val="13"/>
              </w:rPr>
              <w:t xml:space="preserve">Low–Medium</w:t>
            </w:r>
          </w:p>
        </w:tc>
        <w:tc>
          <w:tcPr>
            <w:tcW w:type="dxa" w:w="19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GENS quarterly EBITDA, VIP volumes; RWS 2.0 cost revisions</w:t>
            </w:r>
          </w:p>
        </w:tc>
        <w:tc>
          <w:tcPr>
            <w:tcW w:type="dxa" w:w="20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Engage GENS minorities on a capital return</w:t>
            </w:r>
          </w:p>
        </w:tc>
      </w:tr>
      <w:tr>
        <w:trPr>
          <w:cantSplit/>
        </w:trPr>
        <w:tc>
          <w:tcPr>
            <w:tcW w:type="dxa" w:w="29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3"/>
                <w:szCs w:val="13"/>
              </w:rPr>
              <w:t xml:space="preserve">6</w:t>
            </w:r>
          </w:p>
        </w:tc>
        <w:tc>
          <w:tcPr>
            <w:tcW w:type="dxa" w:w="14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3"/>
                <w:szCs w:val="13"/>
              </w:rPr>
              <w:t xml:space="preserve">Low-ball take-private by Kien Huat</w:t>
            </w:r>
          </w:p>
        </w:tc>
        <w:tc>
          <w:tcPr>
            <w:tcW w:type="dxa" w:w="298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3"/>
                <w:szCs w:val="13"/>
              </w:rPr>
              <w:t xml:space="preserve">With shares at 0.19x book and Kien Huat at 45%, a privatisation offer at RM1.80–2.00 captures most of the discount for the family; institutions accept for liquidity</w:t>
            </w:r>
          </w:p>
        </w:tc>
        <w:tc>
          <w:tcPr>
            <w:tcW w:type="dxa" w:w="8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3"/>
                <w:szCs w:val="13"/>
              </w:rPr>
              <w:t xml:space="preserve">Low–Medium</w:t>
            </w:r>
          </w:p>
        </w:tc>
        <w:tc>
          <w:tcPr>
            <w:tcW w:type="dxa" w:w="19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3"/>
                <w:szCs w:val="13"/>
              </w:rPr>
              <w:t xml:space="preserve">Kien Huat creeping purchases (2% per 6 months); unusual financing at the Kien Huat level</w:t>
            </w:r>
          </w:p>
        </w:tc>
        <w:tc>
          <w:tcPr>
            <w:tcW w:type="dxa" w:w="20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3"/>
                <w:szCs w:val="13"/>
              </w:rPr>
              <w:t xml:space="preserve">Pre-agree a blocking coalition: a selective capital reduction needs approval by 75% of disinterested votes and fails if objections exceed 10% of disinterested shares; delisting by offer needs 75%/90% thresholds; demand an independent valuation</w:t>
            </w:r>
          </w:p>
        </w:tc>
      </w:tr>
      <w:tr>
        <w:trPr>
          <w:cantSplit/>
        </w:trPr>
        <w:tc>
          <w:tcPr>
            <w:tcW w:type="dxa" w:w="29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3"/>
                <w:szCs w:val="13"/>
              </w:rPr>
              <w:t xml:space="preserve">7</w:t>
            </w:r>
          </w:p>
        </w:tc>
        <w:tc>
          <w:tcPr>
            <w:tcW w:type="dxa" w:w="14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Macro / policy shock</w:t>
            </w:r>
          </w:p>
        </w:tc>
        <w:tc>
          <w:tcPr>
            <w:tcW w:type="dxa" w:w="29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Malaysian casino-duty increase in the budget; MYR weakness; US slowdown hits the Strip; China outbound curbs; LNG price collapse</w:t>
            </w:r>
          </w:p>
        </w:tc>
        <w:tc>
          <w:tcPr>
            <w:tcW w:type="dxa" w:w="8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3"/>
                <w:szCs w:val="13"/>
              </w:rPr>
              <w:t xml:space="preserve">Low–Medium</w:t>
            </w:r>
          </w:p>
        </w:tc>
        <w:tc>
          <w:tcPr>
            <w:tcW w:type="dxa" w:w="19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Budget announcements; Strip RevPAR; JKM LNG price</w:t>
            </w:r>
          </w:p>
        </w:tc>
        <w:tc>
          <w:tcPr>
            <w:tcW w:type="dxa" w:w="20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Diversified asset base partly offsets</w:t>
            </w:r>
          </w:p>
        </w:tc>
      </w:tr>
      <w:tr>
        <w:trPr>
          <w:cantSplit/>
        </w:trPr>
        <w:tc>
          <w:tcPr>
            <w:tcW w:type="dxa" w:w="29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3"/>
                <w:szCs w:val="13"/>
              </w:rPr>
              <w:t xml:space="preserve">8</w:t>
            </w:r>
          </w:p>
        </w:tc>
        <w:tc>
          <w:tcPr>
            <w:tcW w:type="dxa" w:w="14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3"/>
                <w:szCs w:val="13"/>
              </w:rPr>
              <w:t xml:space="preserve">Index deletion and liquidity spiral</w:t>
            </w:r>
          </w:p>
        </w:tc>
        <w:tc>
          <w:tcPr>
            <w:tcW w:type="dxa" w:w="298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3"/>
                <w:szCs w:val="13"/>
              </w:rPr>
              <w:t xml:space="preserve">FBM KLCI deletion and a lower MSCI weight trigger passive selling; foreign ownership falls; the discount becomes "permanent"</w:t>
            </w:r>
          </w:p>
        </w:tc>
        <w:tc>
          <w:tcPr>
            <w:tcW w:type="dxa" w:w="89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3"/>
                <w:szCs w:val="13"/>
              </w:rPr>
              <w:t xml:space="preserve">Medium</w:t>
            </w:r>
          </w:p>
        </w:tc>
        <w:tc>
          <w:tcPr>
            <w:tcW w:type="dxa" w:w="19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3"/>
                <w:szCs w:val="13"/>
              </w:rPr>
              <w:t xml:space="preserve">Index review cut-offs (semi-annual)</w:t>
            </w:r>
          </w:p>
        </w:tc>
        <w:tc>
          <w:tcPr>
            <w:tcW w:type="dxa" w:w="20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3"/>
                <w:szCs w:val="13"/>
              </w:rPr>
              <w:t xml:space="preserve">Use index-driven selling to accumulate; long holding period</w:t>
            </w:r>
          </w:p>
        </w:tc>
      </w:tr>
      <w:tr>
        <w:trPr>
          <w:cantSplit/>
        </w:trPr>
        <w:tc>
          <w:tcPr>
            <w:tcW w:type="dxa" w:w="29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3"/>
                <w:szCs w:val="13"/>
              </w:rPr>
              <w:t xml:space="preserve">9</w:t>
            </w:r>
          </w:p>
        </w:tc>
        <w:tc>
          <w:tcPr>
            <w:tcW w:type="dxa" w:w="14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Accounting reset</w:t>
            </w:r>
          </w:p>
        </w:tc>
        <w:tc>
          <w:tcPr>
            <w:tcW w:type="dxa" w:w="29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Impairments on RWLV, O&amp;G and TauRx cut book value by RM5–10bn; P/B "cheapness" evaporates</w:t>
            </w:r>
          </w:p>
        </w:tc>
        <w:tc>
          <w:tcPr>
            <w:tcW w:type="dxa" w:w="89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3"/>
                <w:szCs w:val="13"/>
              </w:rPr>
              <w:t xml:space="preserve">Medium</w:t>
            </w:r>
          </w:p>
        </w:tc>
        <w:tc>
          <w:tcPr>
            <w:tcW w:type="dxa" w:w="19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Year-end impairment testing (FY26 results, Feb-27)</w:t>
            </w:r>
          </w:p>
        </w:tc>
        <w:tc>
          <w:tcPr>
            <w:tcW w:type="dxa" w:w="20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3"/>
                <w:szCs w:val="13"/>
              </w:rPr>
              <w:t xml:space="preserve">Our NAV already marks these well below book</w:t>
            </w:r>
          </w:p>
        </w:tc>
      </w:tr>
    </w:tbl>
    <w:p>
      <w:pPr>
        <w:pStyle w:val="Heading2"/>
      </w:pPr>
      <w:r>
        <w:t xml:space="preserve">9.1 Thesis-break triggers (pre-commitments)</w:t>
      </w:r>
    </w:p>
    <w:p>
      <w:pPr>
        <w:pStyle w:val="ListParagraph"/>
        <w:numPr>
          <w:ilvl w:val="0"/>
          <w:numId w:val="2"/>
        </w:numPr>
        <w:spacing w:after="60"/>
      </w:pPr>
      <w:r>
        <w:t xml:space="preserve">A second equity raise announced before Kasuri first LNG.</w:t>
      </w:r>
    </w:p>
    <w:p>
      <w:pPr>
        <w:pStyle w:val="ListParagraph"/>
        <w:numPr>
          <w:ilvl w:val="0"/>
          <w:numId w:val="2"/>
        </w:numPr>
        <w:spacing w:after="60"/>
      </w:pPr>
      <w:r>
        <w:t xml:space="preserve">A cumulative GENT cash injection into RWLV above US$300m in any 12-month period, or a new GENT guarantee of RWLV debt.</w:t>
      </w:r>
    </w:p>
    <w:p>
      <w:pPr>
        <w:pStyle w:val="ListParagraph"/>
        <w:numPr>
          <w:ilvl w:val="0"/>
          <w:numId w:val="2"/>
        </w:numPr>
        <w:spacing w:after="60"/>
      </w:pPr>
      <w:r>
        <w:t xml:space="preserve">Two investment-grade ratings lost without an accompanying disposal programme.</w:t>
      </w:r>
    </w:p>
    <w:p>
      <w:pPr>
        <w:pStyle w:val="ListParagraph"/>
        <w:numPr>
          <w:ilvl w:val="0"/>
          <w:numId w:val="2"/>
        </w:numPr>
        <w:spacing w:after="60"/>
      </w:pPr>
      <w:r>
        <w:t xml:space="preserve">Any related-party transaction that moves value from GENT minorities to Kien Huat (asset purchases from, or sales to, family vehicles) without an independent valuation.</w:t>
      </w:r>
    </w:p>
    <w:p>
      <w:pPr>
        <w:pStyle w:val="ListParagraph"/>
        <w:numPr>
          <w:ilvl w:val="0"/>
          <w:numId w:val="2"/>
        </w:numPr>
        <w:spacing w:after="60"/>
      </w:pPr>
      <w:r>
        <w:t xml:space="preserve">A GENS dividend cut, or a GENS decision to fund RWS 2.0 with debt while holding more than S$2bn of cash.</w:t>
      </w:r>
    </w:p>
    <w:p>
      <w:pPr>
        <w:pStyle w:val="Heading1"/>
      </w:pPr>
      <w:r>
        <w:t xml:space="preserve">10. Is the Current Valuation Too High?</w:t>
      </w:r>
    </w:p>
    <w:p>
      <w:pPr>
        <w:spacing w:after="120"/>
        <w:jc w:val="both"/>
      </w:pPr>
      <w:r>
        <w:rPr>
          <w:b/>
          <w:bCs/>
        </w:rPr>
        <w:t xml:space="preserve">It depends which valuation you mean.</w:t>
      </w:r>
      <w:r>
        <w:t xml:space="preserve"> On assets, no. On earnings and free cash flow, the stock has no valuation support at all. The right framing for a value investor is that GENT is an option on deleveraging, and the price should be judged as an option premium.</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3977"/>
        <w:gridCol w:w="4178"/>
      </w:tblGrid>
      <w:tr>
        <w:trPr>
          <w:tblHeader/>
        </w:trPr>
        <w:tc>
          <w:tcPr>
            <w:tcW w:type="dxa" w:w="1591"/>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Lens</w:t>
            </w:r>
          </w:p>
        </w:tc>
        <w:tc>
          <w:tcPr>
            <w:tcW w:type="dxa" w:w="3977"/>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Metric</w:t>
            </w:r>
          </w:p>
        </w:tc>
        <w:tc>
          <w:tcPr>
            <w:tcW w:type="dxa" w:w="417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Read-across</w:t>
            </w:r>
          </w:p>
        </w:tc>
      </w:tr>
      <w:tr>
        <w:trPr>
          <w:cantSplit/>
        </w:trPr>
        <w:tc>
          <w:tcPr>
            <w:tcW w:type="dxa" w:w="15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Sum-of-the-parts</w:t>
            </w:r>
          </w:p>
        </w:tc>
        <w:tc>
          <w:tcPr>
            <w:tcW w:type="dxa" w:w="39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Base NAV RM2.95; 51% discount; low case RM1.69</w:t>
            </w:r>
          </w:p>
        </w:tc>
        <w:tc>
          <w:tcPr>
            <w:tcW w:type="dxa" w:w="417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Not too high: 14% discount even in the low case</w:t>
            </w:r>
          </w:p>
        </w:tc>
      </w:tr>
      <w:tr>
        <w:trPr>
          <w:cantSplit/>
        </w:trPr>
        <w:tc>
          <w:tcPr>
            <w:tcW w:type="dxa" w:w="15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Stress SOTP</w:t>
            </w:r>
          </w:p>
        </w:tc>
        <w:tc>
          <w:tcPr>
            <w:tcW w:type="dxa" w:w="397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Listed –20% and low private: RM0.64; listed –10% and low private: RM1.16</w:t>
            </w:r>
          </w:p>
        </w:tc>
        <w:tc>
          <w:tcPr>
            <w:tcW w:type="dxa" w:w="417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Too high in 2 of 15 sensitivity cells (pre-rights)</w:t>
            </w:r>
          </w:p>
        </w:tc>
      </w:tr>
      <w:tr>
        <w:trPr>
          <w:cantSplit/>
        </w:trPr>
        <w:tc>
          <w:tcPr>
            <w:tcW w:type="dxa" w:w="15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Pro forma rights</w:t>
            </w:r>
          </w:p>
        </w:tc>
        <w:tc>
          <w:tcPr>
            <w:tcW w:type="dxa" w:w="39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RM1.61 / 2.62 / 4.01</w:t>
            </w:r>
          </w:p>
        </w:tc>
        <w:tc>
          <w:tcPr>
            <w:tcW w:type="dxa" w:w="417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The base-case discount narrows to ~45% after dilution</w:t>
            </w:r>
          </w:p>
        </w:tc>
      </w:tr>
      <w:tr>
        <w:trPr>
          <w:cantSplit/>
        </w:trPr>
        <w:tc>
          <w:tcPr>
            <w:tcW w:type="dxa" w:w="15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Price / book</w:t>
            </w:r>
          </w:p>
        </w:tc>
        <w:tc>
          <w:tcPr>
            <w:tcW w:type="dxa" w:w="397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0.19x (BVPS RM7.62)</w:t>
            </w:r>
          </w:p>
        </w:tc>
        <w:tc>
          <w:tcPr>
            <w:tcW w:type="dxa" w:w="417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Cheap, but book includes RWLV and O&amp;G carried well above our marks</w:t>
            </w:r>
          </w:p>
        </w:tc>
      </w:tr>
      <w:tr>
        <w:trPr>
          <w:cantSplit/>
        </w:trPr>
        <w:tc>
          <w:tcPr>
            <w:tcW w:type="dxa" w:w="15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Earnings</w:t>
            </w:r>
          </w:p>
        </w:tc>
        <w:tc>
          <w:tcPr>
            <w:tcW w:type="dxa" w:w="39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LTM attributable net loss RM185.7m; FY25 loss RM11.6m; CIMB: 17–18% EPS dilution FY27–28</w:t>
            </w:r>
          </w:p>
        </w:tc>
        <w:tc>
          <w:tcPr>
            <w:tcW w:type="dxa" w:w="417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P/E not meaningful; no earnings support</w:t>
            </w:r>
          </w:p>
        </w:tc>
      </w:tr>
      <w:tr>
        <w:trPr>
          <w:cantSplit/>
        </w:trPr>
        <w:tc>
          <w:tcPr>
            <w:tcW w:type="dxa" w:w="15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Cash flow / yield</w:t>
            </w:r>
          </w:p>
        </w:tc>
        <w:tc>
          <w:tcPr>
            <w:tcW w:type="dxa" w:w="397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Group FCF ~–RM4bn a year 2026–28 (Fitch); 5-sen FY25 DPS = 3.4% yield; 2026 interim skipped</w:t>
            </w:r>
          </w:p>
        </w:tc>
        <w:tc>
          <w:tcPr>
            <w:tcW w:type="dxa" w:w="417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No yield support near-term</w:t>
            </w:r>
          </w:p>
        </w:tc>
      </w:tr>
      <w:tr>
        <w:trPr>
          <w:cantSplit/>
        </w:trPr>
        <w:tc>
          <w:tcPr>
            <w:tcW w:type="dxa" w:w="15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Group EV / EBITDA</w:t>
            </w:r>
          </w:p>
        </w:tc>
        <w:tc>
          <w:tcPr>
            <w:tcW w:type="dxa" w:w="39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6.5x LTM (minorities at market value, leases included)</w:t>
            </w:r>
          </w:p>
        </w:tc>
        <w:tc>
          <w:tcPr>
            <w:tcW w:type="dxa" w:w="417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Undemanding for a global integrated-resort portfolio, but includes the minorities' share of EBITDA</w:t>
            </w:r>
          </w:p>
        </w:tc>
      </w:tr>
      <w:tr>
        <w:trPr>
          <w:cantSplit/>
        </w:trPr>
        <w:tc>
          <w:tcPr>
            <w:tcW w:type="dxa" w:w="15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Listed marks</w:t>
            </w:r>
          </w:p>
        </w:tc>
        <w:tc>
          <w:tcPr>
            <w:tcW w:type="dxa" w:w="397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GENS 23.6x and GENM 23.3x LTM P/E</w:t>
            </w:r>
          </w:p>
        </w:tc>
        <w:tc>
          <w:tcPr>
            <w:tcW w:type="dxa" w:w="417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The marks we use are not distressed on earnings; a de-rating there flows straight to NAV</w:t>
            </w:r>
          </w:p>
        </w:tc>
      </w:tr>
    </w:tbl>
    <w:p>
      <w:pPr>
        <w:spacing w:after="60"/>
      </w:pPr>
    </w:p>
    <w:p>
      <w:pPr>
        <w:spacing w:after="120"/>
        <w:jc w:val="both"/>
      </w:pPr>
      <w:r>
        <w:rPr>
          <w:b/>
          <w:bCs/>
        </w:rPr>
        <w:t xml:space="preserve">Conclusion.</w:t>
      </w:r>
      <w:r>
        <w:t xml:space="preserve"> At RM1.45 the stock is not expensive against any central asset value, but the headline 51% discount overstates the margin of safety because NAV is geared ~2.9x to gross asset values. We would treat RM1.45 as fair-to-attractive for patient, hedged capital, and become more aggressive below ~RM1.20, or once the rights are priced and an asset-disposal programme is announced. Above ~RM2.00 (a ~25% discount to the RM2.62 base NAV pro forma for the rights), the risk/reward no longer compensates for the leverage.</w:t>
      </w:r>
    </w:p>
    <w:p>
      <w:pPr>
        <w:pStyle w:val="Heading1"/>
      </w:pPr>
      <w:r>
        <w:t xml:space="preserve">11. Contrarian View: What the Market Is Refusing to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2E75B6" w:sz="24"/>
              <w:bottom w:val="none" w:color="FFFFFF" w:sz="0"/>
              <w:right w:val="none" w:color="FFFFFF" w:sz="0"/>
            </w:tcBorders>
            <w:shd w:fill="DEEAF6" w:color="auto" w:val="clear"/>
            <w:tcMar>
              <w:top w:type="dxa" w:w="120"/>
              <w:left w:type="dxa" w:w="180"/>
              <w:bottom w:type="dxa" w:w="120"/>
              <w:right w:type="dxa" w:w="180"/>
            </w:tcMar>
          </w:tcPr>
          <w:p>
            <w:pPr>
              <w:spacing w:after="80"/>
            </w:pPr>
            <w:r>
              <w:rPr>
                <w:b/>
                <w:bCs/>
                <w:color w:val="1F3864"/>
                <w:sz w:val="22"/>
                <w:szCs w:val="22"/>
              </w:rPr>
              <w:t xml:space="preserve">The contrarian thesis in one line</w:t>
            </w:r>
          </w:p>
          <w:p>
            <w:pPr>
              <w:spacing w:after="60"/>
            </w:pPr>
            <w:r>
              <w:rPr>
                <w:b/>
                <w:bCs/>
              </w:rPr>
              <w:t xml:space="preserve">The market is pricing GENT as if 2026 were the steady state. It is actually the trough of a capex super-cycle, and the equity stub's leverage, the source of today's pain, is exactly what makes the recovery asymmetric.</w:t>
            </w:r>
          </w:p>
        </w:tc>
      </w:tr>
    </w:tbl>
    <w:p>
      <w:pPr>
        <w:pStyle w:val="Heading3"/>
      </w:pPr>
      <w:r>
        <w:t xml:space="preserve">(1) The market charges GENT for RWLV's debt but gives no credit for limited liability</w:t>
      </w:r>
    </w:p>
    <w:p>
      <w:pPr>
        <w:spacing w:after="120"/>
        <w:jc w:val="both"/>
      </w:pPr>
      <w:r>
        <w:t xml:space="preserve">RWLV's ~US$2.4bn of debt carries a keepwell, not a guarantee. In our consolidated SOTP, RWLV contributes a net –RM3.5bn (EV less debt) to NAV. Valued as a limited-liability equity (floor at zero), base NAV rises to RM3.86/share. GENT will not walk away lightly (Nevada licensing, reputation, keepwell obligations, and it has said it will support covenants), but the option exists. A partner or recapitalisation that de-consolidates RWLV debt would crystallise part of it.</w:t>
      </w:r>
    </w:p>
    <w:p>
      <w:pPr>
        <w:pStyle w:val="Heading3"/>
      </w:pPr>
      <w:r>
        <w:t xml:space="preserve">(2) The rights-issue sell-off overshot the dilution</w:t>
      </w:r>
    </w:p>
    <w:p>
      <w:pPr>
        <w:spacing w:after="120"/>
        <w:jc w:val="both"/>
      </w:pPr>
      <w:r>
        <w:t xml:space="preserve">On the illustrative terms (1-for-4 at RM1.30) the theoretical ex-rights price from the RM1.88 pre-announcement close was ~RM1.76, a 6% dilution. The shares fell 23% to RM1.45, wiping out ~RM1.7bn of market value to raise RM1.25bn. The market priced in a second raise that the company says is not planned, and that the controlling shareholder is underwriting against with its own cash (RM563.8m).</w:t>
      </w:r>
    </w:p>
    <w:p>
      <w:pPr>
        <w:pStyle w:val="Heading3"/>
      </w:pPr>
      <w:r>
        <w:t xml:space="preserve">(3) The capex peak is now — and most of it is funded below GENT</w:t>
      </w:r>
    </w:p>
    <w:p>
      <w:pPr>
        <w:spacing w:after="120"/>
        <w:jc w:val="both"/>
      </w:pPr>
      <w:r>
        <w:t xml:space="preserve">RWNYC is financed at GENM (US$2.0bn secured facility); RWS 2.0 is financed from GENS's own S$2.9bn cash and cash flow; Kasuri/FLNG is 70–85% built. At the ex-listed level, the heavy spending (Kasuri, the GENM stake, RWLV support) is largely behind it by 2027. Fitch's path has leverage below 3.5x by 2029. If that path holds, holdco free cash flow inflects in 2028 as Kasuri gas flows and the RWNYC dividend capacity of GENM builds.</w:t>
      </w:r>
    </w:p>
    <w:p>
      <w:pPr>
        <w:pStyle w:val="Heading3"/>
      </w:pPr>
      <w:r>
        <w:t xml:space="preserve">(4) The GENM offer looks like a mistake on price, but the strategy is right</w:t>
      </w:r>
    </w:p>
    <w:p>
      <w:pPr>
        <w:spacing w:after="120"/>
        <w:jc w:val="both"/>
      </w:pPr>
      <w:r>
        <w:t xml:space="preserve">GENT now owns 73.8% of the only one of the three new downstate New York licensees already operating as a full casino; the other two are new builds. Fitch sees Genting New York EBITDA rising from ~US$208m (2026) to ~US$450m (2028). At 73.8%, GENT's attributable share of that 2028E EBITDA is ~US$330m, against ~US$220m had it stayed at 49%. The market marks the stake at a 46% loss to the offer price, i.e. at the trough of RWNYC's ramp.</w:t>
      </w:r>
    </w:p>
    <w:p>
      <w:pPr>
        <w:pStyle w:val="Heading3"/>
      </w:pPr>
      <w:r>
        <w:t xml:space="preserve">(5) Genting Singapore's cash is a call option GENT controls</w:t>
      </w:r>
    </w:p>
    <w:p>
      <w:pPr>
        <w:spacing w:after="120"/>
        <w:jc w:val="both"/>
      </w:pPr>
      <w:r>
        <w:t xml:space="preserve">A pro-rata equal-access offer or special dividend at GENS does not breach the GOHL keepwell shareholding covenants, because GENT's percentage is unchanged. It upstreams ~RM1.7bn per S$1bn returned (at 52.7%). The GENS board restarted buybacks in 2026 — the first move in a decade. A credit-driven parent has every reason to use this lever before selling assets cheaply.</w:t>
      </w:r>
    </w:p>
    <w:p>
      <w:pPr>
        <w:pStyle w:val="Heading3"/>
      </w:pPr>
      <w:r>
        <w:t xml:space="preserve">(6) Asymmetry</w:t>
      </w:r>
    </w:p>
    <w:p>
      <w:pPr>
        <w:spacing w:after="120"/>
        <w:jc w:val="both"/>
      </w:pPr>
      <w:r>
        <w:t xml:space="preserve">Because equity is ~34% of GAV, a 20% rise in gross asset values takes base NAV from RM2.95 to RM4.68. A 20% fall in the listed stakes takes it to RM1.90. At RM1.45 the price already sits below the downside base case for the listed marks, so the market is discounting both the leverage and a meaningful fall in asset values.</w:t>
      </w:r>
    </w:p>
    <w:p>
      <w:pPr>
        <w:pStyle w:val="Heading3"/>
      </w:pPr>
      <w:r>
        <w:t xml:space="preserve">What would make the contrarian wrong</w:t>
      </w:r>
    </w:p>
    <w:p>
      <w:pPr>
        <w:spacing w:after="120"/>
        <w:jc w:val="both"/>
      </w:pPr>
      <w:r>
        <w:t xml:space="preserve">If the 2026 trough becomes a plateau — RWLV stuck near US$100m EBITDA, RWNYC capex overruns funded by GENT, Kasuri slipping to 2028 — then leverage compounds against equity, and the "cheap" holdco turns into a value trap that ends in further dilution or a low-premium family take-private (Section 9).</w:t>
      </w:r>
    </w:p>
    <w:p>
      <w:pPr>
        <w:pStyle w:val="Heading1"/>
      </w:pPr>
      <w:r>
        <w:t xml:space="preserve">12. Activist Assessment and Playbook</w:t>
      </w:r>
    </w:p>
    <w:p>
      <w:pPr>
        <w:pStyle w:val="Heading2"/>
      </w:pPr>
      <w:r>
        <w:t xml:space="preserve">12.1 Feasibility scorecard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6"/>
        <w:gridCol w:w="994"/>
        <w:gridCol w:w="6366"/>
      </w:tblGrid>
      <w:tr>
        <w:trPr>
          <w:tblHeader/>
        </w:trPr>
        <w:tc>
          <w:tcPr>
            <w:tcW w:type="dxa" w:w="238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Factor</w:t>
            </w:r>
          </w:p>
        </w:tc>
        <w:tc>
          <w:tcPr>
            <w:tcW w:type="dxa" w:w="994"/>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5"/>
                <w:szCs w:val="15"/>
              </w:rPr>
              <w:t xml:space="preserve">Score (1–5)</w:t>
            </w:r>
          </w:p>
        </w:tc>
        <w:tc>
          <w:tcPr>
            <w:tcW w:type="dxa" w:w="6366"/>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Assessment</w:t>
            </w:r>
          </w:p>
        </w:tc>
      </w:tr>
      <w:tr>
        <w:trPr>
          <w:cantSplit/>
        </w:trPr>
        <w:tc>
          <w:tcPr>
            <w:tcW w:type="dxa" w:w="238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Size of value gap</w:t>
            </w:r>
          </w:p>
        </w:tc>
        <w:tc>
          <w:tcPr>
            <w:tcW w:type="dxa" w:w="994"/>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5"/>
                <w:szCs w:val="15"/>
              </w:rPr>
              <w:t xml:space="preserve">5</w:t>
            </w:r>
          </w:p>
        </w:tc>
        <w:tc>
          <w:tcPr>
            <w:tcW w:type="dxa" w:w="636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51% discount to base NAV; market-implied private EV RM7.3bn vs our RM13.1bn</w:t>
            </w:r>
          </w:p>
        </w:tc>
      </w:tr>
      <w:tr>
        <w:trPr>
          <w:cantSplit/>
        </w:trPr>
        <w:tc>
          <w:tcPr>
            <w:tcW w:type="dxa" w:w="238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Urgency / external catalyst</w:t>
            </w:r>
          </w:p>
        </w:tc>
        <w:tc>
          <w:tcPr>
            <w:tcW w:type="dxa" w:w="994"/>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5"/>
                <w:szCs w:val="15"/>
              </w:rPr>
              <w:t xml:space="preserve">5</w:t>
            </w:r>
          </w:p>
        </w:tc>
        <w:tc>
          <w:tcPr>
            <w:tcW w:type="dxa" w:w="636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Rights EGM, 2027 maturities (~RM7.1bn), S&amp;P "fallen angel" watch, RWLV covenants</w:t>
            </w:r>
          </w:p>
        </w:tc>
      </w:tr>
      <w:tr>
        <w:trPr>
          <w:cantSplit/>
        </w:trPr>
        <w:tc>
          <w:tcPr>
            <w:tcW w:type="dxa" w:w="238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Identifiable, board-actionable remedies</w:t>
            </w:r>
          </w:p>
        </w:tc>
        <w:tc>
          <w:tcPr>
            <w:tcW w:type="dxa" w:w="994"/>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5"/>
                <w:szCs w:val="15"/>
              </w:rPr>
              <w:t xml:space="preserve">4</w:t>
            </w:r>
          </w:p>
        </w:tc>
        <w:tc>
          <w:tcPr>
            <w:tcW w:type="dxa" w:w="636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GENS capital return, non-core disposals, RWLV recapitalisation, GENP sale, capital-allocation policy</w:t>
            </w:r>
          </w:p>
        </w:tc>
      </w:tr>
      <w:tr>
        <w:trPr>
          <w:cantSplit/>
        </w:trPr>
        <w:tc>
          <w:tcPr>
            <w:tcW w:type="dxa" w:w="238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Ownership / control</w:t>
            </w:r>
          </w:p>
        </w:tc>
        <w:tc>
          <w:tcPr>
            <w:tcW w:type="dxa" w:w="994"/>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5"/>
                <w:szCs w:val="15"/>
              </w:rPr>
              <w:t xml:space="preserve">1</w:t>
            </w:r>
          </w:p>
        </w:tc>
        <w:tc>
          <w:tcPr>
            <w:tcW w:type="dxa" w:w="636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Kien Huat 45.24% controls ordinary resolutions at typical turnout and blocks special resolutions</w:t>
            </w:r>
          </w:p>
        </w:tc>
      </w:tr>
      <w:tr>
        <w:trPr>
          <w:cantSplit/>
        </w:trPr>
        <w:tc>
          <w:tcPr>
            <w:tcW w:type="dxa" w:w="238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Register composition</w:t>
            </w:r>
          </w:p>
        </w:tc>
        <w:tc>
          <w:tcPr>
            <w:tcW w:type="dxa" w:w="994"/>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5"/>
                <w:szCs w:val="15"/>
              </w:rPr>
              <w:t xml:space="preserve">3</w:t>
            </w:r>
          </w:p>
        </w:tc>
        <w:tc>
          <w:tcPr>
            <w:tcW w:type="dxa" w:w="636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EPF (&gt;5%), other GLICs (KWAP, PNB) and foreign funds are swing holders; GLICs are rarely confrontational but are subject to the Malaysian Code for Institutional Investors and government pressure on governance</w:t>
            </w:r>
          </w:p>
        </w:tc>
      </w:tr>
      <w:tr>
        <w:trPr>
          <w:cantSplit/>
        </w:trPr>
        <w:tc>
          <w:tcPr>
            <w:tcW w:type="dxa" w:w="238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Governance hooks</w:t>
            </w:r>
          </w:p>
        </w:tc>
        <w:tc>
          <w:tcPr>
            <w:tcW w:type="dxa" w:w="994"/>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center"/>
            </w:pPr>
            <w:r>
              <w:rPr>
                <w:sz w:val="15"/>
                <w:szCs w:val="15"/>
              </w:rPr>
              <w:t xml:space="preserve">3</w:t>
            </w:r>
          </w:p>
        </w:tc>
        <w:tc>
          <w:tcPr>
            <w:tcW w:type="dxa" w:w="6366"/>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Related-party history (Empire Resorts), 12-year independent-director tenure limit, rights-issue use of proceeds (RM280m for interest)</w:t>
            </w:r>
          </w:p>
        </w:tc>
      </w:tr>
      <w:tr>
        <w:trPr>
          <w:cantSplit/>
        </w:trPr>
        <w:tc>
          <w:tcPr>
            <w:tcW w:type="dxa" w:w="238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Market / regulatory environment</w:t>
            </w:r>
          </w:p>
        </w:tc>
        <w:tc>
          <w:tcPr>
            <w:tcW w:type="dxa" w:w="994"/>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center"/>
            </w:pPr>
            <w:r>
              <w:rPr>
                <w:sz w:val="15"/>
                <w:szCs w:val="15"/>
              </w:rPr>
              <w:t xml:space="preserve">2</w:t>
            </w:r>
          </w:p>
        </w:tc>
        <w:tc>
          <w:tcPr>
            <w:tcW w:type="dxa" w:w="6366"/>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Public activism is rare in Malaysia; MSWG is an established minority voice; Securities Commission and Bursa favour governance reform but not confrontation</w:t>
            </w:r>
          </w:p>
        </w:tc>
      </w:tr>
      <w:tr>
        <w:trPr>
          <w:cantSplit/>
        </w:trPr>
        <w:tc>
          <w:tcPr>
            <w:tcW w:type="dxa" w:w="238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Overall</w:t>
            </w:r>
          </w:p>
        </w:tc>
        <w:tc>
          <w:tcPr>
            <w:tcW w:type="dxa" w:w="994"/>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center"/>
            </w:pPr>
            <w:r>
              <w:rPr>
                <w:b/>
                <w:bCs/>
                <w:sz w:val="15"/>
                <w:szCs w:val="15"/>
              </w:rPr>
              <w:t xml:space="preserve">3.3 / 5</w:t>
            </w:r>
          </w:p>
        </w:tc>
        <w:tc>
          <w:tcPr>
            <w:tcW w:type="dxa" w:w="6366"/>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5"/>
                <w:szCs w:val="15"/>
              </w:rPr>
              <w:t xml:space="preserve">Confrontational campaign: low probability of winning control-related demands. Constructive, credit-framed engagement: medium–high probability of partial wins</w:t>
            </w:r>
          </w:p>
        </w:tc>
      </w:tr>
    </w:tbl>
    <w:p>
      <w:pPr>
        <w:pStyle w:val="Heading2"/>
      </w:pPr>
      <w:r>
        <w:t xml:space="preserve">12.2 Rules of engagement in Malaysia</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7"/>
        <w:gridCol w:w="3182"/>
        <w:gridCol w:w="4377"/>
      </w:tblGrid>
      <w:tr>
        <w:trPr>
          <w:tblHeader/>
        </w:trPr>
        <w:tc>
          <w:tcPr>
            <w:tcW w:type="dxa" w:w="2187"/>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Threshold / rule</w:t>
            </w:r>
          </w:p>
        </w:tc>
        <w:tc>
          <w:tcPr>
            <w:tcW w:type="dxa" w:w="3182"/>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Requirement</w:t>
            </w:r>
          </w:p>
        </w:tc>
        <w:tc>
          <w:tcPr>
            <w:tcW w:type="dxa" w:w="4377"/>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Relevance to a GENT campaign</w:t>
            </w:r>
          </w:p>
        </w:tc>
      </w:tr>
      <w:tr>
        <w:trPr>
          <w:cantSplit/>
        </w:trPr>
        <w:tc>
          <w:tcPr>
            <w:tcW w:type="dxa" w:w="21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5% shareholding</w:t>
            </w:r>
          </w:p>
        </w:tc>
        <w:tc>
          <w:tcPr>
            <w:tcW w:type="dxa" w:w="318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Substantial-shareholder notice (Companies Act 2016), within 3 business days</w:t>
            </w:r>
          </w:p>
        </w:tc>
        <w:tc>
          <w:tcPr>
            <w:tcW w:type="dxa" w:w="43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Stake-building stealth limited to below 5% (~192.5m shares, ~RM280m at RM1.45)</w:t>
            </w:r>
          </w:p>
        </w:tc>
      </w:tr>
      <w:tr>
        <w:trPr>
          <w:cantSplit/>
        </w:trPr>
        <w:tc>
          <w:tcPr>
            <w:tcW w:type="dxa" w:w="218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10% shareholding</w:t>
            </w:r>
          </w:p>
        </w:tc>
        <w:tc>
          <w:tcPr>
            <w:tcW w:type="dxa" w:w="318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Members may requisition a general meeting (Companies Act 2016, s.311)</w:t>
            </w:r>
          </w:p>
        </w:tc>
        <w:tc>
          <w:tcPr>
            <w:tcW w:type="dxa" w:w="437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Needs a coalition (e.g., with EPF or foreign funds) — ~RM560m at today's price</w:t>
            </w:r>
          </w:p>
        </w:tc>
      </w:tr>
      <w:tr>
        <w:trPr>
          <w:cantSplit/>
        </w:trPr>
        <w:tc>
          <w:tcPr>
            <w:tcW w:type="dxa" w:w="21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Ordinary resolution (&gt;50% of votes cast)</w:t>
            </w:r>
          </w:p>
        </w:tc>
        <w:tc>
          <w:tcPr>
            <w:tcW w:type="dxa" w:w="318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Director elections/removal; rights issue approval</w:t>
            </w:r>
          </w:p>
        </w:tc>
        <w:tc>
          <w:tcPr>
            <w:tcW w:type="dxa" w:w="43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Kien Huat (45.24%) carries most votes at typical turnouts; independent directors can still be pressured publicly</w:t>
            </w:r>
          </w:p>
        </w:tc>
      </w:tr>
      <w:tr>
        <w:trPr>
          <w:cantSplit/>
        </w:trPr>
        <w:tc>
          <w:tcPr>
            <w:tcW w:type="dxa" w:w="218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Special resolution (≥75% of votes cast)</w:t>
            </w:r>
          </w:p>
        </w:tc>
        <w:tc>
          <w:tcPr>
            <w:tcW w:type="dxa" w:w="318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Constitution changes, capital reductions</w:t>
            </w:r>
          </w:p>
        </w:tc>
        <w:tc>
          <w:tcPr>
            <w:tcW w:type="dxa" w:w="437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Kien Huat holds a blocking stake</w:t>
            </w:r>
          </w:p>
        </w:tc>
      </w:tr>
      <w:tr>
        <w:trPr>
          <w:cantSplit/>
        </w:trPr>
        <w:tc>
          <w:tcPr>
            <w:tcW w:type="dxa" w:w="21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Take-overs Code: 33% / 2% creep</w:t>
            </w:r>
          </w:p>
        </w:tc>
        <w:tc>
          <w:tcPr>
            <w:tcW w:type="dxa" w:w="318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Mandatory offer above 33%; holders between 33% and 50% may creep 2% per 6 months</w:t>
            </w:r>
          </w:p>
        </w:tc>
        <w:tc>
          <w:tcPr>
            <w:tcW w:type="dxa" w:w="43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If Kien Huat takes excess rights or underwrites beyond its creep allowance, it needs an SC exemption approved by independent holders — a live point of leverage at the rights EGM</w:t>
            </w:r>
          </w:p>
        </w:tc>
      </w:tr>
      <w:tr>
        <w:trPr>
          <w:cantSplit/>
        </w:trPr>
        <w:tc>
          <w:tcPr>
            <w:tcW w:type="dxa" w:w="218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Related-party transactions (Bursa Listing Requirements, Ch. 10)</w:t>
            </w:r>
          </w:p>
        </w:tc>
        <w:tc>
          <w:tcPr>
            <w:tcW w:type="dxa" w:w="318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Interested parties abstain; independent adviser for major RPTs</w:t>
            </w:r>
          </w:p>
        </w:tc>
        <w:tc>
          <w:tcPr>
            <w:tcW w:type="dxa" w:w="437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Minorities decide any Kien Huat-related deal, including a future take-private structure</w:t>
            </w:r>
          </w:p>
        </w:tc>
      </w:tr>
      <w:tr>
        <w:trPr>
          <w:cantSplit/>
        </w:trPr>
        <w:tc>
          <w:tcPr>
            <w:tcW w:type="dxa" w:w="21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Privatisation by selective capital reduction (SCR)</w:t>
            </w:r>
          </w:p>
        </w:tc>
        <w:tc>
          <w:tcPr>
            <w:tcW w:type="dxa" w:w="318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Approval by ≥75% of disinterested votes cast; fails if objections exceed 10% of disinterested shares</w:t>
            </w:r>
          </w:p>
        </w:tc>
        <w:tc>
          <w:tcPr>
            <w:tcW w:type="dxa" w:w="43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The most likely route for any Kien Huat take-private; a ~10% minority bloc can block a low-ball offer</w:t>
            </w:r>
          </w:p>
        </w:tc>
      </w:tr>
      <w:tr>
        <w:trPr>
          <w:cantSplit/>
        </w:trPr>
        <w:tc>
          <w:tcPr>
            <w:tcW w:type="dxa" w:w="218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Independent-director tenure</w:t>
            </w:r>
          </w:p>
        </w:tc>
        <w:tc>
          <w:tcPr>
            <w:tcW w:type="dxa" w:w="318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12-year cumulative limit (Bursa Listing Requirements)</w:t>
            </w:r>
          </w:p>
        </w:tc>
        <w:tc>
          <w:tcPr>
            <w:tcW w:type="dxa" w:w="437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Board-refresh opportunities to propose qualified independent candidates</w:t>
            </w:r>
          </w:p>
        </w:tc>
      </w:tr>
    </w:tbl>
    <w:p>
      <w:pPr>
        <w:spacing w:after="160"/>
      </w:pPr>
      <w:r>
        <w:rPr>
          <w:i/>
          <w:iCs/>
          <w:color w:val="595959"/>
          <w:sz w:val="16"/>
          <w:szCs w:val="16"/>
        </w:rPr>
        <w:t xml:space="preserve">Legal summary for orientation only; confirm with Malaysian counsel before any filing or concert-party arrangement. Coordinated engagement with other holders can create "persons acting in concert" issues under the Take-overs Code.</w:t>
      </w:r>
    </w:p>
    <w:p>
      <w:pPr>
        <w:pStyle w:val="Heading2"/>
      </w:pPr>
      <w:r>
        <w:t xml:space="preserve">12.3 The activist thesis: "Deleverage, don't dilute"</w:t>
      </w:r>
    </w:p>
    <w:p>
      <w:pPr>
        <w:spacing w:after="120"/>
        <w:jc w:val="both"/>
      </w:pPr>
      <w:r>
        <w:t xml:space="preserve">The winning framing is credit-led. It aligns minority shareholders, bondholders and rating agencies, and gives the family a face-saving path: protect investment grade and fund growth through recycling capital, not repeated dilution. Five demands:</w:t>
      </w:r>
    </w:p>
    <w:p>
      <w:pPr>
        <w:pStyle w:val="ListParagraph"/>
        <w:numPr>
          <w:ilvl w:val="0"/>
          <w:numId w:val="3"/>
        </w:numPr>
        <w:spacing w:after="60"/>
      </w:pPr>
      <w:r>
        <w:rPr>
          <w:b/>
          <w:bCs/>
        </w:rPr>
        <w:t xml:space="preserve">Return Genting Singapore's excess cash.</w:t>
      </w:r>
      <w:r>
        <w:t xml:space="preserve"> A pro-rata equal-access offer or special dividend of at least S$1bn (keepwell-compatible, because GENT's percentage is unchanged). Every S$1bn upstreams ~RM1.7bn to GENT.</w:t>
      </w:r>
    </w:p>
    <w:p>
      <w:pPr>
        <w:pStyle w:val="ListParagraph"/>
        <w:numPr>
          <w:ilvl w:val="0"/>
          <w:numId w:val="3"/>
        </w:numPr>
        <w:spacing w:after="60"/>
      </w:pPr>
      <w:r>
        <w:rPr>
          <w:b/>
          <w:bCs/>
        </w:rPr>
        <w:t xml:space="preserve">Recycle non-core capital.</w:t>
      </w:r>
      <w:r>
        <w:t xml:space="preserve"> Sell the 55% Banten stake and the Chinese power JVs (natural buyer: partner SDIC or Asian infrastructure funds); sell a further 20–30% of Kasuri/FLNG at the 2026 transaction marks; exit TauRx, Celularity and Genting Ventures; support GENM in selling the Miami land.</w:t>
      </w:r>
    </w:p>
    <w:p>
      <w:pPr>
        <w:pStyle w:val="ListParagraph"/>
        <w:numPr>
          <w:ilvl w:val="0"/>
          <w:numId w:val="3"/>
        </w:numPr>
        <w:spacing w:after="60"/>
      </w:pPr>
      <w:r>
        <w:rPr>
          <w:b/>
          <w:bCs/>
        </w:rPr>
        <w:t xml:space="preserve">Sell or distribute Genting Plantations.</w:t>
      </w:r>
      <w:r>
        <w:t xml:space="preserve"> Plantations are non-core to a leisure group. A sale of the 55.4% stake at a control premium (natural bidders: Malaysian plantation majors; EPF already owns 15.7%), or an in-specie distribution to GENT shareholders, removes a holdco layer.</w:t>
      </w:r>
    </w:p>
    <w:p>
      <w:pPr>
        <w:pStyle w:val="ListParagraph"/>
        <w:numPr>
          <w:ilvl w:val="0"/>
          <w:numId w:val="3"/>
        </w:numPr>
        <w:spacing w:after="60"/>
      </w:pPr>
      <w:r>
        <w:rPr>
          <w:b/>
          <w:bCs/>
        </w:rPr>
        <w:t xml:space="preserve">Recapitalise RWLV on a stand-alone basis.</w:t>
      </w:r>
      <w:r>
        <w:t xml:space="preserve"> Run a strategic review: a JV partner for up to 49%, a sale-leaseback of the real estate, or a recapitalisation without further GENT equity. Cap GENT support at a disclosed amount.</w:t>
      </w:r>
    </w:p>
    <w:p>
      <w:pPr>
        <w:pStyle w:val="ListParagraph"/>
        <w:numPr>
          <w:ilvl w:val="0"/>
          <w:numId w:val="3"/>
        </w:numPr>
        <w:spacing w:after="60"/>
      </w:pPr>
      <w:r>
        <w:rPr>
          <w:b/>
          <w:bCs/>
        </w:rPr>
        <w:t xml:space="preserve">Adopt a capital-allocation framework.</w:t>
      </w:r>
      <w:r>
        <w:t xml:space="preserve"> A holdco net-debt target (e.g., below RM12bn by end-2028); no new non-core ventures; a capital-allocation committee chaired by an independent director; quarterly NAV and holdco net-debt disclosure; a dividend floor and buybacks whenever the discount exceeds 40% once the debt target is met; executive pay linked to NAV per share and holdco leverage.</w:t>
      </w:r>
    </w:p>
    <w:p>
      <w:pPr>
        <w:pStyle w:val="Heading2"/>
      </w:pPr>
      <w:r>
        <w:t xml:space="preserve">12.4 Value bridge for the activist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3"/>
        <w:gridCol w:w="2287"/>
        <w:gridCol w:w="1988"/>
        <w:gridCol w:w="2488"/>
      </w:tblGrid>
      <w:tr>
        <w:trPr>
          <w:tblHeader/>
        </w:trPr>
        <w:tc>
          <w:tcPr>
            <w:tcW w:type="dxa" w:w="2983"/>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Initiative</w:t>
            </w:r>
          </w:p>
        </w:tc>
        <w:tc>
          <w:tcPr>
            <w:tcW w:type="dxa" w:w="2287"/>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center"/>
            </w:pPr>
            <w:r>
              <w:rPr>
                <w:b/>
                <w:bCs/>
                <w:color w:val="FFFFFF"/>
                <w:sz w:val="14"/>
                <w:szCs w:val="14"/>
              </w:rPr>
              <w:t xml:space="preserve">Cash to GENT / ex-listed debt reduction (RM m)</w:t>
            </w:r>
          </w:p>
        </w:tc>
        <w:tc>
          <w:tcPr>
            <w:tcW w:type="dxa" w:w="198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NAV effect</w:t>
            </w:r>
          </w:p>
        </w:tc>
        <w:tc>
          <w:tcPr>
            <w:tcW w:type="dxa" w:w="2488"/>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Feasibility</w:t>
            </w:r>
          </w:p>
        </w:tc>
      </w:tr>
      <w:tr>
        <w:trPr>
          <w:cantSplit/>
        </w:trPr>
        <w:tc>
          <w:tcPr>
            <w:tcW w:type="dxa" w:w="29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GENS capital return (S$1bn, pro rata)</w:t>
            </w:r>
          </w:p>
        </w:tc>
        <w:tc>
          <w:tcPr>
            <w:tcW w:type="dxa" w:w="22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1,680</w:t>
            </w:r>
          </w:p>
        </w:tc>
        <w:tc>
          <w:tcPr>
            <w:tcW w:type="dxa" w:w="19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Neutral (cash for listed value)</w:t>
            </w:r>
          </w:p>
        </w:tc>
        <w:tc>
          <w:tcPr>
            <w:tcW w:type="dxa" w:w="24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Medium — GENS board is controlled by GENT; RWS 2.0 needs reassurance</w:t>
            </w:r>
          </w:p>
        </w:tc>
      </w:tr>
      <w:tr>
        <w:trPr>
          <w:cantSplit/>
        </w:trPr>
        <w:tc>
          <w:tcPr>
            <w:tcW w:type="dxa" w:w="298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Power: Banten 55% + Chinese JVs (EV incl. deconsolidated LLPL debt)</w:t>
            </w:r>
          </w:p>
        </w:tc>
        <w:tc>
          <w:tcPr>
            <w:tcW w:type="dxa" w:w="228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~3,000</w:t>
            </w:r>
          </w:p>
        </w:tc>
        <w:tc>
          <w:tcPr>
            <w:tcW w:type="dxa" w:w="19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Neutral at our marks; positive if sold at book</w:t>
            </w:r>
          </w:p>
        </w:tc>
        <w:tc>
          <w:tcPr>
            <w:tcW w:type="dxa" w:w="24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Medium — SDIC is the natural buyer</w:t>
            </w:r>
          </w:p>
        </w:tc>
      </w:tr>
      <w:tr>
        <w:trPr>
          <w:cantSplit/>
        </w:trPr>
        <w:tc>
          <w:tcPr>
            <w:tcW w:type="dxa" w:w="29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Kasuri/FLNG further 25% sell-down at 2026 marks</w:t>
            </w:r>
          </w:p>
        </w:tc>
        <w:tc>
          <w:tcPr>
            <w:tcW w:type="dxa" w:w="22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984</w:t>
            </w:r>
          </w:p>
        </w:tc>
        <w:tc>
          <w:tcPr>
            <w:tcW w:type="dxa" w:w="19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Positive vs our haircut base</w:t>
            </w:r>
          </w:p>
        </w:tc>
        <w:tc>
          <w:tcPr>
            <w:tcW w:type="dxa" w:w="24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Medium — RAJA/RATU have shown appetite</w:t>
            </w:r>
          </w:p>
        </w:tc>
      </w:tr>
      <w:tr>
        <w:trPr>
          <w:cantSplit/>
        </w:trPr>
        <w:tc>
          <w:tcPr>
            <w:tcW w:type="dxa" w:w="2983"/>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GENP 55.4% stake at a 20% premium</w:t>
            </w:r>
          </w:p>
        </w:tc>
        <w:tc>
          <w:tcPr>
            <w:tcW w:type="dxa" w:w="228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right"/>
            </w:pPr>
            <w:r>
              <w:rPr>
                <w:sz w:val="14"/>
                <w:szCs w:val="14"/>
              </w:rPr>
              <w:t xml:space="preserve">3,083</w:t>
            </w:r>
          </w:p>
        </w:tc>
        <w:tc>
          <w:tcPr>
            <w:tcW w:type="dxa" w:w="19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+RM0.13/sh</w:t>
            </w:r>
          </w:p>
        </w:tc>
        <w:tc>
          <w:tcPr>
            <w:tcW w:type="dxa" w:w="2488"/>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Low–Medium — family attachment; EPF a potential partner</w:t>
            </w:r>
          </w:p>
        </w:tc>
      </w:tr>
      <w:tr>
        <w:trPr>
          <w:cantSplit/>
        </w:trPr>
        <w:tc>
          <w:tcPr>
            <w:tcW w:type="dxa" w:w="2983"/>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Exit TauRx, Celularity, Genting Ventures</w:t>
            </w:r>
          </w:p>
        </w:tc>
        <w:tc>
          <w:tcPr>
            <w:tcW w:type="dxa" w:w="22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right"/>
            </w:pPr>
            <w:r>
              <w:rPr>
                <w:sz w:val="14"/>
                <w:szCs w:val="14"/>
              </w:rPr>
              <w:t xml:space="preserve">~400</w:t>
            </w:r>
          </w:p>
        </w:tc>
        <w:tc>
          <w:tcPr>
            <w:tcW w:type="dxa" w:w="19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Neutral</w:t>
            </w:r>
          </w:p>
        </w:tc>
        <w:tc>
          <w:tcPr>
            <w:tcW w:type="dxa" w:w="2488"/>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Medium</w:t>
            </w:r>
          </w:p>
        </w:tc>
      </w:tr>
      <w:tr>
        <w:trPr>
          <w:cantSplit/>
        </w:trPr>
        <w:tc>
          <w:tcPr>
            <w:tcW w:type="dxa" w:w="2983"/>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4"/>
                <w:szCs w:val="14"/>
              </w:rPr>
              <w:t xml:space="preserve">Total</w:t>
            </w:r>
          </w:p>
        </w:tc>
        <w:tc>
          <w:tcPr>
            <w:tcW w:type="dxa" w:w="2287"/>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4"/>
                <w:szCs w:val="14"/>
              </w:rPr>
              <w:t xml:space="preserve">9,148</w:t>
            </w:r>
          </w:p>
        </w:tc>
        <w:tc>
          <w:tcPr>
            <w:tcW w:type="dxa" w:w="198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4"/>
                <w:szCs w:val="14"/>
              </w:rPr>
              <w:t xml:space="preserve">NAV ~RM3.09/sh</w:t>
            </w:r>
          </w:p>
        </w:tc>
        <w:tc>
          <w:tcPr>
            <w:tcW w:type="dxa" w:w="248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p>
        </w:tc>
      </w:tr>
      <w:tr>
        <w:trPr>
          <w:cantSplit/>
        </w:trPr>
        <w:tc>
          <w:tcPr>
            <w:tcW w:type="dxa" w:w="2983"/>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r>
              <w:rPr>
                <w:b/>
                <w:bCs/>
                <w:sz w:val="14"/>
                <w:szCs w:val="14"/>
              </w:rPr>
              <w:t xml:space="preserve">Ex-listed net debt after programme</w:t>
            </w:r>
          </w:p>
        </w:tc>
        <w:tc>
          <w:tcPr>
            <w:tcW w:type="dxa" w:w="2287"/>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right"/>
            </w:pPr>
            <w:r>
              <w:rPr>
                <w:b/>
                <w:bCs/>
                <w:sz w:val="14"/>
                <w:szCs w:val="14"/>
              </w:rPr>
              <w:t xml:space="preserve">12,812 (from 21,960)</w:t>
            </w:r>
          </w:p>
        </w:tc>
        <w:tc>
          <w:tcPr>
            <w:tcW w:type="dxa" w:w="198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p>
        </w:tc>
        <w:tc>
          <w:tcPr>
            <w:tcW w:type="dxa" w:w="2488"/>
            <w:tcBorders>
              <w:top w:val="single" w:color="BFBFBF" w:sz="2"/>
              <w:left w:val="single" w:color="BFBFBF" w:sz="2"/>
              <w:bottom w:val="single" w:color="BFBFBF" w:sz="2"/>
              <w:right w:val="single" w:color="BFBFBF" w:sz="2"/>
            </w:tcBorders>
            <w:shd w:fill="DEEAF6" w:color="auto" w:val="clear"/>
            <w:tcMar>
              <w:top w:type="dxa" w:w="40"/>
              <w:left w:type="dxa" w:w="80"/>
              <w:bottom w:type="dxa" w:w="40"/>
              <w:right w:type="dxa" w:w="80"/>
            </w:tcMar>
            <w:vAlign w:val="center"/>
          </w:tcPr>
          <w:p>
            <w:pPr>
              <w:jc w:val="left"/>
            </w:pPr>
          </w:p>
        </w:tc>
      </w:tr>
    </w:tbl>
    <w:p>
      <w:pPr>
        <w:spacing w:after="60"/>
      </w:pPr>
    </w:p>
    <w:p>
      <w:pPr>
        <w:spacing w:after="120"/>
        <w:jc w:val="both"/>
      </w:pPr>
      <w:r>
        <w:rPr>
          <w:b/>
          <w:bCs/>
        </w:rPr>
        <w:t xml:space="preserve">Return case.</w:t>
      </w:r>
      <w:r>
        <w:t xml:space="preserve"> If ex-listed net debt falls to ~RM13bn and the equity cushion rises from ~34% to ~48% of GAV, a holdco discount of 30–35% (tighter than the ~40% five-year average brokers cited in 2025, justified by a far less geared balance sheet) implies RM2.01–2.16 per share before rights dilution: </w:t>
      </w:r>
      <w:r>
        <w:rPr>
          <w:b/>
          <w:bCs/>
        </w:rPr>
        <w:t xml:space="preserve">+38% to +49% over 18–24 months</w:t>
      </w:r>
      <w:r>
        <w:t xml:space="preserve">, with RWNYC/RWLV recovery as free upside. Pro forma for the rights, the range is about 10% lower.</w:t>
      </w:r>
    </w:p>
    <w:p>
      <w:pPr>
        <w:pStyle w:val="Heading2"/>
      </w:pPr>
      <w:r>
        <w:t xml:space="preserve">12.5 Campaign sequencing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1"/>
        <w:gridCol w:w="1292"/>
        <w:gridCol w:w="4574"/>
        <w:gridCol w:w="2389"/>
      </w:tblGrid>
      <w:tr>
        <w:trPr>
          <w:tblHeader/>
        </w:trPr>
        <w:tc>
          <w:tcPr>
            <w:tcW w:type="dxa" w:w="1491"/>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Phase</w:t>
            </w:r>
          </w:p>
        </w:tc>
        <w:tc>
          <w:tcPr>
            <w:tcW w:type="dxa" w:w="1292"/>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Timing</w:t>
            </w:r>
          </w:p>
        </w:tc>
        <w:tc>
          <w:tcPr>
            <w:tcW w:type="dxa" w:w="4574"/>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Actions</w:t>
            </w:r>
          </w:p>
        </w:tc>
        <w:tc>
          <w:tcPr>
            <w:tcW w:type="dxa" w:w="2389"/>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4"/>
                <w:szCs w:val="14"/>
              </w:rPr>
              <w:t xml:space="preserve">Objective</w:t>
            </w:r>
          </w:p>
        </w:tc>
      </w:tr>
      <w:tr>
        <w:trPr>
          <w:cantSplit/>
        </w:trPr>
        <w:tc>
          <w:tcPr>
            <w:tcW w:type="dxa" w:w="14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0. Position</w:t>
            </w:r>
          </w:p>
        </w:tc>
        <w:tc>
          <w:tcPr>
            <w:tcW w:type="dxa" w:w="129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Now – rights EGM</w:t>
            </w:r>
          </w:p>
        </w:tc>
        <w:tc>
          <w:tcPr>
            <w:tcW w:type="dxa" w:w="4574"/>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Accumulate below 5% in the market and via nil-paid rights/excess applications; map the register (EPF, KWAP, PNB, foreign); retain Malaysian counsel and a local proxy solicitor</w:t>
            </w:r>
          </w:p>
        </w:tc>
        <w:tc>
          <w:tcPr>
            <w:tcW w:type="dxa" w:w="238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Low-cost entry at peak pessimism</w:t>
            </w:r>
          </w:p>
        </w:tc>
      </w:tr>
      <w:tr>
        <w:trPr>
          <w:cantSplit/>
        </w:trPr>
        <w:tc>
          <w:tcPr>
            <w:tcW w:type="dxa" w:w="14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1. Private engagement</w:t>
            </w:r>
          </w:p>
        </w:tc>
        <w:tc>
          <w:tcPr>
            <w:tcW w:type="dxa" w:w="129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Pre-EGM (4Q26)</w:t>
            </w:r>
          </w:p>
        </w:tc>
        <w:tc>
          <w:tcPr>
            <w:tcW w:type="dxa" w:w="4574"/>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Letter to the Chairman and senior independent director: ask for (a) all rights proceeds to go to debt reduction, (b) a published disposal programme with targets, (c) a GENS capital-return review. Brief MSWG</w:t>
            </w:r>
          </w:p>
        </w:tc>
        <w:tc>
          <w:tcPr>
            <w:tcW w:type="dxa" w:w="238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Shape use of proceeds; test board receptiveness</w:t>
            </w:r>
          </w:p>
        </w:tc>
      </w:tr>
      <w:tr>
        <w:trPr>
          <w:cantSplit/>
        </w:trPr>
        <w:tc>
          <w:tcPr>
            <w:tcW w:type="dxa" w:w="14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2. Coalition</w:t>
            </w:r>
          </w:p>
        </w:tc>
        <w:tc>
          <w:tcPr>
            <w:tcW w:type="dxa" w:w="129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1Q27</w:t>
            </w:r>
          </w:p>
        </w:tc>
        <w:tc>
          <w:tcPr>
            <w:tcW w:type="dxa" w:w="4574"/>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Engage GLICs and foreign holders on the "Deleverage, don't dilute" white paper; open a parallel dialogue with the GENS board and its minorities (47% of GENS)</w:t>
            </w:r>
          </w:p>
        </w:tc>
        <w:tc>
          <w:tcPr>
            <w:tcW w:type="dxa" w:w="238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Build a voting bloc and two-level pressure</w:t>
            </w:r>
          </w:p>
        </w:tc>
      </w:tr>
      <w:tr>
        <w:trPr>
          <w:cantSplit/>
        </w:trPr>
        <w:tc>
          <w:tcPr>
            <w:tcW w:type="dxa" w:w="1491"/>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3. Public campaign (if needed)</w:t>
            </w:r>
          </w:p>
        </w:tc>
        <w:tc>
          <w:tcPr>
            <w:tcW w:type="dxa" w:w="129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AGM season 2027 (Jun)</w:t>
            </w:r>
          </w:p>
        </w:tc>
        <w:tc>
          <w:tcPr>
            <w:tcW w:type="dxa" w:w="4574"/>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Public letter; AGM questions; vote against long-tenured independent directors who approved the GENM offer and the rights terms; nominate two independent candidates with capital-markets credentials</w:t>
            </w:r>
          </w:p>
        </w:tc>
        <w:tc>
          <w:tcPr>
            <w:tcW w:type="dxa" w:w="238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4"/>
                <w:szCs w:val="14"/>
              </w:rPr>
              <w:t xml:space="preserve">Board refresh; disclosure commitments</w:t>
            </w:r>
          </w:p>
        </w:tc>
      </w:tr>
      <w:tr>
        <w:trPr>
          <w:cantSplit/>
        </w:trPr>
        <w:tc>
          <w:tcPr>
            <w:tcW w:type="dxa" w:w="1491"/>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4. Structural</w:t>
            </w:r>
          </w:p>
        </w:tc>
        <w:tc>
          <w:tcPr>
            <w:tcW w:type="dxa" w:w="129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2027–28</w:t>
            </w:r>
          </w:p>
        </w:tc>
        <w:tc>
          <w:tcPr>
            <w:tcW w:type="dxa" w:w="4574"/>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GENP sale/distribution; RWLV recapitalisation; capital-allocation policy; holdco net-debt target; reinstated dividend/buyback</w:t>
            </w:r>
          </w:p>
        </w:tc>
        <w:tc>
          <w:tcPr>
            <w:tcW w:type="dxa" w:w="238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4"/>
                <w:szCs w:val="14"/>
              </w:rPr>
              <w:t xml:space="preserve">Close the discount toward 30–35%</w:t>
            </w:r>
          </w:p>
        </w:tc>
      </w:tr>
    </w:tbl>
    <w:p>
      <w:pPr>
        <w:pStyle w:val="Heading2"/>
      </w:pPr>
      <w:r>
        <w:t xml:space="preserve">12.6 Expected board defences and rebuttals</w:t>
      </w:r>
    </w:p>
    <w:p>
      <w:pPr>
        <w:pStyle w:val="ListParagraph"/>
        <w:numPr>
          <w:ilvl w:val="0"/>
          <w:numId w:val="2"/>
        </w:numPr>
        <w:spacing w:after="60"/>
      </w:pPr>
      <w:r>
        <w:rPr>
          <w:b/>
          <w:bCs/>
        </w:rPr>
        <w:t xml:space="preserve">"We will not sell assets at fire-sale prices."</w:t>
      </w:r>
      <w:r>
        <w:t xml:space="preserve"> Rebuttal: the 2026 Kasuri sales prove buyers pay well above the value the share price implies; selling at book is NAV-neutral and de-risking; the alternative is dilution at 0.19x book.</w:t>
      </w:r>
    </w:p>
    <w:p>
      <w:pPr>
        <w:pStyle w:val="ListParagraph"/>
        <w:numPr>
          <w:ilvl w:val="0"/>
          <w:numId w:val="2"/>
        </w:numPr>
        <w:spacing w:after="60"/>
      </w:pPr>
      <w:r>
        <w:rPr>
          <w:b/>
          <w:bCs/>
        </w:rPr>
        <w:t xml:space="preserve">"The keepwells constrain GENS transactions."</w:t>
      </w:r>
      <w:r>
        <w:t xml:space="preserve"> Rebuttal: pro-rata capital returns leave the shareholding percentage unchanged.</w:t>
      </w:r>
    </w:p>
    <w:p>
      <w:pPr>
        <w:pStyle w:val="ListParagraph"/>
        <w:numPr>
          <w:ilvl w:val="0"/>
          <w:numId w:val="2"/>
        </w:numPr>
        <w:spacing w:after="60"/>
      </w:pPr>
      <w:r>
        <w:rPr>
          <w:b/>
          <w:bCs/>
        </w:rPr>
        <w:t xml:space="preserve">"RWNYC/RWS 2.0 need the cash."</w:t>
      </w:r>
      <w:r>
        <w:t xml:space="preserve"> Rebuttal: both are financed at subsidiary level (the GENM US$2.0bn facility; GENS cash). The holdco must stop subsidising non-core growth.</w:t>
      </w:r>
    </w:p>
    <w:p>
      <w:pPr>
        <w:pStyle w:val="ListParagraph"/>
        <w:numPr>
          <w:ilvl w:val="0"/>
          <w:numId w:val="2"/>
        </w:numPr>
        <w:spacing w:after="60"/>
      </w:pPr>
      <w:r>
        <w:rPr>
          <w:b/>
          <w:bCs/>
        </w:rPr>
        <w:t xml:space="preserve">"Long-term family ownership is a strength."</w:t>
      </w:r>
      <w:r>
        <w:t xml:space="preserve"> Rebuttal: agreed, so align the capital-allocation framework with minorities and publish NAV; family buying at RM1.45 confirms the undervaluation.</w:t>
      </w:r>
    </w:p>
    <w:p>
      <w:pPr>
        <w:pStyle w:val="Heading2"/>
      </w:pPr>
      <w:r>
        <w:t xml:space="preserve">12.7 Alternative event-driven structures</w:t>
      </w:r>
    </w:p>
    <w:p>
      <w:pPr>
        <w:pStyle w:val="ListParagraph"/>
        <w:numPr>
          <w:ilvl w:val="0"/>
          <w:numId w:val="2"/>
        </w:numPr>
        <w:spacing w:after="60"/>
      </w:pPr>
      <w:r>
        <w:rPr>
          <w:b/>
          <w:bCs/>
        </w:rPr>
        <w:t xml:space="preserve">Rights arbitrage:</w:t>
      </w:r>
      <w:r>
        <w:t xml:space="preserve"> nil-paid rights often trade below their intrinsic value (share price less subscription price) in Malaysian rights issues with heavy retail participation; excess applications can secure stock at the subscription price.</w:t>
      </w:r>
    </w:p>
    <w:p>
      <w:pPr>
        <w:pStyle w:val="ListParagraph"/>
        <w:numPr>
          <w:ilvl w:val="0"/>
          <w:numId w:val="2"/>
        </w:numPr>
        <w:spacing w:after="60"/>
      </w:pPr>
      <w:r>
        <w:rPr>
          <w:b/>
          <w:bCs/>
        </w:rPr>
        <w:t xml:space="preserve">Stub trade:</w:t>
      </w:r>
      <w:r>
        <w:t xml:space="preserve"> long GENT, short GENS/GENM/GENP in proportion to the look-through stakes (borrow permitting) isolates the private assets net of holdco debt, which the market values at –RM14.7bn. It profits from deleveraging and private-asset re-rating, not from sector moves. The short legs are large relative to the long (GENS look-through alone is ~2.2x GENT's market cap), so size accordingly.</w:t>
      </w:r>
    </w:p>
    <w:p>
      <w:pPr>
        <w:pStyle w:val="ListParagraph"/>
        <w:numPr>
          <w:ilvl w:val="0"/>
          <w:numId w:val="2"/>
        </w:numPr>
        <w:spacing w:after="60"/>
      </w:pPr>
      <w:r>
        <w:rPr>
          <w:b/>
          <w:bCs/>
        </w:rPr>
        <w:t xml:space="preserve">Subsidiary angles:</w:t>
      </w:r>
      <w:r>
        <w:t xml:space="preserve"> a GENS position with a capital-return agenda (Singapore is more activist-friendly), or GENM as a hold-out against any eventual move above 75% by GENT.</w:t>
      </w:r>
    </w:p>
    <w:p>
      <w:pPr>
        <w:pStyle w:val="Heading1"/>
      </w:pPr>
      <w:r>
        <w:t xml:space="preserve">13. Catalyst Calendar and Monitoring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2"/>
        <w:gridCol w:w="3977"/>
        <w:gridCol w:w="4377"/>
      </w:tblGrid>
      <w:tr>
        <w:trPr>
          <w:tblHeader/>
        </w:trPr>
        <w:tc>
          <w:tcPr>
            <w:tcW w:type="dxa" w:w="1392"/>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Date</w:t>
            </w:r>
          </w:p>
        </w:tc>
        <w:tc>
          <w:tcPr>
            <w:tcW w:type="dxa" w:w="3977"/>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Event</w:t>
            </w:r>
          </w:p>
        </w:tc>
        <w:tc>
          <w:tcPr>
            <w:tcW w:type="dxa" w:w="4377"/>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Why it matters</w:t>
            </w:r>
          </w:p>
        </w:tc>
      </w:tr>
      <w:tr>
        <w:trPr>
          <w:cantSplit/>
        </w:trPr>
        <w:tc>
          <w:tcPr>
            <w:tcW w:type="dxa" w:w="139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Late Nov 2026</w:t>
            </w:r>
          </w:p>
        </w:tc>
        <w:tc>
          <w:tcPr>
            <w:tcW w:type="dxa" w:w="39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GENT/GENM/GENP 3Q26 results; GENS 3Q update</w:t>
            </w:r>
          </w:p>
        </w:tc>
        <w:tc>
          <w:tcPr>
            <w:tcW w:type="dxa" w:w="43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RWLV and RWNYC run-rates; holdco net debt; dividend signals</w:t>
            </w:r>
          </w:p>
        </w:tc>
      </w:tr>
      <w:tr>
        <w:trPr>
          <w:cantSplit/>
        </w:trPr>
        <w:tc>
          <w:tcPr>
            <w:tcW w:type="dxa" w:w="139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4Q26 (TBC)</w:t>
            </w:r>
          </w:p>
        </w:tc>
        <w:tc>
          <w:tcPr>
            <w:tcW w:type="dxa" w:w="397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Rights-issue EGM, underwriting, price-fixing</w:t>
            </w:r>
          </w:p>
        </w:tc>
        <w:tc>
          <w:tcPr>
            <w:tcW w:type="dxa" w:w="437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Final price and ratio; Kien Huat excess applications and creep</w:t>
            </w:r>
          </w:p>
        </w:tc>
      </w:tr>
      <w:tr>
        <w:trPr>
          <w:cantSplit/>
        </w:trPr>
        <w:tc>
          <w:tcPr>
            <w:tcW w:type="dxa" w:w="139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Dec 2026 (TBC)</w:t>
            </w:r>
          </w:p>
        </w:tc>
        <w:tc>
          <w:tcPr>
            <w:tcW w:type="dxa" w:w="39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FBM KLCI / MSCI index reviews</w:t>
            </w:r>
          </w:p>
        </w:tc>
        <w:tc>
          <w:tcPr>
            <w:tcW w:type="dxa" w:w="43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Possible deletion or weight cut and passive selling</w:t>
            </w:r>
          </w:p>
        </w:tc>
      </w:tr>
      <w:tr>
        <w:trPr>
          <w:cantSplit/>
        </w:trPr>
        <w:tc>
          <w:tcPr>
            <w:tcW w:type="dxa" w:w="139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24 Jan 2027</w:t>
            </w:r>
          </w:p>
        </w:tc>
        <w:tc>
          <w:tcPr>
            <w:tcW w:type="dxa" w:w="397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GOHL 4.25% US$617.5m notes mature</w:t>
            </w:r>
          </w:p>
        </w:tc>
        <w:tc>
          <w:tcPr>
            <w:tcW w:type="dxa" w:w="437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First refinancing test</w:t>
            </w:r>
          </w:p>
        </w:tc>
      </w:tr>
      <w:tr>
        <w:trPr>
          <w:cantSplit/>
        </w:trPr>
        <w:tc>
          <w:tcPr>
            <w:tcW w:type="dxa" w:w="139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Feb 2027</w:t>
            </w:r>
          </w:p>
        </w:tc>
        <w:tc>
          <w:tcPr>
            <w:tcW w:type="dxa" w:w="39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FY26 results; impairment testing; dividend; Kasuri PSC 5% completion deadline</w:t>
            </w:r>
          </w:p>
        </w:tc>
        <w:tc>
          <w:tcPr>
            <w:tcW w:type="dxa" w:w="43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Book-value reset risk; capital-return policy</w:t>
            </w:r>
          </w:p>
        </w:tc>
      </w:tr>
      <w:tr>
        <w:trPr>
          <w:cantSplit/>
        </w:trPr>
        <w:tc>
          <w:tcPr>
            <w:tcW w:type="dxa" w:w="139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1Q27</w:t>
            </w:r>
          </w:p>
        </w:tc>
        <w:tc>
          <w:tcPr>
            <w:tcW w:type="dxa" w:w="397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Rights completion; Genting RMTN RM400m matures (Mar)</w:t>
            </w:r>
          </w:p>
        </w:tc>
        <w:tc>
          <w:tcPr>
            <w:tcW w:type="dxa" w:w="437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Overhang removed</w:t>
            </w:r>
          </w:p>
        </w:tc>
      </w:tr>
      <w:tr>
        <w:trPr>
          <w:cantSplit/>
        </w:trPr>
        <w:tc>
          <w:tcPr>
            <w:tcW w:type="dxa" w:w="139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2026–27</w:t>
            </w:r>
          </w:p>
        </w:tc>
        <w:tc>
          <w:tcPr>
            <w:tcW w:type="dxa" w:w="39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TauRx MHRA decision</w:t>
            </w:r>
          </w:p>
        </w:tc>
        <w:tc>
          <w:tcPr>
            <w:tcW w:type="dxa" w:w="43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Binary option value</w:t>
            </w:r>
          </w:p>
        </w:tc>
      </w:tr>
      <w:tr>
        <w:trPr>
          <w:cantSplit/>
        </w:trPr>
        <w:tc>
          <w:tcPr>
            <w:tcW w:type="dxa" w:w="139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2Q–3Q27</w:t>
            </w:r>
          </w:p>
        </w:tc>
        <w:tc>
          <w:tcPr>
            <w:tcW w:type="dxa" w:w="397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Kasuri/FLNG first LNG; gas sales agreement</w:t>
            </w:r>
          </w:p>
        </w:tc>
        <w:tc>
          <w:tcPr>
            <w:tcW w:type="dxa" w:w="437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O&amp;G turns cash-positive; de-risks RM7.2bn of assets</w:t>
            </w:r>
          </w:p>
        </w:tc>
      </w:tr>
      <w:tr>
        <w:trPr>
          <w:cantSplit/>
        </w:trPr>
        <w:tc>
          <w:tcPr>
            <w:tcW w:type="dxa" w:w="139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Jun 2027</w:t>
            </w:r>
          </w:p>
        </w:tc>
        <w:tc>
          <w:tcPr>
            <w:tcW w:type="dxa" w:w="39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AGM season; Genting Capital RM1.5bn matures</w:t>
            </w:r>
          </w:p>
        </w:tc>
        <w:tc>
          <w:tcPr>
            <w:tcW w:type="dxa" w:w="43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Activist window; refinancing</w:t>
            </w:r>
          </w:p>
        </w:tc>
      </w:tr>
      <w:tr>
        <w:trPr>
          <w:cantSplit/>
        </w:trPr>
        <w:tc>
          <w:tcPr>
            <w:tcW w:type="dxa" w:w="1392"/>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Oct 2027</w:t>
            </w:r>
          </w:p>
        </w:tc>
        <w:tc>
          <w:tcPr>
            <w:tcW w:type="dxa" w:w="397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RWLV US$656m term loan matures</w:t>
            </w:r>
          </w:p>
        </w:tc>
        <w:tc>
          <w:tcPr>
            <w:tcW w:type="dxa" w:w="437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RWLV recapitalisation decision</w:t>
            </w:r>
          </w:p>
        </w:tc>
      </w:tr>
      <w:tr>
        <w:trPr>
          <w:cantSplit/>
        </w:trPr>
        <w:tc>
          <w:tcPr>
            <w:tcW w:type="dxa" w:w="1392"/>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Ongoing</w:t>
            </w:r>
          </w:p>
        </w:tc>
        <w:tc>
          <w:tcPr>
            <w:tcW w:type="dxa" w:w="39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S&amp;P rating review; NY weekly GGR; Las Vegas Strip data; GENS VIP market share</w:t>
            </w:r>
          </w:p>
        </w:tc>
        <w:tc>
          <w:tcPr>
            <w:tcW w:type="dxa" w:w="437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Credit cliff; earnings inflection</w:t>
            </w:r>
          </w:p>
        </w:tc>
      </w:tr>
    </w:tbl>
    <w:p>
      <w:pPr>
        <w:pStyle w:val="Heading2"/>
      </w:pPr>
      <w:r>
        <w:t xml:space="preserve">13.1 Dashboard — what would change our mind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5"/>
        <w:gridCol w:w="2585"/>
        <w:gridCol w:w="2287"/>
        <w:gridCol w:w="2289"/>
      </w:tblGrid>
      <w:tr>
        <w:trPr>
          <w:tblHeader/>
        </w:trPr>
        <w:tc>
          <w:tcPr>
            <w:tcW w:type="dxa" w:w="2585"/>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KPI</w:t>
            </w:r>
          </w:p>
        </w:tc>
        <w:tc>
          <w:tcPr>
            <w:tcW w:type="dxa" w:w="2585"/>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Current</w:t>
            </w:r>
          </w:p>
        </w:tc>
        <w:tc>
          <w:tcPr>
            <w:tcW w:type="dxa" w:w="2287"/>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Bull signal</w:t>
            </w:r>
          </w:p>
        </w:tc>
        <w:tc>
          <w:tcPr>
            <w:tcW w:type="dxa" w:w="2289"/>
            <w:tcBorders>
              <w:top w:val="single" w:color="BFBFBF" w:sz="2"/>
              <w:left w:val="single" w:color="BFBFBF" w:sz="2"/>
              <w:bottom w:val="single" w:color="BFBFBF" w:sz="2"/>
              <w:right w:val="single" w:color="BFBFBF" w:sz="2"/>
            </w:tcBorders>
            <w:shd w:fill="1F3864" w:color="auto" w:val="clear"/>
            <w:tcMar>
              <w:top w:type="dxa" w:w="40"/>
              <w:left w:type="dxa" w:w="80"/>
              <w:bottom w:type="dxa" w:w="40"/>
              <w:right w:type="dxa" w:w="80"/>
            </w:tcMar>
            <w:vAlign w:val="center"/>
          </w:tcPr>
          <w:p>
            <w:pPr>
              <w:jc w:val="left"/>
            </w:pPr>
            <w:r>
              <w:rPr>
                <w:b/>
                <w:bCs/>
                <w:color w:val="FFFFFF"/>
                <w:sz w:val="15"/>
                <w:szCs w:val="15"/>
              </w:rPr>
              <w:t xml:space="preserve">Bear signal</w:t>
            </w:r>
          </w:p>
        </w:tc>
      </w:tr>
      <w:tr>
        <w:trPr>
          <w:cantSplit/>
        </w:trPr>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Ex-listed net debt</w:t>
            </w:r>
          </w:p>
        </w:tc>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RM22.0bn (Jun-26)</w:t>
            </w:r>
          </w:p>
        </w:tc>
        <w:tc>
          <w:tcPr>
            <w:tcW w:type="dxa" w:w="22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&lt; RM18bn by end-2027</w:t>
            </w:r>
          </w:p>
        </w:tc>
        <w:tc>
          <w:tcPr>
            <w:tcW w:type="dxa" w:w="228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&gt; RM23bn</w:t>
            </w:r>
          </w:p>
        </w:tc>
      </w:tr>
      <w:tr>
        <w:trPr>
          <w:cantSplit/>
        </w:trPr>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RWLV quarterly adj. EBITDA</w:t>
            </w:r>
          </w:p>
        </w:tc>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RM199m (1Q26) / ~RM97m (2Q26)</w:t>
            </w:r>
          </w:p>
        </w:tc>
        <w:tc>
          <w:tcPr>
            <w:tcW w:type="dxa" w:w="228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&gt; RM200m sustained</w:t>
            </w:r>
          </w:p>
        </w:tc>
        <w:tc>
          <w:tcPr>
            <w:tcW w:type="dxa" w:w="228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&lt; RM100m</w:t>
            </w:r>
          </w:p>
        </w:tc>
      </w:tr>
      <w:tr>
        <w:trPr>
          <w:cantSplit/>
        </w:trPr>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RWNYC (GENM US segment) quarterly revenue</w:t>
            </w:r>
          </w:p>
        </w:tc>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US$378m (2Q26)</w:t>
            </w:r>
          </w:p>
        </w:tc>
        <w:tc>
          <w:tcPr>
            <w:tcW w:type="dxa" w:w="22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&gt; US$450m</w:t>
            </w:r>
          </w:p>
        </w:tc>
        <w:tc>
          <w:tcPr>
            <w:tcW w:type="dxa" w:w="228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Flat or falling</w:t>
            </w:r>
          </w:p>
        </w:tc>
      </w:tr>
      <w:tr>
        <w:trPr>
          <w:cantSplit/>
        </w:trPr>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GENS payout / capital return</w:t>
            </w:r>
          </w:p>
        </w:tc>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S$0.02 interim</w:t>
            </w:r>
          </w:p>
        </w:tc>
        <w:tc>
          <w:tcPr>
            <w:tcW w:type="dxa" w:w="228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Special dividend or EAO</w:t>
            </w:r>
          </w:p>
        </w:tc>
        <w:tc>
          <w:tcPr>
            <w:tcW w:type="dxa" w:w="228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Dividend cut</w:t>
            </w:r>
          </w:p>
        </w:tc>
      </w:tr>
      <w:tr>
        <w:trPr>
          <w:cantSplit/>
        </w:trPr>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Ratings</w:t>
            </w:r>
          </w:p>
        </w:tc>
        <w:tc>
          <w:tcPr>
            <w:tcW w:type="dxa" w:w="2585"/>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Baa3 / BBB- (Neg) / BBB-</w:t>
            </w:r>
          </w:p>
        </w:tc>
        <w:tc>
          <w:tcPr>
            <w:tcW w:type="dxa" w:w="2287"/>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Outlooks to stable</w:t>
            </w:r>
          </w:p>
        </w:tc>
        <w:tc>
          <w:tcPr>
            <w:tcW w:type="dxa" w:w="2289"/>
            <w:tcBorders>
              <w:top w:val="single" w:color="BFBFBF" w:sz="2"/>
              <w:left w:val="single" w:color="BFBFBF" w:sz="2"/>
              <w:bottom w:val="single" w:color="BFBFBF" w:sz="2"/>
              <w:right w:val="single" w:color="BFBFBF" w:sz="2"/>
            </w:tcBorders>
            <w:tcMar>
              <w:top w:type="dxa" w:w="40"/>
              <w:left w:type="dxa" w:w="80"/>
              <w:bottom w:type="dxa" w:w="40"/>
              <w:right w:type="dxa" w:w="80"/>
            </w:tcMar>
            <w:vAlign w:val="center"/>
          </w:tcPr>
          <w:p>
            <w:pPr>
              <w:jc w:val="left"/>
            </w:pPr>
            <w:r>
              <w:rPr>
                <w:sz w:val="15"/>
                <w:szCs w:val="15"/>
              </w:rPr>
              <w:t xml:space="preserve">Two agencies below IG</w:t>
            </w:r>
          </w:p>
        </w:tc>
      </w:tr>
      <w:tr>
        <w:trPr>
          <w:cantSplit/>
        </w:trPr>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Discount to base NAV</w:t>
            </w:r>
          </w:p>
        </w:tc>
        <w:tc>
          <w:tcPr>
            <w:tcW w:type="dxa" w:w="2585"/>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51%</w:t>
            </w:r>
          </w:p>
        </w:tc>
        <w:tc>
          <w:tcPr>
            <w:tcW w:type="dxa" w:w="2287"/>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&lt; 40%</w:t>
            </w:r>
          </w:p>
        </w:tc>
        <w:tc>
          <w:tcPr>
            <w:tcW w:type="dxa" w:w="2289"/>
            <w:tcBorders>
              <w:top w:val="single" w:color="BFBFBF" w:sz="2"/>
              <w:left w:val="single" w:color="BFBFBF" w:sz="2"/>
              <w:bottom w:val="single" w:color="BFBFBF" w:sz="2"/>
              <w:right w:val="single" w:color="BFBFBF" w:sz="2"/>
            </w:tcBorders>
            <w:shd w:fill="FAFAFA" w:color="auto" w:val="clear"/>
            <w:tcMar>
              <w:top w:type="dxa" w:w="40"/>
              <w:left w:type="dxa" w:w="80"/>
              <w:bottom w:type="dxa" w:w="40"/>
              <w:right w:type="dxa" w:w="80"/>
            </w:tcMar>
            <w:vAlign w:val="center"/>
          </w:tcPr>
          <w:p>
            <w:pPr>
              <w:jc w:val="left"/>
            </w:pPr>
            <w:r>
              <w:rPr>
                <w:sz w:val="15"/>
                <w:szCs w:val="15"/>
              </w:rPr>
              <w:t xml:space="preserve">&gt; 60%</w:t>
            </w:r>
          </w:p>
        </w:tc>
      </w:tr>
    </w:tbl>
    <w:p>
      <w:pPr>
        <w:pStyle w:val="Heading1"/>
      </w:pPr>
      <w:r>
        <w:t xml:space="preserve">Appendix A — Methodology, Sources and Data Gaps</w:t>
      </w:r>
    </w:p>
    <w:p>
      <w:pPr>
        <w:pStyle w:val="Heading3"/>
      </w:pPr>
      <w:r>
        <w:t xml:space="preserve">Methodology</w:t>
      </w:r>
    </w:p>
    <w:p>
      <w:pPr>
        <w:pStyle w:val="ListParagraph"/>
        <w:numPr>
          <w:ilvl w:val="0"/>
          <w:numId w:val="2"/>
        </w:numPr>
        <w:spacing w:after="60"/>
      </w:pPr>
      <w:r>
        <w:rPr>
          <w:b/>
          <w:bCs/>
        </w:rPr>
        <w:t xml:space="preserve">Listed stakes</w:t>
      </w:r>
      <w:r>
        <w:t xml:space="preserve"> at closing prices on 16-Oct-26 (S&amp;P Capital IQ), translated at US$1 = RM4.0828 and S$1 = RM3.1905.</w:t>
      </w:r>
    </w:p>
    <w:p>
      <w:pPr>
        <w:pStyle w:val="ListParagraph"/>
        <w:numPr>
          <w:ilvl w:val="0"/>
          <w:numId w:val="2"/>
        </w:numPr>
        <w:spacing w:after="60"/>
      </w:pPr>
      <w:r>
        <w:rPr>
          <w:b/>
          <w:bCs/>
        </w:rPr>
        <w:t xml:space="preserve">Ex-listed net debt</w:t>
      </w:r>
      <w:r>
        <w:t xml:space="preserve"> = consolidated borrowings less 100% of GENM and GENP borrowings (GENS has none), minus consolidated cash, deposits and liquid financial assets less 100% of GENS, GENM and GENP cash and funds. Leases and restricted cash excluded. Balance sheets at 30-Jun-26.</w:t>
      </w:r>
    </w:p>
    <w:p>
      <w:pPr>
        <w:pStyle w:val="ListParagraph"/>
        <w:numPr>
          <w:ilvl w:val="0"/>
          <w:numId w:val="2"/>
        </w:numPr>
        <w:spacing w:after="60"/>
      </w:pPr>
      <w:r>
        <w:rPr>
          <w:b/>
          <w:bCs/>
        </w:rPr>
        <w:t xml:space="preserve">Private assets</w:t>
      </w:r>
      <w:r>
        <w:t xml:space="preserve"> at enterprise value, because their debt is inside ex-listed net debt. RWLV figures are derived as group US &amp; Bahamas segment less GENM US &amp; Bahamas segment; the method reproduces Genting's disclosed RWLV adjusted EBITDA for 1Q26 and 1H26 exactly.</w:t>
      </w:r>
    </w:p>
    <w:p>
      <w:pPr>
        <w:pStyle w:val="ListParagraph"/>
        <w:numPr>
          <w:ilvl w:val="0"/>
          <w:numId w:val="2"/>
        </w:numPr>
        <w:spacing w:after="60"/>
      </w:pPr>
      <w:r>
        <w:rPr>
          <w:b/>
          <w:bCs/>
        </w:rPr>
        <w:t xml:space="preserve">EBIT</w:t>
      </w:r>
      <w:r>
        <w:t xml:space="preserve"> = segment adjusted EBITDA less segment D&amp;A (an operating proxy before impairments, pre-opening and finance costs).</w:t>
      </w:r>
    </w:p>
    <w:p>
      <w:pPr>
        <w:pStyle w:val="ListParagraph"/>
        <w:numPr>
          <w:ilvl w:val="0"/>
          <w:numId w:val="2"/>
        </w:numPr>
        <w:spacing w:after="60"/>
      </w:pPr>
      <w:r>
        <w:rPr>
          <w:b/>
          <w:bCs/>
        </w:rPr>
        <w:t xml:space="preserve">Pro forma rights</w:t>
      </w:r>
      <w:r>
        <w:t xml:space="preserve">: 962.6m new shares (1-for-4) and RM1,229.5m net proceeds at the illustrative RM1.30; final terms are not yet fixed.</w:t>
      </w:r>
    </w:p>
    <w:p>
      <w:pPr>
        <w:pStyle w:val="Heading3"/>
      </w:pPr>
      <w:r>
        <w:t xml:space="preserve">Primary data sources</w:t>
      </w:r>
    </w:p>
    <w:p>
      <w:pPr>
        <w:pStyle w:val="ListParagraph"/>
        <w:numPr>
          <w:ilvl w:val="0"/>
          <w:numId w:val="2"/>
        </w:numPr>
        <w:spacing w:after="60"/>
      </w:pPr>
      <w:r>
        <w:t xml:space="preserve">S&amp;P Capital IQ: prices, market caps, shares outstanding, FX, consolidated and subsidiary balance sheets, income statements, segment data, dividends.</w:t>
      </w:r>
    </w:p>
    <w:p>
      <w:pPr>
        <w:pStyle w:val="ListParagraph"/>
        <w:numPr>
          <w:ilvl w:val="0"/>
          <w:numId w:val="2"/>
        </w:numPr>
        <w:spacing w:after="60"/>
      </w:pPr>
      <w:r>
        <w:t xml:space="preserve">Company disclosures as reported: GENT AR2025 and 1Q/2Q26 quarterly reports; GENM April-2026 circular; GENS FY2025 results and AGM letter; Bursa/SGX notices; rights-issue announcement and Bursa query reply (Oct-26).</w:t>
      </w:r>
    </w:p>
    <w:p>
      <w:pPr>
        <w:pStyle w:val="ListParagraph"/>
        <w:numPr>
          <w:ilvl w:val="0"/>
          <w:numId w:val="2"/>
        </w:numPr>
        <w:spacing w:after="60"/>
      </w:pPr>
      <w:r>
        <w:t xml:space="preserve">Press and broker coverage: The Edge Malaysia, The Star, Business Today, NST, GGRAsia, AGBrief, ASGAM, CDC Gaming, Yogonet, The Edge Singapore, LNG Prime, Petromindo; Maybank IB, CIMB, PublicInvest, TA Research, PhillipCapital, Citi, Nomura, DBS, UOB Kay Hian, CreditSights; Moody's, S&amp;P, Fitch and RAM rating actions as reported.</w:t>
      </w:r>
    </w:p>
    <w:p>
      <w:pPr>
        <w:pStyle w:val="Heading3"/>
      </w:pPr>
      <w:r>
        <w:t xml:space="preserve">Data gaps and items not verified</w:t>
      </w:r>
    </w:p>
    <w:p>
      <w:pPr>
        <w:pStyle w:val="ListParagraph"/>
        <w:numPr>
          <w:ilvl w:val="0"/>
          <w:numId w:val="2"/>
        </w:numPr>
        <w:spacing w:after="60"/>
      </w:pPr>
      <w:r>
        <w:t xml:space="preserve">ProntoNLP (call-tone and filing-sentiment analytics) was not authorised in this session; tone is assessed qualitatively.</w:t>
      </w:r>
    </w:p>
    <w:p>
      <w:pPr>
        <w:pStyle w:val="ListParagraph"/>
        <w:numPr>
          <w:ilvl w:val="0"/>
          <w:numId w:val="2"/>
        </w:numPr>
        <w:spacing w:after="60"/>
      </w:pPr>
      <w:r>
        <w:t xml:space="preserve">Not verified: the size of the Celularity stake; exact EPF, KWAP and PNB holdings and foreign ownership; Kasuri/FLNG project debt; LLPL notes outstanding (derived); Block 15/33 consideration; TauRx carrying value; GENM FY25 US segment D&amp;A (RWLV FY25 D&amp;A estimated); historical disposals before 2025; the final rights ratio and price.</w:t>
      </w:r>
    </w:p>
    <w:p>
      <w:pPr>
        <w:pStyle w:val="ListParagraph"/>
        <w:numPr>
          <w:ilvl w:val="0"/>
          <w:numId w:val="2"/>
        </w:numPr>
        <w:spacing w:after="60"/>
      </w:pPr>
      <w:r>
        <w:t xml:space="preserve">Conflicting sources: PT Layar Nusantara Gas consideration (US$38.575m vs US$43.68m); RWLV FY25 EBITDA in US$ (trade-press sum ~US$31m vs RM-implied ~US$56m); the Banten effective interest (55% effective vs Lestari Listrik's 95%).</w:t>
      </w:r>
    </w:p>
    <w:p>
      <w:pPr>
        <w:spacing w:after="120"/>
        <w:jc w:val="both"/>
      </w:pPr>
      <w:r>
        <w:rPr>
          <w:i/>
          <w:iCs/>
          <w:color w:val="595959"/>
          <w:sz w:val="16"/>
          <w:szCs w:val="16"/>
        </w:rPr>
        <w:t xml:space="preserve">This report is for internal investment research. It is not investment advice or an offer to buy or sell securities. Estimates are the author's judgements and are subject to change.</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Genting Berhad (GENT MK) — Holding-Company Deep Dive  |  19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4"/>
      <w:szCs w:val="24"/>
    </w:rPr>
  </w:style>
  <w:style w:type="paragraph" w:styleId="Heading3">
    <w:name w:val="Heading 3"/>
    <w:basedOn w:val="Normal"/>
    <w:next w:val="Normal"/>
    <w:qFormat/>
    <w:pPr>
      <w:keepNext/>
      <w:spacing w:after="80" w:before="160"/>
      <w:outlineLvl w:val="2"/>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d34a5e14696382004ecfcbbd18524295168dc3.png"/><Relationship Id="rId10" Type="http://schemas.openxmlformats.org/officeDocument/2006/relationships/image" Target="media/f7250924e3125cf3bd622c7dc1c810d192f5fb9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Genting Berhad (GENT MK) — Holding-Company Deep Dive</dc:title>
  <dc:creator>Equity Research</dc:creator>
  <dc:description>SOTP, holdco net debt, discount dynamics, pre-mortem and activist assessment</dc:description>
  <cp:lastModifiedBy>Un-named</cp:lastModifiedBy>
  <cp:revision>1</cp:revision>
  <dcterms:created xsi:type="dcterms:W3CDTF">2026-10-19T02:08:02.249Z</dcterms:created>
  <dcterms:modified xsi:type="dcterms:W3CDTF">2026-10-19T02:08:02.249Z</dcterms:modified>
</cp:coreProperties>
</file>

<file path=docProps/custom.xml><?xml version="1.0" encoding="utf-8"?>
<Properties xmlns="http://schemas.openxmlformats.org/officeDocument/2006/custom-properties" xmlns:vt="http://schemas.openxmlformats.org/officeDocument/2006/docPropsVTypes"/>
</file>