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2E74B5"/>
          <w:sz w:val="18"/>
          <w:szCs w:val="18"/>
        </w:rPr>
        <w:t xml:space="preserve">INSTITUTIONAL EQUITY RESEARCH — ADVERSARIAL DEEP-DIVE</w:t>
      </w:r>
    </w:p>
    <w:p>
      <w:pPr>
        <w:spacing w:after="20"/>
      </w:pPr>
      <w:r>
        <w:rPr>
          <w:b/>
          <w:bCs/>
          <w:color w:val="1F3864"/>
          <w:sz w:val="44"/>
          <w:szCs w:val="44"/>
        </w:rPr>
        <w:t xml:space="preserve">Motonic Corporation</w:t>
      </w:r>
    </w:p>
    <w:p>
      <w:pPr>
        <w:spacing w:after="40"/>
      </w:pPr>
      <w:r>
        <w:rPr>
          <w:color w:val="595959"/>
          <w:sz w:val="22"/>
          <w:szCs w:val="22"/>
        </w:rPr>
        <w:t xml:space="preserve">009680 KS  ·  KOSPI  ·  Auto Parts (Fuel &amp; Engine-Management Systems)</w:t>
      </w:r>
    </w:p>
    <w:p>
      <w:pPr>
        <w:pBdr>
          <w:bottom w:val="single" w:color="1F3864" w:sz="12"/>
        </w:pBdr>
        <w:spacing w:after="60"/>
      </w:pPr>
      <w:r>
        <w:rPr>
          <w:sz w:val="4"/>
          <w:szCs w:val="4"/>
        </w:rPr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Prepared August 2026  ·  Bull case · Bear case · Short-seller teardown · Pre-mortem · Valuation · Contrarian view</w:t>
      </w:r>
    </w:p>
    <w:p>
      <w:pPr>
        <w:pStyle w:val="Heading2"/>
        <w:spacing w:before="220" w:after="100"/>
      </w:pPr>
      <w:r>
        <w:rPr>
          <w:b/>
          <w:bCs/>
          <w:color w:val="2E74B5"/>
          <w:sz w:val="25"/>
          <w:szCs w:val="25"/>
        </w:rPr>
        <w:t xml:space="preserve">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3FB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Ticker / Exchange</w:t>
            </w:r>
          </w:p>
        </w:tc>
        <w:tc>
          <w:tcPr>
            <w:tcW w:type="dxa" w:w="6160"/>
            <w:shd w:fill="EEF3FB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009680 KS · KOSPI (listed 1994; founded 1974 as Changwon Carburetor, renamed Motonic 2002)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Share price</w:t>
            </w:r>
          </w:p>
        </w:tc>
        <w:tc>
          <w:tcPr>
            <w:tcW w:type="dxa" w:w="61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₩9,630 (24 Jun 2026); 52-wk range ₩9,490–₩11,980; ~ –7% over 1 year</w:t>
            </w:r>
          </w:p>
        </w:tc>
      </w:tr>
      <w:tr>
        <w:tc>
          <w:tcPr>
            <w:tcW w:type="dxa" w:w="3200"/>
            <w:shd w:fill="EEF3FB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Market cap (est.)</w:t>
            </w:r>
          </w:p>
        </w:tc>
        <w:tc>
          <w:tcPr>
            <w:tcW w:type="dxa" w:w="6160"/>
            <w:shd w:fill="EEF3FB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~₩160bn post-treasury-cancellation (was ₩226bn on ~21.6m shares before the March 2026 retirement)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FY2024 revenue</w:t>
            </w:r>
          </w:p>
        </w:tc>
        <w:tc>
          <w:tcPr>
            <w:tcW w:type="dxa" w:w="61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₩290.6bn (+19.0% YoY, from ₩244.3bn)</w:t>
            </w:r>
          </w:p>
        </w:tc>
      </w:tr>
      <w:tr>
        <w:tc>
          <w:tcPr>
            <w:tcW w:type="dxa" w:w="3200"/>
            <w:shd w:fill="EEF3FB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FY2024 operating profit</w:t>
            </w:r>
          </w:p>
        </w:tc>
        <w:tc>
          <w:tcPr>
            <w:tcW w:type="dxa" w:w="6160"/>
            <w:shd w:fill="EEF3FB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₩23.8bn (+57% YoY); operating margin 8.2%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FY2024 net income</w:t>
            </w:r>
          </w:p>
        </w:tc>
        <w:tc>
          <w:tcPr>
            <w:tcW w:type="dxa" w:w="61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₩32.4bn (+18%); net margin 11.1% — note: net income &gt; operating profit</w:t>
            </w:r>
          </w:p>
        </w:tc>
      </w:tr>
      <w:tr>
        <w:tc>
          <w:tcPr>
            <w:tcW w:type="dxa" w:w="3200"/>
            <w:shd w:fill="EEF3FB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Balance sheet (FY24)</w:t>
            </w:r>
          </w:p>
        </w:tc>
        <w:tc>
          <w:tcPr>
            <w:tcW w:type="dxa" w:w="6160"/>
            <w:shd w:fill="EEF3FB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assets ₩499.4bn · total liabilities ₩31.1bn · equity ₩468.3bn · ~debt-free (D/E 0.17%) · current ratio ~4x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Net cash + investments</w:t>
            </w:r>
          </w:p>
        </w:tc>
        <w:tc>
          <w:tcPr>
            <w:tcW w:type="dxa" w:w="61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Reported to exceed the entire market capitalisation</w:t>
            </w:r>
          </w:p>
        </w:tc>
      </w:tr>
      <w:tr>
        <w:tc>
          <w:tcPr>
            <w:tcW w:type="dxa" w:w="3200"/>
            <w:shd w:fill="EEF3FB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Valuation (est.)</w:t>
            </w:r>
          </w:p>
        </w:tc>
        <w:tc>
          <w:tcPr>
            <w:tcW w:type="dxa" w:w="6160"/>
            <w:shd w:fill="EEF3FB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P/E ~5–7x trailing · P/B ~0.35–0.48x · EV materially below zero net of cash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Dividend</w:t>
            </w:r>
          </w:p>
        </w:tc>
        <w:tc>
          <w:tcPr>
            <w:tcW w:type="dxa" w:w="61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Raised to ₩790/sh (from ₩600) → forward yield ~8%; FY24 payout ~40%; capital-reduction dividend used</w:t>
            </w:r>
          </w:p>
        </w:tc>
      </w:tr>
      <w:tr>
        <w:tc>
          <w:tcPr>
            <w:tcW w:type="dxa" w:w="3200"/>
            <w:shd w:fill="EEF3FB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Customers</w:t>
            </w:r>
          </w:p>
        </w:tc>
        <w:tc>
          <w:tcPr>
            <w:tcW w:type="dxa" w:w="6160"/>
            <w:shd w:fill="EEF3FB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Hyundai Motor &amp; Kia — OEM supply is effectively the entire revenue base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Control</w:t>
            </w:r>
          </w:p>
        </w:tc>
        <w:tc>
          <w:tcPr>
            <w:tcW w:type="dxa" w:w="61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Kim family ~38.3% combined after 2026 treasury cancellation (Pres. Kim Hee-jin ~22.9%)</w:t>
            </w:r>
          </w:p>
        </w:tc>
      </w:tr>
    </w:tbl>
    <w:p>
      <w:pPr>
        <w:spacing w:after="60"/>
      </w:pPr>
      <w:r>
        <w:rPr>
          <w:sz w:val="12"/>
          <w:szCs w:val="12"/>
        </w:rPr>
      </w:r>
    </w:p>
    <w:p>
      <w:pPr>
        <w:pStyle w:val="Heading2"/>
        <w:spacing w:before="220" w:after="100"/>
      </w:pPr>
      <w:r>
        <w:rPr>
          <w:b/>
          <w:bCs/>
          <w:color w:val="2E74B5"/>
          <w:sz w:val="25"/>
          <w:szCs w:val="25"/>
        </w:rPr>
        <w:t xml:space="preserve">One-paragraph thesis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Motonic is a textbook Korean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deep-value / value-trap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security: a debt-free, cash-rich Tier-1 supplier to Hyundai/Kia trading at roughly 0.35–0.48x book with net cash and financial investments that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exceed its entire market value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, paying an ~8% dividend, and having just cancelled a 22.9% treasury block. The market is not mispricing the </w:t>
      </w:r>
      <w:r>
        <w:rPr>
          <w:b w:val="false"/>
          <w:bCs w:val="false"/>
          <w:i/>
          <w:iCs/>
          <w:color w:val="000000"/>
          <w:sz w:val="21"/>
          <w:szCs w:val="21"/>
        </w:rPr>
        <w:t xml:space="preserve">assets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it is pricing the </w:t>
      </w:r>
      <w:r>
        <w:rPr>
          <w:b w:val="false"/>
          <w:bCs w:val="false"/>
          <w:i/>
          <w:iCs/>
          <w:color w:val="000000"/>
          <w:sz w:val="21"/>
          <w:szCs w:val="21"/>
        </w:rPr>
        <w:t xml:space="preserve">terminal value of the operating business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. Motonic's core products are internal-combustion and LPG fuel-delivery components — a product category that a battery-electric vehicle deletes entirely. The company is captive to a single customer group that both sets its prices and is now insourcing the very hydrogen content that constitutes Motonic's growth story. The decisive fact is behavioural: in 2026 management did nearly everything a value investor asks for — retired the treasury shares, raised the dividend, returned capital tax-efficiently — and the stock round-tripped the entire pop and now sits near its 52-week low. That is the market telling you the discount is not an oversight to be arbitraged; it is a rational judgement on a shrinking, customer-captive franchise wrapped around a controlling-family cash pile.</w:t>
      </w:r>
    </w:p>
    <w:p>
      <w:r>
        <w:br w:type="page"/>
      </w:r>
    </w:p>
    <w:p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1. How Motonic Makes Money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Motonic is a Tier-1 automotive supplier of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fuel-delivery and engine-management systems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. Its catalogue is almost entirely powertrain-plumbing for combustion engines: GDI (gasoline direct injection) high-pressure fuel pumps, low-pressure fuel pumps and drivers, fuel rails, regulators, EGR valves, oil-pump control units (OPU), variable valve lift and cylinder-deactivation actuators, throttle bodies and intake manifolds. Two adjacencies matter for the story: (i) a leading Korean position in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LPG fuel systems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LPI/LPDI pumps, injectors, regulators, ECUs and "donut" tank systems — and (ii) a small but high-value line of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hydrogen fuel-cell (FCEV) components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(receptacles, high-pressure regulators, hydrogen-supply parts) for the Hyundai NEXO.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Revenue is generated almost exclusively as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OEM supply to Hyundai Motor and Kia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. That single relationship defines everything about the business: volumes track Hyundai/Kia production schedules, and unit prices are set through the OEM's annual cost-down negotiations. Motonic is a price-taker on both quantity and price.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The single most important number on the page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 FY2024 net income (₩32.4bn) was larger than operating profit (₩23.8bn). The gap — roughly ₩8–9bn — is non-operating income: interest and dividends earned on the enormous cash and securities hoard, plus equity-method gains. Translation: a meaningful slice of Motonic's reported "earnings" is a bond-and-equity portfolio bolted onto a thin-margin parts business. The operating franchise earns an ~8% margin; the balance sheet does part of the rest.</w:t>
            </w:r>
          </w:p>
        </w:tc>
      </w:tr>
    </w:tbl>
    <w:p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2. The Bull Case</w:t>
      </w:r>
    </w:p>
    <w:p>
      <w:pPr>
        <w:pStyle w:val="Heading2"/>
        <w:spacing w:before="220" w:after="100"/>
      </w:pPr>
      <w:r>
        <w:rPr>
          <w:b/>
          <w:bCs/>
          <w:color w:val="2E74B5"/>
          <w:sz w:val="25"/>
          <w:szCs w:val="25"/>
        </w:rPr>
        <w:t xml:space="preserve">2.1  Competitive advantages &amp; moat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Designed-in incumbency.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Fuel-delivery and injection components are validated into specific engine platforms over multi-year development cycles and carry safety/emissions homologation. Once designed into a Hyundai/Kia engine family, the part is effectively sole-sourced for that platform's life — switching mid-cycle is costly and risky for the OEM. This produces sticky, annuity-like revenue for the duration of each platform.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Korea's LPG-systems franchise.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Motonic is the dominant domestic supplier of LPG fuel systems. LPG is a Korea-specific niche that global giants (Bosch, DENSO, Vitesco) largely ignore, giving Motonic genuine scale and know-how advantages in LPI/LPDI where it competes at home rather than against the majors.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Fortress balance sheet.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Effectively no debt, a current ratio near 4x, and net cash/investments exceeding the market cap. This is a durable survival moat — Motonic can outlast any cyclical downturn, fund its own hydrogen R&amp;D, and never faces refinancing or covenant risk.</w:t>
      </w:r>
    </w:p>
    <w:p>
      <w:pPr>
        <w:pStyle w:val="Heading2"/>
        <w:spacing w:before="220" w:after="100"/>
      </w:pPr>
      <w:r>
        <w:rPr>
          <w:b/>
          <w:bCs/>
          <w:color w:val="2E74B5"/>
          <w:sz w:val="25"/>
          <w:szCs w:val="25"/>
        </w:rPr>
        <w:t xml:space="preserve">2.2  Growth levers &amp; secular tailwinds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The LPG-truck renaissance.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Korea's phase-out of diesel one-ton trucks on emissions rules has pushed the Porter II / Bongo III commercial workhorses toward LPG, which now holds ~84% of that segment (100k+ units). Every LPG truck carries Motonic's LPDI/donut-tank content. This is a real, live, Korea-specific tailwind and was a major driver of the +19% revenue and +57% operating-profit jump in FY2024.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Hydrogen optionality.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Motonic supplies high-value hydrogen-handling parts for Hyundai's fuel-cell vehicles. If Hyundai's bet on hydrogen leadership (NEXO, commercial FCEV, hydrogen ecosystem) scales, Motonic's content-per-vehicle in hydrogen is far richer than in a gasoline car. This is the bull's terminal-value call option.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The hybrid reprieve the bears ignore.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As global BEV demand has cooled, Hyundai/Kia are leaning into hybrids and range-extenders (EREV). Crucially, hybrids and EREVs still contain a combustion engine and therefore still need Motonic's GDI pumps, injection and fuel systems. The industry's retreat from pure-BEV toward hybrids extends the ICE-content runway by years, not months.</w:t>
      </w:r>
    </w:p>
    <w:p>
      <w:pPr>
        <w:pStyle w:val="Heading2"/>
        <w:spacing w:before="220" w:after="100"/>
      </w:pPr>
      <w:r>
        <w:rPr>
          <w:b/>
          <w:bCs/>
          <w:color w:val="2E74B5"/>
          <w:sz w:val="25"/>
          <w:szCs w:val="25"/>
        </w:rPr>
        <w:t xml:space="preserve">2.3  Capital allocation &amp; the value-up catalyst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Treasury cancellation delivered.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In March 2026 Motonic retired its long-dormant treasury block, cutting treasury holdings from 22.88% to 0.46%. The stock jumped 9.3% on the day to a 52-week high. Under Korea's Value-up program and mandatory-cancellation reforms, this is exactly the shareholder-friendly action the market had demanded.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Rising, tax-efficient distributions.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dividend has been lifted to ₩790/share (from ₩600), an ~8% forward yield, and management has used a capital-reduction dividend (감액배당) to return capital tax-efficiently. Payout is climbing off a low base with enormous coverage.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Optionality on the cash.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With net cash &gt; market cap, any further move toward normalising the balance sheet — a special dividend, buyback-and-cancel, or higher payout ratio — is pure upside that requires no operational improvement whatsoever.</w:t>
      </w:r>
    </w:p>
    <w:p>
      <w:r>
        <w:br w:type="page"/>
      </w:r>
    </w:p>
    <w:p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3. The Bear Case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Three risks are capable of </w:t>
      </w:r>
      <w:r>
        <w:rPr>
          <w:b/>
          <w:bCs/>
          <w:i/>
          <w:iCs/>
          <w:color w:val="000000"/>
          <w:sz w:val="21"/>
          <w:szCs w:val="21"/>
        </w:rPr>
        <w:t xml:space="preserve">permanently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impairing the franchise — not merely denting a year's earnings.</w:t>
      </w:r>
    </w:p>
    <w:p>
      <w:pPr>
        <w:pStyle w:val="Heading2"/>
        <w:spacing w:before="220" w:after="100"/>
      </w:pPr>
      <w:r>
        <w:rPr>
          <w:b/>
          <w:bCs/>
          <w:color w:val="2E74B5"/>
          <w:sz w:val="25"/>
          <w:szCs w:val="25"/>
        </w:rPr>
        <w:t xml:space="preserve">Risk 1 — Powertrain obsolescence: the BEV deletes the product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Motonic's core catalogue exists to move fuel into a combustion chamber. A battery-electric vehicle has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no fuel pump, no fuel rail, no injector, no EGR valve, no LPG system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. Content-per-vehicle does not shrink on a pure BEV — it goes to essentially zero. As Hyundai/Kia's fleet electrifies over the next 10–15 years, Motonic's addressable content per unit structurally erodes toward its EV residual. The hybrid reprieve is real but is a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bridge, not a destination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: it delays the terminal problem rather than solving it. This is a slow-motion, high-probability impairment — the ice cube is melting even if the room is cold this year.</w:t>
      </w:r>
    </w:p>
    <w:p>
      <w:pPr>
        <w:pStyle w:val="Heading2"/>
        <w:spacing w:before="220" w:after="100"/>
      </w:pPr>
      <w:r>
        <w:rPr>
          <w:b/>
          <w:bCs/>
          <w:color w:val="2E74B5"/>
          <w:sz w:val="25"/>
          <w:szCs w:val="25"/>
        </w:rPr>
        <w:t xml:space="preserve">Risk 2 — Single-customer captivity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With Hyundai/Kia as effectively the sole customer group, Motonic has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no pricing power and no diversification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. The OEM dictates annual price-downs, and any air-pocket in Hyundai/Kia production flows straight to Motonic's top line with operating deleverage on the way down. That is not hypothetical: FY2025 has been a rollover — Q4'24 operating profit fell 37%, and 9M'25 revenue/operating profit/net income were down ~3%/13%/9% — as Hyundai/Kia absorbed the 25% US auto tariff (April 2025), cut EV output, and posted double-digit profit declines of their own. A supplier this concentrated inherits its customer's cyclicality </w:t>
      </w:r>
      <w:r>
        <w:rPr>
          <w:b w:val="false"/>
          <w:bCs w:val="false"/>
          <w:i/>
          <w:iCs/>
          <w:color w:val="000000"/>
          <w:sz w:val="21"/>
          <w:szCs w:val="21"/>
        </w:rPr>
        <w:t xml:space="preserve">amplified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by its own fixed-cost base.</w:t>
      </w:r>
    </w:p>
    <w:p>
      <w:pPr>
        <w:pStyle w:val="Heading2"/>
        <w:spacing w:before="220" w:after="100"/>
      </w:pPr>
      <w:r>
        <w:rPr>
          <w:b/>
          <w:bCs/>
          <w:color w:val="2E74B5"/>
          <w:sz w:val="25"/>
          <w:szCs w:val="25"/>
        </w:rPr>
        <w:t xml:space="preserve">Risk 3 — The customer insources the growth story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most under-appreciated risk. Hyundai's own affiliates —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Hyundai Mobis and Hyundai Kefico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compete directly in engine management and fuel injection, and Mobis is building fuel-cell systems in-house. Vertical integration by the customer can capture </w:t>
      </w:r>
      <w:r>
        <w:rPr>
          <w:b w:val="false"/>
          <w:bCs w:val="false"/>
          <w:i/>
          <w:iCs/>
          <w:color w:val="000000"/>
          <w:sz w:val="21"/>
          <w:szCs w:val="21"/>
        </w:rPr>
        <w:t xml:space="preserve">both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ends of Motonic's story at once: squeeze the legacy ICE/injection content and internalise the high-value hydrogen content that is supposed to be Motonic's future. A captive supplier whose customer is also its most capable competitor has a structurally capped ceiling.</w:t>
      </w:r>
    </w:p>
    <w:p>
      <w:pPr>
        <w:pStyle w:val="Heading2"/>
        <w:spacing w:before="220" w:after="100"/>
      </w:pPr>
      <w:r>
        <w:rPr>
          <w:b/>
          <w:bCs/>
          <w:color w:val="2E74B5"/>
          <w:sz w:val="25"/>
          <w:szCs w:val="25"/>
        </w:rPr>
        <w:t xml:space="preserve">Margin compression, deceleration &amp; the expectations problem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Operating deleverage.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At an ~8% operating margin with a high fixed-cost manufacturing base, modest revenue declines compress operating profit disproportionately — visible already in the –37% Q4'24 operating-profit print on a –6% revenue quarter.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Earnings quality.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Because net income is padded by financial income on the cash hoard, headline P/E flatters the true operating economics. Strip out non-operating income and the operating business alone is barely profitable in a soft year.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The expectations trap runs the other way.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Bulls should note the honest tell: the 2026 value-up catalysts (treasury cancellation + dividend hike) produced a spike that fully reversed. Expectations for a re-rating were set — and the market refused to sustain them. That is a heavy piece of disconfirming evidence for the ‘cheap will converge to fair' thesis.</w:t>
      </w:r>
    </w:p>
    <w:p>
      <w:r>
        <w:br w:type="page"/>
      </w:r>
    </w:p>
    <w:p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4. Short-Seller Teardown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Written from the seat of a sceptic whose job is to dismantle the bull case. (Note: with net cash &gt; market cap and no debt, Motonic is a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poor outright short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asset value floors the downside. The teardown is an analytical stress-test of the ‘cheap = opportunity' thesis, not a borrow recommendation.)</w:t>
      </w:r>
    </w:p>
    <w:p>
      <w:pPr>
        <w:pStyle w:val="Heading3"/>
        <w:spacing w:before="160" w:after="60"/>
      </w:pPr>
      <w:r>
        <w:rPr>
          <w:b/>
          <w:bCs/>
          <w:color w:val="000000"/>
          <w:sz w:val="22"/>
          <w:szCs w:val="22"/>
        </w:rPr>
        <w:t xml:space="preserve">What could structurally break the way this company makes money?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The revenue model is ‘sell combustion-engine plumbing to one customer group.' It breaks structurally when either variable moves against it: (a) the customer's powertrain mix shifts to BEV, deleting the product category; or (b) the customer insources the parts via Mobis/Kefico. Both are already in motion. There is no third leg — no meaningful non-Hyundai/Kia customer, no aftermarket franchise, no geographic diversification — to absorb the shock.</w:t>
      </w:r>
    </w:p>
    <w:p>
      <w:pPr>
        <w:pStyle w:val="Heading3"/>
        <w:spacing w:before="160" w:after="60"/>
      </w:pPr>
      <w:r>
        <w:rPr>
          <w:b/>
          <w:bCs/>
          <w:color w:val="000000"/>
          <w:sz w:val="22"/>
          <w:szCs w:val="22"/>
        </w:rPr>
        <w:t xml:space="preserve">Where is revenue concentrated, and what happens if the concentration shifts?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Concentration is close to total: Hyundai Motor + Kia OEM. There is essentially no scenario where the concentration ‘shifts' to Motonic's benefit — the realistic shifts are all adverse (Hyundai/Kia in-sourcing, EV mix, tariff-driven volume cuts, or a push of price-downs). A single customer that is simultaneously your largest competitor and your regulator-of-price is the definition of fragile revenue.</w:t>
      </w:r>
    </w:p>
    <w:p>
      <w:pPr>
        <w:pStyle w:val="Heading3"/>
        <w:spacing w:before="160" w:after="60"/>
      </w:pPr>
      <w:r>
        <w:rPr>
          <w:b/>
          <w:bCs/>
          <w:color w:val="000000"/>
          <w:sz w:val="22"/>
          <w:szCs w:val="22"/>
        </w:rPr>
        <w:t xml:space="preserve">Why might the moat be weaker than bulls think?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The ‘designed-in incumbency' moat is real but platform-scoped and depreciating: it protects the current engine families, but those families are the ones being phased out. A moat around a shrinking pond drains with the pond. The LPG franchise is a genuine niche, but it is small, Korea-only, and itself a combustion technology. The balance-sheet ‘moat' protects solvency, not returns — a fortress balance sheet earning 1–2% on cash is a value drag, not a competitive advantage.</w:t>
      </w:r>
    </w:p>
    <w:p>
      <w:pPr>
        <w:pStyle w:val="Heading3"/>
        <w:spacing w:before="160" w:after="60"/>
      </w:pPr>
      <w:r>
        <w:rPr>
          <w:b/>
          <w:bCs/>
          <w:color w:val="000000"/>
          <w:sz w:val="22"/>
          <w:szCs w:val="22"/>
        </w:rPr>
        <w:t xml:space="preserve">Who is the most dangerous competitor bulls underestimate?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Not Bosch or DENSO — it is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Hyundai's own captive affiliates (Mobis / Kefico)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behind them the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BEV powertrain itself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. Bulls frame competition as ‘Motonic vs other parts makers.' The real contest is ‘Motonic's product category vs the electron,' and ‘independent supplier vs the customer's in-house arm.' In both, Motonic is on the losing structural side. The hydrogen growth lever is especially exposed: if fuel cells scale, Hyundai has every incentive — and the Mobis capability — to keep that high-value content in-house.</w:t>
      </w:r>
    </w:p>
    <w:p>
      <w:pPr>
        <w:pStyle w:val="Heading3"/>
        <w:spacing w:before="160" w:after="60"/>
      </w:pPr>
      <w:r>
        <w:rPr>
          <w:b/>
          <w:bCs/>
          <w:color w:val="000000"/>
          <w:sz w:val="22"/>
          <w:szCs w:val="22"/>
        </w:rPr>
        <w:t xml:space="preserve">Worst capital-allocation decisions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Decades of cash hoarding.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Allowing net cash and securities to accumulate past the entire market cap, earning low returns, is the central capital-allocation failure. It depressed ROE (dragged toward ~7% by the idle cash) and signalled that the balance sheet served control, not owners.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Treasury shares as a control buffer.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 22.9% treasury block sat dormant for years. It functioned as a latent control device; its 2026 retirement — forced along by mandatory-cancellation reform — mechanically lifted the founding family from a sub-30% ‘unstable' level to 38.3% without spending a won (‘a chance to blow your nose without using your hands,' as Korean press put it). Good optics for minorities, but the underlying motive set is control, not per-share value.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Under-investment in the transition.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Relative to the cash available, disclosed spending to build a non-ICE franchise (beyond niche FCEV parts) appears modest — the war chest is being returned/parked rather than redeployed into a durable post-combustion business.</w:t>
      </w:r>
    </w:p>
    <w:p>
      <w:pPr>
        <w:pStyle w:val="Heading3"/>
        <w:spacing w:before="160" w:after="60"/>
      </w:pPr>
      <w:r>
        <w:rPr>
          <w:b/>
          <w:bCs/>
          <w:color w:val="000000"/>
          <w:sz w:val="22"/>
          <w:szCs w:val="22"/>
        </w:rPr>
        <w:t xml:space="preserve">Related-party transactions, aggressive accounting, misaligned incentives?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Related-party dependency.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commercial relationship itself is the related-party issue: near-total reliance on one chaebol group for revenue, on that group's terms.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Accounting is conservative, not aggressive.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flag is quality, not fraud: net income leans on non-operating financial income, so screened P/E overstates the operating franchise. Watch equity-method affiliates and any ‘investments in other entities' (타법인 출자) for capital leaking into non-core stakes — a diligence item, not a proven abuse.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Governance / succession.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After the second-generation chairman's death, eldest daughter Kim Hee-jin became president and top shareholder; her uncle Kim Young-mok (non-executive vice chairman) embodies a live ‘uncle–niece' control tension within a family ‘brotherly management' tradition. Family control is now consolidated at 38.3%, so minorities are along for whatever ride the family chooses.</w:t>
      </w:r>
    </w:p>
    <w:p>
      <w:pPr>
        <w:pStyle w:val="Heading3"/>
        <w:spacing w:before="160" w:after="60"/>
      </w:pPr>
      <w:r>
        <w:rPr>
          <w:b/>
          <w:bCs/>
          <w:color w:val="000000"/>
          <w:sz w:val="22"/>
          <w:szCs w:val="22"/>
        </w:rPr>
        <w:t xml:space="preserve">What must hold for today's price to be justified — and what if growth disappoints 20–30%?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Because the shares trade below net cash, the price does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not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require growth to be ‘justified' on an asset basis — it requires the cash to be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real, unencumbered, and eventually accessible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to minorities, and the operating business to be worth ≥ zero. What the current price </w:t>
      </w:r>
      <w:r>
        <w:rPr>
          <w:b w:val="false"/>
          <w:bCs w:val="false"/>
          <w:i/>
          <w:iCs/>
          <w:color w:val="000000"/>
          <w:sz w:val="21"/>
          <w:szCs w:val="21"/>
        </w:rPr>
        <w:t xml:space="preserve">implies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is a large ‘trapped-cash' discount plus a near-zero terminal value on operations. If revenue disappoints by 20–30%, operating profit likely falls 50–70% (or to breakeven) on deleverage, but net income is cushioned by financial income and there is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no solvency risk whatsoever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. The damage is to the </w:t>
      </w:r>
      <w:r>
        <w:rPr>
          <w:b w:val="false"/>
          <w:bCs w:val="false"/>
          <w:i/>
          <w:iCs/>
          <w:color w:val="000000"/>
          <w:sz w:val="21"/>
          <w:szCs w:val="21"/>
        </w:rPr>
        <w:t xml:space="preserve">thesis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, not the balance sheet: the stock becomes dead money as the ‘value converges to fair' story is invalidated — precisely the round-trip already observed in 2026.</w:t>
      </w:r>
    </w:p>
    <w:p>
      <w:pPr>
        <w:pStyle w:val="Heading3"/>
        <w:spacing w:before="160" w:after="60"/>
      </w:pPr>
      <w:r>
        <w:rPr>
          <w:b/>
          <w:bCs/>
          <w:color w:val="000000"/>
          <w:sz w:val="22"/>
          <w:szCs w:val="22"/>
        </w:rPr>
        <w:t xml:space="preserve">The single scenario that permanently impairs the business — and its plausibility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8D7DA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Base-case permanent-impairment scenario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Over 10–15 years, Hyundai/Kia's mix shifts decisively to BEV while Hyundai insources fuel-cell content through Mobis. Motonic's ICE/LPG content-per-vehicle erodes toward zero and the hydrogen call option is captured by the customer. The operating business becomes a structurally declining annuity; the company slowly liquidates into its cash pile via dividends. Terminal value of operations → near zero.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Plausibility: LOW over 2–3 years (LPG-truck tailwind, hybrid/EREV resilience, and a slow Korean BEV curve provide a real bridge). MODERATE-TO-HIGH over 10–15 years — this is the base case for a pure combustion-fuel-systems supplier, not a tail risk. The impairment is near-certain in direction; only the slope and timing are in question.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5. Pre-Mortem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Assume it is 2030 and a position taken today has lost money or, more likely, gone nowhere for years. What happened?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The value-up trade was a one-off.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2026 treasury cancellation and dividend hike were the catalysts — and they were spent. With no repeatable re-rating event, the stock drifted back to a mid-0.4x book, ~8%-yield equilibrium and simply sat there. Investors collected the dividend and nothing else; the discount never closed because the market kept capitalising the terminal decline.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The operating business kept shrinking.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Hyundai/Kia's EV mix rose, the LPG-truck surge matured and lapped, and price-downs ground margins. Operating profit drifted lower each year; ‘cheap on trailing earnings' became ‘fairly priced on declining forward earnings.'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Hydrogen never scaled — or Mobis took it.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NEXO-class volumes stayed tiny, or fuel cells scaled but Hyundai kept the high-value content in-house. The bull's terminal call option expired worthless.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The cash stayed the family's, not the minorities'.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Distributions rose modestly but the balance sheet was never truly normalised; the trapped-cash discount persisted because control incentives, not per-share value, governed the pace of return.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A cyclical air-pocket masked the value.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Tariffs, a Hyundai/Kia production downturn, or a Korean recession dropped operating profit sharply in a given year; even with a fortress balance sheet, the tape punished the cyclicality and sentiment never recovered.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unifying lesson of the pre-mortem: the way to lose here is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not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a blow-up (the balance sheet forbids it) — it is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opportunity cost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. Dead money in a melting franchise while the index compounds.</w:t>
      </w:r>
    </w:p>
    <w:p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6. Valuation — Are the Multiples Too High?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the numbers,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no — the multiples are not too high; that is the wrong risk to worry about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. Motonic trades at roughly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0.35–0.48x book, ~5–7x trailing earnings, ~8% dividend yield, and a negative enterprise value net of cash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. By every conventional multiple the stock is cheap, and the reported cash and investments exceed the market cap outright.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correct question is the </w:t>
      </w:r>
      <w:r>
        <w:rPr>
          <w:b w:val="false"/>
          <w:bCs w:val="false"/>
          <w:i/>
          <w:iCs/>
          <w:color w:val="000000"/>
          <w:sz w:val="21"/>
          <w:szCs w:val="21"/>
        </w:rPr>
        <w:t xml:space="preserve">opposite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one: is the cheapness a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value trap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? Three adjustments matter when you translate the headline multiples into a real expected return: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Discount the trapped cash.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Cash controlled by a founding family with a hoarding history is worth less than 100 cents to a minority holder. Apply a 20–40% haircut and the ‘cash &gt; market cap' cushion narrows.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Normalise earnings quality.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Back out non-operating financial income and the operating business trades on a higher, less flattering multiple than the ~5–7x headline.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Fade the terminal value.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 DCF/DDM that honestly ramps down ICE content over 10–15 years assigns little terminal value to operations; most of the intrinsic value becomes the (discounted) cash and the stream of dividends until the business fades.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D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Valuation verdict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This is an asset-value / capital-return story, not an earnings-growth story. Fair value is anchored by discounted net cash + investments plus a modest, declining operating annuity — plausibly 0.5–0.7x book if capital return keeps improving, versus ~0.35–0.48x today. The upside is a governance/value-up re-rating, capped by terminal decline; the downside is asset-value-floored but can be dead money for years. Reward is real but bounded; the binding variable is capital-return cadence and governance, not the P/E.</w:t>
            </w:r>
          </w:p>
        </w:tc>
      </w:tr>
    </w:tbl>
    <w:p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7. The Contrarian View — What the Market Refuses to See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There are two consensus camps, and the genuinely non-consensus insight cuts against both.</w:t>
      </w:r>
    </w:p>
    <w:p>
      <w:pPr>
        <w:pStyle w:val="Heading3"/>
        <w:spacing w:before="160" w:after="60"/>
      </w:pPr>
      <w:r>
        <w:rPr>
          <w:b/>
          <w:bCs/>
          <w:color w:val="000000"/>
          <w:sz w:val="22"/>
          <w:szCs w:val="22"/>
        </w:rPr>
        <w:t xml:space="preserve">Against the growth bears (who dismiss it as a dying ICE supplier):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The world's retreat from pure-BEV is a gift to Motonic.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Every hybrid and EREV that replaces a planned BEV keeps a combustion engine — and Motonic's fuel-delivery content — alive. The market prices Motonic as if electrification is linear and imminent; the actual 2025–26 path is a hybrid detour that lengthens the ICE runway materially. The ‘melting ice cube' is melting far more slowly than the tape assumes.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LPG is a real, ignored growth vector.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diesel-truck-to-LPG switch is a structural, Korea-specific volume driver that global auto-parts screens miss entirely because LPG barely exists in Western markets.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The trapped cash has begun to move.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2026 treasury cancellation, the dividend hike to ₩790, and the capital-reduction dividend are early evidence that Korea's Value-up and legal reforms are prying open a balance sheet the market still models as permanently frozen.</w:t>
      </w:r>
    </w:p>
    <w:p>
      <w:pPr>
        <w:pStyle w:val="Heading3"/>
        <w:spacing w:before="160" w:after="60"/>
      </w:pPr>
      <w:r>
        <w:rPr>
          <w:b/>
          <w:bCs/>
          <w:color w:val="000000"/>
          <w:sz w:val="22"/>
          <w:szCs w:val="22"/>
        </w:rPr>
        <w:t xml:space="preserve">Against the value bulls (who see cheap + net cash + rising dividend as an easy win):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sharper contrarian point — and the one the </w:t>
      </w:r>
      <w:r>
        <w:rPr>
          <w:b w:val="false"/>
          <w:bCs w:val="false"/>
          <w:i/>
          <w:iCs/>
          <w:color w:val="000000"/>
          <w:sz w:val="21"/>
          <w:szCs w:val="21"/>
        </w:rPr>
        <w:t xml:space="preserve">value crowd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refuses to internalise — is that the 2026 catalyst already fired and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fully reversed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. The stock retraced the entire treasury-cancellation pop and sits near its 52-week low despite an 8% yield. That is the market delivering a verdict: for a single-customer, structurally declining, customer-captive franchise,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even textbook capital return is not enough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to hold a re-rating. ‘Cheap + net cash + dividend' is a necessary but </w:t>
      </w:r>
      <w:r>
        <w:rPr>
          <w:b w:val="false"/>
          <w:bCs w:val="false"/>
          <w:i/>
          <w:iCs/>
          <w:color w:val="000000"/>
          <w:sz w:val="21"/>
          <w:szCs w:val="21"/>
        </w:rPr>
        <w:t xml:space="preserve">insufficient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 condition when terminal value is in doubt and the controlling family's incentive is control-via-cash, not per-share value. The discount is not the market's mistake — it is the market's (largely rational) price for captivity plus a fading franchise. The contrarian must be right about </w:t>
      </w:r>
      <w:r>
        <w:rPr>
          <w:b/>
          <w:bCs/>
          <w:i w:val="false"/>
          <w:iCs w:val="false"/>
          <w:color w:val="000000"/>
          <w:sz w:val="21"/>
          <w:szCs w:val="21"/>
        </w:rPr>
        <w:t xml:space="preserve">governance trajectory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, not just about the cheapness that everyone can already see.</w:t>
      </w:r>
    </w:p>
    <w:p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8. What Would Change the View — Key Diligence Items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Exact liquid-asset breakdown.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Confirm the split of cash / short- and long-term financial instruments / investment securities in the FY2024 audited consolidated statements to size the true look-through net cash per share and any encumbrances.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Segment &amp; customer disclosure.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Quantify LPG vs gasoline vs hydrogen revenue mix and the precise Hyundai/Kia dependence; track hydrogen/FCEV order backlog and whether Mobis is insourcing it.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Capital-return roadmap.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Look for a formal Value-up disclosure: target payout ratio, buyback-and-cancel commitments, and whether the capital-reduction dividend recurs. A multi-year, rules-based return policy would materially de-risk the value-trap concern.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Governance resolution.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Monitor the uncle–niece control dynamic and any board/related-party actions; a clean, minority-aligned governance step (independent directors, capital-return charter) is the single biggest potential re-rating trigger.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Hyundai/Kia production &amp; powertrain roadmap.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Motonic is a levered play on Hyundai/Kia Korean ICE/hybrid/LPG output and price-down intensity — model those directly.</w:t>
      </w:r>
    </w:p>
    <w:p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9.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2F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Bottom line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Motonic is a high-quality balance sheet wrapped around a structurally challenged operating business, priced for the challenge and then some. It is not a short (net cash &gt; market cap; no solvency risk) and not a growth compounder (terminal ICE decline; customer captivity). It is a governance / capital-return special situation: the return is the ~8% dividend plus the option on further value-up, and the risk is multi-year dead money as a captive, ICE-levered franchise slowly fades. Own it only if you underwrite the governance trajectory — accelerating, rules-based capital return that pries the cash loose for minorities — because the cheapness alone has already been tested by the 2026 round-trip and found insufficient. Absent that governance conviction, the honest label is value trap with a coupon.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Sources &amp; Notes</w:t>
      </w:r>
    </w:p>
    <w:p>
      <w:pPr>
        <w:spacing w:after="80"/>
      </w:pPr>
      <w:r>
        <w:rPr>
          <w:i/>
          <w:iCs/>
          <w:color w:val="595959"/>
          <w:sz w:val="19"/>
          <w:szCs w:val="19"/>
        </w:rPr>
        <w:t xml:space="preserve">Figures compiled from public sources in mid-2026; exact liquid-asset line items should be confirmed against Motonic's FY2024 (제51기) audited consolidated financial statements. Selected sources: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9"/>
          <w:sz w:val="18"/>
          <w:szCs w:val="18"/>
        </w:rPr>
        <w:t xml:space="preserve">Stockanalysis.com — Motonic (KRX:009680) revenue &amp; overview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9"/>
          <w:sz w:val="18"/>
          <w:szCs w:val="18"/>
        </w:rPr>
        <w:t xml:space="preserve">DigitalToday — Motonic FY2024 results: operating profit +57%, ₩600/sh dividend (2025)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9"/>
          <w:sz w:val="18"/>
          <w:szCs w:val="18"/>
        </w:rPr>
        <w:t xml:space="preserve">Hankyung — “Motonic hits 52-week high; cash exceeds market cap; treasury cancellation &amp; capital-reduction dividend” (Jun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9"/>
          <w:sz w:val="18"/>
          <w:szCs w:val="18"/>
        </w:rPr>
        <w:t xml:space="preserve">KBThink — “Motonic burned its dormant 22% treasury… value-up by example” (Apr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9"/>
          <w:sz w:val="18"/>
          <w:szCs w:val="18"/>
        </w:rPr>
        <w:t xml:space="preserve">Dealsite — “Young blood Kim Hee-jin regime… uneasy uncle–niece management” and “mandatory treasury cancellation… a free hand for Pres. Kim” (2025–26)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9"/>
          <w:sz w:val="18"/>
          <w:szCs w:val="18"/>
        </w:rPr>
        <w:t xml:space="preserve">Ajunews — “Motonic 52-week high on treasury-cancellation plan, +9%” (Mar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9"/>
          <w:sz w:val="18"/>
          <w:szCs w:val="18"/>
        </w:rPr>
        <w:t xml:space="preserve">MarketScreener / Yahoo Finance / Investing.com — profile, price, dividend, D/E, EBITDA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9"/>
          <w:sz w:val="18"/>
          <w:szCs w:val="18"/>
        </w:rPr>
        <w:t xml:space="preserve">Korean auto press — LPG one-ton truck adoption (Porter II / Bongo III, ~84% segment share)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9"/>
          <w:sz w:val="18"/>
          <w:szCs w:val="18"/>
        </w:rPr>
        <w:t xml:space="preserve">Reuters/industry coverage — Hyundai &amp; Kia 2025 US tariff impact, EV production cuts, profit declines</w:t>
      </w:r>
    </w:p>
    <w:p>
      <w:pPr>
        <w:spacing w:after="60"/>
      </w:pPr>
      <w:r>
        <w:rPr>
          <w:sz w:val="12"/>
          <w:szCs w:val="12"/>
        </w:rPr>
      </w:r>
    </w:p>
    <w:p>
      <w:pPr>
        <w:pBdr>
          <w:top w:val="single" w:color="BFBFBF" w:sz="6"/>
        </w:pBdr>
        <w:spacing w:before="120" w:after="60"/>
      </w:pPr>
      <w:r>
        <w:rPr>
          <w:sz w:val="4"/>
          <w:szCs w:val="4"/>
        </w:rPr>
      </w:r>
    </w:p>
    <w:p>
      <w:r>
        <w:rPr>
          <w:i/>
          <w:iCs/>
          <w:color w:val="595959"/>
          <w:sz w:val="16"/>
          <w:szCs w:val="16"/>
        </w:rPr>
        <w:t xml:space="preserve">Disclaimer: This document is an analytical stress-test prepared for research and educational purposes only. It is not investment advice, an offer, or a recommendation to buy or sell any security. Figures are approximate, drawn from third-party public sources of varying reliability, and should be independently verified against primary filings before any investment decision. The author holds no position.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Motonic Corporation (009680 KS) — Adversarial Deep-Dive</dc:title>
  <dc:creator>Equity Research</dc:creator>
  <dc:description>Institutional-grade adversarial equity analysis of Motonic Corporation</dc:description>
  <cp:lastModifiedBy>Un-named</cp:lastModifiedBy>
  <cp:revision>1</cp:revision>
  <dcterms:created xsi:type="dcterms:W3CDTF">2026-08-03T04:11:00.481Z</dcterms:created>
  <dcterms:modified xsi:type="dcterms:W3CDTF">2026-08-03T04:11:00.482Z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