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120" w:line="264" w:lineRule="auto"/>
      </w:pPr>
      <w:r>
        <w:rPr>
          <w:rFonts w:ascii="Arial" w:hAnsi="Arial"/>
        </w:rPr>
        <w:t>Kangwon Land Inc. (035250 KS / KRX 035250): Equity Research Deep-Dive</w:t>
      </w:r>
    </w:p>
    <w:p>
      <w:pPr>
        <w:spacing w:before="0" w:after="100" w:line="288" w:lineRule="auto"/>
      </w:pPr>
      <w:r>
        <w:rPr>
          <w:rFonts w:ascii="Arial" w:hAnsi="Arial"/>
          <w:b/>
          <w:sz w:val="19"/>
        </w:rPr>
        <w:t>Value / event-driven special situation | Casinos &amp; Gaming | South Korea | 25 October 2026</w:t>
      </w:r>
    </w:p>
    <w:p>
      <w:pPr>
        <w:spacing w:before="80" w:after="160" w:line="288" w:lineRule="auto"/>
        <w:pBdr>
          <w:left w:val="single" w:sz="18" w:space="6" w:color="14213D"/>
        </w:pBdr>
        <w:shd w:fill="EEF2F8" w:color="auto" w:val="clear"/>
      </w:pPr>
      <w:r>
        <w:rPr>
          <w:rFonts w:ascii="Arial" w:hAnsi="Arial"/>
          <w:b/>
          <w:sz w:val="19"/>
        </w:rPr>
        <w:t>Recommendation: BUY (value / event-driven, medium conviction). 12-month target KRW17,000 (+20%); probability-weighted value KRW17,300 (+22%); bear case KRW10,400 (−27%); plus a ~6% dividend yield.</w:t>
      </w:r>
      <w:r>
        <w:rPr>
          <w:rFonts w:ascii="Arial" w:hAnsi="Arial"/>
          <w:sz w:val="19"/>
        </w:rPr>
        <w:t xml:space="preserve"> Kangwon Land is the only casino in Korea that Koreans may enter, and its licence runs to 2045. It has no debt and holds ~KRW2.9tn of net financial assets [e]. That is slightly more than its KRW2.81tn market cap, so the market gives the casino resort (~KRW305bn of LTM EBITDA) a value of roughly zero. The discount reflects real problems: a ~KRW3tn expansion plan (K-HIT), a political CEO, a 42% government take, and new levy and anti-money-laundering (AML) proposals. Three things are turning in shareholders' favour. The controlling shareholder is a cash-hungry state agency with negative equity that needs dividends. Korea's 2025-26 Commercial Act reforms give minorities real levers (cumulative voting, a 3% cap on the controller in audit-committee votes, mandatory treasury-share cancellation). And the proposed tourism-levy rise may exclude Kangwon Land.</w:t>
      </w:r>
    </w:p>
    <w:tbl>
      <w:tblPr>
        <w:tblW w:type="auto" w:w="0"/>
        <w:jc w:val="center"/>
        <w:tblLook w:firstColumn="1" w:firstRow="1" w:lastColumn="0" w:lastRow="0" w:noHBand="0" w:noVBand="1" w:val="04A0"/>
        <w:tblLayout w:type="fixed"/>
        <w:tblW w:type="dxa" w:w="9906"/>
      </w:tblPr>
      <w:tblGrid>
        <w:gridCol w:w="2351"/>
        <w:gridCol w:w="2496"/>
        <w:gridCol w:w="1913"/>
        <w:gridCol w:w="3144"/>
      </w:tblGrid>
      <w:tr>
        <w:trPr>
          <w:tblHeader/>
        </w:trPr>
        <w:tc>
          <w:tcPr>
            <w:tcW w:type="dxa" w:w="2351"/>
            <w:tcW w:type="dxa" w:w="2351"/>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Key data (23-Oct-2026 close)</w:t>
            </w:r>
          </w:p>
        </w:tc>
        <w:tc>
          <w:tcPr>
            <w:tcW w:type="dxa" w:w="2496"/>
            <w:tcW w:type="dxa" w:w="2496"/>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p>
        </w:tc>
        <w:tc>
          <w:tcPr>
            <w:tcW w:type="dxa" w:w="1913"/>
            <w:tcW w:type="dxa" w:w="1913"/>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Key data</w:t>
            </w:r>
          </w:p>
        </w:tc>
        <w:tc>
          <w:tcPr>
            <w:tcW w:type="dxa" w:w="3144"/>
            <w:tcW w:type="dxa" w:w="3144"/>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p>
        </w:tc>
      </w:tr>
      <w:tr>
        <w:trPr>
          <w:cantSplit/>
        </w:trPr>
        <w:tc>
          <w:tcPr>
            <w:tcW w:type="dxa" w:w="2351"/>
            <w:tcW w:type="dxa" w:w="235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Share price</w:t>
            </w:r>
          </w:p>
        </w:tc>
        <w:tc>
          <w:tcPr>
            <w:tcW w:type="dxa" w:w="2496"/>
            <w:tcW w:type="dxa" w:w="249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KRW14,180</w:t>
            </w:r>
          </w:p>
        </w:tc>
        <w:tc>
          <w:tcPr>
            <w:tcW w:type="dxa" w:w="1913"/>
            <w:tcW w:type="dxa" w:w="191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Largest shareholder</w:t>
            </w:r>
          </w:p>
        </w:tc>
        <w:tc>
          <w:tcPr>
            <w:tcW w:type="dxa" w:w="3144"/>
            <w:tcW w:type="dxa" w:w="314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KOMIR 36.27% (state); public bodies 51.01% in total</w:t>
            </w:r>
          </w:p>
        </w:tc>
      </w:tr>
      <w:tr>
        <w:trPr>
          <w:cantSplit/>
        </w:trPr>
        <w:tc>
          <w:tcPr>
            <w:tcW w:type="dxa" w:w="2351"/>
            <w:tcW w:type="dxa" w:w="235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52-week range</w:t>
            </w:r>
          </w:p>
        </w:tc>
        <w:tc>
          <w:tcPr>
            <w:tcW w:type="dxa" w:w="2496"/>
            <w:tcW w:type="dxa" w:w="249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KRW13,920-19,590 [u: high 19,590-19,770]</w:t>
            </w:r>
          </w:p>
        </w:tc>
        <w:tc>
          <w:tcPr>
            <w:tcW w:type="dxa" w:w="1913"/>
            <w:tcW w:type="dxa" w:w="191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Free float</w:t>
            </w:r>
          </w:p>
        </w:tc>
        <w:tc>
          <w:tcPr>
            <w:tcW w:type="dxa" w:w="3144"/>
            <w:tcW w:type="dxa" w:w="314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~41.6% (treasury 7.36%)</w:t>
            </w:r>
          </w:p>
        </w:tc>
      </w:tr>
      <w:tr>
        <w:trPr>
          <w:cantSplit/>
        </w:trPr>
        <w:tc>
          <w:tcPr>
            <w:tcW w:type="dxa" w:w="2351"/>
            <w:tcW w:type="dxa" w:w="235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Market cap (ex-treasury)</w:t>
            </w:r>
          </w:p>
        </w:tc>
        <w:tc>
          <w:tcPr>
            <w:tcW w:type="dxa" w:w="2496"/>
            <w:tcW w:type="dxa" w:w="249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KRW2.81tn / US$2.1bn [e]</w:t>
            </w:r>
          </w:p>
        </w:tc>
        <w:tc>
          <w:tcPr>
            <w:tcW w:type="dxa" w:w="1913"/>
            <w:tcW w:type="dxa" w:w="191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Shares issued / outstanding</w:t>
            </w:r>
          </w:p>
        </w:tc>
        <w:tc>
          <w:tcPr>
            <w:tcW w:type="dxa" w:w="3144"/>
            <w:tcW w:type="dxa" w:w="314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213.94m / ~198.2m [e]</w:t>
            </w:r>
          </w:p>
        </w:tc>
      </w:tr>
      <w:tr>
        <w:trPr>
          <w:cantSplit/>
        </w:trPr>
        <w:tc>
          <w:tcPr>
            <w:tcW w:type="dxa" w:w="2351"/>
            <w:tcW w:type="dxa" w:w="235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Net financial assets [e]</w:t>
            </w:r>
          </w:p>
        </w:tc>
        <w:tc>
          <w:tcPr>
            <w:tcW w:type="dxa" w:w="2496"/>
            <w:tcW w:type="dxa" w:w="249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~KRW2.93tn (~KRW14,780/share; 104% of price)</w:t>
            </w:r>
          </w:p>
        </w:tc>
        <w:tc>
          <w:tcPr>
            <w:tcW w:type="dxa" w:w="1913"/>
            <w:tcW w:type="dxa" w:w="191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Enterprise value [e]</w:t>
            </w:r>
          </w:p>
        </w:tc>
        <w:tc>
          <w:tcPr>
            <w:tcW w:type="dxa" w:w="3144"/>
            <w:tcW w:type="dxa" w:w="314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about −KRW0.12tn (negative)</w:t>
            </w:r>
          </w:p>
        </w:tc>
      </w:tr>
      <w:tr>
        <w:trPr>
          <w:cantSplit/>
        </w:trPr>
        <w:tc>
          <w:tcPr>
            <w:tcW w:type="dxa" w:w="2351"/>
            <w:tcW w:type="dxa" w:w="235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LTM revenue / OP / EBITDA (Jun-26)</w:t>
            </w:r>
          </w:p>
        </w:tc>
        <w:tc>
          <w:tcPr>
            <w:tcW w:type="dxa" w:w="2496"/>
            <w:tcW w:type="dxa" w:w="249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KRW1,474bn / 215bn / ~305bn [e]</w:t>
            </w:r>
          </w:p>
        </w:tc>
        <w:tc>
          <w:tcPr>
            <w:tcW w:type="dxa" w:w="1913"/>
            <w:tcW w:type="dxa" w:w="191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Latest broker targets (Jun-Oct 2026)</w:t>
            </w:r>
          </w:p>
        </w:tc>
        <w:tc>
          <w:tcPr>
            <w:tcW w:type="dxa" w:w="3144"/>
            <w:tcW w:type="dxa" w:w="314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KRW18,000-20,000 (all BUY)</w:t>
            </w:r>
          </w:p>
        </w:tc>
      </w:tr>
      <w:tr>
        <w:trPr>
          <w:cantSplit/>
        </w:trPr>
        <w:tc>
          <w:tcPr>
            <w:tcW w:type="dxa" w:w="2351"/>
            <w:tcW w:type="dxa" w:w="235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P/E LTM / FY26E (ours)</w:t>
            </w:r>
          </w:p>
        </w:tc>
        <w:tc>
          <w:tcPr>
            <w:tcW w:type="dxa" w:w="2496"/>
            <w:tcW w:type="dxa" w:w="249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8.8x / 11.3x</w:t>
            </w:r>
          </w:p>
        </w:tc>
        <w:tc>
          <w:tcPr>
            <w:tcW w:type="dxa" w:w="1913"/>
            <w:tcW w:type="dxa" w:w="191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Dividend</w:t>
            </w:r>
          </w:p>
        </w:tc>
        <w:tc>
          <w:tcPr>
            <w:tcW w:type="dxa" w:w="3144"/>
            <w:tcW w:type="dxa" w:w="314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FY25 KRW950 (6.7%); FY26E KRW850 (ours, 6.0%)</w:t>
            </w:r>
          </w:p>
        </w:tc>
      </w:tr>
      <w:tr>
        <w:trPr>
          <w:cantSplit/>
        </w:trPr>
        <w:tc>
          <w:tcPr>
            <w:tcW w:type="dxa" w:w="2351"/>
            <w:tcW w:type="dxa" w:w="235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P/B</w:t>
            </w:r>
          </w:p>
        </w:tc>
        <w:tc>
          <w:tcPr>
            <w:tcW w:type="dxa" w:w="2496"/>
            <w:tcW w:type="dxa" w:w="249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~0.74x [u]</w:t>
            </w:r>
          </w:p>
        </w:tc>
        <w:tc>
          <w:tcPr>
            <w:tcW w:type="dxa" w:w="1913"/>
            <w:tcW w:type="dxa" w:w="191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Value-Up targets (FY24-26)</w:t>
            </w:r>
          </w:p>
        </w:tc>
        <w:tc>
          <w:tcPr>
            <w:tcW w:type="dxa" w:w="3144"/>
            <w:tcW w:type="dxa" w:w="314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Payout ≥50%, total return ≥60%, P/B 1.2x</w:t>
            </w:r>
          </w:p>
        </w:tc>
      </w:tr>
      <w:tr>
        <w:trPr>
          <w:cantSplit/>
        </w:trPr>
        <w:tc>
          <w:tcPr>
            <w:tcW w:type="dxa" w:w="2351"/>
            <w:tcW w:type="dxa" w:w="235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Ex-cash P/E (FY27E operating NOPAT) [e]</w:t>
            </w:r>
          </w:p>
        </w:tc>
        <w:tc>
          <w:tcPr>
            <w:tcW w:type="dxa" w:w="2496"/>
            <w:tcW w:type="dxa" w:w="249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~1.8x</w:t>
            </w:r>
          </w:p>
        </w:tc>
        <w:tc>
          <w:tcPr>
            <w:tcW w:type="dxa" w:w="1913"/>
            <w:tcW w:type="dxa" w:w="191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Next catalyst</w:t>
            </w:r>
          </w:p>
        </w:tc>
        <w:tc>
          <w:tcPr>
            <w:tcW w:type="dxa" w:w="3144"/>
            <w:tcW w:type="dxa" w:w="314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3Q26 results (~28-Oct to 4-Nov-2026)</w:t>
            </w:r>
          </w:p>
        </w:tc>
      </w:tr>
    </w:tbl>
    <w:p>
      <w:pPr>
        <w:spacing w:before="0" w:after="40" w:line="240" w:lineRule="auto"/>
      </w:pPr>
    </w:p>
    <w:p>
      <w:r>
        <w:br w:type="page"/>
      </w:r>
    </w:p>
    <w:p>
      <w:pPr>
        <w:pStyle w:val="Heading1"/>
        <w:spacing w:before="0" w:after="160" w:line="264" w:lineRule="auto"/>
      </w:pPr>
      <w:r>
        <w:rPr>
          <w:rFonts w:ascii="Arial" w:hAnsi="Arial"/>
        </w:rPr>
        <w:t>Contents</w:t>
      </w:r>
    </w:p>
    <w:p>
      <w:pPr>
        <w:spacing w:before="0" w:after="50" w:line="264" w:lineRule="auto"/>
      </w:pPr>
      <w:r>
        <w:rPr>
          <w:rFonts w:ascii="Arial" w:hAnsi="Arial"/>
          <w:sz w:val="19"/>
        </w:rPr>
        <w:t>1. Executive Summary and Investment Conclusion</w:t>
      </w:r>
    </w:p>
    <w:p>
      <w:pPr>
        <w:spacing w:before="0" w:after="50" w:line="264" w:lineRule="auto"/>
      </w:pPr>
      <w:r>
        <w:rPr>
          <w:rFonts w:ascii="Arial" w:hAnsi="Arial"/>
          <w:sz w:val="19"/>
        </w:rPr>
        <w:t>2. Layman's Guide: What Kangwon Land Does and How It Makes Money</w:t>
      </w:r>
    </w:p>
    <w:p>
      <w:pPr>
        <w:spacing w:before="0" w:after="50" w:line="264" w:lineRule="auto"/>
      </w:pPr>
      <w:r>
        <w:rPr>
          <w:rFonts w:ascii="Arial" w:hAnsi="Arial"/>
          <w:sz w:val="19"/>
        </w:rPr>
        <w:t>3. Business Model, Products, Customers, Suppliers and Competitors</w:t>
      </w:r>
    </w:p>
    <w:p>
      <w:pPr>
        <w:spacing w:before="0" w:after="50" w:line="264" w:lineRule="auto"/>
      </w:pPr>
      <w:r>
        <w:rPr>
          <w:rFonts w:ascii="Arial" w:hAnsi="Arial"/>
          <w:sz w:val="19"/>
        </w:rPr>
        <w:t>4. Key Business Drivers</w:t>
      </w:r>
    </w:p>
    <w:p>
      <w:pPr>
        <w:spacing w:before="0" w:after="50" w:line="264" w:lineRule="auto"/>
      </w:pPr>
      <w:r>
        <w:rPr>
          <w:rFonts w:ascii="Arial" w:hAnsi="Arial"/>
          <w:sz w:val="19"/>
        </w:rPr>
        <w:t>5. Macro and Micro Factors; Tailwinds and Headwinds</w:t>
      </w:r>
    </w:p>
    <w:p>
      <w:pPr>
        <w:spacing w:before="0" w:after="50" w:line="264" w:lineRule="auto"/>
      </w:pPr>
      <w:r>
        <w:rPr>
          <w:rFonts w:ascii="Arial" w:hAnsi="Arial"/>
          <w:sz w:val="19"/>
        </w:rPr>
        <w:t>6. Competitive Position and Economic Moats</w:t>
      </w:r>
    </w:p>
    <w:p>
      <w:pPr>
        <w:spacing w:before="0" w:after="50" w:line="264" w:lineRule="auto"/>
      </w:pPr>
      <w:r>
        <w:rPr>
          <w:rFonts w:ascii="Arial" w:hAnsi="Arial"/>
          <w:sz w:val="19"/>
        </w:rPr>
        <w:t>7. Supply Chain Map: From Upstream Inputs to the End Customer</w:t>
      </w:r>
    </w:p>
    <w:p>
      <w:pPr>
        <w:spacing w:before="0" w:after="50" w:line="264" w:lineRule="auto"/>
      </w:pPr>
      <w:r>
        <w:rPr>
          <w:rFonts w:ascii="Arial" w:hAnsi="Arial"/>
          <w:sz w:val="19"/>
        </w:rPr>
        <w:t>8. Five-Year Financial Analysis by Division and Geography</w:t>
      </w:r>
    </w:p>
    <w:p>
      <w:pPr>
        <w:spacing w:before="0" w:after="50" w:line="264" w:lineRule="auto"/>
      </w:pPr>
      <w:r>
        <w:rPr>
          <w:rFonts w:ascii="Arial" w:hAnsi="Arial"/>
          <w:sz w:val="19"/>
        </w:rPr>
        <w:t>9. Historical Share Price Catalysts (Moves of More Than 10%)</w:t>
      </w:r>
    </w:p>
    <w:p>
      <w:pPr>
        <w:spacing w:before="0" w:after="50" w:line="264" w:lineRule="auto"/>
      </w:pPr>
      <w:r>
        <w:rPr>
          <w:rFonts w:ascii="Arial" w:hAnsi="Arial"/>
          <w:sz w:val="19"/>
        </w:rPr>
        <w:t>10. Earnings Calls, Management Focus and Sentiment</w:t>
      </w:r>
    </w:p>
    <w:p>
      <w:pPr>
        <w:spacing w:before="0" w:after="50" w:line="264" w:lineRule="auto"/>
      </w:pPr>
      <w:r>
        <w:rPr>
          <w:rFonts w:ascii="Arial" w:hAnsi="Arial"/>
          <w:sz w:val="19"/>
        </w:rPr>
        <w:t>11. Latest Result: 2Q26 / 1H26 (released 4-Aug-2026)</w:t>
      </w:r>
    </w:p>
    <w:p>
      <w:pPr>
        <w:spacing w:before="0" w:after="50" w:line="264" w:lineRule="auto"/>
      </w:pPr>
      <w:r>
        <w:rPr>
          <w:rFonts w:ascii="Arial" w:hAnsi="Arial"/>
          <w:sz w:val="19"/>
        </w:rPr>
        <w:t>12. Earnings Estimates, FY2026E-FY2028E</w:t>
      </w:r>
    </w:p>
    <w:p>
      <w:pPr>
        <w:spacing w:before="0" w:after="50" w:line="264" w:lineRule="auto"/>
      </w:pPr>
      <w:r>
        <w:rPr>
          <w:rFonts w:ascii="Arial" w:hAnsi="Arial"/>
          <w:sz w:val="19"/>
        </w:rPr>
        <w:t>13. Capital Structure, Debt, Covenants and Liquidity</w:t>
      </w:r>
    </w:p>
    <w:p>
      <w:pPr>
        <w:spacing w:before="0" w:after="50" w:line="264" w:lineRule="auto"/>
      </w:pPr>
      <w:r>
        <w:rPr>
          <w:rFonts w:ascii="Arial" w:hAnsi="Arial"/>
          <w:sz w:val="19"/>
        </w:rPr>
        <w:t>14. Valuation vs Peers and vs History</w:t>
      </w:r>
    </w:p>
    <w:p>
      <w:pPr>
        <w:spacing w:before="0" w:after="50" w:line="264" w:lineRule="auto"/>
      </w:pPr>
      <w:r>
        <w:rPr>
          <w:rFonts w:ascii="Arial" w:hAnsi="Arial"/>
          <w:sz w:val="19"/>
        </w:rPr>
        <w:t>15. M&amp;A: Industry Transactions, Takeover Potential and Takeout Multiples</w:t>
      </w:r>
    </w:p>
    <w:p>
      <w:pPr>
        <w:spacing w:before="0" w:after="50" w:line="264" w:lineRule="auto"/>
      </w:pPr>
      <w:r>
        <w:rPr>
          <w:rFonts w:ascii="Arial" w:hAnsi="Arial"/>
          <w:sz w:val="19"/>
        </w:rPr>
        <w:t>16. Management Assessment</w:t>
      </w:r>
    </w:p>
    <w:p>
      <w:pPr>
        <w:spacing w:before="0" w:after="50" w:line="264" w:lineRule="auto"/>
      </w:pPr>
      <w:r>
        <w:rPr>
          <w:rFonts w:ascii="Arial" w:hAnsi="Arial"/>
          <w:sz w:val="19"/>
        </w:rPr>
        <w:t>17. Board of Directors</w:t>
      </w:r>
    </w:p>
    <w:p>
      <w:pPr>
        <w:spacing w:before="0" w:after="50" w:line="264" w:lineRule="auto"/>
      </w:pPr>
      <w:r>
        <w:rPr>
          <w:rFonts w:ascii="Arial" w:hAnsi="Arial"/>
          <w:sz w:val="19"/>
        </w:rPr>
        <w:t>18. Shareholders, Activism and Short Interest</w:t>
      </w:r>
    </w:p>
    <w:p>
      <w:pPr>
        <w:spacing w:before="0" w:after="50" w:line="264" w:lineRule="auto"/>
      </w:pPr>
      <w:r>
        <w:rPr>
          <w:rFonts w:ascii="Arial" w:hAnsi="Arial"/>
          <w:sz w:val="19"/>
        </w:rPr>
        <w:t>19. Strategic Initiatives (2016-2026)</w:t>
      </w:r>
    </w:p>
    <w:p>
      <w:pPr>
        <w:spacing w:before="0" w:after="50" w:line="264" w:lineRule="auto"/>
      </w:pPr>
      <w:r>
        <w:rPr>
          <w:rFonts w:ascii="Arial" w:hAnsi="Arial"/>
          <w:sz w:val="19"/>
        </w:rPr>
        <w:t>20. Stakes in Other Companies</w:t>
      </w:r>
    </w:p>
    <w:p>
      <w:pPr>
        <w:spacing w:before="0" w:after="50" w:line="264" w:lineRule="auto"/>
      </w:pPr>
      <w:r>
        <w:rPr>
          <w:rFonts w:ascii="Arial" w:hAnsi="Arial"/>
          <w:sz w:val="19"/>
        </w:rPr>
        <w:t>21. Dividends, Buybacks and Treasury Shares (Five-Year Timeline)</w:t>
      </w:r>
    </w:p>
    <w:p>
      <w:pPr>
        <w:spacing w:before="0" w:after="50" w:line="264" w:lineRule="auto"/>
      </w:pPr>
      <w:r>
        <w:rPr>
          <w:rFonts w:ascii="Arial" w:hAnsi="Arial"/>
          <w:sz w:val="19"/>
        </w:rPr>
        <w:t>22. Adversarial Analysis I: The Bull Case</w:t>
      </w:r>
    </w:p>
    <w:p>
      <w:pPr>
        <w:spacing w:before="0" w:after="50" w:line="264" w:lineRule="auto"/>
      </w:pPr>
      <w:r>
        <w:rPr>
          <w:rFonts w:ascii="Arial" w:hAnsi="Arial"/>
          <w:sz w:val="19"/>
        </w:rPr>
        <w:t>23. Adversarial Analysis II: The Bear Case, Pre-Mortem and Contrarian View</w:t>
      </w:r>
    </w:p>
    <w:p>
      <w:pPr>
        <w:spacing w:before="0" w:after="50" w:line="264" w:lineRule="auto"/>
      </w:pPr>
      <w:r>
        <w:rPr>
          <w:rFonts w:ascii="Arial" w:hAnsi="Arial"/>
          <w:sz w:val="19"/>
        </w:rPr>
        <w:t>24. Scenario Analysis (12-Month View)</w:t>
      </w:r>
    </w:p>
    <w:p>
      <w:pPr>
        <w:spacing w:before="0" w:after="50" w:line="264" w:lineRule="auto"/>
      </w:pPr>
      <w:r>
        <w:rPr>
          <w:rFonts w:ascii="Arial" w:hAnsi="Arial"/>
          <w:sz w:val="19"/>
        </w:rPr>
        <w:t>25. The Short-Seller's Case and Forensic Accounting Review</w:t>
      </w:r>
    </w:p>
    <w:p>
      <w:pPr>
        <w:spacing w:before="0" w:after="50" w:line="264" w:lineRule="auto"/>
      </w:pPr>
      <w:r>
        <w:rPr>
          <w:rFonts w:ascii="Arial" w:hAnsi="Arial"/>
          <w:sz w:val="19"/>
        </w:rPr>
        <w:t>26. Is There an Activist Angle? What an Activist Would Push For</w:t>
      </w:r>
    </w:p>
    <w:p>
      <w:pPr>
        <w:spacing w:before="0" w:after="50" w:line="264" w:lineRule="auto"/>
      </w:pPr>
      <w:r>
        <w:rPr>
          <w:rFonts w:ascii="Arial" w:hAnsi="Arial"/>
          <w:sz w:val="19"/>
        </w:rPr>
        <w:t>27. Fifteen Questions for the CEO and Chairman (Ordered by Information Value)</w:t>
      </w:r>
    </w:p>
    <w:p>
      <w:pPr>
        <w:spacing w:before="0" w:after="50" w:line="264" w:lineRule="auto"/>
      </w:pPr>
      <w:r>
        <w:rPr>
          <w:rFonts w:ascii="Arial" w:hAnsi="Arial"/>
          <w:sz w:val="19"/>
        </w:rPr>
        <w:t>28. Timeline of Key Past Events and Upcoming Catalyst Calendar</w:t>
      </w:r>
    </w:p>
    <w:p>
      <w:pPr>
        <w:spacing w:before="0" w:after="50" w:line="264" w:lineRule="auto"/>
      </w:pPr>
      <w:r>
        <w:rPr>
          <w:rFonts w:ascii="Arial" w:hAnsi="Arial"/>
          <w:sz w:val="19"/>
        </w:rPr>
        <w:t>Appendix A: Sources, Methodology and Data Notes</w:t>
      </w:r>
    </w:p>
    <w:p>
      <w:pPr>
        <w:pStyle w:val="Heading1"/>
        <w:pageBreakBefore/>
        <w:spacing w:before="0" w:after="120" w:line="264" w:lineRule="auto"/>
      </w:pPr>
      <w:r>
        <w:rPr>
          <w:rFonts w:ascii="Arial" w:hAnsi="Arial"/>
        </w:rPr>
        <w:t>1. Executive Summary and Investment Conclusion</w:t>
      </w:r>
    </w:p>
    <w:p>
      <w:pPr>
        <w:pStyle w:val="Heading2"/>
        <w:keepNext/>
        <w:spacing w:before="160" w:after="80" w:line="264" w:lineRule="auto"/>
      </w:pPr>
      <w:r>
        <w:rPr>
          <w:rFonts w:ascii="Arial" w:hAnsi="Arial"/>
        </w:rPr>
        <w:t>1.1 The set-up in one paragraph</w:t>
      </w:r>
    </w:p>
    <w:p>
      <w:pPr>
        <w:spacing w:before="0" w:after="100" w:line="288" w:lineRule="auto"/>
      </w:pPr>
      <w:r>
        <w:rPr>
          <w:rFonts w:ascii="Arial" w:hAnsi="Arial"/>
          <w:sz w:val="19"/>
        </w:rPr>
        <w:t xml:space="preserve">Kangwon Land runs </w:t>
      </w:r>
      <w:r>
        <w:rPr>
          <w:rFonts w:ascii="Arial" w:hAnsi="Arial"/>
          <w:b/>
          <w:sz w:val="19"/>
        </w:rPr>
        <w:t>High1 Resort</w:t>
      </w:r>
      <w:r>
        <w:rPr>
          <w:rFonts w:ascii="Arial" w:hAnsi="Arial"/>
          <w:sz w:val="19"/>
        </w:rPr>
        <w:t xml:space="preserve"> in Jeongseon, a former coal-mining county in Gangwon Province. It was created under a 1995 special law to regenerate abandoned mining towns. Its casino is the </w:t>
      </w:r>
      <w:r>
        <w:rPr>
          <w:rFonts w:ascii="Arial" w:hAnsi="Arial"/>
          <w:b/>
          <w:sz w:val="19"/>
        </w:rPr>
        <w:t>only one of Korea's 17 casinos open to Korean nationals</w:t>
      </w:r>
      <w:r>
        <w:rPr>
          <w:rFonts w:ascii="Arial" w:hAnsi="Arial"/>
          <w:sz w:val="19"/>
        </w:rPr>
        <w:t xml:space="preserve">, and the law that grants this exemption now runs to 31-Dec-2045. It earned </w:t>
      </w:r>
      <w:r>
        <w:rPr>
          <w:rFonts w:ascii="Arial" w:hAnsi="Arial"/>
          <w:b/>
          <w:sz w:val="19"/>
        </w:rPr>
        <w:t>KRW1.48tn of revenue in FY2025</w:t>
      </w:r>
      <w:r>
        <w:rPr>
          <w:rFonts w:ascii="Arial" w:hAnsi="Arial"/>
          <w:sz w:val="19"/>
        </w:rPr>
        <w:t xml:space="preserve"> (about 87% from the casino) and KRW235bn of operating profit. But governments took </w:t>
      </w:r>
      <w:r>
        <w:rPr>
          <w:rFonts w:ascii="Arial" w:hAnsi="Arial"/>
          <w:b/>
          <w:sz w:val="19"/>
        </w:rPr>
        <w:t>KRW603bn, or 42% of gaming revenue</w:t>
      </w:r>
      <w:r>
        <w:rPr>
          <w:rFonts w:ascii="Arial" w:hAnsi="Arial"/>
          <w:sz w:val="19"/>
        </w:rPr>
        <w:t xml:space="preserve">, through two levies (the tourism fund, 10% of sales, and the mine-region fund, 13% of casino sales) plus taxes. The company has </w:t>
      </w:r>
      <w:r>
        <w:rPr>
          <w:rFonts w:ascii="Arial" w:hAnsi="Arial"/>
          <w:b/>
          <w:sz w:val="19"/>
        </w:rPr>
        <w:t>no debt and ~KRW2.9tn of net financial assets [e]</w:t>
      </w:r>
      <w:r>
        <w:rPr>
          <w:rFonts w:ascii="Arial" w:hAnsi="Arial"/>
          <w:sz w:val="19"/>
        </w:rPr>
        <w:t xml:space="preserve">, so at KRW14,180 the market capitalisation (KRW2.81tn) is below the cash. The shares are </w:t>
      </w:r>
      <w:r>
        <w:rPr>
          <w:rFonts w:ascii="Arial" w:hAnsi="Arial"/>
          <w:b/>
          <w:sz w:val="19"/>
        </w:rPr>
        <w:t>down 27% from their February high</w:t>
      </w:r>
      <w:r>
        <w:rPr>
          <w:rFonts w:ascii="Arial" w:hAnsi="Arial"/>
          <w:sz w:val="19"/>
        </w:rPr>
        <w:t xml:space="preserve"> and 60% from their 2016-17 levels. The causes are a hotel renovation that will run until 2028 (2Q26 operating profit −26%), a proposal to raise the casino tourism levy to 15%, a draft AML rule that management says could cut revenue by 26%, and the appointment of a Democratic Party politician and former army general as CEO in September 2026.</w:t>
      </w:r>
    </w:p>
    <w:p>
      <w:pPr>
        <w:pStyle w:val="Heading2"/>
        <w:keepNext/>
        <w:spacing w:before="160" w:after="80" w:line="264" w:lineRule="auto"/>
      </w:pPr>
      <w:r>
        <w:rPr>
          <w:rFonts w:ascii="Arial" w:hAnsi="Arial"/>
        </w:rPr>
        <w:t>1.2 Investment thesis: four forces converging</w:t>
      </w:r>
    </w:p>
    <w:p>
      <w:pPr>
        <w:spacing w:before="0" w:after="50" w:line="276" w:lineRule="auto"/>
        <w:ind w:left="360" w:hanging="245"/>
      </w:pPr>
      <w:r>
        <w:rPr>
          <w:rFonts w:ascii="Arial" w:hAnsi="Arial"/>
          <w:sz w:val="19"/>
        </w:rPr>
        <w:t xml:space="preserve">1.  </w:t>
      </w:r>
      <w:r>
        <w:rPr>
          <w:rFonts w:ascii="Arial" w:hAnsi="Arial"/>
          <w:b/>
          <w:sz w:val="19"/>
        </w:rPr>
        <w:t>The casino is in the price for free.</w:t>
      </w:r>
      <w:r>
        <w:rPr>
          <w:rFonts w:ascii="Arial" w:hAnsi="Arial"/>
          <w:sz w:val="19"/>
        </w:rPr>
        <w:t xml:space="preserve"> Net financial assets of ~KRW2.93tn [e] exceed the KRW2.81tn market cap. After a KRW0.4tn operating reserve, the market values a statutory monopoly earning ~KRW305bn of EBITDA at </w:t>
      </w:r>
      <w:r>
        <w:rPr>
          <w:rFonts w:ascii="Arial" w:hAnsi="Arial"/>
          <w:b/>
          <w:sz w:val="19"/>
        </w:rPr>
        <w:t>~0.9x EBITDA</w:t>
      </w:r>
      <w:r>
        <w:rPr>
          <w:rFonts w:ascii="Arial" w:hAnsi="Arial"/>
          <w:sz w:val="19"/>
        </w:rPr>
        <w:t xml:space="preserve"> (listed peers 7.4x NTM; casino deals 9.2x). The peer regression implies ~KRW3.0tn for the operating business alone.</w:t>
      </w:r>
    </w:p>
    <w:p>
      <w:pPr>
        <w:spacing w:before="0" w:after="50" w:line="276" w:lineRule="auto"/>
        <w:ind w:left="360" w:hanging="245"/>
      </w:pPr>
      <w:r>
        <w:rPr>
          <w:rFonts w:ascii="Arial" w:hAnsi="Arial"/>
          <w:sz w:val="19"/>
        </w:rPr>
        <w:t xml:space="preserve">2.  </w:t>
      </w:r>
      <w:r>
        <w:rPr>
          <w:rFonts w:ascii="Arial" w:hAnsi="Arial"/>
          <w:b/>
          <w:sz w:val="19"/>
        </w:rPr>
        <w:t>The controller needs cash, so payouts are politically safe.</w:t>
      </w:r>
      <w:r>
        <w:rPr>
          <w:rFonts w:ascii="Arial" w:hAnsi="Arial"/>
          <w:sz w:val="19"/>
        </w:rPr>
        <w:t xml:space="preserve"> KOMIR (36.27%) has </w:t>
      </w:r>
      <w:r>
        <w:rPr>
          <w:rFonts w:ascii="Arial" w:hAnsi="Arial"/>
          <w:b/>
          <w:sz w:val="19"/>
        </w:rPr>
        <w:t>negative equity of KRW3.16tn</w:t>
      </w:r>
      <w:r>
        <w:rPr>
          <w:rFonts w:ascii="Arial" w:hAnsi="Arial"/>
          <w:sz w:val="19"/>
        </w:rPr>
        <w:t xml:space="preserve"> and KRW8.06tn of liabilities. Public bodies receive </w:t>
      </w:r>
      <w:r>
        <w:rPr>
          <w:rFonts w:ascii="Arial" w:hAnsi="Arial"/>
          <w:b/>
          <w:sz w:val="19"/>
        </w:rPr>
        <w:t>~55% of every dividend</w:t>
      </w:r>
      <w:r>
        <w:rPr>
          <w:rFonts w:ascii="Arial" w:hAnsi="Arial"/>
          <w:sz w:val="19"/>
        </w:rPr>
        <w:t xml:space="preserve"> (KOMIR 39%, mine-region municipalities and Gangwon ~16%). The Value-Up plan (payout ≥50%, total return ≥60%) has been met for two years, and Korea's new separate taxation of dividends (2026-28) rewards high payers.</w:t>
      </w:r>
    </w:p>
    <w:p>
      <w:pPr>
        <w:spacing w:before="0" w:after="50" w:line="276" w:lineRule="auto"/>
        <w:ind w:left="360" w:hanging="245"/>
      </w:pPr>
      <w:r>
        <w:rPr>
          <w:rFonts w:ascii="Arial" w:hAnsi="Arial"/>
          <w:sz w:val="19"/>
        </w:rPr>
        <w:t xml:space="preserve">3.  </w:t>
      </w:r>
      <w:r>
        <w:rPr>
          <w:rFonts w:ascii="Arial" w:hAnsi="Arial"/>
          <w:b/>
          <w:sz w:val="19"/>
        </w:rPr>
        <w:t>New legal levers for minorities.</w:t>
      </w:r>
      <w:r>
        <w:rPr>
          <w:rFonts w:ascii="Arial" w:hAnsi="Arial"/>
          <w:sz w:val="19"/>
        </w:rPr>
        <w:t xml:space="preserve"> Under the 2025-26 Commercial Act amendments:</w:t>
      </w:r>
    </w:p>
    <w:p>
      <w:pPr>
        <w:spacing w:before="0" w:after="50" w:line="276" w:lineRule="auto"/>
        <w:ind w:left="360" w:hanging="245"/>
      </w:pPr>
      <w:r>
        <w:rPr>
          <w:rFonts w:ascii="Arial" w:hAnsi="Arial"/>
          <w:color w:val="2E74B5"/>
          <w:sz w:val="16"/>
        </w:rPr>
        <w:t xml:space="preserve">▪  </w:t>
      </w:r>
      <w:r>
        <w:rPr>
          <w:rFonts w:ascii="Arial" w:hAnsi="Arial"/>
          <w:sz w:val="19"/>
        </w:rPr>
        <w:t>Cumulative voting became mandatory for companies with assets ≥KRW2tn from 10-Sep-2026.</w:t>
      </w:r>
    </w:p>
    <w:p>
      <w:pPr>
        <w:spacing w:before="0" w:after="50" w:line="276" w:lineRule="auto"/>
        <w:ind w:left="360" w:hanging="245"/>
      </w:pPr>
      <w:r>
        <w:rPr>
          <w:rFonts w:ascii="Arial" w:hAnsi="Arial"/>
          <w:color w:val="2E74B5"/>
          <w:sz w:val="16"/>
        </w:rPr>
        <w:t xml:space="preserve">▪  </w:t>
      </w:r>
      <w:r>
        <w:rPr>
          <w:rFonts w:ascii="Arial" w:hAnsi="Arial"/>
          <w:sz w:val="19"/>
        </w:rPr>
        <w:t>Audit-committee elections cap the largest shareholder at 3%.</w:t>
      </w:r>
    </w:p>
    <w:p>
      <w:pPr>
        <w:spacing w:before="0" w:after="50" w:line="276" w:lineRule="auto"/>
        <w:ind w:left="360" w:hanging="245"/>
      </w:pPr>
      <w:r>
        <w:rPr>
          <w:rFonts w:ascii="Arial" w:hAnsi="Arial"/>
          <w:color w:val="2E74B5"/>
          <w:sz w:val="16"/>
        </w:rPr>
        <w:t xml:space="preserve">▪  </w:t>
      </w:r>
      <w:r>
        <w:rPr>
          <w:rFonts w:ascii="Arial" w:hAnsi="Arial"/>
          <w:sz w:val="19"/>
        </w:rPr>
        <w:t>Treasury shares must be cancelled. The deadline for existing holdings is ~Sep-2027 unless shareholders approve retention each year.</w:t>
      </w:r>
    </w:p>
    <w:p>
      <w:pPr>
        <w:spacing w:before="0" w:after="50" w:line="276" w:lineRule="auto"/>
        <w:ind w:left="360" w:hanging="245"/>
      </w:pPr>
      <w:r>
        <w:rPr>
          <w:rFonts w:ascii="Arial" w:hAnsi="Arial"/>
          <w:color w:val="2E74B5"/>
          <w:sz w:val="16"/>
        </w:rPr>
        <w:t xml:space="preserve">▪  </w:t>
      </w:r>
      <w:r>
        <w:rPr>
          <w:rFonts w:ascii="Arial" w:hAnsi="Arial"/>
          <w:sz w:val="19"/>
        </w:rPr>
        <w:t xml:space="preserve">Kangwon Land holds </w:t>
      </w:r>
      <w:r>
        <w:rPr>
          <w:rFonts w:ascii="Arial" w:hAnsi="Arial"/>
          <w:b/>
          <w:sz w:val="19"/>
        </w:rPr>
        <w:t>7.36% in treasury</w:t>
      </w:r>
      <w:r>
        <w:rPr>
          <w:rFonts w:ascii="Arial" w:hAnsi="Arial"/>
          <w:sz w:val="19"/>
        </w:rPr>
        <w:t>.</w:t>
      </w:r>
    </w:p>
    <w:p>
      <w:pPr>
        <w:spacing w:before="0" w:after="50" w:line="276" w:lineRule="auto"/>
        <w:ind w:left="360" w:hanging="245"/>
      </w:pPr>
      <w:r>
        <w:rPr>
          <w:rFonts w:ascii="Arial" w:hAnsi="Arial"/>
          <w:color w:val="2E74B5"/>
          <w:sz w:val="16"/>
        </w:rPr>
        <w:t xml:space="preserve">▪  </w:t>
      </w:r>
      <w:r>
        <w:rPr>
          <w:rFonts w:ascii="Arial" w:hAnsi="Arial"/>
          <w:sz w:val="19"/>
        </w:rPr>
        <w:t>How these interact with the Public Institutions Act is untested [u].</w:t>
      </w:r>
    </w:p>
    <w:p>
      <w:pPr>
        <w:spacing w:before="0" w:after="50" w:line="276" w:lineRule="auto"/>
        <w:ind w:left="360" w:hanging="245"/>
      </w:pPr>
      <w:r>
        <w:rPr>
          <w:rFonts w:ascii="Arial" w:hAnsi="Arial"/>
          <w:sz w:val="19"/>
        </w:rPr>
        <w:t xml:space="preserve">4.  </w:t>
      </w:r>
      <w:r>
        <w:rPr>
          <w:rFonts w:ascii="Arial" w:hAnsi="Arial"/>
          <w:b/>
          <w:sz w:val="19"/>
        </w:rPr>
        <w:t>The levy and capex risks are arguably over-priced.</w:t>
      </w:r>
    </w:p>
    <w:p>
      <w:pPr>
        <w:spacing w:before="0" w:after="50" w:line="276" w:lineRule="auto"/>
        <w:ind w:left="360" w:hanging="245"/>
      </w:pPr>
      <w:r>
        <w:rPr>
          <w:rFonts w:ascii="Arial" w:hAnsi="Arial"/>
          <w:color w:val="2E74B5"/>
          <w:sz w:val="16"/>
        </w:rPr>
        <w:t xml:space="preserve">▪  </w:t>
      </w:r>
      <w:r>
        <w:rPr>
          <w:rFonts w:ascii="Arial" w:hAnsi="Arial"/>
          <w:b/>
          <w:sz w:val="19"/>
        </w:rPr>
        <w:t>Levy:</w:t>
      </w:r>
      <w:r>
        <w:rPr>
          <w:rFonts w:ascii="Arial" w:hAnsi="Arial"/>
          <w:sz w:val="19"/>
        </w:rPr>
        <w:t xml:space="preserve"> an official at the Ministry of Culture, Sports and Tourism (MCST) said Kangwon Land is expected to be </w:t>
      </w:r>
      <w:r>
        <w:rPr>
          <w:rFonts w:ascii="Arial" w:hAnsi="Arial"/>
          <w:b/>
          <w:sz w:val="19"/>
        </w:rPr>
        <w:t>excluded</w:t>
      </w:r>
      <w:r>
        <w:rPr>
          <w:rFonts w:ascii="Arial" w:hAnsi="Arial"/>
          <w:sz w:val="19"/>
        </w:rPr>
        <w:t xml:space="preserve"> from the 15% levy because it already pays 13% to the mine fund [u]. Kangwon Land fell only ~3% in the levy week while Paradise fell 23%.</w:t>
      </w:r>
    </w:p>
    <w:p>
      <w:pPr>
        <w:spacing w:before="0" w:after="50" w:line="276" w:lineRule="auto"/>
        <w:ind w:left="360" w:hanging="245"/>
      </w:pPr>
      <w:r>
        <w:rPr>
          <w:rFonts w:ascii="Arial" w:hAnsi="Arial"/>
          <w:color w:val="2E74B5"/>
          <w:sz w:val="16"/>
        </w:rPr>
        <w:t xml:space="preserve">▪  </w:t>
      </w:r>
      <w:r>
        <w:rPr>
          <w:rFonts w:ascii="Arial" w:hAnsi="Arial"/>
          <w:b/>
          <w:sz w:val="19"/>
        </w:rPr>
        <w:t>K-HIT:</w:t>
      </w:r>
      <w:r>
        <w:rPr>
          <w:rFonts w:ascii="Arial" w:hAnsi="Arial"/>
          <w:sz w:val="19"/>
        </w:rPr>
        <w:t xml:space="preserve"> the new CEO's Organisational Diagnosis and Innovation Committee (Oct-Dec 2026) is reviewing the feasibility of the ~KRW3tn K-HIT plan, a chance to rescope it.</w:t>
      </w:r>
    </w:p>
    <w:p>
      <w:pPr>
        <w:pStyle w:val="Heading2"/>
        <w:keepNext/>
        <w:spacing w:before="160" w:after="80" w:line="264" w:lineRule="auto"/>
      </w:pPr>
      <w:r>
        <w:rPr>
          <w:rFonts w:ascii="Arial" w:hAnsi="Arial"/>
        </w:rPr>
        <w:t>1.3 Why it is cheap: what the bears are right about</w:t>
      </w:r>
    </w:p>
    <w:p>
      <w:pPr>
        <w:spacing w:before="0" w:after="50" w:line="276" w:lineRule="auto"/>
        <w:ind w:left="360" w:hanging="245"/>
      </w:pPr>
      <w:r>
        <w:rPr>
          <w:rFonts w:ascii="Arial" w:hAnsi="Arial"/>
          <w:color w:val="2E74B5"/>
          <w:sz w:val="16"/>
        </w:rPr>
        <w:t xml:space="preserve">▪  </w:t>
      </w:r>
      <w:r>
        <w:rPr>
          <w:rFonts w:ascii="Arial" w:hAnsi="Arial"/>
          <w:b/>
          <w:sz w:val="19"/>
        </w:rPr>
        <w:t>Earnings are falling.</w:t>
      </w:r>
      <w:r>
        <w:rPr>
          <w:rFonts w:ascii="Arial" w:hAnsi="Arial"/>
          <w:sz w:val="19"/>
        </w:rPr>
        <w:t xml:space="preserve"> Operating profit fell 18% in FY25 and 16% in 1H26. Our FY26E OP of KRW201bn is 18% below the May consensus, because 757 rooms (~41%) are closed until Nov-27 to Apr-28 and labour and bonus costs keep rising.</w:t>
      </w:r>
    </w:p>
    <w:p>
      <w:pPr>
        <w:spacing w:before="0" w:after="50" w:line="276" w:lineRule="auto"/>
        <w:ind w:left="360" w:hanging="245"/>
      </w:pPr>
      <w:r>
        <w:rPr>
          <w:rFonts w:ascii="Arial" w:hAnsi="Arial"/>
          <w:color w:val="2E74B5"/>
          <w:sz w:val="16"/>
        </w:rPr>
        <w:t xml:space="preserve">▪  </w:t>
      </w:r>
      <w:r>
        <w:rPr>
          <w:rFonts w:ascii="Arial" w:hAnsi="Arial"/>
          <w:b/>
          <w:sz w:val="19"/>
        </w:rPr>
        <w:t>The cash may not belong to minorities in practice.</w:t>
      </w:r>
      <w:r>
        <w:rPr>
          <w:rFonts w:ascii="Arial" w:hAnsi="Arial"/>
          <w:sz w:val="19"/>
        </w:rPr>
        <w:t xml:space="preserve"> K-HIT targets ~KRW3tn of capex to 2035, roughly the whole cash pile, at a remote mountain site. A state enterprise has little incentive to earn its cost of capital.</w:t>
      </w:r>
    </w:p>
    <w:p>
      <w:pPr>
        <w:spacing w:before="0" w:after="50" w:line="276" w:lineRule="auto"/>
        <w:ind w:left="360" w:hanging="245"/>
      </w:pPr>
      <w:r>
        <w:rPr>
          <w:rFonts w:ascii="Arial" w:hAnsi="Arial"/>
          <w:color w:val="2E74B5"/>
          <w:sz w:val="16"/>
        </w:rPr>
        <w:t xml:space="preserve">▪  </w:t>
      </w:r>
      <w:r>
        <w:rPr>
          <w:rFonts w:ascii="Arial" w:hAnsi="Arial"/>
          <w:b/>
          <w:sz w:val="19"/>
        </w:rPr>
        <w:t>Governance is political.</w:t>
      </w:r>
    </w:p>
    <w:p>
      <w:pPr>
        <w:spacing w:before="0" w:after="50" w:line="276" w:lineRule="auto"/>
        <w:ind w:left="360" w:hanging="245"/>
      </w:pPr>
      <w:r>
        <w:rPr>
          <w:rFonts w:ascii="Arial" w:hAnsi="Arial"/>
          <w:color w:val="2E74B5"/>
          <w:sz w:val="16"/>
        </w:rPr>
        <w:t xml:space="preserve">▪  </w:t>
      </w:r>
      <w:r>
        <w:rPr>
          <w:rFonts w:ascii="Arial" w:hAnsi="Arial"/>
          <w:sz w:val="19"/>
        </w:rPr>
        <w:t>The CEO post was filled by acting CEOs for ~32 months; a DP politician and ex-general without casino experience was then appointed.</w:t>
      </w:r>
    </w:p>
    <w:p>
      <w:pPr>
        <w:spacing w:before="0" w:after="50" w:line="276" w:lineRule="auto"/>
        <w:ind w:left="360" w:hanging="245"/>
      </w:pPr>
      <w:r>
        <w:rPr>
          <w:rFonts w:ascii="Arial" w:hAnsi="Arial"/>
          <w:color w:val="2E74B5"/>
          <w:sz w:val="16"/>
        </w:rPr>
        <w:t xml:space="preserve">▪  </w:t>
      </w:r>
      <w:r>
        <w:rPr>
          <w:rFonts w:ascii="Arial" w:hAnsi="Arial"/>
          <w:sz w:val="19"/>
        </w:rPr>
        <w:t>The company received a "D" in the 2023 public-enterprise evaluation and "C" for FY24 and FY25.</w:t>
      </w:r>
    </w:p>
    <w:p>
      <w:pPr>
        <w:spacing w:before="0" w:after="50" w:line="276" w:lineRule="auto"/>
        <w:ind w:left="360" w:hanging="245"/>
      </w:pPr>
      <w:r>
        <w:rPr>
          <w:rFonts w:ascii="Arial" w:hAnsi="Arial"/>
          <w:color w:val="2E74B5"/>
          <w:sz w:val="16"/>
        </w:rPr>
        <w:t xml:space="preserve">▪  </w:t>
      </w:r>
      <w:r>
        <w:rPr>
          <w:rFonts w:ascii="Arial" w:hAnsi="Arial"/>
          <w:sz w:val="19"/>
        </w:rPr>
        <w:t xml:space="preserve">The Aug-2026 EGM amended the articles to allow treasury shares to be </w:t>
      </w:r>
      <w:r>
        <w:rPr>
          <w:rFonts w:ascii="Arial" w:hAnsi="Arial"/>
          <w:b/>
          <w:sz w:val="19"/>
        </w:rPr>
        <w:t>kept or sold</w:t>
      </w:r>
      <w:r>
        <w:rPr>
          <w:rFonts w:ascii="Arial" w:hAnsi="Arial"/>
          <w:sz w:val="19"/>
        </w:rPr>
        <w:t>.</w:t>
      </w:r>
    </w:p>
    <w:p>
      <w:pPr>
        <w:spacing w:before="0" w:after="50" w:line="276" w:lineRule="auto"/>
        <w:ind w:left="360" w:hanging="245"/>
      </w:pPr>
      <w:r>
        <w:rPr>
          <w:rFonts w:ascii="Arial" w:hAnsi="Arial"/>
          <w:color w:val="2E74B5"/>
          <w:sz w:val="16"/>
        </w:rPr>
        <w:t xml:space="preserve">▪  </w:t>
      </w:r>
      <w:r>
        <w:rPr>
          <w:rFonts w:ascii="Arial" w:hAnsi="Arial"/>
          <w:b/>
          <w:sz w:val="19"/>
        </w:rPr>
        <w:t>Regulatory tail risks are real:</w:t>
      </w:r>
    </w:p>
    <w:p>
      <w:pPr>
        <w:spacing w:before="0" w:after="50" w:line="276" w:lineRule="auto"/>
        <w:ind w:left="360" w:hanging="245"/>
      </w:pPr>
      <w:r>
        <w:rPr>
          <w:rFonts w:ascii="Arial" w:hAnsi="Arial"/>
          <w:color w:val="2E74B5"/>
          <w:sz w:val="16"/>
        </w:rPr>
        <w:t xml:space="preserve">▪  </w:t>
      </w:r>
      <w:r>
        <w:rPr>
          <w:rFonts w:ascii="Arial" w:hAnsi="Arial"/>
          <w:sz w:val="19"/>
        </w:rPr>
        <w:t>the AML customer-due-diligence rule (company estimate: revenue −25.8%);</w:t>
      </w:r>
    </w:p>
    <w:p>
      <w:pPr>
        <w:spacing w:before="0" w:after="50" w:line="276" w:lineRule="auto"/>
        <w:ind w:left="360" w:hanging="245"/>
      </w:pPr>
      <w:r>
        <w:rPr>
          <w:rFonts w:ascii="Arial" w:hAnsi="Arial"/>
          <w:color w:val="2E74B5"/>
          <w:sz w:val="16"/>
        </w:rPr>
        <w:t xml:space="preserve">▪  </w:t>
      </w:r>
      <w:r>
        <w:rPr>
          <w:rFonts w:ascii="Arial" w:hAnsi="Arial"/>
          <w:sz w:val="19"/>
        </w:rPr>
        <w:t>a possible Korean-access casino at Saemangeum, after President Lee mentioned a "public casino" (Dec-25);</w:t>
      </w:r>
    </w:p>
    <w:p>
      <w:pPr>
        <w:spacing w:before="0" w:after="50" w:line="276" w:lineRule="auto"/>
        <w:ind w:left="360" w:hanging="245"/>
      </w:pPr>
      <w:r>
        <w:rPr>
          <w:rFonts w:ascii="Arial" w:hAnsi="Arial"/>
          <w:color w:val="2E74B5"/>
          <w:sz w:val="16"/>
        </w:rPr>
        <w:t xml:space="preserve">▪  </w:t>
      </w:r>
      <w:r>
        <w:rPr>
          <w:rFonts w:ascii="Arial" w:hAnsi="Arial"/>
          <w:sz w:val="19"/>
        </w:rPr>
        <w:t>the 15% levy;</w:t>
      </w:r>
    </w:p>
    <w:p>
      <w:pPr>
        <w:spacing w:before="0" w:after="50" w:line="276" w:lineRule="auto"/>
        <w:ind w:left="360" w:hanging="245"/>
      </w:pPr>
      <w:r>
        <w:rPr>
          <w:rFonts w:ascii="Arial" w:hAnsi="Arial"/>
          <w:color w:val="2E74B5"/>
          <w:sz w:val="16"/>
        </w:rPr>
        <w:t xml:space="preserve">▪  </w:t>
      </w:r>
      <w:r>
        <w:rPr>
          <w:rFonts w:ascii="Arial" w:hAnsi="Arial"/>
          <w:sz w:val="19"/>
        </w:rPr>
        <w:t>the 2045 sunset.</w:t>
      </w:r>
    </w:p>
    <w:p>
      <w:pPr>
        <w:pStyle w:val="Heading2"/>
        <w:keepNext/>
        <w:spacing w:before="160" w:after="80" w:line="264" w:lineRule="auto"/>
      </w:pPr>
      <w:r>
        <w:rPr>
          <w:rFonts w:ascii="Arial" w:hAnsi="Arial"/>
        </w:rPr>
        <w:t>1.4 Valuation and scenarios</w:t>
      </w:r>
    </w:p>
    <w:tbl>
      <w:tblPr>
        <w:tblW w:type="auto" w:w="0"/>
        <w:jc w:val="center"/>
        <w:tblLook w:firstColumn="1" w:firstRow="1" w:lastColumn="0" w:lastRow="0" w:noHBand="0" w:noVBand="1" w:val="04A0"/>
        <w:tblLayout w:type="fixed"/>
        <w:tblW w:type="dxa" w:w="9906"/>
      </w:tblPr>
      <w:tblGrid>
        <w:gridCol w:w="1192"/>
        <w:gridCol w:w="3173"/>
        <w:gridCol w:w="2384"/>
        <w:gridCol w:w="3156"/>
      </w:tblGrid>
      <w:tr>
        <w:trPr>
          <w:tblHeader/>
        </w:trPr>
        <w:tc>
          <w:tcPr>
            <w:tcW w:type="dxa" w:w="1192"/>
            <w:tcW w:type="dxa" w:w="1192"/>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p>
        </w:tc>
        <w:tc>
          <w:tcPr>
            <w:tcW w:type="dxa" w:w="3173"/>
            <w:tcW w:type="dxa" w:w="3173"/>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Bear (25%)</w:t>
            </w:r>
          </w:p>
        </w:tc>
        <w:tc>
          <w:tcPr>
            <w:tcW w:type="dxa" w:w="2384"/>
            <w:tcW w:type="dxa" w:w="2384"/>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Base (50%)</w:t>
            </w:r>
          </w:p>
        </w:tc>
        <w:tc>
          <w:tcPr>
            <w:tcW w:type="dxa" w:w="3156"/>
            <w:tcW w:type="dxa" w:w="3156"/>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Bull (25%)</w:t>
            </w:r>
          </w:p>
        </w:tc>
      </w:tr>
      <w:tr>
        <w:trPr>
          <w:cantSplit/>
        </w:trPr>
        <w:tc>
          <w:tcPr>
            <w:tcW w:type="dxa" w:w="1192"/>
            <w:tcW w:type="dxa" w:w="119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Key assumption</w:t>
            </w:r>
          </w:p>
        </w:tc>
        <w:tc>
          <w:tcPr>
            <w:tcW w:type="dxa" w:w="3173"/>
            <w:tcW w:type="dxa" w:w="317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Levy applies and AML partly enforced (EBITDA KRW240bn) at 5.0x; K-HIT destroys KRW1.3tn; 15% state-control discount</w:t>
            </w:r>
          </w:p>
        </w:tc>
        <w:tc>
          <w:tcPr>
            <w:tcW w:type="dxa" w:w="2384"/>
            <w:tcW w:type="dxa" w:w="238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FY27E EBITDA KRW310bn at 6.5x; K-HIT destroys KRW0.8tn; 10% discount</w:t>
            </w:r>
          </w:p>
        </w:tc>
        <w:tc>
          <w:tcPr>
            <w:tcW w:type="dxa" w:w="3156"/>
            <w:tcW w:type="dxa" w:w="315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FY28E EBITDA KRW345bn at 8.0x after deregulation and the second casino; K-HIT disciplined (−KRW0.2tn); 5% discount</w:t>
            </w:r>
          </w:p>
        </w:tc>
      </w:tr>
      <w:tr>
        <w:trPr>
          <w:cantSplit/>
        </w:trPr>
        <w:tc>
          <w:tcPr>
            <w:tcW w:type="dxa" w:w="1192"/>
            <w:tcW w:type="dxa" w:w="119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Value per share</w:t>
            </w:r>
          </w:p>
        </w:tc>
        <w:tc>
          <w:tcPr>
            <w:tcW w:type="dxa" w:w="3173"/>
            <w:tcW w:type="dxa" w:w="317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KRW10,400 (−27%)</w:t>
            </w:r>
          </w:p>
        </w:tc>
        <w:tc>
          <w:tcPr>
            <w:tcW w:type="dxa" w:w="2384"/>
            <w:tcW w:type="dxa" w:w="238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KRW17,000 (+20%)</w:t>
            </w:r>
          </w:p>
        </w:tc>
        <w:tc>
          <w:tcPr>
            <w:tcW w:type="dxa" w:w="3156"/>
            <w:tcW w:type="dxa" w:w="315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KRW24,900 (+75%)</w:t>
            </w:r>
          </w:p>
        </w:tc>
      </w:tr>
    </w:tbl>
    <w:p>
      <w:pPr>
        <w:spacing w:before="0" w:after="40" w:line="240" w:lineRule="auto"/>
      </w:pPr>
    </w:p>
    <w:p>
      <w:pPr>
        <w:spacing w:before="0" w:after="100" w:line="288" w:lineRule="auto"/>
      </w:pPr>
      <w:r>
        <w:rPr>
          <w:rFonts w:ascii="Arial" w:hAnsi="Arial"/>
          <w:b/>
          <w:sz w:val="19"/>
        </w:rPr>
        <w:t>Probability-weighted value: KRW17,300 (+22%)</w:t>
      </w:r>
      <w:r>
        <w:rPr>
          <w:rFonts w:ascii="Arial" w:hAnsi="Arial"/>
          <w:sz w:val="19"/>
        </w:rPr>
        <w:t xml:space="preserve">, plus a ~6% dividend yield. </w:t>
      </w:r>
      <w:r>
        <w:rPr>
          <w:rFonts w:ascii="Arial" w:hAnsi="Arial"/>
          <w:b/>
          <w:sz w:val="19"/>
        </w:rPr>
        <w:t>12-month target: KRW17,000.</w:t>
      </w:r>
      <w:r>
        <w:rPr>
          <w:rFonts w:ascii="Arial" w:hAnsi="Arial"/>
          <w:sz w:val="19"/>
        </w:rPr>
        <w:t xml:space="preserve"> Broker targets cluster at KRW18,000-20,000 after the August cuts (iM KRW18,000 on 23-Oct).</w:t>
      </w:r>
    </w:p>
    <w:p>
      <w:pPr>
        <w:pStyle w:val="Heading2"/>
        <w:keepNext/>
        <w:spacing w:before="160" w:after="80" w:line="264" w:lineRule="auto"/>
      </w:pPr>
      <w:r>
        <w:rPr>
          <w:rFonts w:ascii="Arial" w:hAnsi="Arial"/>
        </w:rPr>
        <w:t>1.5 What has to go right</w:t>
      </w:r>
    </w:p>
    <w:p>
      <w:pPr>
        <w:spacing w:before="0" w:after="50" w:line="276" w:lineRule="auto"/>
        <w:ind w:left="360" w:hanging="245"/>
      </w:pPr>
      <w:r>
        <w:rPr>
          <w:rFonts w:ascii="Arial" w:hAnsi="Arial"/>
          <w:color w:val="2E74B5"/>
          <w:sz w:val="16"/>
        </w:rPr>
        <w:t xml:space="preserve">▪  </w:t>
      </w:r>
      <w:r>
        <w:rPr>
          <w:rFonts w:ascii="Arial" w:hAnsi="Arial"/>
          <w:sz w:val="19"/>
        </w:rPr>
        <w:t>Kangwon Land is excluded from the 15% tourism-levy bracket, or the increase is diluted to below ~KRW30bn a year.</w:t>
      </w:r>
    </w:p>
    <w:p>
      <w:pPr>
        <w:spacing w:before="0" w:after="50" w:line="276" w:lineRule="auto"/>
        <w:ind w:left="360" w:hanging="245"/>
      </w:pPr>
      <w:r>
        <w:rPr>
          <w:rFonts w:ascii="Arial" w:hAnsi="Arial"/>
          <w:color w:val="2E74B5"/>
          <w:sz w:val="16"/>
        </w:rPr>
        <w:t xml:space="preserve">▪  </w:t>
      </w:r>
      <w:r>
        <w:rPr>
          <w:rFonts w:ascii="Arial" w:hAnsi="Arial"/>
          <w:sz w:val="19"/>
        </w:rPr>
        <w:t>The AML due-diligence rule is modified (thresholds or exemptions) rather than applied to every chip purchase.</w:t>
      </w:r>
    </w:p>
    <w:p>
      <w:pPr>
        <w:spacing w:before="0" w:after="50" w:line="276" w:lineRule="auto"/>
        <w:ind w:left="360" w:hanging="245"/>
      </w:pPr>
      <w:r>
        <w:rPr>
          <w:rFonts w:ascii="Arial" w:hAnsi="Arial"/>
          <w:color w:val="2E74B5"/>
          <w:sz w:val="16"/>
        </w:rPr>
        <w:t xml:space="preserve">▪  </w:t>
      </w:r>
      <w:r>
        <w:rPr>
          <w:rFonts w:ascii="Arial" w:hAnsi="Arial"/>
          <w:sz w:val="19"/>
        </w:rPr>
        <w:t>FY26 DPS is held at ≥KRW850, and the next Value-Up plan (FY27-29, due ~Feb-2027) keeps total return ≥60%.</w:t>
      </w:r>
    </w:p>
    <w:p>
      <w:pPr>
        <w:spacing w:before="0" w:after="50" w:line="276" w:lineRule="auto"/>
        <w:ind w:left="360" w:hanging="245"/>
      </w:pPr>
      <w:r>
        <w:rPr>
          <w:rFonts w:ascii="Arial" w:hAnsi="Arial"/>
          <w:color w:val="2E74B5"/>
          <w:sz w:val="16"/>
        </w:rPr>
        <w:t xml:space="preserve">▪  </w:t>
      </w:r>
      <w:r>
        <w:rPr>
          <w:rFonts w:ascii="Arial" w:hAnsi="Arial"/>
          <w:sz w:val="19"/>
        </w:rPr>
        <w:t>The 7.36% treasury stake is cancelled by the Commercial Act deadline (~Sep-2027) rather than retained.</w:t>
      </w:r>
    </w:p>
    <w:p>
      <w:pPr>
        <w:spacing w:before="0" w:after="50" w:line="276" w:lineRule="auto"/>
        <w:ind w:left="360" w:hanging="245"/>
      </w:pPr>
      <w:r>
        <w:rPr>
          <w:rFonts w:ascii="Arial" w:hAnsi="Arial"/>
          <w:color w:val="2E74B5"/>
          <w:sz w:val="16"/>
        </w:rPr>
        <w:t xml:space="preserve">▪  </w:t>
      </w:r>
      <w:r>
        <w:rPr>
          <w:rFonts w:ascii="Arial" w:hAnsi="Arial"/>
          <w:sz w:val="19"/>
        </w:rPr>
        <w:t>K-HIT is phased with disclosed IRR hurdles, keeping net financial assets ≥KRW2tn through 2030.</w:t>
      </w:r>
    </w:p>
    <w:p>
      <w:pPr>
        <w:pStyle w:val="Heading2"/>
        <w:keepNext/>
        <w:spacing w:before="160" w:after="80" w:line="264" w:lineRule="auto"/>
      </w:pPr>
      <w:r>
        <w:rPr>
          <w:rFonts w:ascii="Arial" w:hAnsi="Arial"/>
        </w:rPr>
        <w:t>1.6 Positioning</w:t>
      </w:r>
    </w:p>
    <w:p>
      <w:pPr>
        <w:spacing w:before="0" w:after="100" w:line="288" w:lineRule="auto"/>
      </w:pPr>
      <w:r>
        <w:rPr>
          <w:rFonts w:ascii="Arial" w:hAnsi="Arial"/>
          <w:b/>
          <w:sz w:val="19"/>
        </w:rPr>
        <w:t>Value / event-driven, medium conviction. Build a full position over 4-6 weeks.</w:t>
      </w:r>
      <w:r>
        <w:rPr>
          <w:rFonts w:ascii="Arial" w:hAnsi="Arial"/>
          <w:sz w:val="19"/>
        </w:rPr>
        <w:t xml:space="preserve"> Liquidity is only ~KRW4.8bn (~US$3.6m) a day [e], so a 5% stake would take ~6-7 months at 20% of volume. Add on:</w:t>
      </w:r>
    </w:p>
    <w:p>
      <w:pPr>
        <w:spacing w:before="0" w:after="50" w:line="276" w:lineRule="auto"/>
        <w:ind w:left="360" w:hanging="245"/>
      </w:pPr>
      <w:r>
        <w:rPr>
          <w:rFonts w:ascii="Arial" w:hAnsi="Arial"/>
          <w:color w:val="2E74B5"/>
          <w:sz w:val="16"/>
        </w:rPr>
        <w:t xml:space="preserve">▪  </w:t>
      </w:r>
      <w:r>
        <w:rPr>
          <w:rFonts w:ascii="Arial" w:hAnsi="Arial"/>
          <w:sz w:val="19"/>
        </w:rPr>
        <w:t>3Q26 results (late Oct / early Nov) showing casino drop holding;</w:t>
      </w:r>
    </w:p>
    <w:p>
      <w:pPr>
        <w:spacing w:before="0" w:after="50" w:line="276" w:lineRule="auto"/>
        <w:ind w:left="360" w:hanging="245"/>
      </w:pPr>
      <w:r>
        <w:rPr>
          <w:rFonts w:ascii="Arial" w:hAnsi="Arial"/>
          <w:color w:val="2E74B5"/>
          <w:sz w:val="16"/>
        </w:rPr>
        <w:t xml:space="preserve">▪  </w:t>
      </w:r>
      <w:r>
        <w:rPr>
          <w:rFonts w:ascii="Arial" w:hAnsi="Arial"/>
          <w:sz w:val="19"/>
        </w:rPr>
        <w:t>formal confirmation that Kangwon Land is outside the levy bracket;</w:t>
      </w:r>
    </w:p>
    <w:p>
      <w:pPr>
        <w:spacing w:before="0" w:after="50" w:line="276" w:lineRule="auto"/>
        <w:ind w:left="360" w:hanging="245"/>
      </w:pPr>
      <w:r>
        <w:rPr>
          <w:rFonts w:ascii="Arial" w:hAnsi="Arial"/>
          <w:color w:val="2E74B5"/>
          <w:sz w:val="16"/>
        </w:rPr>
        <w:t xml:space="preserve">▪  </w:t>
      </w:r>
      <w:r>
        <w:rPr>
          <w:rFonts w:ascii="Arial" w:hAnsi="Arial"/>
          <w:sz w:val="19"/>
        </w:rPr>
        <w:t>an FY26 DPS of ≥KRW850 (Feb-2027) or a treasury-cancellation resolution.</w:t>
      </w:r>
    </w:p>
    <w:p>
      <w:pPr>
        <w:spacing w:before="0" w:after="100" w:line="288" w:lineRule="auto"/>
      </w:pPr>
      <w:r>
        <w:rPr>
          <w:rFonts w:ascii="Arial" w:hAnsi="Arial"/>
          <w:sz w:val="19"/>
        </w:rPr>
        <w:t xml:space="preserve">A possible pair, </w:t>
      </w:r>
      <w:r>
        <w:rPr>
          <w:rFonts w:ascii="Arial" w:hAnsi="Arial"/>
          <w:b/>
          <w:sz w:val="19"/>
        </w:rPr>
        <w:t>long Kangwon Land / short Paradise or Lotte Tour</w:t>
      </w:r>
      <w:r>
        <w:rPr>
          <w:rFonts w:ascii="Arial" w:hAnsi="Arial"/>
          <w:sz w:val="19"/>
        </w:rPr>
        <w:t>, isolates the levy exclusion and the domestic net-cash floor from China VIP and won exposure.</w:t>
      </w:r>
    </w:p>
    <w:p>
      <w:pPr>
        <w:spacing w:before="0" w:after="100" w:line="288" w:lineRule="auto"/>
      </w:pPr>
      <w:r>
        <w:rPr>
          <w:rFonts w:ascii="Arial" w:hAnsi="Arial"/>
          <w:b/>
          <w:sz w:val="19"/>
        </w:rPr>
        <w:t>Hard review triggers:</w:t>
      </w:r>
    </w:p>
    <w:p>
      <w:pPr>
        <w:spacing w:before="0" w:after="50" w:line="276" w:lineRule="auto"/>
        <w:ind w:left="360" w:hanging="245"/>
      </w:pPr>
      <w:r>
        <w:rPr>
          <w:rFonts w:ascii="Arial" w:hAnsi="Arial"/>
          <w:color w:val="2E74B5"/>
          <w:sz w:val="16"/>
        </w:rPr>
        <w:t xml:space="preserve">▪  </w:t>
      </w:r>
      <w:r>
        <w:rPr>
          <w:rFonts w:ascii="Arial" w:hAnsi="Arial"/>
          <w:sz w:val="19"/>
        </w:rPr>
        <w:t>the AML rule enacted unmodified;</w:t>
      </w:r>
    </w:p>
    <w:p>
      <w:pPr>
        <w:spacing w:before="0" w:after="50" w:line="276" w:lineRule="auto"/>
        <w:ind w:left="360" w:hanging="245"/>
      </w:pPr>
      <w:r>
        <w:rPr>
          <w:rFonts w:ascii="Arial" w:hAnsi="Arial"/>
          <w:color w:val="2E74B5"/>
          <w:sz w:val="16"/>
        </w:rPr>
        <w:t xml:space="preserve">▪  </w:t>
      </w:r>
      <w:r>
        <w:rPr>
          <w:rFonts w:ascii="Arial" w:hAnsi="Arial"/>
          <w:sz w:val="19"/>
        </w:rPr>
        <w:t>a legislated Korean-access casino outside Jeongseon;</w:t>
      </w:r>
    </w:p>
    <w:p>
      <w:pPr>
        <w:spacing w:before="0" w:after="50" w:line="276" w:lineRule="auto"/>
        <w:ind w:left="360" w:hanging="245"/>
      </w:pPr>
      <w:r>
        <w:rPr>
          <w:rFonts w:ascii="Arial" w:hAnsi="Arial"/>
          <w:color w:val="2E74B5"/>
          <w:sz w:val="16"/>
        </w:rPr>
        <w:t xml:space="preserve">▪  </w:t>
      </w:r>
      <w:r>
        <w:rPr>
          <w:rFonts w:ascii="Arial" w:hAnsi="Arial"/>
          <w:sz w:val="19"/>
        </w:rPr>
        <w:t>FY26 DPS below KRW700, or payout below 50%;</w:t>
      </w:r>
    </w:p>
    <w:p>
      <w:pPr>
        <w:spacing w:before="0" w:after="50" w:line="276" w:lineRule="auto"/>
        <w:ind w:left="360" w:hanging="245"/>
      </w:pPr>
      <w:r>
        <w:rPr>
          <w:rFonts w:ascii="Arial" w:hAnsi="Arial"/>
          <w:color w:val="2E74B5"/>
          <w:sz w:val="16"/>
        </w:rPr>
        <w:t xml:space="preserve">▪  </w:t>
      </w:r>
      <w:r>
        <w:rPr>
          <w:rFonts w:ascii="Arial" w:hAnsi="Arial"/>
          <w:sz w:val="19"/>
        </w:rPr>
        <w:t>K-HIT exempted from the feasibility study with no IRR disclosure;</w:t>
      </w:r>
    </w:p>
    <w:p>
      <w:pPr>
        <w:spacing w:before="0" w:after="50" w:line="276" w:lineRule="auto"/>
        <w:ind w:left="360" w:hanging="245"/>
      </w:pPr>
      <w:r>
        <w:rPr>
          <w:rFonts w:ascii="Arial" w:hAnsi="Arial"/>
          <w:color w:val="2E74B5"/>
          <w:sz w:val="16"/>
        </w:rPr>
        <w:t xml:space="preserve">▪  </w:t>
      </w:r>
      <w:r>
        <w:rPr>
          <w:rFonts w:ascii="Arial" w:hAnsi="Arial"/>
          <w:sz w:val="19"/>
        </w:rPr>
        <w:t>a disposal of treasury shares to a related party.</w:t>
      </w:r>
    </w:p>
    <w:p>
      <w:pPr>
        <w:pStyle w:val="Heading1"/>
        <w:pageBreakBefore/>
        <w:spacing w:before="0" w:after="120" w:line="264" w:lineRule="auto"/>
      </w:pPr>
      <w:r>
        <w:rPr>
          <w:rFonts w:ascii="Arial" w:hAnsi="Arial"/>
        </w:rPr>
        <w:t>2. Layman's Guide: What Kangwon Land Does and How It Makes Money</w:t>
      </w:r>
    </w:p>
    <w:p>
      <w:pPr>
        <w:spacing w:before="0" w:after="100" w:line="288" w:lineRule="auto"/>
      </w:pPr>
      <w:r>
        <w:rPr>
          <w:rFonts w:ascii="Arial" w:hAnsi="Arial"/>
          <w:b/>
          <w:sz w:val="19"/>
        </w:rPr>
        <w:t>In one sentence:</w:t>
      </w:r>
      <w:r>
        <w:rPr>
          <w:rFonts w:ascii="Arial" w:hAnsi="Arial"/>
          <w:sz w:val="19"/>
        </w:rPr>
        <w:t xml:space="preserve"> Kangwon Land owns a large mountain resort three hours east of Seoul. Its centrepiece is the only casino in South Korea where Korean citizens are allowed to gamble, and it surrounds the casino with hotels, a ski resort, a golf course and a water park.</w:t>
      </w:r>
    </w:p>
    <w:p>
      <w:pPr>
        <w:spacing w:before="0" w:after="100" w:line="288" w:lineRule="auto"/>
      </w:pPr>
      <w:r>
        <w:rPr>
          <w:rFonts w:ascii="Arial" w:hAnsi="Arial"/>
          <w:b/>
          <w:sz w:val="19"/>
        </w:rPr>
        <w:t>How the money is made.</w:t>
      </w:r>
      <w:r>
        <w:rPr>
          <w:rFonts w:ascii="Arial" w:hAnsi="Arial"/>
          <w:sz w:val="19"/>
        </w:rPr>
        <w:t xml:space="preserve"> Like any casino, Kangwon Land keeps the net amount that customers lose over time (gross gaming revenue). In Korea, citizens are barred from the 16 other casinos, which serve only foreigners. Kangwon Land exists by legal exception, to bring jobs and tax money to the former coal-mining towns of Jeongseon, Taebaek, Samcheok and Yeongwol. Most customers are ordinary Korean mass-market players on table games (mainly baccarat) and slot machines. A smaller group of "member" (VIP) players bet more. The hotels, ski runs and water park bring families and give the region a reason to exist beyond gambling, but they are small contributors to profit.</w:t>
      </w:r>
    </w:p>
    <w:p>
      <w:pPr>
        <w:spacing w:before="0" w:after="100" w:line="288" w:lineRule="auto"/>
      </w:pPr>
      <w:r>
        <w:rPr>
          <w:rFonts w:ascii="Arial" w:hAnsi="Arial"/>
          <w:b/>
          <w:sz w:val="19"/>
        </w:rPr>
        <w:t>The government is the biggest partner.</w:t>
      </w:r>
    </w:p>
    <w:p>
      <w:pPr>
        <w:spacing w:before="0" w:after="50" w:line="276" w:lineRule="auto"/>
        <w:ind w:left="360" w:hanging="245"/>
      </w:pPr>
      <w:r>
        <w:rPr>
          <w:rFonts w:ascii="Arial" w:hAnsi="Arial"/>
          <w:color w:val="2E74B5"/>
          <w:sz w:val="16"/>
        </w:rPr>
        <w:t xml:space="preserve">▪  </w:t>
      </w:r>
      <w:r>
        <w:rPr>
          <w:rFonts w:ascii="Arial" w:hAnsi="Arial"/>
          <w:sz w:val="19"/>
        </w:rPr>
        <w:t>Out of every KRW100 of gaming revenue in 2025, about KRW25 went to two public funds:</w:t>
      </w:r>
    </w:p>
    <w:p>
      <w:pPr>
        <w:spacing w:before="0" w:after="50" w:line="276" w:lineRule="auto"/>
        <w:ind w:left="360" w:hanging="245"/>
      </w:pPr>
      <w:r>
        <w:rPr>
          <w:rFonts w:ascii="Arial" w:hAnsi="Arial"/>
          <w:color w:val="2E74B5"/>
          <w:sz w:val="16"/>
        </w:rPr>
        <w:t xml:space="preserve">▪  </w:t>
      </w:r>
      <w:r>
        <w:rPr>
          <w:rFonts w:ascii="Arial" w:hAnsi="Arial"/>
          <w:sz w:val="19"/>
        </w:rPr>
        <w:t>the Tourism Promotion and Development Fund, 10% of sales;</w:t>
      </w:r>
    </w:p>
    <w:p>
      <w:pPr>
        <w:spacing w:before="0" w:after="50" w:line="276" w:lineRule="auto"/>
        <w:ind w:left="360" w:hanging="245"/>
      </w:pPr>
      <w:r>
        <w:rPr>
          <w:rFonts w:ascii="Arial" w:hAnsi="Arial"/>
          <w:color w:val="2E74B5"/>
          <w:sz w:val="16"/>
        </w:rPr>
        <w:t xml:space="preserve">▪  </w:t>
      </w:r>
      <w:r>
        <w:rPr>
          <w:rFonts w:ascii="Arial" w:hAnsi="Arial"/>
          <w:sz w:val="19"/>
        </w:rPr>
        <w:t>the Abandoned Mine Region Development Fund, 13% of casino sales since 2021.</w:t>
      </w:r>
    </w:p>
    <w:p>
      <w:pPr>
        <w:spacing w:before="0" w:after="50" w:line="276" w:lineRule="auto"/>
        <w:ind w:left="360" w:hanging="245"/>
      </w:pPr>
      <w:r>
        <w:rPr>
          <w:rFonts w:ascii="Arial" w:hAnsi="Arial"/>
          <w:color w:val="2E74B5"/>
          <w:sz w:val="16"/>
        </w:rPr>
        <w:t xml:space="preserve">▪  </w:t>
      </w:r>
      <w:r>
        <w:rPr>
          <w:rFonts w:ascii="Arial" w:hAnsi="Arial"/>
          <w:sz w:val="19"/>
        </w:rPr>
        <w:t>About KRW17 went in national and local taxes.</w:t>
      </w:r>
    </w:p>
    <w:p>
      <w:pPr>
        <w:spacing w:before="0" w:after="50" w:line="276" w:lineRule="auto"/>
        <w:ind w:left="360" w:hanging="245"/>
      </w:pPr>
      <w:r>
        <w:rPr>
          <w:rFonts w:ascii="Arial" w:hAnsi="Arial"/>
          <w:color w:val="2E74B5"/>
          <w:sz w:val="16"/>
        </w:rPr>
        <w:t xml:space="preserve">▪  </w:t>
      </w:r>
      <w:r>
        <w:rPr>
          <w:rFonts w:ascii="Arial" w:hAnsi="Arial"/>
          <w:sz w:val="19"/>
        </w:rPr>
        <w:t>Shareholders' operating profit was about KRW16.</w:t>
      </w:r>
    </w:p>
    <w:p>
      <w:pPr>
        <w:spacing w:before="0" w:after="50" w:line="276" w:lineRule="auto"/>
        <w:ind w:left="360" w:hanging="245"/>
      </w:pPr>
      <w:r>
        <w:rPr>
          <w:rFonts w:ascii="Arial" w:hAnsi="Arial"/>
          <w:color w:val="2E74B5"/>
          <w:sz w:val="16"/>
        </w:rPr>
        <w:t xml:space="preserve">▪  </w:t>
      </w:r>
      <w:r>
        <w:rPr>
          <w:rFonts w:ascii="Arial" w:hAnsi="Arial"/>
          <w:sz w:val="19"/>
        </w:rPr>
        <w:t>The State also owns 51% of the company, so it collects a second time through dividends.</w:t>
      </w:r>
    </w:p>
    <w:p>
      <w:pPr>
        <w:spacing w:before="0" w:after="100" w:line="288" w:lineRule="auto"/>
      </w:pPr>
      <w:r>
        <w:rPr>
          <w:rFonts w:ascii="Arial" w:hAnsi="Arial"/>
          <w:b/>
          <w:sz w:val="19"/>
        </w:rPr>
        <w:t>How each activity contributes:</w:t>
      </w:r>
    </w:p>
    <w:tbl>
      <w:tblPr>
        <w:tblW w:type="auto" w:w="0"/>
        <w:jc w:val="center"/>
        <w:tblLook w:firstColumn="1" w:firstRow="1" w:lastColumn="0" w:lastRow="0" w:noHBand="0" w:noVBand="1" w:val="04A0"/>
        <w:tblLayout w:type="fixed"/>
        <w:tblW w:type="dxa" w:w="9906"/>
      </w:tblPr>
      <w:tblGrid>
        <w:gridCol w:w="855"/>
        <w:gridCol w:w="3630"/>
        <w:gridCol w:w="1620"/>
        <w:gridCol w:w="726"/>
        <w:gridCol w:w="3072"/>
      </w:tblGrid>
      <w:tr>
        <w:trPr>
          <w:tblHeader/>
        </w:trPr>
        <w:tc>
          <w:tcPr>
            <w:tcW w:type="dxa" w:w="855"/>
            <w:tcW w:type="dxa" w:w="855"/>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Activity</w:t>
            </w:r>
          </w:p>
        </w:tc>
        <w:tc>
          <w:tcPr>
            <w:tcW w:type="dxa" w:w="3630"/>
            <w:tcW w:type="dxa" w:w="3630"/>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What it is</w:t>
            </w:r>
          </w:p>
        </w:tc>
        <w:tc>
          <w:tcPr>
            <w:tcW w:type="dxa" w:w="1620"/>
            <w:tcW w:type="dxa" w:w="1620"/>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Revenue (latest)</w:t>
            </w:r>
          </w:p>
        </w:tc>
        <w:tc>
          <w:tcPr>
            <w:tcW w:type="dxa" w:w="726"/>
            <w:tcW w:type="dxa" w:w="726"/>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Share of revenue</w:t>
            </w:r>
          </w:p>
        </w:tc>
        <w:tc>
          <w:tcPr>
            <w:tcW w:type="dxa" w:w="3072"/>
            <w:tcW w:type="dxa" w:w="3072"/>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Trend</w:t>
            </w:r>
          </w:p>
        </w:tc>
      </w:tr>
      <w:tr>
        <w:trPr>
          <w:cantSplit/>
        </w:trPr>
        <w:tc>
          <w:tcPr>
            <w:tcW w:type="dxa" w:w="855"/>
            <w:tcW w:type="dxa" w:w="85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Casino</w:t>
            </w:r>
          </w:p>
        </w:tc>
        <w:tc>
          <w:tcPr>
            <w:tcW w:type="dxa" w:w="3630"/>
            <w:tcW w:type="dxa" w:w="363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200 tables and ~1,360 machines (permit to expand to 250 / 1,610), 20 hours a day; mass floor plus member (VIP) lounges</w:t>
            </w:r>
          </w:p>
        </w:tc>
        <w:tc>
          <w:tcPr>
            <w:tcW w:type="dxa" w:w="1620"/>
            <w:tcW w:type="dxa" w:w="162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~KRW1.28tn FY25 [e]; 2Q26 casino GGR ~KRW282bn [u]</w:t>
            </w:r>
          </w:p>
        </w:tc>
        <w:tc>
          <w:tcPr>
            <w:tcW w:type="dxa" w:w="726"/>
            <w:tcW w:type="dxa" w:w="72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~87%</w:t>
            </w:r>
          </w:p>
        </w:tc>
        <w:tc>
          <w:tcPr>
            <w:tcW w:type="dxa" w:w="3072"/>
            <w:tcW w:type="dxa" w:w="307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Mass flat to down; VIP up after the 2025 betting-limit rises; member lounges +27.6% in 1Q26</w:t>
            </w:r>
          </w:p>
        </w:tc>
      </w:tr>
      <w:tr>
        <w:trPr>
          <w:cantSplit/>
        </w:trPr>
        <w:tc>
          <w:tcPr>
            <w:tcW w:type="dxa" w:w="855"/>
            <w:tcW w:type="dxa" w:w="85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Hotels and condos</w:t>
            </w:r>
          </w:p>
        </w:tc>
        <w:tc>
          <w:tcPr>
            <w:tcW w:type="dxa" w:w="3630"/>
            <w:tcW w:type="dxa" w:w="363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Grand Hotel, High1 Hotel, Mountain Condo, Palace Hotel [u]; ~1,850 rooms [e], of which 757 are under renovation from Mar-26</w:t>
            </w:r>
          </w:p>
        </w:tc>
        <w:tc>
          <w:tcPr>
            <w:tcW w:type="dxa" w:w="1620"/>
            <w:tcW w:type="dxa" w:w="162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2Q26 non-gaming KRW25.7bn (−12.3%)</w:t>
            </w:r>
          </w:p>
        </w:tc>
        <w:tc>
          <w:tcPr>
            <w:tcW w:type="dxa" w:w="726"/>
            <w:tcW w:type="dxa" w:w="72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~13% (non-casino, all lines)</w:t>
            </w:r>
          </w:p>
        </w:tc>
        <w:tc>
          <w:tcPr>
            <w:tcW w:type="dxa" w:w="3072"/>
            <w:tcW w:type="dxa" w:w="307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Down 20-30% a quarter during the renovation</w:t>
            </w:r>
          </w:p>
        </w:tc>
      </w:tr>
      <w:tr>
        <w:trPr>
          <w:cantSplit/>
        </w:trPr>
        <w:tc>
          <w:tcPr>
            <w:tcW w:type="dxa" w:w="855"/>
            <w:tcW w:type="dxa" w:w="85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Ski, golf, water park, theme park</w:t>
            </w:r>
          </w:p>
        </w:tc>
        <w:tc>
          <w:tcPr>
            <w:tcW w:type="dxa" w:w="3630"/>
            <w:tcW w:type="dxa" w:w="363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High1 ski resort, golf course, High1 Water World (opened 2018), Choo Choo Park (subsidiary)</w:t>
            </w:r>
          </w:p>
        </w:tc>
        <w:tc>
          <w:tcPr>
            <w:tcW w:type="dxa" w:w="1620"/>
            <w:tcW w:type="dxa" w:w="162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Included above</w:t>
            </w:r>
          </w:p>
        </w:tc>
        <w:tc>
          <w:tcPr>
            <w:tcW w:type="dxa" w:w="726"/>
            <w:tcW w:type="dxa" w:w="72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p>
        </w:tc>
        <w:tc>
          <w:tcPr>
            <w:tcW w:type="dxa" w:w="3072"/>
            <w:tcW w:type="dxa" w:w="307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Ski visitors −20% in 1Q26; Water World repaired and reopened Apr-26</w:t>
            </w:r>
          </w:p>
        </w:tc>
      </w:tr>
    </w:tbl>
    <w:p>
      <w:pPr>
        <w:spacing w:before="0" w:after="40" w:line="240" w:lineRule="auto"/>
      </w:pPr>
    </w:p>
    <w:p>
      <w:pPr>
        <w:spacing w:before="0" w:after="100" w:line="288" w:lineRule="auto"/>
      </w:pPr>
      <w:r>
        <w:rPr>
          <w:rFonts w:ascii="Arial" w:hAnsi="Arial"/>
          <w:i/>
          <w:color w:val="5A6270"/>
          <w:sz w:val="15"/>
        </w:rPr>
        <w:t>Source: company results via press (ASGAM, ddaily, newstomato), IB Tomato, NGCC. [e] = our estimate; [u] = unverified.</w:t>
      </w:r>
    </w:p>
    <w:p>
      <w:pPr>
        <w:spacing w:before="0" w:after="100" w:line="288" w:lineRule="auto"/>
      </w:pPr>
      <w:r>
        <w:rPr>
          <w:rFonts w:ascii="Arial" w:hAnsi="Arial"/>
          <w:b/>
          <w:sz w:val="19"/>
        </w:rPr>
        <w:t>What changed in 2026:</w:t>
      </w:r>
    </w:p>
    <w:p>
      <w:pPr>
        <w:spacing w:before="0" w:after="50" w:line="276" w:lineRule="auto"/>
        <w:ind w:left="360" w:hanging="245"/>
      </w:pPr>
      <w:r>
        <w:rPr>
          <w:rFonts w:ascii="Arial" w:hAnsi="Arial"/>
          <w:color w:val="2E74B5"/>
          <w:sz w:val="16"/>
        </w:rPr>
        <w:t xml:space="preserve">▪  </w:t>
      </w:r>
      <w:r>
        <w:rPr>
          <w:rFonts w:ascii="Arial" w:hAnsi="Arial"/>
          <w:b/>
          <w:sz w:val="19"/>
        </w:rPr>
        <w:t>Renovation:</w:t>
      </w:r>
      <w:r>
        <w:rPr>
          <w:rFonts w:ascii="Arial" w:hAnsi="Arial"/>
          <w:sz w:val="19"/>
        </w:rPr>
        <w:t xml:space="preserve"> a ~KRW200bn renovation of 757 rooms began in March, cutting non-casino revenue until 2028.</w:t>
      </w:r>
    </w:p>
    <w:p>
      <w:pPr>
        <w:spacing w:before="0" w:after="50" w:line="276" w:lineRule="auto"/>
        <w:ind w:left="360" w:hanging="245"/>
      </w:pPr>
      <w:r>
        <w:rPr>
          <w:rFonts w:ascii="Arial" w:hAnsi="Arial"/>
          <w:color w:val="2E74B5"/>
          <w:sz w:val="16"/>
        </w:rPr>
        <w:t xml:space="preserve">▪  </w:t>
      </w:r>
      <w:r>
        <w:rPr>
          <w:rFonts w:ascii="Arial" w:hAnsi="Arial"/>
          <w:b/>
          <w:sz w:val="19"/>
        </w:rPr>
        <w:t>New CEO:</w:t>
      </w:r>
      <w:r>
        <w:rPr>
          <w:rFonts w:ascii="Arial" w:hAnsi="Arial"/>
          <w:sz w:val="19"/>
        </w:rPr>
        <w:t xml:space="preserve"> after ~32 months of acting heads, the government installed a permanent CEO (Kim Do-kyun, 2-Sep-2026).</w:t>
      </w:r>
    </w:p>
    <w:p>
      <w:pPr>
        <w:spacing w:before="0" w:after="50" w:line="276" w:lineRule="auto"/>
        <w:ind w:left="360" w:hanging="245"/>
      </w:pPr>
      <w:r>
        <w:rPr>
          <w:rFonts w:ascii="Arial" w:hAnsi="Arial"/>
          <w:color w:val="2E74B5"/>
          <w:sz w:val="16"/>
        </w:rPr>
        <w:t xml:space="preserve">▪  </w:t>
      </w:r>
      <w:r>
        <w:rPr>
          <w:rFonts w:ascii="Arial" w:hAnsi="Arial"/>
          <w:b/>
          <w:sz w:val="19"/>
        </w:rPr>
        <w:t>Policy proposals:</w:t>
      </w:r>
      <w:r>
        <w:rPr>
          <w:rFonts w:ascii="Arial" w:hAnsi="Arial"/>
          <w:sz w:val="19"/>
        </w:rPr>
        <w:t xml:space="preserve"> the government floated a 15% casino tourism levy (July) and AML rules (July).</w:t>
      </w:r>
    </w:p>
    <w:p>
      <w:pPr>
        <w:spacing w:before="0" w:after="50" w:line="276" w:lineRule="auto"/>
        <w:ind w:left="360" w:hanging="245"/>
      </w:pPr>
      <w:r>
        <w:rPr>
          <w:rFonts w:ascii="Arial" w:hAnsi="Arial"/>
          <w:color w:val="2E74B5"/>
          <w:sz w:val="16"/>
        </w:rPr>
        <w:t xml:space="preserve">▪  </w:t>
      </w:r>
      <w:r>
        <w:rPr>
          <w:rFonts w:ascii="Arial" w:hAnsi="Arial"/>
          <w:b/>
          <w:sz w:val="19"/>
        </w:rPr>
        <w:t>K-HIT:</w:t>
      </w:r>
      <w:r>
        <w:rPr>
          <w:rFonts w:ascii="Arial" w:hAnsi="Arial"/>
          <w:sz w:val="19"/>
        </w:rPr>
        <w:t xml:space="preserve"> the company is pursuing its ~KRW3tn plan to 2035, targeting 13m visitors and KRW3.5tn of revenue, which would more than double the business.</w:t>
      </w:r>
    </w:p>
    <w:p>
      <w:pPr>
        <w:pStyle w:val="Heading1"/>
        <w:pageBreakBefore/>
        <w:spacing w:before="0" w:after="120" w:line="264" w:lineRule="auto"/>
      </w:pPr>
      <w:r>
        <w:rPr>
          <w:rFonts w:ascii="Arial" w:hAnsi="Arial"/>
        </w:rPr>
        <w:t>3. Business Model, Products, Customers, Suppliers and Competitors</w:t>
      </w:r>
    </w:p>
    <w:p>
      <w:pPr>
        <w:pStyle w:val="Heading2"/>
        <w:keepNext/>
        <w:spacing w:before="160" w:after="80" w:line="264" w:lineRule="auto"/>
      </w:pPr>
      <w:r>
        <w:rPr>
          <w:rFonts w:ascii="Arial" w:hAnsi="Arial"/>
        </w:rPr>
        <w:t>3.1 Business model in simple terms</w:t>
      </w:r>
    </w:p>
    <w:p>
      <w:pPr>
        <w:spacing w:before="0" w:after="100" w:line="288" w:lineRule="auto"/>
      </w:pPr>
      <w:r>
        <w:rPr>
          <w:rFonts w:ascii="Arial" w:hAnsi="Arial"/>
          <w:sz w:val="19"/>
        </w:rPr>
        <w:t xml:space="preserve">Kangwon Land is a </w:t>
      </w:r>
      <w:r>
        <w:rPr>
          <w:rFonts w:ascii="Arial" w:hAnsi="Arial"/>
          <w:b/>
          <w:sz w:val="19"/>
        </w:rPr>
        <w:t>regulated, state-controlled, single-site domestic gaming monopoly</w:t>
      </w:r>
      <w:r>
        <w:rPr>
          <w:rFonts w:ascii="Arial" w:hAnsi="Arial"/>
          <w:sz w:val="19"/>
        </w:rPr>
        <w:t xml:space="preserve"> with a large financial balance sheet. Its economics rest on four things:</w:t>
      </w:r>
    </w:p>
    <w:p>
      <w:pPr>
        <w:spacing w:before="0" w:after="50" w:line="276" w:lineRule="auto"/>
        <w:ind w:left="360" w:hanging="245"/>
      </w:pPr>
      <w:r>
        <w:rPr>
          <w:rFonts w:ascii="Arial" w:hAnsi="Arial"/>
          <w:color w:val="2E74B5"/>
          <w:sz w:val="16"/>
        </w:rPr>
        <w:t xml:space="preserve">▪  </w:t>
      </w:r>
      <w:r>
        <w:rPr>
          <w:rFonts w:ascii="Arial" w:hAnsi="Arial"/>
          <w:b/>
          <w:sz w:val="19"/>
        </w:rPr>
        <w:t>Legal exclusivity.</w:t>
      </w:r>
      <w:r>
        <w:rPr>
          <w:rFonts w:ascii="Arial" w:hAnsi="Arial"/>
          <w:sz w:val="19"/>
        </w:rPr>
        <w:t xml:space="preserve"> The Special Act on Assistance to the Development of Abandoned Mine Areas (1995, extended in 2021 to 2045) lets Koreans gamble only here. Korea's other 16 casinos are foreigner-only. Illegal gambling (KRW95.9tn in 2025, 3.7x the legal market) is the real competitor.</w:t>
      </w:r>
    </w:p>
    <w:p>
      <w:pPr>
        <w:spacing w:before="0" w:after="50" w:line="276" w:lineRule="auto"/>
        <w:ind w:left="360" w:hanging="245"/>
      </w:pPr>
      <w:r>
        <w:rPr>
          <w:rFonts w:ascii="Arial" w:hAnsi="Arial"/>
          <w:color w:val="2E74B5"/>
          <w:sz w:val="16"/>
        </w:rPr>
        <w:t xml:space="preserve">▪  </w:t>
      </w:r>
      <w:r>
        <w:rPr>
          <w:rFonts w:ascii="Arial" w:hAnsi="Arial"/>
          <w:b/>
          <w:sz w:val="19"/>
        </w:rPr>
        <w:t>Capacity and rules set by the State.</w:t>
      </w:r>
      <w:r>
        <w:rPr>
          <w:rFonts w:ascii="Arial" w:hAnsi="Arial"/>
          <w:sz w:val="19"/>
        </w:rPr>
        <w:t xml:space="preserve"> Ministry of Culture, Sports and Tourism (MCST) permits fix tables, machines and floor area. The National Gambling Control Commission (NGCC) sets an annual </w:t>
      </w:r>
      <w:r>
        <w:rPr>
          <w:rFonts w:ascii="Arial" w:hAnsi="Arial"/>
          <w:b/>
          <w:sz w:val="19"/>
        </w:rPr>
        <w:t>sales cap</w:t>
      </w:r>
      <w:r>
        <w:rPr>
          <w:rFonts w:ascii="Arial" w:hAnsi="Arial"/>
          <w:sz w:val="19"/>
        </w:rPr>
        <w:t xml:space="preserve"> (KRW1.64tn for 2025, not binding at ~KRW1.43tn of gaming revenue). Hours (20 a day), entry days (15 a month) and bet limits are prescribed.</w:t>
      </w:r>
    </w:p>
    <w:p>
      <w:pPr>
        <w:spacing w:before="0" w:after="50" w:line="276" w:lineRule="auto"/>
        <w:ind w:left="360" w:hanging="245"/>
      </w:pPr>
      <w:r>
        <w:rPr>
          <w:rFonts w:ascii="Arial" w:hAnsi="Arial"/>
          <w:color w:val="2E74B5"/>
          <w:sz w:val="16"/>
        </w:rPr>
        <w:t xml:space="preserve">▪  </w:t>
      </w:r>
      <w:r>
        <w:rPr>
          <w:rFonts w:ascii="Arial" w:hAnsi="Arial"/>
          <w:b/>
          <w:sz w:val="19"/>
        </w:rPr>
        <w:t>A high, mostly variable government take.</w:t>
      </w:r>
    </w:p>
    <w:p>
      <w:pPr>
        <w:spacing w:before="0" w:after="50" w:line="276" w:lineRule="auto"/>
        <w:ind w:left="360" w:hanging="245"/>
      </w:pPr>
      <w:r>
        <w:rPr>
          <w:rFonts w:ascii="Arial" w:hAnsi="Arial"/>
          <w:color w:val="2E74B5"/>
          <w:sz w:val="16"/>
        </w:rPr>
        <w:t xml:space="preserve">▪  </w:t>
      </w:r>
      <w:r>
        <w:rPr>
          <w:rFonts w:ascii="Arial" w:hAnsi="Arial"/>
          <w:sz w:val="19"/>
        </w:rPr>
        <w:t>The tourism fund levies 10% of sales; the mine fund 13% of casino gross sales.</w:t>
      </w:r>
    </w:p>
    <w:p>
      <w:pPr>
        <w:spacing w:before="0" w:after="50" w:line="276" w:lineRule="auto"/>
        <w:ind w:left="360" w:hanging="245"/>
      </w:pPr>
      <w:r>
        <w:rPr>
          <w:rFonts w:ascii="Arial" w:hAnsi="Arial"/>
          <w:color w:val="2E74B5"/>
          <w:sz w:val="16"/>
        </w:rPr>
        <w:t xml:space="preserve">▪  </w:t>
      </w:r>
      <w:r>
        <w:rPr>
          <w:rFonts w:ascii="Arial" w:hAnsi="Arial"/>
          <w:sz w:val="19"/>
        </w:rPr>
        <w:t>Individual consumption and education taxes are collected through the KRW9,000 admission fee [u].</w:t>
      </w:r>
    </w:p>
    <w:p>
      <w:pPr>
        <w:spacing w:before="0" w:after="50" w:line="276" w:lineRule="auto"/>
        <w:ind w:left="360" w:hanging="245"/>
      </w:pPr>
      <w:r>
        <w:rPr>
          <w:rFonts w:ascii="Arial" w:hAnsi="Arial"/>
          <w:color w:val="2E74B5"/>
          <w:sz w:val="16"/>
        </w:rPr>
        <w:t xml:space="preserve">▪  </w:t>
      </w:r>
      <w:r>
        <w:rPr>
          <w:rFonts w:ascii="Arial" w:hAnsi="Arial"/>
          <w:sz w:val="19"/>
        </w:rPr>
        <w:t>Corporate tax is ~26% [e].</w:t>
      </w:r>
    </w:p>
    <w:p>
      <w:pPr>
        <w:spacing w:before="0" w:after="50" w:line="276" w:lineRule="auto"/>
        <w:ind w:left="360" w:hanging="245"/>
      </w:pPr>
      <w:r>
        <w:rPr>
          <w:rFonts w:ascii="Arial" w:hAnsi="Arial"/>
          <w:color w:val="2E74B5"/>
          <w:sz w:val="16"/>
        </w:rPr>
        <w:t xml:space="preserve">▪  </w:t>
      </w:r>
      <w:r>
        <w:rPr>
          <w:rFonts w:ascii="Arial" w:hAnsi="Arial"/>
          <w:sz w:val="19"/>
        </w:rPr>
        <w:t>This leaves an operating margin of ~15% today, against ~30-35% before the 2021 change to the mine fund [u].</w:t>
      </w:r>
    </w:p>
    <w:p>
      <w:pPr>
        <w:spacing w:before="0" w:after="50" w:line="276" w:lineRule="auto"/>
        <w:ind w:left="360" w:hanging="245"/>
      </w:pPr>
      <w:r>
        <w:rPr>
          <w:rFonts w:ascii="Arial" w:hAnsi="Arial"/>
          <w:color w:val="2E74B5"/>
          <w:sz w:val="16"/>
        </w:rPr>
        <w:t xml:space="preserve">▪  </w:t>
      </w:r>
      <w:r>
        <w:rPr>
          <w:rFonts w:ascii="Arial" w:hAnsi="Arial"/>
          <w:b/>
          <w:sz w:val="19"/>
        </w:rPr>
        <w:t>Fixed costs and a cash pile.</w:t>
      </w:r>
    </w:p>
    <w:p>
      <w:pPr>
        <w:spacing w:before="0" w:after="50" w:line="276" w:lineRule="auto"/>
        <w:ind w:left="360" w:hanging="245"/>
      </w:pPr>
      <w:r>
        <w:rPr>
          <w:rFonts w:ascii="Arial" w:hAnsi="Arial"/>
          <w:color w:val="2E74B5"/>
          <w:sz w:val="16"/>
        </w:rPr>
        <w:t xml:space="preserve">▪  </w:t>
      </w:r>
      <w:r>
        <w:rPr>
          <w:rFonts w:ascii="Arial" w:hAnsi="Arial"/>
          <w:sz w:val="19"/>
        </w:rPr>
        <w:t>Labour, depreciation and resort upkeep are largely fixed, so small revenue changes swing profit. In 2Q26, revenue fell 4.2% and OP fell 26.2%.</w:t>
      </w:r>
    </w:p>
    <w:p>
      <w:pPr>
        <w:spacing w:before="0" w:after="50" w:line="276" w:lineRule="auto"/>
        <w:ind w:left="360" w:hanging="245"/>
      </w:pPr>
      <w:r>
        <w:rPr>
          <w:rFonts w:ascii="Arial" w:hAnsi="Arial"/>
          <w:color w:val="2E74B5"/>
          <w:sz w:val="16"/>
        </w:rPr>
        <w:t xml:space="preserve">▪  </w:t>
      </w:r>
      <w:r>
        <w:rPr>
          <w:rFonts w:ascii="Arial" w:hAnsi="Arial"/>
          <w:sz w:val="19"/>
        </w:rPr>
        <w:t>About half of net profit now comes from financial income on the KRW2.8-2.9tn portfolio.</w:t>
      </w:r>
    </w:p>
    <w:p>
      <w:pPr>
        <w:pStyle w:val="Heading2"/>
        <w:keepNext/>
        <w:spacing w:before="160" w:after="80" w:line="264" w:lineRule="auto"/>
      </w:pPr>
      <w:r>
        <w:rPr>
          <w:rFonts w:ascii="Arial" w:hAnsi="Arial"/>
        </w:rPr>
        <w:t>3.2 Key products and services</w:t>
      </w:r>
    </w:p>
    <w:tbl>
      <w:tblPr>
        <w:tblW w:type="auto" w:w="0"/>
        <w:jc w:val="center"/>
        <w:tblLook w:firstColumn="1" w:firstRow="1" w:lastColumn="0" w:lastRow="0" w:noHBand="0" w:noVBand="1" w:val="04A0"/>
        <w:tblLayout w:type="fixed"/>
        <w:tblW w:type="dxa" w:w="9906"/>
      </w:tblPr>
      <w:tblGrid>
        <w:gridCol w:w="1622"/>
        <w:gridCol w:w="4775"/>
        <w:gridCol w:w="3508"/>
      </w:tblGrid>
      <w:tr>
        <w:trPr>
          <w:tblHeader/>
        </w:trPr>
        <w:tc>
          <w:tcPr>
            <w:tcW w:type="dxa" w:w="1622"/>
            <w:tcW w:type="dxa" w:w="1622"/>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Asset</w:t>
            </w:r>
          </w:p>
        </w:tc>
        <w:tc>
          <w:tcPr>
            <w:tcW w:type="dxa" w:w="4775"/>
            <w:tcW w:type="dxa" w:w="4775"/>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Products / capacity</w:t>
            </w:r>
          </w:p>
        </w:tc>
        <w:tc>
          <w:tcPr>
            <w:tcW w:type="dxa" w:w="3508"/>
            <w:tcW w:type="dxa" w:w="3508"/>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Notes</w:t>
            </w:r>
          </w:p>
        </w:tc>
      </w:tr>
      <w:tr>
        <w:trPr>
          <w:cantSplit/>
        </w:trPr>
        <w:tc>
          <w:tcPr>
            <w:tcW w:type="dxa" w:w="1622"/>
            <w:tcW w:type="dxa" w:w="162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High1 Casino (Korean floor)</w:t>
            </w:r>
          </w:p>
        </w:tc>
        <w:tc>
          <w:tcPr>
            <w:tcW w:type="dxa" w:w="4775"/>
            <w:tcW w:type="dxa" w:w="477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200 tables, ~1,360 machines (MCST permit of Sep-2024: 250 tables, 1,610 machines, floor 14,513 → 20,261 m²)</w:t>
            </w:r>
          </w:p>
        </w:tc>
        <w:tc>
          <w:tcPr>
            <w:tcW w:type="dxa" w:w="3508"/>
            <w:tcW w:type="dxa" w:w="350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Expansion depends on the second casino (KRW179.6bn, completion Dec-2027)</w:t>
            </w:r>
          </w:p>
        </w:tc>
      </w:tr>
      <w:tr>
        <w:trPr>
          <w:cantSplit/>
        </w:trPr>
        <w:tc>
          <w:tcPr>
            <w:tcW w:type="dxa" w:w="1622"/>
            <w:tcW w:type="dxa" w:w="162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Member (VIP) lounges</w:t>
            </w:r>
          </w:p>
        </w:tc>
        <w:tc>
          <w:tcPr>
            <w:tcW w:type="dxa" w:w="4775"/>
            <w:tcW w:type="dxa" w:w="477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Higher limits since May-2025 (baccarat minimum KRW50k → 500k; banker/player differential KRW2m → 30m)</w:t>
            </w:r>
          </w:p>
        </w:tc>
        <w:tc>
          <w:tcPr>
            <w:tcW w:type="dxa" w:w="3508"/>
            <w:tcW w:type="dxa" w:w="350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VIP drop +46% in the following quarter; 3Q25 VIP revenue +23.6%</w:t>
            </w:r>
          </w:p>
        </w:tc>
      </w:tr>
      <w:tr>
        <w:trPr>
          <w:cantSplit/>
        </w:trPr>
        <w:tc>
          <w:tcPr>
            <w:tcW w:type="dxa" w:w="1622"/>
            <w:tcW w:type="dxa" w:w="162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Foreigner zone (pilot)</w:t>
            </w:r>
          </w:p>
        </w:tc>
        <w:tc>
          <w:tcPr>
            <w:tcW w:type="dxa" w:w="4775"/>
            <w:tcW w:type="dxa" w:w="477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Opened Feb-2025; now open to permanent residents; maximum bet KRW300k → KRW300m pending rule change</w:t>
            </w:r>
          </w:p>
        </w:tc>
        <w:tc>
          <w:tcPr>
            <w:tcW w:type="dxa" w:w="3508"/>
            <w:tcW w:type="dxa" w:w="350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Small; a future growth option</w:t>
            </w:r>
          </w:p>
        </w:tc>
      </w:tr>
      <w:tr>
        <w:trPr>
          <w:cantSplit/>
        </w:trPr>
        <w:tc>
          <w:tcPr>
            <w:tcW w:type="dxa" w:w="1622"/>
            <w:tcW w:type="dxa" w:w="162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Hotels and condos</w:t>
            </w:r>
          </w:p>
        </w:tc>
        <w:tc>
          <w:tcPr>
            <w:tcW w:type="dxa" w:w="4775"/>
            <w:tcW w:type="dxa" w:w="477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~1,850 rooms [e]; 757 under renovation (Grand Hotel main tower 477 rooms to ~Apr-2028; Mountain Condo 280 rooms to ~Nov-2027)</w:t>
            </w:r>
          </w:p>
        </w:tc>
        <w:tc>
          <w:tcPr>
            <w:tcW w:type="dxa" w:w="3508"/>
            <w:tcW w:type="dxa" w:w="350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Infinity pool (KRW7.5bn, 2025)</w:t>
            </w:r>
          </w:p>
        </w:tc>
      </w:tr>
      <w:tr>
        <w:trPr>
          <w:cantSplit/>
        </w:trPr>
        <w:tc>
          <w:tcPr>
            <w:tcW w:type="dxa" w:w="1622"/>
            <w:tcW w:type="dxa" w:w="162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High1 ski resort, golf, High1 Water World</w:t>
            </w:r>
          </w:p>
        </w:tc>
        <w:tc>
          <w:tcPr>
            <w:tcW w:type="dxa" w:w="4775"/>
            <w:tcW w:type="dxa" w:w="477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Seasonal leisure</w:t>
            </w:r>
          </w:p>
        </w:tc>
        <w:tc>
          <w:tcPr>
            <w:tcW w:type="dxa" w:w="3508"/>
            <w:tcW w:type="dxa" w:w="350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Water World cost KRW167.2bn (2018)</w:t>
            </w:r>
          </w:p>
        </w:tc>
      </w:tr>
      <w:tr>
        <w:trPr>
          <w:cantSplit/>
        </w:trPr>
        <w:tc>
          <w:tcPr>
            <w:tcW w:type="dxa" w:w="1622"/>
            <w:tcW w:type="dxa" w:w="162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Subsidiaries</w:t>
            </w:r>
          </w:p>
        </w:tc>
        <w:tc>
          <w:tcPr>
            <w:tcW w:type="dxa" w:w="4775"/>
            <w:tcW w:type="dxa" w:w="477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High1 Choo Choo Park (99.6%), High1 Entertainment (100%)</w:t>
            </w:r>
          </w:p>
        </w:tc>
        <w:tc>
          <w:tcPr>
            <w:tcW w:type="dxa" w:w="3508"/>
            <w:tcW w:type="dxa" w:w="350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Persistent losses and impairments (Section 20)</w:t>
            </w:r>
          </w:p>
        </w:tc>
      </w:tr>
    </w:tbl>
    <w:p>
      <w:pPr>
        <w:spacing w:before="0" w:after="40" w:line="240" w:lineRule="auto"/>
      </w:pPr>
    </w:p>
    <w:p>
      <w:pPr>
        <w:pStyle w:val="Heading2"/>
        <w:keepNext/>
        <w:spacing w:before="160" w:after="80" w:line="264" w:lineRule="auto"/>
      </w:pPr>
      <w:r>
        <w:rPr>
          <w:rFonts w:ascii="Arial" w:hAnsi="Arial"/>
        </w:rPr>
        <w:t>3.3 Main customers</w:t>
      </w:r>
    </w:p>
    <w:p>
      <w:pPr>
        <w:spacing w:before="0" w:after="50" w:line="276" w:lineRule="auto"/>
        <w:ind w:left="360" w:hanging="245"/>
      </w:pPr>
      <w:r>
        <w:rPr>
          <w:rFonts w:ascii="Arial" w:hAnsi="Arial"/>
          <w:color w:val="2E74B5"/>
          <w:sz w:val="16"/>
        </w:rPr>
        <w:t xml:space="preserve">▪  </w:t>
      </w:r>
      <w:r>
        <w:rPr>
          <w:rFonts w:ascii="Arial" w:hAnsi="Arial"/>
          <w:b/>
          <w:sz w:val="19"/>
        </w:rPr>
        <w:t>Korean mass-market players</w:t>
      </w:r>
      <w:r>
        <w:rPr>
          <w:rFonts w:ascii="Arial" w:hAnsi="Arial"/>
          <w:sz w:val="19"/>
        </w:rPr>
        <w:t xml:space="preserve"> are the core of the business. There were ~559k casino visits in 2Q26 and ~660k in 3Q25, roughly 2.4m a year [e]. Many visit repeatedly, which is why the 15-days-a-month entry cap exists.</w:t>
      </w:r>
    </w:p>
    <w:p>
      <w:pPr>
        <w:spacing w:before="0" w:after="50" w:line="276" w:lineRule="auto"/>
        <w:ind w:left="360" w:hanging="245"/>
      </w:pPr>
      <w:r>
        <w:rPr>
          <w:rFonts w:ascii="Arial" w:hAnsi="Arial"/>
          <w:color w:val="2E74B5"/>
          <w:sz w:val="16"/>
        </w:rPr>
        <w:t xml:space="preserve">▪  </w:t>
      </w:r>
      <w:r>
        <w:rPr>
          <w:rFonts w:ascii="Arial" w:hAnsi="Arial"/>
          <w:b/>
          <w:sz w:val="19"/>
        </w:rPr>
        <w:t>Member (VIP) players</w:t>
      </w:r>
      <w:r>
        <w:rPr>
          <w:rFonts w:ascii="Arial" w:hAnsi="Arial"/>
          <w:sz w:val="19"/>
        </w:rPr>
        <w:t xml:space="preserve"> pay higher stakes in the lounges; their visits rose 18% in 2Q26, but hold was unfavourable.</w:t>
      </w:r>
    </w:p>
    <w:p>
      <w:pPr>
        <w:spacing w:before="0" w:after="50" w:line="276" w:lineRule="auto"/>
        <w:ind w:left="360" w:hanging="245"/>
      </w:pPr>
      <w:r>
        <w:rPr>
          <w:rFonts w:ascii="Arial" w:hAnsi="Arial"/>
          <w:color w:val="2E74B5"/>
          <w:sz w:val="16"/>
        </w:rPr>
        <w:t xml:space="preserve">▪  </w:t>
      </w:r>
      <w:r>
        <w:rPr>
          <w:rFonts w:ascii="Arial" w:hAnsi="Arial"/>
          <w:b/>
          <w:sz w:val="19"/>
        </w:rPr>
        <w:t>Leisure guests:</w:t>
      </w:r>
      <w:r>
        <w:rPr>
          <w:rFonts w:ascii="Arial" w:hAnsi="Arial"/>
          <w:sz w:val="19"/>
        </w:rPr>
        <w:t xml:space="preserve"> skiers, golfers, families at the water park, and corporate events.</w:t>
      </w:r>
    </w:p>
    <w:p>
      <w:pPr>
        <w:spacing w:before="0" w:after="50" w:line="276" w:lineRule="auto"/>
        <w:ind w:left="360" w:hanging="245"/>
      </w:pPr>
      <w:r>
        <w:rPr>
          <w:rFonts w:ascii="Arial" w:hAnsi="Arial"/>
          <w:color w:val="2E74B5"/>
          <w:sz w:val="16"/>
        </w:rPr>
        <w:t xml:space="preserve">▪  </w:t>
      </w:r>
      <w:r>
        <w:rPr>
          <w:rFonts w:ascii="Arial" w:hAnsi="Arial"/>
          <w:b/>
          <w:sz w:val="19"/>
        </w:rPr>
        <w:t>Foreigners</w:t>
      </w:r>
      <w:r>
        <w:rPr>
          <w:rFonts w:ascii="Arial" w:hAnsi="Arial"/>
          <w:sz w:val="19"/>
        </w:rPr>
        <w:t xml:space="preserve"> (a small pilot zone) and permanent residents.</w:t>
      </w:r>
    </w:p>
    <w:p>
      <w:pPr>
        <w:spacing w:before="0" w:after="50" w:line="276" w:lineRule="auto"/>
        <w:ind w:left="360" w:hanging="245"/>
      </w:pPr>
      <w:r>
        <w:rPr>
          <w:rFonts w:ascii="Arial" w:hAnsi="Arial"/>
          <w:color w:val="2E74B5"/>
          <w:sz w:val="16"/>
        </w:rPr>
        <w:t xml:space="preserve">▪  </w:t>
      </w:r>
      <w:r>
        <w:rPr>
          <w:rFonts w:ascii="Arial" w:hAnsi="Arial"/>
          <w:sz w:val="19"/>
        </w:rPr>
        <w:t>No customer is material on its own.</w:t>
      </w:r>
    </w:p>
    <w:p>
      <w:pPr>
        <w:pStyle w:val="Heading2"/>
        <w:keepNext/>
        <w:spacing w:before="160" w:after="80" w:line="264" w:lineRule="auto"/>
      </w:pPr>
      <w:r>
        <w:rPr>
          <w:rFonts w:ascii="Arial" w:hAnsi="Arial"/>
        </w:rPr>
        <w:t>3.4 Main suppliers and counterparties</w:t>
      </w:r>
    </w:p>
    <w:tbl>
      <w:tblPr>
        <w:tblW w:type="auto" w:w="0"/>
        <w:jc w:val="center"/>
        <w:tblLook w:firstColumn="1" w:firstRow="1" w:lastColumn="0" w:lastRow="0" w:noHBand="0" w:noVBand="1" w:val="04A0"/>
        <w:tblLayout w:type="fixed"/>
        <w:tblW w:type="dxa" w:w="9906"/>
      </w:tblPr>
      <w:tblGrid>
        <w:gridCol w:w="1651"/>
        <w:gridCol w:w="8255"/>
      </w:tblGrid>
      <w:tr>
        <w:trPr>
          <w:tblHeader/>
        </w:trPr>
        <w:tc>
          <w:tcPr>
            <w:tcW w:type="dxa" w:w="1651"/>
            <w:tcW w:type="dxa" w:w="1651"/>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Category</w:t>
            </w:r>
          </w:p>
        </w:tc>
        <w:tc>
          <w:tcPr>
            <w:tcW w:type="dxa" w:w="8255"/>
            <w:tcW w:type="dxa" w:w="8255"/>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Named counterparties</w:t>
            </w:r>
          </w:p>
        </w:tc>
      </w:tr>
      <w:tr>
        <w:trPr>
          <w:cantSplit/>
        </w:trPr>
        <w:tc>
          <w:tcPr>
            <w:tcW w:type="dxa" w:w="1651"/>
            <w:tcW w:type="dxa" w:w="165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Owners / State</w:t>
            </w:r>
          </w:p>
        </w:tc>
        <w:tc>
          <w:tcPr>
            <w:tcW w:type="dxa" w:w="8255"/>
            <w:tcW w:type="dxa" w:w="825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KOMIR (36.27%); Jeongseon County (5.02%), Gangwon Development Corp (4.57%), Gangwon Province (1.45% [u]), Samcheok (1.33%), Taebaek (1.30%), Yeongwol (1.08%); MOTIE (CEO recommendation), MOEF (non-standing directors)</w:t>
            </w:r>
          </w:p>
        </w:tc>
      </w:tr>
      <w:tr>
        <w:trPr>
          <w:cantSplit/>
        </w:trPr>
        <w:tc>
          <w:tcPr>
            <w:tcW w:type="dxa" w:w="1651"/>
            <w:tcW w:type="dxa" w:w="165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Regulators</w:t>
            </w:r>
          </w:p>
        </w:tc>
        <w:tc>
          <w:tcPr>
            <w:tcW w:type="dxa" w:w="8255"/>
            <w:tcW w:type="dxa" w:w="825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MCST (licence, permits, bet limits); NGCC (sales cap, soundness evaluation); Financial Intelligence Unit (AML); Ministry of Economy and Finance (public-institution evaluation)</w:t>
            </w:r>
          </w:p>
        </w:tc>
      </w:tr>
      <w:tr>
        <w:trPr>
          <w:cantSplit/>
        </w:trPr>
        <w:tc>
          <w:tcPr>
            <w:tcW w:type="dxa" w:w="1651"/>
            <w:tcW w:type="dxa" w:w="165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Gaming equipment</w:t>
            </w:r>
          </w:p>
        </w:tc>
        <w:tc>
          <w:tcPr>
            <w:tcW w:type="dxa" w:w="8255"/>
            <w:tcW w:type="dxa" w:w="825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 xml:space="preserve">Global slot and electronic-table-game makers and tables [u: vendors not disclosed in our sources]; in-house </w:t>
            </w:r>
            <w:r>
              <w:rPr>
                <w:rFonts w:ascii="Arial" w:hAnsi="Arial"/>
                <w:b/>
                <w:sz w:val="15"/>
              </w:rPr>
              <w:t>"KL Saberi"</w:t>
            </w:r>
            <w:r>
              <w:rPr>
                <w:rFonts w:ascii="Arial" w:hAnsi="Arial"/>
                <w:sz w:val="15"/>
              </w:rPr>
              <w:t xml:space="preserve"> slot brand developed with local SMEs</w:t>
            </w:r>
          </w:p>
        </w:tc>
      </w:tr>
      <w:tr>
        <w:trPr>
          <w:cantSplit/>
        </w:trPr>
        <w:tc>
          <w:tcPr>
            <w:tcW w:type="dxa" w:w="1651"/>
            <w:tcW w:type="dxa" w:w="165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Construction</w:t>
            </w:r>
          </w:p>
        </w:tc>
        <w:tc>
          <w:tcPr>
            <w:tcW w:type="dxa" w:w="8255"/>
            <w:tcW w:type="dxa" w:w="825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Room renovation and second casino (contractors not disclosed [u]); K-HIT design and feasibility advisers [u]</w:t>
            </w:r>
          </w:p>
        </w:tc>
      </w:tr>
      <w:tr>
        <w:trPr>
          <w:cantSplit/>
        </w:trPr>
        <w:tc>
          <w:tcPr>
            <w:tcW w:type="dxa" w:w="1651"/>
            <w:tcW w:type="dxa" w:w="165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Fund beneficiaries</w:t>
            </w:r>
          </w:p>
        </w:tc>
        <w:tc>
          <w:tcPr>
            <w:tcW w:type="dxa" w:w="8255"/>
            <w:tcW w:type="dxa" w:w="825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Tourism Promotion and Development Fund (MCST); Abandoned Mine Region Development Fund (Gangwon and the four mine-region municipalities)</w:t>
            </w:r>
          </w:p>
        </w:tc>
      </w:tr>
      <w:tr>
        <w:trPr>
          <w:cantSplit/>
        </w:trPr>
        <w:tc>
          <w:tcPr>
            <w:tcW w:type="dxa" w:w="1651"/>
            <w:tcW w:type="dxa" w:w="165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Labour</w:t>
            </w:r>
          </w:p>
        </w:tc>
        <w:tc>
          <w:tcPr>
            <w:tcW w:type="dxa" w:w="8255"/>
            <w:tcW w:type="dxa" w:w="825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Union-represented workforce; local hiring commitments</w:t>
            </w:r>
          </w:p>
        </w:tc>
      </w:tr>
    </w:tbl>
    <w:p>
      <w:pPr>
        <w:spacing w:before="0" w:after="40" w:line="240" w:lineRule="auto"/>
      </w:pPr>
    </w:p>
    <w:p>
      <w:pPr>
        <w:pStyle w:val="Heading2"/>
        <w:keepNext/>
        <w:spacing w:before="160" w:after="80" w:line="264" w:lineRule="auto"/>
      </w:pPr>
      <w:r>
        <w:rPr>
          <w:rFonts w:ascii="Arial" w:hAnsi="Arial"/>
        </w:rPr>
        <w:t>3.5 Competitors</w:t>
      </w:r>
    </w:p>
    <w:tbl>
      <w:tblPr>
        <w:tblW w:type="auto" w:w="0"/>
        <w:jc w:val="center"/>
        <w:tblLook w:firstColumn="1" w:firstRow="1" w:lastColumn="0" w:lastRow="0" w:noHBand="0" w:noVBand="1" w:val="04A0"/>
        <w:tblLayout w:type="fixed"/>
        <w:tblW w:type="dxa" w:w="9906"/>
      </w:tblPr>
      <w:tblGrid>
        <w:gridCol w:w="2219"/>
        <w:gridCol w:w="6405"/>
        <w:gridCol w:w="1281"/>
      </w:tblGrid>
      <w:tr>
        <w:trPr>
          <w:tblHeader/>
        </w:trPr>
        <w:tc>
          <w:tcPr>
            <w:tcW w:type="dxa" w:w="2219"/>
            <w:tcW w:type="dxa" w:w="2219"/>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Segment</w:t>
            </w:r>
          </w:p>
        </w:tc>
        <w:tc>
          <w:tcPr>
            <w:tcW w:type="dxa" w:w="6405"/>
            <w:tcW w:type="dxa" w:w="6405"/>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Competitors</w:t>
            </w:r>
          </w:p>
        </w:tc>
        <w:tc>
          <w:tcPr>
            <w:tcW w:type="dxa" w:w="1281"/>
            <w:tcW w:type="dxa" w:w="1281"/>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Listed?</w:t>
            </w:r>
          </w:p>
        </w:tc>
      </w:tr>
      <w:tr>
        <w:trPr>
          <w:cantSplit/>
        </w:trPr>
        <w:tc>
          <w:tcPr>
            <w:tcW w:type="dxa" w:w="2219"/>
            <w:tcW w:type="dxa" w:w="221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Korean nationals (legal)</w:t>
            </w:r>
          </w:p>
        </w:tc>
        <w:tc>
          <w:tcPr>
            <w:tcW w:type="dxa" w:w="6405"/>
            <w:tcW w:type="dxa" w:w="640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None; the monopoly runs to 2045. Potential: a Saemangeum IR with Korean access (Jeonbuk proposal, Jul-2026; needs a special act)</w:t>
            </w:r>
          </w:p>
        </w:tc>
        <w:tc>
          <w:tcPr>
            <w:tcW w:type="dxa" w:w="1281"/>
            <w:tcW w:type="dxa" w:w="128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n/a</w:t>
            </w:r>
          </w:p>
        </w:tc>
      </w:tr>
      <w:tr>
        <w:trPr>
          <w:cantSplit/>
        </w:trPr>
        <w:tc>
          <w:tcPr>
            <w:tcW w:type="dxa" w:w="2219"/>
            <w:tcW w:type="dxa" w:w="221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Korean nationals (illegal)</w:t>
            </w:r>
          </w:p>
        </w:tc>
        <w:tc>
          <w:tcPr>
            <w:tcW w:type="dxa" w:w="6405"/>
            <w:tcW w:type="dxa" w:w="640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Illegal online casinos (KRW21.5tn), sports betting and offline gambling; overseas trips to Macau, the Philippines and Cambodia</w:t>
            </w:r>
          </w:p>
        </w:tc>
        <w:tc>
          <w:tcPr>
            <w:tcW w:type="dxa" w:w="1281"/>
            <w:tcW w:type="dxa" w:w="128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No</w:t>
            </w:r>
          </w:p>
        </w:tc>
      </w:tr>
      <w:tr>
        <w:trPr>
          <w:cantSplit/>
        </w:trPr>
        <w:tc>
          <w:tcPr>
            <w:tcW w:type="dxa" w:w="2219"/>
            <w:tcW w:type="dxa" w:w="221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Other legal gambling (substitutes)</w:t>
            </w:r>
          </w:p>
        </w:tc>
        <w:tc>
          <w:tcPr>
            <w:tcW w:type="dxa" w:w="6405"/>
            <w:tcW w:type="dxa" w:w="640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Horse racing (KRA), cycle and motorboat racing, lottery and Sports Toto</w:t>
            </w:r>
          </w:p>
        </w:tc>
        <w:tc>
          <w:tcPr>
            <w:tcW w:type="dxa" w:w="1281"/>
            <w:tcW w:type="dxa" w:w="128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State-run</w:t>
            </w:r>
          </w:p>
        </w:tc>
      </w:tr>
      <w:tr>
        <w:trPr>
          <w:cantSplit/>
        </w:trPr>
        <w:tc>
          <w:tcPr>
            <w:tcW w:type="dxa" w:w="2219"/>
            <w:tcW w:type="dxa" w:w="221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Foreigner-only casinos</w:t>
            </w:r>
          </w:p>
        </w:tc>
        <w:tc>
          <w:tcPr>
            <w:tcW w:type="dxa" w:w="6405"/>
            <w:tcW w:type="dxa" w:w="640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Paradise (A034230), GKL (A114090), Lotte Tour / Jeju Dream Tower (A032350), Inspire (Bain-controlled), Jeju operators</w:t>
            </w:r>
          </w:p>
        </w:tc>
        <w:tc>
          <w:tcPr>
            <w:tcW w:type="dxa" w:w="1281"/>
            <w:tcW w:type="dxa" w:w="128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Mostly listed</w:t>
            </w:r>
          </w:p>
        </w:tc>
      </w:tr>
      <w:tr>
        <w:trPr>
          <w:cantSplit/>
        </w:trPr>
        <w:tc>
          <w:tcPr>
            <w:tcW w:type="dxa" w:w="2219"/>
            <w:tcW w:type="dxa" w:w="221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Future regional supply</w:t>
            </w:r>
          </w:p>
        </w:tc>
        <w:tc>
          <w:tcPr>
            <w:tcW w:type="dxa" w:w="6405"/>
            <w:tcW w:type="dxa" w:w="640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MGM Osaka IR (autumn-2030), Philippines, Vietnam, Cambodia</w:t>
            </w:r>
          </w:p>
        </w:tc>
        <w:tc>
          <w:tcPr>
            <w:tcW w:type="dxa" w:w="1281"/>
            <w:tcW w:type="dxa" w:w="128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Via parents</w:t>
            </w:r>
          </w:p>
        </w:tc>
      </w:tr>
    </w:tbl>
    <w:p>
      <w:pPr>
        <w:spacing w:before="0" w:after="40" w:line="240" w:lineRule="auto"/>
      </w:pPr>
    </w:p>
    <w:p>
      <w:pPr>
        <w:pStyle w:val="Heading2"/>
        <w:keepNext/>
        <w:spacing w:before="160" w:after="80" w:line="264" w:lineRule="auto"/>
      </w:pPr>
      <w:r>
        <w:rPr>
          <w:rFonts w:ascii="Arial" w:hAnsi="Arial"/>
        </w:rPr>
        <w:t>3.6 Key markets and geographies</w:t>
      </w:r>
    </w:p>
    <w:p>
      <w:pPr>
        <w:spacing w:before="0" w:after="100" w:line="288" w:lineRule="auto"/>
      </w:pPr>
      <w:r>
        <w:rPr>
          <w:rFonts w:ascii="Arial" w:hAnsi="Arial"/>
          <w:sz w:val="19"/>
        </w:rPr>
        <w:t xml:space="preserve">Essentially </w:t>
      </w:r>
      <w:r>
        <w:rPr>
          <w:rFonts w:ascii="Arial" w:hAnsi="Arial"/>
          <w:b/>
          <w:sz w:val="19"/>
        </w:rPr>
        <w:t>100% domestic (Korea)</w:t>
      </w:r>
      <w:r>
        <w:rPr>
          <w:rFonts w:ascii="Arial" w:hAnsi="Arial"/>
          <w:sz w:val="19"/>
        </w:rPr>
        <w:t>, from a single site in Jeongseon, Gangwon Province. Customers come mainly from the Seoul metropolitan area and the eastern provinces. Kangwon Land has no foreign-currency exposure and does not depend on China, which separates it from Paradise, GKL and Lotte Tour (sold off in Oct-2026 on Chinese capital controls and a strong won).</w:t>
      </w:r>
    </w:p>
    <w:p>
      <w:pPr>
        <w:pStyle w:val="Heading2"/>
        <w:keepNext/>
        <w:spacing w:before="160" w:after="80" w:line="264" w:lineRule="auto"/>
      </w:pPr>
      <w:r>
        <w:rPr>
          <w:rFonts w:ascii="Arial" w:hAnsi="Arial"/>
        </w:rPr>
        <w:t>3.7 Contracts and key payment terms</w:t>
      </w:r>
    </w:p>
    <w:tbl>
      <w:tblPr>
        <w:tblW w:type="auto" w:w="0"/>
        <w:jc w:val="center"/>
        <w:tblLook w:firstColumn="1" w:firstRow="1" w:lastColumn="0" w:lastRow="0" w:noHBand="0" w:noVBand="1" w:val="04A0"/>
        <w:tblLayout w:type="fixed"/>
        <w:tblW w:type="dxa" w:w="9906"/>
      </w:tblPr>
      <w:tblGrid>
        <w:gridCol w:w="3088"/>
        <w:gridCol w:w="6817"/>
      </w:tblGrid>
      <w:tr>
        <w:trPr>
          <w:tblHeader/>
        </w:trPr>
        <w:tc>
          <w:tcPr>
            <w:tcW w:type="dxa" w:w="3088"/>
            <w:tcW w:type="dxa" w:w="3088"/>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Contract / rule</w:t>
            </w:r>
          </w:p>
        </w:tc>
        <w:tc>
          <w:tcPr>
            <w:tcW w:type="dxa" w:w="6817"/>
            <w:tcW w:type="dxa" w:w="6817"/>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Key terms</w:t>
            </w:r>
          </w:p>
        </w:tc>
      </w:tr>
      <w:tr>
        <w:trPr>
          <w:cantSplit/>
        </w:trPr>
        <w:tc>
          <w:tcPr>
            <w:tcW w:type="dxa" w:w="3088"/>
            <w:tcW w:type="dxa" w:w="308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Special Act on Abandoned Mine Areas</w:t>
            </w:r>
          </w:p>
        </w:tc>
        <w:tc>
          <w:tcPr>
            <w:tcW w:type="dxa" w:w="6817"/>
            <w:tcW w:type="dxa" w:w="681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 xml:space="preserve">Korean-access exception to </w:t>
            </w:r>
            <w:r>
              <w:rPr>
                <w:rFonts w:ascii="Arial" w:hAnsi="Arial"/>
                <w:b/>
                <w:sz w:val="15"/>
              </w:rPr>
              <w:t>31-Dec-2045</w:t>
            </w:r>
            <w:r>
              <w:rPr>
                <w:rFonts w:ascii="Arial" w:hAnsi="Arial"/>
                <w:sz w:val="15"/>
              </w:rPr>
              <w:t xml:space="preserve"> (extended from 2025 in 2021); public shareholders must hold ≥51%; mine-fund levy </w:t>
            </w:r>
            <w:r>
              <w:rPr>
                <w:rFonts w:ascii="Arial" w:hAnsi="Arial"/>
                <w:b/>
                <w:sz w:val="15"/>
              </w:rPr>
              <w:t>13% of casino gross sales</w:t>
            </w:r>
            <w:r>
              <w:rPr>
                <w:rFonts w:ascii="Arial" w:hAnsi="Arial"/>
                <w:sz w:val="15"/>
              </w:rPr>
              <w:t xml:space="preserve"> (from 25% of profit before 2021), payable even in a loss year</w:t>
            </w:r>
          </w:p>
        </w:tc>
      </w:tr>
      <w:tr>
        <w:trPr>
          <w:cantSplit/>
        </w:trPr>
        <w:tc>
          <w:tcPr>
            <w:tcW w:type="dxa" w:w="3088"/>
            <w:tcW w:type="dxa" w:w="308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Casino licence (Tourism Promotion Act, MCST)</w:t>
            </w:r>
          </w:p>
        </w:tc>
        <w:tc>
          <w:tcPr>
            <w:tcW w:type="dxa" w:w="6817"/>
            <w:tcW w:type="dxa" w:w="681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 xml:space="preserve">Renewal conditions have cut hours and tables before (2017 renewal: −2 hours from Apr-2018; general tables 180 → 160). The Jul-2026 proposal adds </w:t>
            </w:r>
            <w:r>
              <w:rPr>
                <w:rFonts w:ascii="Arial" w:hAnsi="Arial"/>
                <w:b/>
                <w:sz w:val="15"/>
              </w:rPr>
              <w:t>5-year licence renewal</w:t>
            </w:r>
            <w:r>
              <w:rPr>
                <w:rFonts w:ascii="Arial" w:hAnsi="Arial"/>
                <w:sz w:val="15"/>
              </w:rPr>
              <w:t xml:space="preserve"> and prior approval of major-shareholder changes</w:t>
            </w:r>
          </w:p>
        </w:tc>
      </w:tr>
      <w:tr>
        <w:trPr>
          <w:cantSplit/>
        </w:trPr>
        <w:tc>
          <w:tcPr>
            <w:tcW w:type="dxa" w:w="3088"/>
            <w:tcW w:type="dxa" w:w="308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Tourism Promotion and Development Fund</w:t>
            </w:r>
          </w:p>
        </w:tc>
        <w:tc>
          <w:tcPr>
            <w:tcW w:type="dxa" w:w="6817"/>
            <w:tcW w:type="dxa" w:w="681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 xml:space="preserve">10% of annual sales above KRW10bn; proposal to add a </w:t>
            </w:r>
            <w:r>
              <w:rPr>
                <w:rFonts w:ascii="Arial" w:hAnsi="Arial"/>
                <w:b/>
                <w:sz w:val="15"/>
              </w:rPr>
              <w:t>15% bracket</w:t>
            </w:r>
            <w:r>
              <w:rPr>
                <w:rFonts w:ascii="Arial" w:hAnsi="Arial"/>
                <w:sz w:val="15"/>
              </w:rPr>
              <w:t xml:space="preserve"> (reportedly on sales above KRW300bn per venue [u]); applicability to Kangwon Land disputed</w:t>
            </w:r>
          </w:p>
        </w:tc>
      </w:tr>
      <w:tr>
        <w:trPr>
          <w:cantSplit/>
        </w:trPr>
        <w:tc>
          <w:tcPr>
            <w:tcW w:type="dxa" w:w="3088"/>
            <w:tcW w:type="dxa" w:w="308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NGCC sales cap</w:t>
            </w:r>
          </w:p>
        </w:tc>
        <w:tc>
          <w:tcPr>
            <w:tcW w:type="dxa" w:w="6817"/>
            <w:tcW w:type="dxa" w:w="681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KRW1.434tn (2024), KRW1.64tn (2025) after an "S" soundness grade; breaches (2013-16) bring extra levies and orders to curtail operations</w:t>
            </w:r>
          </w:p>
        </w:tc>
      </w:tr>
      <w:tr>
        <w:trPr>
          <w:cantSplit/>
        </w:trPr>
        <w:tc>
          <w:tcPr>
            <w:tcW w:type="dxa" w:w="3088"/>
            <w:tcW w:type="dxa" w:w="308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Entry and admission</w:t>
            </w:r>
          </w:p>
        </w:tc>
        <w:tc>
          <w:tcPr>
            <w:tcW w:type="dxa" w:w="6817"/>
            <w:tcW w:type="dxa" w:w="681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KRW9,000 admission (individual consumption tax 6,300, education tax 1,890, VAT 810 [u]); 15-days-a-month limit triggers restrictions</w:t>
            </w:r>
          </w:p>
        </w:tc>
      </w:tr>
      <w:tr>
        <w:trPr>
          <w:cantSplit/>
        </w:trPr>
        <w:tc>
          <w:tcPr>
            <w:tcW w:type="dxa" w:w="3088"/>
            <w:tcW w:type="dxa" w:w="308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Payment terms</w:t>
            </w:r>
          </w:p>
        </w:tc>
        <w:tc>
          <w:tcPr>
            <w:tcW w:type="dxa" w:w="6817"/>
            <w:tcW w:type="dxa" w:w="681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Cash and chip play; no casino credit to Korean nationals [u]; comps (&gt;KRW100bn accrued a year, &gt;70% spent at Kangwon Land outlets)</w:t>
            </w:r>
          </w:p>
        </w:tc>
      </w:tr>
    </w:tbl>
    <w:p>
      <w:pPr>
        <w:spacing w:before="0" w:after="40" w:line="240" w:lineRule="auto"/>
      </w:pPr>
    </w:p>
    <w:p>
      <w:pPr>
        <w:spacing w:before="0" w:after="100" w:line="288" w:lineRule="auto"/>
      </w:pPr>
      <w:r>
        <w:rPr>
          <w:rFonts w:ascii="Arial" w:hAnsi="Arial"/>
          <w:i/>
          <w:color w:val="5A6270"/>
          <w:sz w:val="15"/>
        </w:rPr>
        <w:t>Source: Special Act (2021 amendment), kidd.co.kr, MCST, NGCC, Hankyung, Newsis, MTN, Bizhankook. [u] = unverified.</w:t>
      </w:r>
    </w:p>
    <w:p>
      <w:pPr>
        <w:pStyle w:val="Heading1"/>
        <w:pageBreakBefore/>
        <w:spacing w:before="0" w:after="120" w:line="264" w:lineRule="auto"/>
      </w:pPr>
      <w:r>
        <w:rPr>
          <w:rFonts w:ascii="Arial" w:hAnsi="Arial"/>
        </w:rPr>
        <w:t>4. Key Business Drivers</w:t>
      </w:r>
    </w:p>
    <w:tbl>
      <w:tblPr>
        <w:tblW w:type="auto" w:w="0"/>
        <w:jc w:val="center"/>
        <w:tblLook w:firstColumn="1" w:firstRow="1" w:lastColumn="0" w:lastRow="0" w:noHBand="0" w:noVBand="1" w:val="04A0"/>
        <w:tblLayout w:type="fixed"/>
        <w:tblW w:type="dxa" w:w="9906"/>
      </w:tblPr>
      <w:tblGrid>
        <w:gridCol w:w="923"/>
        <w:gridCol w:w="2045"/>
        <w:gridCol w:w="3620"/>
        <w:gridCol w:w="3317"/>
      </w:tblGrid>
      <w:tr>
        <w:trPr>
          <w:tblHeader/>
        </w:trPr>
        <w:tc>
          <w:tcPr>
            <w:tcW w:type="dxa" w:w="923"/>
            <w:tcW w:type="dxa" w:w="923"/>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Driver</w:t>
            </w:r>
          </w:p>
        </w:tc>
        <w:tc>
          <w:tcPr>
            <w:tcW w:type="dxa" w:w="2045"/>
            <w:tcW w:type="dxa" w:w="2045"/>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Mechanism</w:t>
            </w:r>
          </w:p>
        </w:tc>
        <w:tc>
          <w:tcPr>
            <w:tcW w:type="dxa" w:w="3620"/>
            <w:tcW w:type="dxa" w:w="3620"/>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Latest reading</w:t>
            </w:r>
          </w:p>
        </w:tc>
        <w:tc>
          <w:tcPr>
            <w:tcW w:type="dxa" w:w="3317"/>
            <w:tcW w:type="dxa" w:w="3317"/>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Sensitivity / direction</w:t>
            </w:r>
          </w:p>
        </w:tc>
      </w:tr>
      <w:tr>
        <w:trPr>
          <w:cantSplit/>
        </w:trPr>
        <w:tc>
          <w:tcPr>
            <w:tcW w:type="dxa" w:w="923"/>
            <w:tcW w:type="dxa" w:w="923"/>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b/>
                <w:sz w:val="15"/>
              </w:rPr>
              <w:t>Visitation (mass)</w:t>
            </w:r>
          </w:p>
        </w:tc>
        <w:tc>
          <w:tcPr>
            <w:tcW w:type="dxa" w:w="2045"/>
            <w:tcW w:type="dxa" w:w="2045"/>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sz w:val="15"/>
              </w:rPr>
              <w:t>Base for casino drop</w:t>
            </w:r>
          </w:p>
        </w:tc>
        <w:tc>
          <w:tcPr>
            <w:tcW w:type="dxa" w:w="3620"/>
            <w:tcW w:type="dxa" w:w="3620"/>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sz w:val="15"/>
              </w:rPr>
              <w:t>2Q26 visitors 559,481 (−3.3%); mass wagers −3.9%</w:t>
            </w:r>
          </w:p>
        </w:tc>
        <w:tc>
          <w:tcPr>
            <w:tcW w:type="dxa" w:w="3317"/>
            <w:tcW w:type="dxa" w:w="3317"/>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sz w:val="15"/>
              </w:rPr>
              <w:t>1% of casino revenue ≈ KRW12.8bn of revenue, ~KRW8-9bn of OP after levies [e]</w:t>
            </w:r>
          </w:p>
        </w:tc>
      </w:tr>
      <w:tr>
        <w:trPr>
          <w:cantSplit/>
        </w:trPr>
        <w:tc>
          <w:tcPr>
            <w:tcW w:type="dxa" w:w="923"/>
            <w:tcW w:type="dxa" w:w="923"/>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b/>
                <w:sz w:val="15"/>
              </w:rPr>
              <w:t>Hold / VIP mix</w:t>
            </w:r>
          </w:p>
        </w:tc>
        <w:tc>
          <w:tcPr>
            <w:tcW w:type="dxa" w:w="2045"/>
            <w:tcW w:type="dxa" w:w="2045"/>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sz w:val="15"/>
              </w:rPr>
              <w:t>Member lounges add volatility</w:t>
            </w:r>
          </w:p>
        </w:tc>
        <w:tc>
          <w:tcPr>
            <w:tcW w:type="dxa" w:w="3620"/>
            <w:tcW w:type="dxa" w:w="3620"/>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sz w:val="15"/>
              </w:rPr>
              <w:t>2Q26 VIP visits +18%, wagers +7.2%, revenue −7.6% (low hold); 3Q25 low hold</w:t>
            </w:r>
          </w:p>
        </w:tc>
        <w:tc>
          <w:tcPr>
            <w:tcW w:type="dxa" w:w="3317"/>
            <w:tcW w:type="dxa" w:w="3317"/>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sz w:val="15"/>
              </w:rPr>
              <w:t>±0.5pt of hold on VIP can swing a quarter's OP by ±KRW10-15bn [e]</w:t>
            </w:r>
          </w:p>
        </w:tc>
      </w:tr>
      <w:tr>
        <w:trPr>
          <w:cantSplit/>
        </w:trPr>
        <w:tc>
          <w:tcPr>
            <w:tcW w:type="dxa" w:w="923"/>
            <w:tcW w:type="dxa" w:w="923"/>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b/>
                <w:sz w:val="15"/>
              </w:rPr>
              <w:t>Regulation (capacity)</w:t>
            </w:r>
          </w:p>
        </w:tc>
        <w:tc>
          <w:tcPr>
            <w:tcW w:type="dxa" w:w="2045"/>
            <w:tcW w:type="dxa" w:w="2045"/>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sz w:val="15"/>
              </w:rPr>
              <w:t>Tables, machines, hours, entry days, bet limits</w:t>
            </w:r>
          </w:p>
        </w:tc>
        <w:tc>
          <w:tcPr>
            <w:tcW w:type="dxa" w:w="3620"/>
            <w:tcW w:type="dxa" w:w="3620"/>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sz w:val="15"/>
              </w:rPr>
              <w:t>Permit to 250 tables / 1,610 machines (Sep-24), effective with the second casino (~2028); higher bet limits May-25</w:t>
            </w:r>
          </w:p>
        </w:tc>
        <w:tc>
          <w:tcPr>
            <w:tcW w:type="dxa" w:w="3317"/>
            <w:tcW w:type="dxa" w:w="3317"/>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sz w:val="15"/>
              </w:rPr>
              <w:t>A 25% capacity rise would be the biggest organic lever after 2028</w:t>
            </w:r>
          </w:p>
        </w:tc>
      </w:tr>
      <w:tr>
        <w:trPr>
          <w:cantSplit/>
        </w:trPr>
        <w:tc>
          <w:tcPr>
            <w:tcW w:type="dxa" w:w="923"/>
            <w:tcW w:type="dxa" w:w="923"/>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b/>
                <w:sz w:val="15"/>
              </w:rPr>
              <w:t>Levies and taxes</w:t>
            </w:r>
          </w:p>
        </w:tc>
        <w:tc>
          <w:tcPr>
            <w:tcW w:type="dxa" w:w="2045"/>
            <w:tcW w:type="dxa" w:w="2045"/>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sz w:val="15"/>
              </w:rPr>
              <w:t>10% tourism fund + 13% mine fund + taxes</w:t>
            </w:r>
          </w:p>
        </w:tc>
        <w:tc>
          <w:tcPr>
            <w:tcW w:type="dxa" w:w="3620"/>
            <w:tcW w:type="dxa" w:w="3620"/>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sz w:val="15"/>
              </w:rPr>
              <w:t>2025 government take KRW603bn (42% of gaming revenue)</w:t>
            </w:r>
          </w:p>
        </w:tc>
        <w:tc>
          <w:tcPr>
            <w:tcW w:type="dxa" w:w="3317"/>
            <w:tcW w:type="dxa" w:w="3317"/>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sz w:val="15"/>
              </w:rPr>
              <w:t>A 15% bracket above KRW300bn would cost ~KRW56bn a year (~26% of LTM OP) [e]</w:t>
            </w:r>
          </w:p>
        </w:tc>
      </w:tr>
      <w:tr>
        <w:trPr>
          <w:cantSplit/>
        </w:trPr>
        <w:tc>
          <w:tcPr>
            <w:tcW w:type="dxa" w:w="923"/>
            <w:tcW w:type="dxa" w:w="923"/>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b/>
                <w:sz w:val="15"/>
              </w:rPr>
              <w:t>AML / customer due diligence</w:t>
            </w:r>
          </w:p>
        </w:tc>
        <w:tc>
          <w:tcPr>
            <w:tcW w:type="dxa" w:w="2045"/>
            <w:tcW w:type="dxa" w:w="2045"/>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sz w:val="15"/>
              </w:rPr>
              <w:t>Full ID checks on every chip purchase</w:t>
            </w:r>
          </w:p>
        </w:tc>
        <w:tc>
          <w:tcPr>
            <w:tcW w:type="dxa" w:w="3620"/>
            <w:tcW w:type="dxa" w:w="3620"/>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sz w:val="15"/>
              </w:rPr>
              <w:t>Company estimate: −25.8% revenue (~KRW330bn)</w:t>
            </w:r>
          </w:p>
        </w:tc>
        <w:tc>
          <w:tcPr>
            <w:tcW w:type="dxa" w:w="3317"/>
            <w:tcW w:type="dxa" w:w="3317"/>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sz w:val="15"/>
              </w:rPr>
              <w:t>Worst case ~−KRW200bn of EBITDA [e]; likely to be modified</w:t>
            </w:r>
          </w:p>
        </w:tc>
      </w:tr>
      <w:tr>
        <w:trPr>
          <w:cantSplit/>
        </w:trPr>
        <w:tc>
          <w:tcPr>
            <w:tcW w:type="dxa" w:w="923"/>
            <w:tcW w:type="dxa" w:w="923"/>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b/>
                <w:sz w:val="15"/>
              </w:rPr>
              <w:t>Non-casino capacity</w:t>
            </w:r>
          </w:p>
        </w:tc>
        <w:tc>
          <w:tcPr>
            <w:tcW w:type="dxa" w:w="2045"/>
            <w:tcW w:type="dxa" w:w="2045"/>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sz w:val="15"/>
              </w:rPr>
              <w:t>757 rooms closed from Mar-26</w:t>
            </w:r>
          </w:p>
        </w:tc>
        <w:tc>
          <w:tcPr>
            <w:tcW w:type="dxa" w:w="3620"/>
            <w:tcW w:type="dxa" w:w="3620"/>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sz w:val="15"/>
              </w:rPr>
              <w:t>Non-gaming revenue −12.3% in 2Q26</w:t>
            </w:r>
          </w:p>
        </w:tc>
        <w:tc>
          <w:tcPr>
            <w:tcW w:type="dxa" w:w="3317"/>
            <w:tcW w:type="dxa" w:w="3317"/>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sz w:val="15"/>
              </w:rPr>
              <w:t>−KRW25-35bn of revenue a year until 2028 [e]</w:t>
            </w:r>
          </w:p>
        </w:tc>
      </w:tr>
      <w:tr>
        <w:trPr>
          <w:cantSplit/>
        </w:trPr>
        <w:tc>
          <w:tcPr>
            <w:tcW w:type="dxa" w:w="923"/>
            <w:tcW w:type="dxa" w:w="923"/>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b/>
                <w:sz w:val="15"/>
              </w:rPr>
              <w:t>Costs</w:t>
            </w:r>
          </w:p>
        </w:tc>
        <w:tc>
          <w:tcPr>
            <w:tcW w:type="dxa" w:w="2045"/>
            <w:tcW w:type="dxa" w:w="2045"/>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sz w:val="15"/>
              </w:rPr>
              <w:t>Labour, bonus (public-enterprise evaluation), D&amp;A, donations</w:t>
            </w:r>
          </w:p>
        </w:tc>
        <w:tc>
          <w:tcPr>
            <w:tcW w:type="dxa" w:w="3620"/>
            <w:tcW w:type="dxa" w:w="3620"/>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sz w:val="15"/>
              </w:rPr>
              <w:t>2Q25 one-off KRW24.5bn bonus and early retirement; "195% bonus guaranteed" criticised (Oct-26) [u]</w:t>
            </w:r>
          </w:p>
        </w:tc>
        <w:tc>
          <w:tcPr>
            <w:tcW w:type="dxa" w:w="3317"/>
            <w:tcW w:type="dxa" w:w="3317"/>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sz w:val="15"/>
              </w:rPr>
              <w:t>A 1% wage rise ≈ KRW3-4bn [e]</w:t>
            </w:r>
          </w:p>
        </w:tc>
      </w:tr>
      <w:tr>
        <w:trPr>
          <w:cantSplit/>
        </w:trPr>
        <w:tc>
          <w:tcPr>
            <w:tcW w:type="dxa" w:w="923"/>
            <w:tcW w:type="dxa" w:w="923"/>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b/>
                <w:sz w:val="15"/>
              </w:rPr>
              <w:t>Financial income</w:t>
            </w:r>
          </w:p>
        </w:tc>
        <w:tc>
          <w:tcPr>
            <w:tcW w:type="dxa" w:w="2045"/>
            <w:tcW w:type="dxa" w:w="2045"/>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sz w:val="15"/>
              </w:rPr>
              <w:t>~KRW2.9tn portfolio</w:t>
            </w:r>
          </w:p>
        </w:tc>
        <w:tc>
          <w:tcPr>
            <w:tcW w:type="dxa" w:w="3620"/>
            <w:tcW w:type="dxa" w:w="3620"/>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sz w:val="15"/>
              </w:rPr>
              <w:t>2Q26 valuation gain KRW97.3bn; recurring ~KRW140-180bn a year [e]</w:t>
            </w:r>
          </w:p>
        </w:tc>
        <w:tc>
          <w:tcPr>
            <w:tcW w:type="dxa" w:w="3317"/>
            <w:tcW w:type="dxa" w:w="3317"/>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sz w:val="15"/>
              </w:rPr>
              <w:t>~45% of pre-tax profit; falls as K-HIT spends cash</w:t>
            </w:r>
          </w:p>
        </w:tc>
      </w:tr>
      <w:tr>
        <w:trPr>
          <w:cantSplit/>
        </w:trPr>
        <w:tc>
          <w:tcPr>
            <w:tcW w:type="dxa" w:w="923"/>
            <w:tcW w:type="dxa" w:w="923"/>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b/>
                <w:sz w:val="15"/>
              </w:rPr>
              <w:t>Capex</w:t>
            </w:r>
          </w:p>
        </w:tc>
        <w:tc>
          <w:tcPr>
            <w:tcW w:type="dxa" w:w="2045"/>
            <w:tcW w:type="dxa" w:w="2045"/>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sz w:val="15"/>
              </w:rPr>
              <w:t>Renovation, second casino, K-HIT</w:t>
            </w:r>
          </w:p>
        </w:tc>
        <w:tc>
          <w:tcPr>
            <w:tcW w:type="dxa" w:w="3620"/>
            <w:tcW w:type="dxa" w:w="3620"/>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sz w:val="15"/>
              </w:rPr>
              <w:t>2025 KRW143.7bn; 2026 budget KRW145.4bn; K-HIT ~KRW3tn to 2035</w:t>
            </w:r>
          </w:p>
        </w:tc>
        <w:tc>
          <w:tcPr>
            <w:tcW w:type="dxa" w:w="3317"/>
            <w:tcW w:type="dxa" w:w="3317"/>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sz w:val="15"/>
              </w:rPr>
              <w:t>The key swing factor for excess cash</w:t>
            </w:r>
          </w:p>
        </w:tc>
      </w:tr>
    </w:tbl>
    <w:p>
      <w:pPr>
        <w:spacing w:before="0" w:after="40" w:line="240" w:lineRule="auto"/>
      </w:pPr>
    </w:p>
    <w:p>
      <w:pPr>
        <w:pStyle w:val="Heading1"/>
        <w:pageBreakBefore/>
        <w:spacing w:before="0" w:after="120" w:line="264" w:lineRule="auto"/>
      </w:pPr>
      <w:r>
        <w:rPr>
          <w:rFonts w:ascii="Arial" w:hAnsi="Arial"/>
        </w:rPr>
        <w:t>5. Macro and Micro Factors; Tailwinds and Headwinds</w:t>
      </w:r>
    </w:p>
    <w:p>
      <w:pPr>
        <w:pStyle w:val="Heading2"/>
        <w:keepNext/>
        <w:spacing w:before="160" w:after="80" w:line="264" w:lineRule="auto"/>
      </w:pPr>
      <w:r>
        <w:rPr>
          <w:rFonts w:ascii="Arial" w:hAnsi="Arial"/>
        </w:rPr>
        <w:t>5.1 Macro</w:t>
      </w:r>
    </w:p>
    <w:p>
      <w:pPr>
        <w:spacing w:before="0" w:after="50" w:line="276" w:lineRule="auto"/>
        <w:ind w:left="360" w:hanging="245"/>
      </w:pPr>
      <w:r>
        <w:rPr>
          <w:rFonts w:ascii="Arial" w:hAnsi="Arial"/>
          <w:color w:val="2E74B5"/>
          <w:sz w:val="16"/>
        </w:rPr>
        <w:t xml:space="preserve">▪  </w:t>
      </w:r>
      <w:r>
        <w:rPr>
          <w:rFonts w:ascii="Arial" w:hAnsi="Arial"/>
          <w:b/>
          <w:sz w:val="19"/>
        </w:rPr>
        <w:t>Korea:</w:t>
      </w:r>
    </w:p>
    <w:p>
      <w:pPr>
        <w:spacing w:before="0" w:after="50" w:line="276" w:lineRule="auto"/>
        <w:ind w:left="360" w:hanging="245"/>
      </w:pPr>
      <w:r>
        <w:rPr>
          <w:rFonts w:ascii="Arial" w:hAnsi="Arial"/>
          <w:color w:val="2E74B5"/>
          <w:sz w:val="16"/>
        </w:rPr>
        <w:t xml:space="preserve">▪  </w:t>
      </w:r>
      <w:r>
        <w:rPr>
          <w:rFonts w:ascii="Arial" w:hAnsi="Arial"/>
          <w:sz w:val="19"/>
        </w:rPr>
        <w:t>The KOSPI rose ~82% in the year to Oct-2026 on AI and semiconductors and governance reform (from 3,846 in Oct-25 to ~7,000 in Oct-26). Casino stocks were left behind.</w:t>
      </w:r>
    </w:p>
    <w:p>
      <w:pPr>
        <w:spacing w:before="0" w:after="50" w:line="276" w:lineRule="auto"/>
        <w:ind w:left="360" w:hanging="245"/>
      </w:pPr>
      <w:r>
        <w:rPr>
          <w:rFonts w:ascii="Arial" w:hAnsi="Arial"/>
          <w:color w:val="2E74B5"/>
          <w:sz w:val="16"/>
        </w:rPr>
        <w:t xml:space="preserve">▪  </w:t>
      </w:r>
      <w:r>
        <w:rPr>
          <w:rFonts w:ascii="Arial" w:hAnsi="Arial"/>
          <w:sz w:val="19"/>
        </w:rPr>
        <w:t>The won strengthened sharply (~KRW1,335/US$ implied [e]). That matters for foreigner-only casinos but not for Kangwon Land's revenue.</w:t>
      </w:r>
    </w:p>
    <w:p>
      <w:pPr>
        <w:spacing w:before="0" w:after="50" w:line="276" w:lineRule="auto"/>
        <w:ind w:left="360" w:hanging="245"/>
      </w:pPr>
      <w:r>
        <w:rPr>
          <w:rFonts w:ascii="Arial" w:hAnsi="Arial"/>
          <w:color w:val="2E74B5"/>
          <w:sz w:val="16"/>
        </w:rPr>
        <w:t xml:space="preserve">▪  </w:t>
      </w:r>
      <w:r>
        <w:rPr>
          <w:rFonts w:ascii="Arial" w:hAnsi="Arial"/>
          <w:b/>
          <w:sz w:val="19"/>
        </w:rPr>
        <w:t>Consumers:</w:t>
      </w:r>
      <w:r>
        <w:rPr>
          <w:rFonts w:ascii="Arial" w:hAnsi="Arial"/>
          <w:sz w:val="19"/>
        </w:rPr>
        <w:t xml:space="preserve"> Kangwon Land depends on domestic discretionary spending by older, mass-market Koreans. Traffic weakened from June 2026 and into July.</w:t>
      </w:r>
    </w:p>
    <w:p>
      <w:pPr>
        <w:spacing w:before="0" w:after="50" w:line="276" w:lineRule="auto"/>
        <w:ind w:left="360" w:hanging="245"/>
      </w:pPr>
      <w:r>
        <w:rPr>
          <w:rFonts w:ascii="Arial" w:hAnsi="Arial"/>
          <w:color w:val="2E74B5"/>
          <w:sz w:val="16"/>
        </w:rPr>
        <w:t xml:space="preserve">▪  </w:t>
      </w:r>
      <w:r>
        <w:rPr>
          <w:rFonts w:ascii="Arial" w:hAnsi="Arial"/>
          <w:b/>
          <w:sz w:val="19"/>
        </w:rPr>
        <w:t>Policy:</w:t>
      </w:r>
    </w:p>
    <w:p>
      <w:pPr>
        <w:spacing w:before="0" w:after="50" w:line="276" w:lineRule="auto"/>
        <w:ind w:left="360" w:hanging="245"/>
      </w:pPr>
      <w:r>
        <w:rPr>
          <w:rFonts w:ascii="Arial" w:hAnsi="Arial"/>
          <w:color w:val="2E74B5"/>
          <w:sz w:val="16"/>
        </w:rPr>
        <w:t xml:space="preserve">▪  </w:t>
      </w:r>
      <w:r>
        <w:rPr>
          <w:rFonts w:ascii="Arial" w:hAnsi="Arial"/>
          <w:b/>
          <w:sz w:val="19"/>
        </w:rPr>
        <w:t>President Lee's pro-shareholder agenda:</w:t>
      </w:r>
      <w:r>
        <w:rPr>
          <w:rFonts w:ascii="Arial" w:hAnsi="Arial"/>
          <w:sz w:val="19"/>
        </w:rPr>
        <w:t xml:space="preserve"> Commercial Act amendments, dividend tax reform, Value-Up.</w:t>
      </w:r>
    </w:p>
    <w:p>
      <w:pPr>
        <w:spacing w:before="0" w:after="50" w:line="276" w:lineRule="auto"/>
        <w:ind w:left="360" w:hanging="245"/>
      </w:pPr>
      <w:r>
        <w:rPr>
          <w:rFonts w:ascii="Arial" w:hAnsi="Arial"/>
          <w:color w:val="2E74B5"/>
          <w:sz w:val="16"/>
        </w:rPr>
        <w:t xml:space="preserve">▪  </w:t>
      </w:r>
      <w:r>
        <w:rPr>
          <w:rFonts w:ascii="Arial" w:hAnsi="Arial"/>
          <w:b/>
          <w:sz w:val="19"/>
        </w:rPr>
        <w:t>Public-institution restructuring:</w:t>
      </w:r>
      <w:r>
        <w:rPr>
          <w:rFonts w:ascii="Arial" w:hAnsi="Arial"/>
          <w:sz w:val="19"/>
        </w:rPr>
        <w:t xml:space="preserve"> "Public Institution DIET 2026" and evaluations.</w:t>
      </w:r>
    </w:p>
    <w:p>
      <w:pPr>
        <w:spacing w:before="0" w:after="50" w:line="276" w:lineRule="auto"/>
        <w:ind w:left="360" w:hanging="245"/>
      </w:pPr>
      <w:r>
        <w:rPr>
          <w:rFonts w:ascii="Arial" w:hAnsi="Arial"/>
          <w:color w:val="2E74B5"/>
          <w:sz w:val="16"/>
        </w:rPr>
        <w:t xml:space="preserve">▪  </w:t>
      </w:r>
      <w:r>
        <w:rPr>
          <w:rFonts w:ascii="Arial" w:hAnsi="Arial"/>
          <w:b/>
          <w:sz w:val="19"/>
        </w:rPr>
        <w:t>Gambling-addiction scrutiny:</w:t>
      </w:r>
      <w:r>
        <w:rPr>
          <w:rFonts w:ascii="Arial" w:hAnsi="Arial"/>
          <w:sz w:val="19"/>
        </w:rPr>
        <w:t xml:space="preserve"> in Dec-2025 the President ordered an independent review of the company's addiction data.</w:t>
      </w:r>
    </w:p>
    <w:p>
      <w:pPr>
        <w:pStyle w:val="Heading2"/>
        <w:keepNext/>
        <w:spacing w:before="160" w:after="80" w:line="264" w:lineRule="auto"/>
      </w:pPr>
      <w:r>
        <w:rPr>
          <w:rFonts w:ascii="Arial" w:hAnsi="Arial"/>
        </w:rPr>
        <w:t>5.2 Micro</w:t>
      </w:r>
    </w:p>
    <w:p>
      <w:pPr>
        <w:spacing w:before="0" w:after="50" w:line="276" w:lineRule="auto"/>
        <w:ind w:left="360" w:hanging="245"/>
      </w:pPr>
      <w:r>
        <w:rPr>
          <w:rFonts w:ascii="Arial" w:hAnsi="Arial"/>
          <w:color w:val="2E74B5"/>
          <w:sz w:val="16"/>
        </w:rPr>
        <w:t xml:space="preserve">▪  </w:t>
      </w:r>
      <w:r>
        <w:rPr>
          <w:rFonts w:ascii="Arial" w:hAnsi="Arial"/>
          <w:b/>
          <w:sz w:val="19"/>
        </w:rPr>
        <w:t>Results:</w:t>
      </w:r>
      <w:r>
        <w:rPr>
          <w:rFonts w:ascii="Arial" w:hAnsi="Arial"/>
          <w:sz w:val="19"/>
        </w:rPr>
        <w:t xml:space="preserve"> 2Q26 revenue −4.2% and OP −26.2%; casino visitors −3.3%; non-gaming −12.3% as 757 rooms were taken offline.</w:t>
      </w:r>
    </w:p>
    <w:p>
      <w:pPr>
        <w:spacing w:before="0" w:after="50" w:line="276" w:lineRule="auto"/>
        <w:ind w:left="360" w:hanging="245"/>
      </w:pPr>
      <w:r>
        <w:rPr>
          <w:rFonts w:ascii="Arial" w:hAnsi="Arial"/>
          <w:color w:val="2E74B5"/>
          <w:sz w:val="16"/>
        </w:rPr>
        <w:t xml:space="preserve">▪  </w:t>
      </w:r>
      <w:r>
        <w:rPr>
          <w:rFonts w:ascii="Arial" w:hAnsi="Arial"/>
          <w:b/>
          <w:sz w:val="19"/>
        </w:rPr>
        <w:t>Valuation:</w:t>
      </w:r>
      <w:r>
        <w:rPr>
          <w:rFonts w:ascii="Arial" w:hAnsi="Arial"/>
          <w:sz w:val="19"/>
        </w:rPr>
        <w:t xml:space="preserve"> the stock trades at 0.74x book and a ~6.7% trailing yield, below its net financial assets.</w:t>
      </w:r>
    </w:p>
    <w:p>
      <w:pPr>
        <w:spacing w:before="0" w:after="50" w:line="276" w:lineRule="auto"/>
        <w:ind w:left="360" w:hanging="245"/>
      </w:pPr>
      <w:r>
        <w:rPr>
          <w:rFonts w:ascii="Arial" w:hAnsi="Arial"/>
          <w:color w:val="2E74B5"/>
          <w:sz w:val="16"/>
        </w:rPr>
        <w:t xml:space="preserve">▪  </w:t>
      </w:r>
      <w:r>
        <w:rPr>
          <w:rFonts w:ascii="Arial" w:hAnsi="Arial"/>
          <w:b/>
          <w:sz w:val="19"/>
        </w:rPr>
        <w:t>Management:</w:t>
      </w:r>
      <w:r>
        <w:rPr>
          <w:rFonts w:ascii="Arial" w:hAnsi="Arial"/>
          <w:sz w:val="19"/>
        </w:rPr>
        <w:t xml:space="preserve"> CEO Kim Do-kyun (from 2-Sep-2026) and VP Yoo Jeong-bae (ex-Korea Coal Corp). An Organisational Diagnosis and Innovation Committee runs to year-end, including a K-HIT feasibility review.</w:t>
      </w:r>
    </w:p>
    <w:p>
      <w:pPr>
        <w:pStyle w:val="Heading2"/>
        <w:keepNext/>
        <w:spacing w:before="160" w:after="80" w:line="264" w:lineRule="auto"/>
      </w:pPr>
      <w:r>
        <w:rPr>
          <w:rFonts w:ascii="Arial" w:hAnsi="Arial"/>
        </w:rPr>
        <w:t>5.3 Tailwinds and headwinds</w:t>
      </w:r>
    </w:p>
    <w:tbl>
      <w:tblPr>
        <w:tblW w:type="auto" w:w="0"/>
        <w:jc w:val="center"/>
        <w:tblLook w:firstColumn="1" w:firstRow="1" w:lastColumn="0" w:lastRow="0" w:noHBand="0" w:noVBand="1" w:val="04A0"/>
        <w:tblLayout w:type="fixed"/>
        <w:tblW w:type="dxa" w:w="9906"/>
      </w:tblPr>
      <w:tblGrid>
        <w:gridCol w:w="5367"/>
        <w:gridCol w:w="4538"/>
      </w:tblGrid>
      <w:tr>
        <w:trPr>
          <w:tblHeader/>
        </w:trPr>
        <w:tc>
          <w:tcPr>
            <w:tcW w:type="dxa" w:w="5367"/>
            <w:tcW w:type="dxa" w:w="5367"/>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Tailwinds</w:t>
            </w:r>
          </w:p>
        </w:tc>
        <w:tc>
          <w:tcPr>
            <w:tcW w:type="dxa" w:w="4538"/>
            <w:tcW w:type="dxa" w:w="4538"/>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Headwinds</w:t>
            </w:r>
          </w:p>
        </w:tc>
      </w:tr>
      <w:tr>
        <w:trPr>
          <w:cantSplit/>
        </w:trPr>
        <w:tc>
          <w:tcPr>
            <w:tcW w:type="dxa" w:w="5367"/>
            <w:tcW w:type="dxa" w:w="536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Domestic monopoly to 2045; no China or FX exposure</w:t>
            </w:r>
          </w:p>
        </w:tc>
        <w:tc>
          <w:tcPr>
            <w:tcW w:type="dxa" w:w="4538"/>
            <w:tcW w:type="dxa" w:w="453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Renovation of 41% of rooms until Nov-27 to Apr-28</w:t>
            </w:r>
          </w:p>
        </w:tc>
      </w:tr>
      <w:tr>
        <w:trPr>
          <w:cantSplit/>
        </w:trPr>
        <w:tc>
          <w:tcPr>
            <w:tcW w:type="dxa" w:w="5367"/>
            <w:tcW w:type="dxa" w:w="536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Permitted capacity +25% tables and +18% machines once the second casino opens (~2028)</w:t>
            </w:r>
          </w:p>
        </w:tc>
        <w:tc>
          <w:tcPr>
            <w:tcW w:type="dxa" w:w="4538"/>
            <w:tcW w:type="dxa" w:w="453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AML due-diligence rule (company: −25.8% revenue)</w:t>
            </w:r>
          </w:p>
        </w:tc>
      </w:tr>
      <w:tr>
        <w:trPr>
          <w:cantSplit/>
        </w:trPr>
        <w:tc>
          <w:tcPr>
            <w:tcW w:type="dxa" w:w="5367"/>
            <w:tcW w:type="dxa" w:w="536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Higher VIP bet limits (May-2025); "regulatory reform year" asks (time-based entry, mass limit KRW300k → 1m)</w:t>
            </w:r>
          </w:p>
        </w:tc>
        <w:tc>
          <w:tcPr>
            <w:tcW w:type="dxa" w:w="4538"/>
            <w:tcW w:type="dxa" w:w="453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15% tourism-levy bracket (applicability disputed); 5-year licence renewal</w:t>
            </w:r>
          </w:p>
        </w:tc>
      </w:tr>
      <w:tr>
        <w:trPr>
          <w:cantSplit/>
        </w:trPr>
        <w:tc>
          <w:tcPr>
            <w:tcW w:type="dxa" w:w="5367"/>
            <w:tcW w:type="dxa" w:w="536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Value-Up plan met; separate dividend taxation (2026-28)</w:t>
            </w:r>
          </w:p>
        </w:tc>
        <w:tc>
          <w:tcPr>
            <w:tcW w:type="dxa" w:w="4538"/>
            <w:tcW w:type="dxa" w:w="453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Political CEO; "C" evaluation grades; criticism of bonuses and comps</w:t>
            </w:r>
          </w:p>
        </w:tc>
      </w:tr>
      <w:tr>
        <w:trPr>
          <w:cantSplit/>
        </w:trPr>
        <w:tc>
          <w:tcPr>
            <w:tcW w:type="dxa" w:w="5367"/>
            <w:tcW w:type="dxa" w:w="536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Commercial Act: cumulative voting, 3% audit-committee cap, treasury cancellation</w:t>
            </w:r>
          </w:p>
        </w:tc>
        <w:tc>
          <w:tcPr>
            <w:tcW w:type="dxa" w:w="4538"/>
            <w:tcW w:type="dxa" w:w="453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Aug-2026 EGM allowed treasury shares to be retained or sold</w:t>
            </w:r>
          </w:p>
        </w:tc>
      </w:tr>
      <w:tr>
        <w:trPr>
          <w:cantSplit/>
        </w:trPr>
        <w:tc>
          <w:tcPr>
            <w:tcW w:type="dxa" w:w="5367"/>
            <w:tcW w:type="dxa" w:w="536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KOMIR's negative equity creates a cash need aligned with dividends</w:t>
            </w:r>
          </w:p>
        </w:tc>
        <w:tc>
          <w:tcPr>
            <w:tcW w:type="dxa" w:w="4538"/>
            <w:tcW w:type="dxa" w:w="453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K-HIT ~KRW3tn capex; feasibility exemption sought</w:t>
            </w:r>
          </w:p>
        </w:tc>
      </w:tr>
      <w:tr>
        <w:trPr>
          <w:cantSplit/>
        </w:trPr>
        <w:tc>
          <w:tcPr>
            <w:tcW w:type="dxa" w:w="5367"/>
            <w:tcW w:type="dxa" w:w="536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Market already prices zero for the casino</w:t>
            </w:r>
          </w:p>
        </w:tc>
        <w:tc>
          <w:tcPr>
            <w:tcW w:type="dxa" w:w="4538"/>
            <w:tcW w:type="dxa" w:w="453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"Public casino" / Saemangeum debate; 2045 sunset</w:t>
            </w:r>
          </w:p>
        </w:tc>
      </w:tr>
    </w:tbl>
    <w:p>
      <w:pPr>
        <w:spacing w:before="0" w:after="40" w:line="240" w:lineRule="auto"/>
      </w:pPr>
    </w:p>
    <w:p>
      <w:pPr>
        <w:pStyle w:val="Heading1"/>
        <w:pageBreakBefore/>
        <w:spacing w:before="0" w:after="120" w:line="264" w:lineRule="auto"/>
      </w:pPr>
      <w:r>
        <w:rPr>
          <w:rFonts w:ascii="Arial" w:hAnsi="Arial"/>
        </w:rPr>
        <w:t>6. Competitive Position and Economic Moats</w:t>
      </w:r>
    </w:p>
    <w:p>
      <w:pPr>
        <w:pStyle w:val="Heading2"/>
        <w:keepNext/>
        <w:spacing w:before="160" w:after="80" w:line="264" w:lineRule="auto"/>
      </w:pPr>
      <w:r>
        <w:rPr>
          <w:rFonts w:ascii="Arial" w:hAnsi="Arial"/>
        </w:rPr>
        <w:t>6.1 Product strength vs competitors</w:t>
      </w:r>
    </w:p>
    <w:p>
      <w:pPr>
        <w:spacing w:before="0" w:after="50" w:line="276" w:lineRule="auto"/>
        <w:ind w:left="360" w:hanging="245"/>
      </w:pPr>
      <w:r>
        <w:rPr>
          <w:rFonts w:ascii="Arial" w:hAnsi="Arial"/>
          <w:color w:val="2E74B5"/>
          <w:sz w:val="16"/>
        </w:rPr>
        <w:t xml:space="preserve">▪  </w:t>
      </w:r>
      <w:r>
        <w:rPr>
          <w:rFonts w:ascii="Arial" w:hAnsi="Arial"/>
          <w:b/>
          <w:sz w:val="19"/>
        </w:rPr>
        <w:t>Perceived value.</w:t>
      </w:r>
      <w:r>
        <w:rPr>
          <w:rFonts w:ascii="Arial" w:hAnsi="Arial"/>
          <w:sz w:val="19"/>
        </w:rPr>
        <w:t xml:space="preserve"> For a Korean who wants to gamble legally in a casino, there is no domestic alternative. The product is a mass-market mountain resort, not a luxury integrated resort. It competes on legality and access, not on quality, against Macau, Manila and illegal online sites.</w:t>
      </w:r>
    </w:p>
    <w:p>
      <w:pPr>
        <w:spacing w:before="0" w:after="50" w:line="276" w:lineRule="auto"/>
        <w:ind w:left="360" w:hanging="245"/>
      </w:pPr>
      <w:r>
        <w:rPr>
          <w:rFonts w:ascii="Arial" w:hAnsi="Arial"/>
          <w:color w:val="2E74B5"/>
          <w:sz w:val="16"/>
        </w:rPr>
        <w:t xml:space="preserve">▪  </w:t>
      </w:r>
      <w:r>
        <w:rPr>
          <w:rFonts w:ascii="Arial" w:hAnsi="Arial"/>
          <w:b/>
          <w:sz w:val="19"/>
        </w:rPr>
        <w:t>Branding.</w:t>
      </w:r>
      <w:r>
        <w:rPr>
          <w:rFonts w:ascii="Arial" w:hAnsi="Arial"/>
          <w:sz w:val="19"/>
        </w:rPr>
        <w:t xml:space="preserve"> "High1" is a strong domestic leisure brand, but the casino brand also carries a stigma: addiction, the ruin of local towns, and the 2013 hiring scandal.</w:t>
      </w:r>
    </w:p>
    <w:p>
      <w:pPr>
        <w:spacing w:before="0" w:after="50" w:line="276" w:lineRule="auto"/>
        <w:ind w:left="360" w:hanging="245"/>
      </w:pPr>
      <w:r>
        <w:rPr>
          <w:rFonts w:ascii="Arial" w:hAnsi="Arial"/>
          <w:color w:val="2E74B5"/>
          <w:sz w:val="16"/>
        </w:rPr>
        <w:t xml:space="preserve">▪  </w:t>
      </w:r>
      <w:r>
        <w:rPr>
          <w:rFonts w:ascii="Arial" w:hAnsi="Arial"/>
          <w:b/>
          <w:sz w:val="19"/>
        </w:rPr>
        <w:t>Marketing.</w:t>
      </w:r>
      <w:r>
        <w:rPr>
          <w:rFonts w:ascii="Arial" w:hAnsi="Arial"/>
          <w:sz w:val="19"/>
        </w:rPr>
        <w:t xml:space="preserve"> Comps worth more than KRW100bn accrue each year; lawmakers want them spent locally. Marketing is constrained by addiction-prevention rules and the sales cap.</w:t>
      </w:r>
    </w:p>
    <w:p>
      <w:pPr>
        <w:spacing w:before="0" w:after="50" w:line="276" w:lineRule="auto"/>
        <w:ind w:left="360" w:hanging="245"/>
      </w:pPr>
      <w:r>
        <w:rPr>
          <w:rFonts w:ascii="Arial" w:hAnsi="Arial"/>
          <w:color w:val="2E74B5"/>
          <w:sz w:val="16"/>
        </w:rPr>
        <w:t xml:space="preserve">▪  </w:t>
      </w:r>
      <w:r>
        <w:rPr>
          <w:rFonts w:ascii="Arial" w:hAnsi="Arial"/>
          <w:b/>
          <w:sz w:val="19"/>
        </w:rPr>
        <w:t>Versus foreigner-only casinos.</w:t>
      </w:r>
      <w:r>
        <w:rPr>
          <w:rFonts w:ascii="Arial" w:hAnsi="Arial"/>
          <w:sz w:val="19"/>
        </w:rPr>
        <w:t xml:space="preserve"> Kangwon Land has a captive domestic market and no China risk, while Paradise and GKL depend on Chinese and Japanese VIPs. But the government takes far more from Kangwon Land: 42% of gaming revenue, against ~6.5% at the foreigner-only casinos (NGCC, 2025).</w:t>
      </w:r>
    </w:p>
    <w:p>
      <w:pPr>
        <w:pStyle w:val="Heading2"/>
        <w:keepNext/>
        <w:spacing w:before="160" w:after="80" w:line="264" w:lineRule="auto"/>
      </w:pPr>
      <w:r>
        <w:rPr>
          <w:rFonts w:ascii="Arial" w:hAnsi="Arial"/>
        </w:rPr>
        <w:t>6.2 Moat scorecard</w:t>
      </w:r>
    </w:p>
    <w:tbl>
      <w:tblPr>
        <w:tblW w:type="auto" w:w="0"/>
        <w:jc w:val="center"/>
        <w:tblLook w:firstColumn="1" w:firstRow="1" w:lastColumn="0" w:lastRow="0" w:noHBand="0" w:noVBand="1" w:val="04A0"/>
        <w:tblLayout w:type="fixed"/>
        <w:tblW w:type="dxa" w:w="9906"/>
      </w:tblPr>
      <w:tblGrid>
        <w:gridCol w:w="1566"/>
        <w:gridCol w:w="1378"/>
        <w:gridCol w:w="3282"/>
        <w:gridCol w:w="3678"/>
      </w:tblGrid>
      <w:tr>
        <w:trPr>
          <w:tblHeader/>
        </w:trPr>
        <w:tc>
          <w:tcPr>
            <w:tcW w:type="dxa" w:w="1566"/>
            <w:tcW w:type="dxa" w:w="1566"/>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Moat category</w:t>
            </w:r>
          </w:p>
        </w:tc>
        <w:tc>
          <w:tcPr>
            <w:tcW w:type="dxa" w:w="1378"/>
            <w:tcW w:type="dxa" w:w="1378"/>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Rating</w:t>
            </w:r>
          </w:p>
        </w:tc>
        <w:tc>
          <w:tcPr>
            <w:tcW w:type="dxa" w:w="3282"/>
            <w:tcW w:type="dxa" w:w="3282"/>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Evidence for</w:t>
            </w:r>
          </w:p>
        </w:tc>
        <w:tc>
          <w:tcPr>
            <w:tcW w:type="dxa" w:w="3678"/>
            <w:tcW w:type="dxa" w:w="3678"/>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Evidence against</w:t>
            </w:r>
          </w:p>
        </w:tc>
      </w:tr>
      <w:tr>
        <w:trPr>
          <w:cantSplit/>
        </w:trPr>
        <w:tc>
          <w:tcPr>
            <w:tcW w:type="dxa" w:w="1566"/>
            <w:tcW w:type="dxa" w:w="1566"/>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b/>
                <w:sz w:val="15"/>
              </w:rPr>
              <w:t>Brand</w:t>
            </w:r>
          </w:p>
        </w:tc>
        <w:tc>
          <w:tcPr>
            <w:tcW w:type="dxa" w:w="1378"/>
            <w:tcW w:type="dxa" w:w="1378"/>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sz w:val="15"/>
              </w:rPr>
              <w:t>Moderate</w:t>
            </w:r>
          </w:p>
        </w:tc>
        <w:tc>
          <w:tcPr>
            <w:tcW w:type="dxa" w:w="3282"/>
            <w:tcW w:type="dxa" w:w="3282"/>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sz w:val="15"/>
              </w:rPr>
              <w:t>"High1" known nationally; 2.4m casino visits a year [e]</w:t>
            </w:r>
          </w:p>
        </w:tc>
        <w:tc>
          <w:tcPr>
            <w:tcW w:type="dxa" w:w="3678"/>
            <w:tcW w:type="dxa" w:w="3678"/>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sz w:val="15"/>
              </w:rPr>
              <w:t>Stigma; no premium positioning</w:t>
            </w:r>
          </w:p>
        </w:tc>
      </w:tr>
      <w:tr>
        <w:trPr>
          <w:cantSplit/>
        </w:trPr>
        <w:tc>
          <w:tcPr>
            <w:tcW w:type="dxa" w:w="1566"/>
            <w:tcW w:type="dxa" w:w="1566"/>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b/>
                <w:sz w:val="15"/>
              </w:rPr>
              <w:t>Hard assets</w:t>
            </w:r>
          </w:p>
        </w:tc>
        <w:tc>
          <w:tcPr>
            <w:tcW w:type="dxa" w:w="1378"/>
            <w:tcW w:type="dxa" w:w="1378"/>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sz w:val="15"/>
              </w:rPr>
              <w:t>Moderate</w:t>
            </w:r>
          </w:p>
        </w:tc>
        <w:tc>
          <w:tcPr>
            <w:tcW w:type="dxa" w:w="3282"/>
            <w:tcW w:type="dxa" w:w="3282"/>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sz w:val="15"/>
              </w:rPr>
              <w:t>Large integrated site (casino, ~1,850 rooms, ski, golf, water park) built over 25 years; land and infrastructure in place</w:t>
            </w:r>
          </w:p>
        </w:tc>
        <w:tc>
          <w:tcPr>
            <w:tcW w:type="dxa" w:w="3678"/>
            <w:tcW w:type="dxa" w:w="3678"/>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sz w:val="15"/>
              </w:rPr>
              <w:t>Remote location (~3 hours from Seoul); ageing hotels need ~KRW200bn of renovation now</w:t>
            </w:r>
          </w:p>
        </w:tc>
      </w:tr>
      <w:tr>
        <w:trPr>
          <w:cantSplit/>
        </w:trPr>
        <w:tc>
          <w:tcPr>
            <w:tcW w:type="dxa" w:w="1566"/>
            <w:tcW w:type="dxa" w:w="1566"/>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b/>
                <w:sz w:val="15"/>
              </w:rPr>
              <w:t>Long-term contracts / licence</w:t>
            </w:r>
          </w:p>
        </w:tc>
        <w:tc>
          <w:tcPr>
            <w:tcW w:type="dxa" w:w="1378"/>
            <w:tcW w:type="dxa" w:w="1378"/>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sz w:val="15"/>
              </w:rPr>
              <w:t>Strong</w:t>
            </w:r>
          </w:p>
        </w:tc>
        <w:tc>
          <w:tcPr>
            <w:tcW w:type="dxa" w:w="3282"/>
            <w:tcW w:type="dxa" w:w="3282"/>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sz w:val="15"/>
              </w:rPr>
              <w:t>Statutory Korean-access exception to 2045</w:t>
            </w:r>
          </w:p>
        </w:tc>
        <w:tc>
          <w:tcPr>
            <w:tcW w:type="dxa" w:w="3678"/>
            <w:tcW w:type="dxa" w:w="3678"/>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sz w:val="15"/>
              </w:rPr>
              <w:t>Licence conditions can be tightened at renewal (2018 hours and tables cut); 5-year renewal proposed</w:t>
            </w:r>
          </w:p>
        </w:tc>
      </w:tr>
      <w:tr>
        <w:trPr>
          <w:cantSplit/>
        </w:trPr>
        <w:tc>
          <w:tcPr>
            <w:tcW w:type="dxa" w:w="1566"/>
            <w:tcW w:type="dxa" w:w="1566"/>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b/>
                <w:sz w:val="15"/>
              </w:rPr>
              <w:t>Network effect</w:t>
            </w:r>
          </w:p>
        </w:tc>
        <w:tc>
          <w:tcPr>
            <w:tcW w:type="dxa" w:w="1378"/>
            <w:tcW w:type="dxa" w:w="1378"/>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sz w:val="15"/>
              </w:rPr>
              <w:t>Weak</w:t>
            </w:r>
          </w:p>
        </w:tc>
        <w:tc>
          <w:tcPr>
            <w:tcW w:type="dxa" w:w="3282"/>
            <w:tcW w:type="dxa" w:w="3282"/>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sz w:val="15"/>
              </w:rPr>
              <w:t>None of substance</w:t>
            </w:r>
          </w:p>
        </w:tc>
        <w:tc>
          <w:tcPr>
            <w:tcW w:type="dxa" w:w="3678"/>
            <w:tcW w:type="dxa" w:w="3678"/>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sz w:val="15"/>
              </w:rPr>
              <w:t>—</w:t>
            </w:r>
          </w:p>
        </w:tc>
      </w:tr>
      <w:tr>
        <w:trPr>
          <w:cantSplit/>
        </w:trPr>
        <w:tc>
          <w:tcPr>
            <w:tcW w:type="dxa" w:w="1566"/>
            <w:tcW w:type="dxa" w:w="1566"/>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b/>
                <w:sz w:val="15"/>
              </w:rPr>
              <w:t>Regulatory and switching costs</w:t>
            </w:r>
          </w:p>
        </w:tc>
        <w:tc>
          <w:tcPr>
            <w:tcW w:type="dxa" w:w="1378"/>
            <w:tcW w:type="dxa" w:w="1378"/>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sz w:val="15"/>
              </w:rPr>
              <w:t>Strong (regulatory) / Weak (switching)</w:t>
            </w:r>
          </w:p>
        </w:tc>
        <w:tc>
          <w:tcPr>
            <w:tcW w:type="dxa" w:w="3282"/>
            <w:tcW w:type="dxa" w:w="3282"/>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sz w:val="15"/>
              </w:rPr>
              <w:t>The only legal option for Korean nationals; new entry needs a special act</w:t>
            </w:r>
          </w:p>
        </w:tc>
        <w:tc>
          <w:tcPr>
            <w:tcW w:type="dxa" w:w="3678"/>
            <w:tcW w:type="dxa" w:w="3678"/>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sz w:val="15"/>
              </w:rPr>
              <w:t>Customers can switch to illegal online (KRW95.9tn market) or overseas casinos</w:t>
            </w:r>
          </w:p>
        </w:tc>
      </w:tr>
      <w:tr>
        <w:trPr>
          <w:cantSplit/>
        </w:trPr>
        <w:tc>
          <w:tcPr>
            <w:tcW w:type="dxa" w:w="1566"/>
            <w:tcW w:type="dxa" w:w="1566"/>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b/>
                <w:sz w:val="15"/>
              </w:rPr>
              <w:t>Oligopolistic / monopolistic industry</w:t>
            </w:r>
          </w:p>
        </w:tc>
        <w:tc>
          <w:tcPr>
            <w:tcW w:type="dxa" w:w="1378"/>
            <w:tcW w:type="dxa" w:w="1378"/>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sz w:val="15"/>
              </w:rPr>
              <w:t>Strong</w:t>
            </w:r>
          </w:p>
        </w:tc>
        <w:tc>
          <w:tcPr>
            <w:tcW w:type="dxa" w:w="3282"/>
            <w:tcW w:type="dxa" w:w="3282"/>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sz w:val="15"/>
              </w:rPr>
              <w:t>Monopoly in its legal segment</w:t>
            </w:r>
          </w:p>
        </w:tc>
        <w:tc>
          <w:tcPr>
            <w:tcW w:type="dxa" w:w="3678"/>
            <w:tcW w:type="dxa" w:w="3678"/>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sz w:val="15"/>
              </w:rPr>
              <w:t>A Saemangeum or "public casino" with Korean access would break it</w:t>
            </w:r>
          </w:p>
        </w:tc>
      </w:tr>
      <w:tr>
        <w:trPr>
          <w:cantSplit/>
        </w:trPr>
        <w:tc>
          <w:tcPr>
            <w:tcW w:type="dxa" w:w="1566"/>
            <w:tcW w:type="dxa" w:w="1566"/>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b/>
                <w:sz w:val="15"/>
              </w:rPr>
              <w:t>Cash-flow predictability</w:t>
            </w:r>
          </w:p>
        </w:tc>
        <w:tc>
          <w:tcPr>
            <w:tcW w:type="dxa" w:w="1378"/>
            <w:tcW w:type="dxa" w:w="1378"/>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sz w:val="15"/>
              </w:rPr>
              <w:t>Moderate</w:t>
            </w:r>
          </w:p>
        </w:tc>
        <w:tc>
          <w:tcPr>
            <w:tcW w:type="dxa" w:w="3282"/>
            <w:tcW w:type="dxa" w:w="3282"/>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sz w:val="15"/>
              </w:rPr>
              <w:t>Mass-market drop is stable; FY23-25 revenue KRW1.39-1.48tn</w:t>
            </w:r>
          </w:p>
        </w:tc>
        <w:tc>
          <w:tcPr>
            <w:tcW w:type="dxa" w:w="3678"/>
            <w:tcW w:type="dxa" w:w="3678"/>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sz w:val="15"/>
              </w:rPr>
              <w:t>Policy shocks (hours cut 2018, mine-fund change 2021, COVID closure 2020: OP −KRW432bn)</w:t>
            </w:r>
          </w:p>
        </w:tc>
      </w:tr>
      <w:tr>
        <w:trPr>
          <w:cantSplit/>
        </w:trPr>
        <w:tc>
          <w:tcPr>
            <w:tcW w:type="dxa" w:w="1566"/>
            <w:tcW w:type="dxa" w:w="1566"/>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b/>
                <w:sz w:val="15"/>
              </w:rPr>
              <w:t>Scalability</w:t>
            </w:r>
          </w:p>
        </w:tc>
        <w:tc>
          <w:tcPr>
            <w:tcW w:type="dxa" w:w="1378"/>
            <w:tcW w:type="dxa" w:w="1378"/>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sz w:val="15"/>
              </w:rPr>
              <w:t>Weak to moderate</w:t>
            </w:r>
          </w:p>
        </w:tc>
        <w:tc>
          <w:tcPr>
            <w:tcW w:type="dxa" w:w="3282"/>
            <w:tcW w:type="dxa" w:w="3282"/>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sz w:val="15"/>
              </w:rPr>
              <w:t>Permit for +25% tables; K-HIT targets a doubling of revenue</w:t>
            </w:r>
          </w:p>
        </w:tc>
        <w:tc>
          <w:tcPr>
            <w:tcW w:type="dxa" w:w="3678"/>
            <w:tcW w:type="dxa" w:w="3678"/>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sz w:val="15"/>
              </w:rPr>
              <w:t>Sales cap, entry limits and addiction policy cap growth; returns on K-HIT doubtful</w:t>
            </w:r>
          </w:p>
        </w:tc>
      </w:tr>
      <w:tr>
        <w:trPr>
          <w:cantSplit/>
        </w:trPr>
        <w:tc>
          <w:tcPr>
            <w:tcW w:type="dxa" w:w="1566"/>
            <w:tcW w:type="dxa" w:w="1566"/>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b/>
                <w:sz w:val="15"/>
              </w:rPr>
              <w:t>Risk / history of government interference</w:t>
            </w:r>
          </w:p>
        </w:tc>
        <w:tc>
          <w:tcPr>
            <w:tcW w:type="dxa" w:w="1378"/>
            <w:tcW w:type="dxa" w:w="1378"/>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sz w:val="15"/>
              </w:rPr>
              <w:t>Weak (high risk)</w:t>
            </w:r>
          </w:p>
        </w:tc>
        <w:tc>
          <w:tcPr>
            <w:tcW w:type="dxa" w:w="3282"/>
            <w:tcW w:type="dxa" w:w="3282"/>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sz w:val="15"/>
              </w:rPr>
              <w:t>Government extended the Act to 2045; Value-Up supported</w:t>
            </w:r>
          </w:p>
        </w:tc>
        <w:tc>
          <w:tcPr>
            <w:tcW w:type="dxa" w:w="3678"/>
            <w:tcW w:type="dxa" w:w="3678"/>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sz w:val="15"/>
              </w:rPr>
              <w:t>Hours and table cuts (2018), mine-fund change (2021), levy proposals (2026), AML (2026), political CEOs, regional projects imposed on the company</w:t>
            </w:r>
          </w:p>
        </w:tc>
      </w:tr>
      <w:tr>
        <w:trPr>
          <w:cantSplit/>
        </w:trPr>
        <w:tc>
          <w:tcPr>
            <w:tcW w:type="dxa" w:w="1566"/>
            <w:tcW w:type="dxa" w:w="1566"/>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b/>
                <w:sz w:val="15"/>
              </w:rPr>
              <w:t>Bargaining power over stakeholders</w:t>
            </w:r>
          </w:p>
        </w:tc>
        <w:tc>
          <w:tcPr>
            <w:tcW w:type="dxa" w:w="1378"/>
            <w:tcW w:type="dxa" w:w="1378"/>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sz w:val="15"/>
              </w:rPr>
              <w:t>Strong over customers / weak over the State</w:t>
            </w:r>
          </w:p>
        </w:tc>
        <w:tc>
          <w:tcPr>
            <w:tcW w:type="dxa" w:w="3282"/>
            <w:tcW w:type="dxa" w:w="3282"/>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sz w:val="15"/>
              </w:rPr>
              <w:t>Price-setter over captive customers (within limits)</w:t>
            </w:r>
          </w:p>
        </w:tc>
        <w:tc>
          <w:tcPr>
            <w:tcW w:type="dxa" w:w="3678"/>
            <w:tcW w:type="dxa" w:w="3678"/>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sz w:val="15"/>
              </w:rPr>
              <w:t>The State sets capacity, prices (taxes) and management; labour well organised</w:t>
            </w:r>
          </w:p>
        </w:tc>
      </w:tr>
    </w:tbl>
    <w:p>
      <w:pPr>
        <w:spacing w:before="0" w:after="40" w:line="240" w:lineRule="auto"/>
      </w:pPr>
    </w:p>
    <w:p>
      <w:pPr>
        <w:spacing w:before="0" w:after="100" w:line="288" w:lineRule="auto"/>
      </w:pPr>
      <w:r>
        <w:rPr>
          <w:rFonts w:ascii="Arial" w:hAnsi="Arial"/>
          <w:b/>
          <w:sz w:val="19"/>
        </w:rPr>
        <w:t>Verdict: a wide but government-owned moat.</w:t>
      </w:r>
      <w:r>
        <w:rPr>
          <w:rFonts w:ascii="Arial" w:hAnsi="Arial"/>
          <w:sz w:val="19"/>
        </w:rPr>
        <w:t xml:space="preserve"> Exclusivity is legally protected to 2045, but the State captures most of the economic rent through levies and taxes, and could reallocate the rest (higher levies, regional capex, a second Korean-access casino). The moat protects the business but not the minority shareholder. That is why the value case rests on the balance sheet and on payout policy rather than on growth.</w:t>
      </w:r>
    </w:p>
    <w:p>
      <w:pPr>
        <w:pStyle w:val="Heading1"/>
        <w:pageBreakBefore/>
        <w:spacing w:before="0" w:after="120" w:line="264" w:lineRule="auto"/>
      </w:pPr>
      <w:r>
        <w:rPr>
          <w:rFonts w:ascii="Arial" w:hAnsi="Arial"/>
        </w:rPr>
        <w:t>7. Supply Chain Map: From Upstream Inputs to the End Customer</w:t>
      </w:r>
    </w:p>
    <w:p>
      <w:pPr>
        <w:keepNext/>
        <w:spacing w:before="80" w:after="40" w:line="240" w:lineRule="auto"/>
        <w:jc w:val="center"/>
      </w:pPr>
      <w:r>
        <w:drawing>
          <wp:inline xmlns:a="http://schemas.openxmlformats.org/drawingml/2006/main" xmlns:pic="http://schemas.openxmlformats.org/drawingml/2006/picture">
            <wp:extent cx="6400800" cy="3490120"/>
            <wp:docPr id="1" name="Picture 1"/>
            <wp:cNvGraphicFramePr>
              <a:graphicFrameLocks noChangeAspect="1"/>
            </wp:cNvGraphicFramePr>
            <a:graphic>
              <a:graphicData uri="http://schemas.openxmlformats.org/drawingml/2006/picture">
                <pic:pic>
                  <pic:nvPicPr>
                    <pic:cNvPr id="0" name="supply_chain.png"/>
                    <pic:cNvPicPr/>
                  </pic:nvPicPr>
                  <pic:blipFill>
                    <a:blip r:embed="rId11"/>
                    <a:stretch>
                      <a:fillRect/>
                    </a:stretch>
                  </pic:blipFill>
                  <pic:spPr>
                    <a:xfrm>
                      <a:off x="0" y="0"/>
                      <a:ext cx="6400800" cy="3490120"/>
                    </a:xfrm>
                    <a:prstGeom prst="rect"/>
                  </pic:spPr>
                </pic:pic>
              </a:graphicData>
            </a:graphic>
          </wp:inline>
        </w:drawing>
      </w:r>
    </w:p>
    <w:p>
      <w:pPr>
        <w:spacing w:before="0" w:after="120" w:line="240" w:lineRule="auto"/>
      </w:pPr>
      <w:r>
        <w:rPr>
          <w:rFonts w:ascii="Arial" w:hAnsi="Arial"/>
          <w:i/>
          <w:color w:val="5A6270"/>
          <w:sz w:val="15"/>
        </w:rPr>
        <w:t>Figure: Kangwon Land supply-chain and stakeholder map. Source: company IR, MCST/NGCC, press; [u] = vendors not disclosed in our sources.</w:t>
      </w:r>
    </w:p>
    <w:tbl>
      <w:tblPr>
        <w:tblW w:type="auto" w:w="0"/>
        <w:jc w:val="center"/>
        <w:tblLook w:firstColumn="1" w:firstRow="1" w:lastColumn="0" w:lastRow="0" w:noHBand="0" w:noVBand="1" w:val="04A0"/>
        <w:tblLayout w:type="fixed"/>
        <w:tblW w:type="dxa" w:w="9906"/>
      </w:tblPr>
      <w:tblGrid>
        <w:gridCol w:w="1837"/>
        <w:gridCol w:w="2299"/>
        <w:gridCol w:w="5768"/>
      </w:tblGrid>
      <w:tr>
        <w:trPr>
          <w:tblHeader/>
        </w:trPr>
        <w:tc>
          <w:tcPr>
            <w:tcW w:type="dxa" w:w="1837"/>
            <w:tcW w:type="dxa" w:w="1837"/>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Stage</w:t>
            </w:r>
          </w:p>
        </w:tc>
        <w:tc>
          <w:tcPr>
            <w:tcW w:type="dxa" w:w="2299"/>
            <w:tcW w:type="dxa" w:w="2299"/>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Role</w:t>
            </w:r>
          </w:p>
        </w:tc>
        <w:tc>
          <w:tcPr>
            <w:tcW w:type="dxa" w:w="5768"/>
            <w:tcW w:type="dxa" w:w="5768"/>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Named counterparties</w:t>
            </w:r>
          </w:p>
        </w:tc>
      </w:tr>
      <w:tr>
        <w:trPr>
          <w:cantSplit/>
        </w:trPr>
        <w:tc>
          <w:tcPr>
            <w:tcW w:type="dxa" w:w="1837"/>
            <w:tcW w:type="dxa" w:w="183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1. Owners and State</w:t>
            </w:r>
          </w:p>
        </w:tc>
        <w:tc>
          <w:tcPr>
            <w:tcW w:type="dxa" w:w="2299"/>
            <w:tcW w:type="dxa" w:w="229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Control, CEO and director appointments</w:t>
            </w:r>
          </w:p>
        </w:tc>
        <w:tc>
          <w:tcPr>
            <w:tcW w:type="dxa" w:w="5768"/>
            <w:tcW w:type="dxa" w:w="576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KOMIR 36.27% (negative equity −KRW3.16tn); Jeongseon 5.02%, Gangwon Development Corp 4.57%, Gangwon Province 1.45% [u], Samcheok 1.33%, Taebaek 1.30%, Yeongwol 1.08%; MOTIE and the President (CEO), MOEF (non-standing directors, evaluations)</w:t>
            </w:r>
          </w:p>
        </w:tc>
      </w:tr>
      <w:tr>
        <w:trPr>
          <w:cantSplit/>
        </w:trPr>
        <w:tc>
          <w:tcPr>
            <w:tcW w:type="dxa" w:w="1837"/>
            <w:tcW w:type="dxa" w:w="183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2. Capital providers</w:t>
            </w:r>
          </w:p>
        </w:tc>
        <w:tc>
          <w:tcPr>
            <w:tcW w:type="dxa" w:w="2299"/>
            <w:tcW w:type="dxa" w:w="229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Equity only; no meaningful debt</w:t>
            </w:r>
          </w:p>
        </w:tc>
        <w:tc>
          <w:tcPr>
            <w:tcW w:type="dxa" w:w="5768"/>
            <w:tcW w:type="dxa" w:w="576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Minority holders ~41.6% (NPS ~6.1%, foreigners ~12% [u], domestic institutions and retail); treasury 7.36%</w:t>
            </w:r>
          </w:p>
        </w:tc>
      </w:tr>
      <w:tr>
        <w:trPr>
          <w:cantSplit/>
        </w:trPr>
        <w:tc>
          <w:tcPr>
            <w:tcW w:type="dxa" w:w="1837"/>
            <w:tcW w:type="dxa" w:w="183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3. Licences and rules</w:t>
            </w:r>
          </w:p>
        </w:tc>
        <w:tc>
          <w:tcPr>
            <w:tcW w:type="dxa" w:w="2299"/>
            <w:tcW w:type="dxa" w:w="229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Permission to operate</w:t>
            </w:r>
          </w:p>
        </w:tc>
        <w:tc>
          <w:tcPr>
            <w:tcW w:type="dxa" w:w="5768"/>
            <w:tcW w:type="dxa" w:w="576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MCST (licence, permits, bet limits), NGCC (sales cap), FIU (AML), Special Act (to 2045)</w:t>
            </w:r>
          </w:p>
        </w:tc>
      </w:tr>
      <w:tr>
        <w:trPr>
          <w:cantSplit/>
        </w:trPr>
        <w:tc>
          <w:tcPr>
            <w:tcW w:type="dxa" w:w="1837"/>
            <w:tcW w:type="dxa" w:w="183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4. Construction and capex</w:t>
            </w:r>
          </w:p>
        </w:tc>
        <w:tc>
          <w:tcPr>
            <w:tcW w:type="dxa" w:w="2299"/>
            <w:tcW w:type="dxa" w:w="229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Renovation, second casino, K-HIT</w:t>
            </w:r>
          </w:p>
        </w:tc>
        <w:tc>
          <w:tcPr>
            <w:tcW w:type="dxa" w:w="5768"/>
            <w:tcW w:type="dxa" w:w="576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Contractors not disclosed [u]; KRW200bn phase 1 (rooms, condo, cable car, parking); second casino KRW179.6bn</w:t>
            </w:r>
          </w:p>
        </w:tc>
      </w:tr>
      <w:tr>
        <w:trPr>
          <w:cantSplit/>
        </w:trPr>
        <w:tc>
          <w:tcPr>
            <w:tcW w:type="dxa" w:w="1837"/>
            <w:tcW w:type="dxa" w:w="183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5. Gaming equipment</w:t>
            </w:r>
          </w:p>
        </w:tc>
        <w:tc>
          <w:tcPr>
            <w:tcW w:type="dxa" w:w="2299"/>
            <w:tcW w:type="dxa" w:w="229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Slots, ETGs, tables, systems</w:t>
            </w:r>
          </w:p>
        </w:tc>
        <w:tc>
          <w:tcPr>
            <w:tcW w:type="dxa" w:w="5768"/>
            <w:tcW w:type="dxa" w:w="576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Global and Korean vendors [u]; in-house "KL Saberi" slot brand with local SMEs; entry-management and AI addiction-prevention systems (2026 core task)</w:t>
            </w:r>
          </w:p>
        </w:tc>
      </w:tr>
      <w:tr>
        <w:trPr>
          <w:cantSplit/>
        </w:trPr>
        <w:tc>
          <w:tcPr>
            <w:tcW w:type="dxa" w:w="1837"/>
            <w:tcW w:type="dxa" w:w="183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6. Labour and local supply</w:t>
            </w:r>
          </w:p>
        </w:tc>
        <w:tc>
          <w:tcPr>
            <w:tcW w:type="dxa" w:w="2299"/>
            <w:tcW w:type="dxa" w:w="229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Operations</w:t>
            </w:r>
          </w:p>
        </w:tc>
        <w:tc>
          <w:tcPr>
            <w:tcW w:type="dxa" w:w="5768"/>
            <w:tcW w:type="dxa" w:w="576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Unionised staff; local hiring; Gangwon F&amp;B and service suppliers [u]</w:t>
            </w:r>
          </w:p>
        </w:tc>
      </w:tr>
      <w:tr>
        <w:trPr>
          <w:cantSplit/>
        </w:trPr>
        <w:tc>
          <w:tcPr>
            <w:tcW w:type="dxa" w:w="1837"/>
            <w:tcW w:type="dxa" w:w="183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7. Access</w:t>
            </w:r>
          </w:p>
        </w:tc>
        <w:tc>
          <w:tcPr>
            <w:tcW w:type="dxa" w:w="2299"/>
            <w:tcW w:type="dxa" w:w="229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Bringing customers to the mountain</w:t>
            </w:r>
          </w:p>
        </w:tc>
        <w:tc>
          <w:tcPr>
            <w:tcW w:type="dxa" w:w="5768"/>
            <w:tcW w:type="dxa" w:w="576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Highways (~3 hours from Seoul); Taebaek-line rail (Gohan-Sabuk station) [u]; casino shuttles; OTAs for rooms</w:t>
            </w:r>
          </w:p>
        </w:tc>
      </w:tr>
      <w:tr>
        <w:trPr>
          <w:cantSplit/>
        </w:trPr>
        <w:tc>
          <w:tcPr>
            <w:tcW w:type="dxa" w:w="1837"/>
            <w:tcW w:type="dxa" w:w="183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8. Tax and fund collectors</w:t>
            </w:r>
          </w:p>
        </w:tc>
        <w:tc>
          <w:tcPr>
            <w:tcW w:type="dxa" w:w="2299"/>
            <w:tcW w:type="dxa" w:w="229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Government take</w:t>
            </w:r>
          </w:p>
        </w:tc>
        <w:tc>
          <w:tcPr>
            <w:tcW w:type="dxa" w:w="5768"/>
            <w:tcW w:type="dxa" w:w="576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Tourism Promotion and Development Fund (10%), Abandoned Mine Region Development Fund (13% of casino sales), National Tax Service, local governments: KRW603bn in 2025</w:t>
            </w:r>
          </w:p>
        </w:tc>
      </w:tr>
      <w:tr>
        <w:trPr>
          <w:cantSplit/>
        </w:trPr>
        <w:tc>
          <w:tcPr>
            <w:tcW w:type="dxa" w:w="1837"/>
            <w:tcW w:type="dxa" w:w="183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9. End customers</w:t>
            </w:r>
          </w:p>
        </w:tc>
        <w:tc>
          <w:tcPr>
            <w:tcW w:type="dxa" w:w="2299"/>
            <w:tcW w:type="dxa" w:w="229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Spend</w:t>
            </w:r>
          </w:p>
        </w:tc>
        <w:tc>
          <w:tcPr>
            <w:tcW w:type="dxa" w:w="5768"/>
            <w:tcW w:type="dxa" w:w="576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Korean mass and member players; leisure guests; a small foreigner zone</w:t>
            </w:r>
          </w:p>
        </w:tc>
      </w:tr>
    </w:tbl>
    <w:p>
      <w:pPr>
        <w:spacing w:before="0" w:after="40" w:line="240" w:lineRule="auto"/>
      </w:pPr>
    </w:p>
    <w:p>
      <w:pPr>
        <w:spacing w:before="0" w:after="100" w:line="288" w:lineRule="auto"/>
      </w:pPr>
      <w:r>
        <w:rPr>
          <w:rFonts w:ascii="Arial" w:hAnsi="Arial"/>
          <w:b/>
          <w:sz w:val="19"/>
        </w:rPr>
        <w:t>Where Kangwon Land sits:</w:t>
      </w:r>
      <w:r>
        <w:rPr>
          <w:rFonts w:ascii="Arial" w:hAnsi="Arial"/>
          <w:sz w:val="19"/>
        </w:rPr>
        <w:t xml:space="preserve"> it is a toll collector whose toll is set by the State. Its suppliers are commoditised and its customers are captive. The two parties with real bargaining power are the government (rules, levies, management) and, under the new Commercial Act, potentially the minority shareholders.</w:t>
      </w:r>
    </w:p>
    <w:p>
      <w:pPr>
        <w:pStyle w:val="Heading1"/>
        <w:pageBreakBefore/>
        <w:spacing w:before="0" w:after="120" w:line="264" w:lineRule="auto"/>
      </w:pPr>
      <w:r>
        <w:rPr>
          <w:rFonts w:ascii="Arial" w:hAnsi="Arial"/>
        </w:rPr>
        <w:t>8. Five-Year Financial Analysis by Division and Geography</w:t>
      </w:r>
    </w:p>
    <w:p>
      <w:pPr>
        <w:spacing w:before="0" w:after="100" w:line="288" w:lineRule="auto"/>
      </w:pPr>
      <w:r>
        <w:rPr>
          <w:rFonts w:ascii="Arial" w:hAnsi="Arial"/>
          <w:sz w:val="19"/>
        </w:rPr>
        <w:t>All figures are KRW bn, consolidated, fiscal years to 31 December, unless stated. Kangwon Land reports revenue split into casino and non-casino (hotel, condo, ski, golf, water park, other), but does not report segment profit. It has one geography (Korea).</w:t>
      </w:r>
    </w:p>
    <w:p>
      <w:pPr>
        <w:pStyle w:val="Heading2"/>
        <w:keepNext/>
        <w:spacing w:before="160" w:after="80" w:line="264" w:lineRule="auto"/>
      </w:pPr>
      <w:r>
        <w:rPr>
          <w:rFonts w:ascii="Arial" w:hAnsi="Arial"/>
        </w:rPr>
        <w:t>8.1 Group income statement, FY2021-FY2025 and LTM to Jun-2026</w:t>
      </w:r>
    </w:p>
    <w:tbl>
      <w:tblPr>
        <w:tblW w:type="auto" w:w="0"/>
        <w:jc w:val="center"/>
        <w:tblLook w:firstColumn="1" w:firstRow="1" w:lastColumn="0" w:lastRow="0" w:noHBand="0" w:noVBand="1" w:val="04A0"/>
        <w:tblLayout w:type="fixed"/>
        <w:tblW w:type="dxa" w:w="9906"/>
      </w:tblPr>
      <w:tblGrid>
        <w:gridCol w:w="1504"/>
        <w:gridCol w:w="529"/>
        <w:gridCol w:w="756"/>
        <w:gridCol w:w="605"/>
        <w:gridCol w:w="2724"/>
        <w:gridCol w:w="2043"/>
        <w:gridCol w:w="1286"/>
        <w:gridCol w:w="454"/>
      </w:tblGrid>
      <w:tr>
        <w:trPr>
          <w:tblHeader/>
        </w:trPr>
        <w:tc>
          <w:tcPr>
            <w:tcW w:type="dxa" w:w="1504"/>
            <w:tcW w:type="dxa" w:w="1504"/>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KRW bn</w:t>
            </w:r>
          </w:p>
        </w:tc>
        <w:tc>
          <w:tcPr>
            <w:tcW w:type="dxa" w:w="529"/>
            <w:tcW w:type="dxa" w:w="529"/>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right"/>
            </w:pPr>
            <w:r>
              <w:rPr>
                <w:rFonts w:ascii="Arial" w:hAnsi="Arial"/>
                <w:b/>
                <w:color w:val="FFFFFF"/>
                <w:sz w:val="15"/>
              </w:rPr>
              <w:t>FY2021</w:t>
            </w:r>
          </w:p>
        </w:tc>
        <w:tc>
          <w:tcPr>
            <w:tcW w:type="dxa" w:w="756"/>
            <w:tcW w:type="dxa" w:w="756"/>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right"/>
            </w:pPr>
            <w:r>
              <w:rPr>
                <w:rFonts w:ascii="Arial" w:hAnsi="Arial"/>
                <w:b/>
                <w:color w:val="FFFFFF"/>
                <w:sz w:val="15"/>
              </w:rPr>
              <w:t>FY2022</w:t>
            </w:r>
          </w:p>
        </w:tc>
        <w:tc>
          <w:tcPr>
            <w:tcW w:type="dxa" w:w="605"/>
            <w:tcW w:type="dxa" w:w="605"/>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right"/>
            </w:pPr>
            <w:r>
              <w:rPr>
                <w:rFonts w:ascii="Arial" w:hAnsi="Arial"/>
                <w:b/>
                <w:color w:val="FFFFFF"/>
                <w:sz w:val="15"/>
              </w:rPr>
              <w:t>FY2023</w:t>
            </w:r>
          </w:p>
        </w:tc>
        <w:tc>
          <w:tcPr>
            <w:tcW w:type="dxa" w:w="2724"/>
            <w:tcW w:type="dxa" w:w="2724"/>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right"/>
            </w:pPr>
            <w:r>
              <w:rPr>
                <w:rFonts w:ascii="Arial" w:hAnsi="Arial"/>
                <w:b/>
                <w:color w:val="FFFFFF"/>
                <w:sz w:val="15"/>
              </w:rPr>
              <w:t>FY2024</w:t>
            </w:r>
          </w:p>
        </w:tc>
        <w:tc>
          <w:tcPr>
            <w:tcW w:type="dxa" w:w="2043"/>
            <w:tcW w:type="dxa" w:w="2043"/>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right"/>
            </w:pPr>
            <w:r>
              <w:rPr>
                <w:rFonts w:ascii="Arial" w:hAnsi="Arial"/>
                <w:b/>
                <w:color w:val="FFFFFF"/>
                <w:sz w:val="15"/>
              </w:rPr>
              <w:t>FY2025</w:t>
            </w:r>
          </w:p>
        </w:tc>
        <w:tc>
          <w:tcPr>
            <w:tcW w:type="dxa" w:w="1286"/>
            <w:tcW w:type="dxa" w:w="1286"/>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right"/>
            </w:pPr>
            <w:r>
              <w:rPr>
                <w:rFonts w:ascii="Arial" w:hAnsi="Arial"/>
                <w:b/>
                <w:color w:val="FFFFFF"/>
                <w:sz w:val="15"/>
              </w:rPr>
              <w:t>LTM Jun-26</w:t>
            </w:r>
          </w:p>
        </w:tc>
        <w:tc>
          <w:tcPr>
            <w:tcW w:type="dxa" w:w="454"/>
            <w:tcW w:type="dxa" w:w="454"/>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right"/>
            </w:pPr>
            <w:r>
              <w:rPr>
                <w:rFonts w:ascii="Arial" w:hAnsi="Arial"/>
                <w:b/>
                <w:color w:val="FFFFFF"/>
                <w:sz w:val="15"/>
              </w:rPr>
              <w:t>1H26</w:t>
            </w:r>
          </w:p>
        </w:tc>
      </w:tr>
      <w:tr>
        <w:trPr>
          <w:cantSplit/>
        </w:trPr>
        <w:tc>
          <w:tcPr>
            <w:tcW w:type="dxa" w:w="1504"/>
            <w:tcW w:type="dxa" w:w="150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Revenue</w:t>
            </w:r>
          </w:p>
        </w:tc>
        <w:tc>
          <w:tcPr>
            <w:tcW w:type="dxa" w:w="529"/>
            <w:tcW w:type="dxa" w:w="52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788.4</w:t>
            </w:r>
          </w:p>
        </w:tc>
        <w:tc>
          <w:tcPr>
            <w:tcW w:type="dxa" w:w="756"/>
            <w:tcW w:type="dxa" w:w="75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1,270.7</w:t>
            </w:r>
          </w:p>
        </w:tc>
        <w:tc>
          <w:tcPr>
            <w:tcW w:type="dxa" w:w="605"/>
            <w:tcW w:type="dxa" w:w="60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1,388.6</w:t>
            </w:r>
          </w:p>
        </w:tc>
        <w:tc>
          <w:tcPr>
            <w:tcW w:type="dxa" w:w="2724"/>
            <w:tcW w:type="dxa" w:w="272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1,426.9</w:t>
            </w:r>
          </w:p>
        </w:tc>
        <w:tc>
          <w:tcPr>
            <w:tcW w:type="dxa" w:w="2043"/>
            <w:tcW w:type="dxa" w:w="204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1,476.7</w:t>
            </w:r>
          </w:p>
        </w:tc>
        <w:tc>
          <w:tcPr>
            <w:tcW w:type="dxa" w:w="1286"/>
            <w:tcW w:type="dxa" w:w="128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1,474.0</w:t>
            </w:r>
          </w:p>
        </w:tc>
        <w:tc>
          <w:tcPr>
            <w:tcW w:type="dxa" w:w="454"/>
            <w:tcW w:type="dxa" w:w="45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724.5</w:t>
            </w:r>
          </w:p>
        </w:tc>
      </w:tr>
      <w:tr>
        <w:trPr>
          <w:cantSplit/>
        </w:trPr>
        <w:tc>
          <w:tcPr>
            <w:tcW w:type="dxa" w:w="1504"/>
            <w:tcW w:type="dxa" w:w="150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Growth</w:t>
            </w:r>
          </w:p>
        </w:tc>
        <w:tc>
          <w:tcPr>
            <w:tcW w:type="dxa" w:w="529"/>
            <w:tcW w:type="dxa" w:w="52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+64.7%</w:t>
            </w:r>
          </w:p>
        </w:tc>
        <w:tc>
          <w:tcPr>
            <w:tcW w:type="dxa" w:w="756"/>
            <w:tcW w:type="dxa" w:w="75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+61.2%</w:t>
            </w:r>
          </w:p>
        </w:tc>
        <w:tc>
          <w:tcPr>
            <w:tcW w:type="dxa" w:w="605"/>
            <w:tcW w:type="dxa" w:w="60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+9.3%</w:t>
            </w:r>
          </w:p>
        </w:tc>
        <w:tc>
          <w:tcPr>
            <w:tcW w:type="dxa" w:w="2724"/>
            <w:tcW w:type="dxa" w:w="272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+2.8%</w:t>
            </w:r>
          </w:p>
        </w:tc>
        <w:tc>
          <w:tcPr>
            <w:tcW w:type="dxa" w:w="2043"/>
            <w:tcW w:type="dxa" w:w="204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+3.5%</w:t>
            </w:r>
          </w:p>
        </w:tc>
        <w:tc>
          <w:tcPr>
            <w:tcW w:type="dxa" w:w="1286"/>
            <w:tcW w:type="dxa" w:w="128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+1.8%</w:t>
            </w:r>
          </w:p>
        </w:tc>
        <w:tc>
          <w:tcPr>
            <w:tcW w:type="dxa" w:w="454"/>
            <w:tcW w:type="dxa" w:w="45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−0.4%</w:t>
            </w:r>
          </w:p>
        </w:tc>
      </w:tr>
      <w:tr>
        <w:trPr>
          <w:cantSplit/>
        </w:trPr>
        <w:tc>
          <w:tcPr>
            <w:tcW w:type="dxa" w:w="1504"/>
            <w:tcW w:type="dxa" w:w="150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Operating profit</w:t>
            </w:r>
          </w:p>
        </w:tc>
        <w:tc>
          <w:tcPr>
            <w:tcW w:type="dxa" w:w="529"/>
            <w:tcW w:type="dxa" w:w="52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−52.7</w:t>
            </w:r>
          </w:p>
        </w:tc>
        <w:tc>
          <w:tcPr>
            <w:tcW w:type="dxa" w:w="756"/>
            <w:tcW w:type="dxa" w:w="75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217.6 [u]</w:t>
            </w:r>
          </w:p>
        </w:tc>
        <w:tc>
          <w:tcPr>
            <w:tcW w:type="dxa" w:w="605"/>
            <w:tcW w:type="dxa" w:w="60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282.3</w:t>
            </w:r>
          </w:p>
        </w:tc>
        <w:tc>
          <w:tcPr>
            <w:tcW w:type="dxa" w:w="2724"/>
            <w:tcW w:type="dxa" w:w="272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285.8</w:t>
            </w:r>
          </w:p>
        </w:tc>
        <w:tc>
          <w:tcPr>
            <w:tcW w:type="dxa" w:w="2043"/>
            <w:tcW w:type="dxa" w:w="204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235.2</w:t>
            </w:r>
          </w:p>
        </w:tc>
        <w:tc>
          <w:tcPr>
            <w:tcW w:type="dxa" w:w="1286"/>
            <w:tcW w:type="dxa" w:w="128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214.5</w:t>
            </w:r>
          </w:p>
        </w:tc>
        <w:tc>
          <w:tcPr>
            <w:tcW w:type="dxa" w:w="454"/>
            <w:tcW w:type="dxa" w:w="45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112.1</w:t>
            </w:r>
          </w:p>
        </w:tc>
      </w:tr>
      <w:tr>
        <w:trPr>
          <w:cantSplit/>
        </w:trPr>
        <w:tc>
          <w:tcPr>
            <w:tcW w:type="dxa" w:w="1504"/>
            <w:tcW w:type="dxa" w:w="150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Operating margin</w:t>
            </w:r>
          </w:p>
        </w:tc>
        <w:tc>
          <w:tcPr>
            <w:tcW w:type="dxa" w:w="529"/>
            <w:tcW w:type="dxa" w:w="52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−6.7%</w:t>
            </w:r>
          </w:p>
        </w:tc>
        <w:tc>
          <w:tcPr>
            <w:tcW w:type="dxa" w:w="756"/>
            <w:tcW w:type="dxa" w:w="75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17.1%</w:t>
            </w:r>
          </w:p>
        </w:tc>
        <w:tc>
          <w:tcPr>
            <w:tcW w:type="dxa" w:w="605"/>
            <w:tcW w:type="dxa" w:w="60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20.3%</w:t>
            </w:r>
          </w:p>
        </w:tc>
        <w:tc>
          <w:tcPr>
            <w:tcW w:type="dxa" w:w="2724"/>
            <w:tcW w:type="dxa" w:w="272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20.0%</w:t>
            </w:r>
          </w:p>
        </w:tc>
        <w:tc>
          <w:tcPr>
            <w:tcW w:type="dxa" w:w="2043"/>
            <w:tcW w:type="dxa" w:w="204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15.9%</w:t>
            </w:r>
          </w:p>
        </w:tc>
        <w:tc>
          <w:tcPr>
            <w:tcW w:type="dxa" w:w="1286"/>
            <w:tcW w:type="dxa" w:w="128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14.6%</w:t>
            </w:r>
          </w:p>
        </w:tc>
        <w:tc>
          <w:tcPr>
            <w:tcW w:type="dxa" w:w="454"/>
            <w:tcW w:type="dxa" w:w="45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15.5%</w:t>
            </w:r>
          </w:p>
        </w:tc>
      </w:tr>
      <w:tr>
        <w:trPr>
          <w:cantSplit/>
        </w:trPr>
        <w:tc>
          <w:tcPr>
            <w:tcW w:type="dxa" w:w="1504"/>
            <w:tcW w:type="dxa" w:w="150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EBITDA [e] (OP + ~KRW90bn D&amp;A)</w:t>
            </w:r>
          </w:p>
        </w:tc>
        <w:tc>
          <w:tcPr>
            <w:tcW w:type="dxa" w:w="529"/>
            <w:tcW w:type="dxa" w:w="52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~37</w:t>
            </w:r>
          </w:p>
        </w:tc>
        <w:tc>
          <w:tcPr>
            <w:tcW w:type="dxa" w:w="756"/>
            <w:tcW w:type="dxa" w:w="75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~308</w:t>
            </w:r>
          </w:p>
        </w:tc>
        <w:tc>
          <w:tcPr>
            <w:tcW w:type="dxa" w:w="605"/>
            <w:tcW w:type="dxa" w:w="60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~372</w:t>
            </w:r>
          </w:p>
        </w:tc>
        <w:tc>
          <w:tcPr>
            <w:tcW w:type="dxa" w:w="2724"/>
            <w:tcW w:type="dxa" w:w="272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~376</w:t>
            </w:r>
          </w:p>
        </w:tc>
        <w:tc>
          <w:tcPr>
            <w:tcW w:type="dxa" w:w="2043"/>
            <w:tcW w:type="dxa" w:w="204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~327</w:t>
            </w:r>
          </w:p>
        </w:tc>
        <w:tc>
          <w:tcPr>
            <w:tcW w:type="dxa" w:w="1286"/>
            <w:tcW w:type="dxa" w:w="128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~305 (CIQ 20.7%)</w:t>
            </w:r>
          </w:p>
        </w:tc>
        <w:tc>
          <w:tcPr>
            <w:tcW w:type="dxa" w:w="454"/>
            <w:tcW w:type="dxa" w:w="45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~157</w:t>
            </w:r>
          </w:p>
        </w:tc>
      </w:tr>
      <w:tr>
        <w:trPr>
          <w:cantSplit/>
        </w:trPr>
        <w:tc>
          <w:tcPr>
            <w:tcW w:type="dxa" w:w="1504"/>
            <w:tcW w:type="dxa" w:w="150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Implied non-operating income [e]</w:t>
            </w:r>
          </w:p>
        </w:tc>
        <w:tc>
          <w:tcPr>
            <w:tcW w:type="dxa" w:w="529"/>
            <w:tcW w:type="dxa" w:w="52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n/a</w:t>
            </w:r>
          </w:p>
        </w:tc>
        <w:tc>
          <w:tcPr>
            <w:tcW w:type="dxa" w:w="756"/>
            <w:tcW w:type="dxa" w:w="75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n/a</w:t>
            </w:r>
          </w:p>
        </w:tc>
        <w:tc>
          <w:tcPr>
            <w:tcW w:type="dxa" w:w="605"/>
            <w:tcW w:type="dxa" w:w="60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~+166</w:t>
            </w:r>
          </w:p>
        </w:tc>
        <w:tc>
          <w:tcPr>
            <w:tcW w:type="dxa" w:w="2724"/>
            <w:tcW w:type="dxa" w:w="272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~+315 (incl. ~KRW123bn VAT refunds)</w:t>
            </w:r>
          </w:p>
        </w:tc>
        <w:tc>
          <w:tcPr>
            <w:tcW w:type="dxa" w:w="2043"/>
            <w:tcW w:type="dxa" w:w="204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~+181</w:t>
            </w:r>
          </w:p>
        </w:tc>
        <w:tc>
          <w:tcPr>
            <w:tcW w:type="dxa" w:w="1286"/>
            <w:tcW w:type="dxa" w:w="128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~+205</w:t>
            </w:r>
          </w:p>
        </w:tc>
        <w:tc>
          <w:tcPr>
            <w:tcW w:type="dxa" w:w="454"/>
            <w:tcW w:type="dxa" w:w="45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~+72</w:t>
            </w:r>
          </w:p>
        </w:tc>
      </w:tr>
      <w:tr>
        <w:trPr>
          <w:cantSplit/>
        </w:trPr>
        <w:tc>
          <w:tcPr>
            <w:tcW w:type="dxa" w:w="1504"/>
            <w:tcW w:type="dxa" w:w="150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Net profit (attributable)</w:t>
            </w:r>
          </w:p>
        </w:tc>
        <w:tc>
          <w:tcPr>
            <w:tcW w:type="dxa" w:w="529"/>
            <w:tcW w:type="dxa" w:w="52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n/a</w:t>
            </w:r>
          </w:p>
        </w:tc>
        <w:tc>
          <w:tcPr>
            <w:tcW w:type="dxa" w:w="756"/>
            <w:tcW w:type="dxa" w:w="75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115.6 [u]</w:t>
            </w:r>
          </w:p>
        </w:tc>
        <w:tc>
          <w:tcPr>
            <w:tcW w:type="dxa" w:w="605"/>
            <w:tcW w:type="dxa" w:w="60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341.0</w:t>
            </w:r>
          </w:p>
        </w:tc>
        <w:tc>
          <w:tcPr>
            <w:tcW w:type="dxa" w:w="2724"/>
            <w:tcW w:type="dxa" w:w="272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456.7 (record)</w:t>
            </w:r>
          </w:p>
        </w:tc>
        <w:tc>
          <w:tcPr>
            <w:tcW w:type="dxa" w:w="2043"/>
            <w:tcW w:type="dxa" w:w="204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316.5</w:t>
            </w:r>
          </w:p>
        </w:tc>
        <w:tc>
          <w:tcPr>
            <w:tcW w:type="dxa" w:w="1286"/>
            <w:tcW w:type="dxa" w:w="128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319.1</w:t>
            </w:r>
          </w:p>
        </w:tc>
        <w:tc>
          <w:tcPr>
            <w:tcW w:type="dxa" w:w="454"/>
            <w:tcW w:type="dxa" w:w="45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140.0</w:t>
            </w:r>
          </w:p>
        </w:tc>
      </w:tr>
      <w:tr>
        <w:trPr>
          <w:cantSplit/>
        </w:trPr>
        <w:tc>
          <w:tcPr>
            <w:tcW w:type="dxa" w:w="1504"/>
            <w:tcW w:type="dxa" w:w="150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Net margin</w:t>
            </w:r>
          </w:p>
        </w:tc>
        <w:tc>
          <w:tcPr>
            <w:tcW w:type="dxa" w:w="529"/>
            <w:tcW w:type="dxa" w:w="52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n/a</w:t>
            </w:r>
          </w:p>
        </w:tc>
        <w:tc>
          <w:tcPr>
            <w:tcW w:type="dxa" w:w="756"/>
            <w:tcW w:type="dxa" w:w="75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9.1%</w:t>
            </w:r>
          </w:p>
        </w:tc>
        <w:tc>
          <w:tcPr>
            <w:tcW w:type="dxa" w:w="605"/>
            <w:tcW w:type="dxa" w:w="60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24.6%</w:t>
            </w:r>
          </w:p>
        </w:tc>
        <w:tc>
          <w:tcPr>
            <w:tcW w:type="dxa" w:w="2724"/>
            <w:tcW w:type="dxa" w:w="272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32.0%</w:t>
            </w:r>
          </w:p>
        </w:tc>
        <w:tc>
          <w:tcPr>
            <w:tcW w:type="dxa" w:w="2043"/>
            <w:tcW w:type="dxa" w:w="204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21.4%</w:t>
            </w:r>
          </w:p>
        </w:tc>
        <w:tc>
          <w:tcPr>
            <w:tcW w:type="dxa" w:w="1286"/>
            <w:tcW w:type="dxa" w:w="128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21.6%</w:t>
            </w:r>
          </w:p>
        </w:tc>
        <w:tc>
          <w:tcPr>
            <w:tcW w:type="dxa" w:w="454"/>
            <w:tcW w:type="dxa" w:w="45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19.3%</w:t>
            </w:r>
          </w:p>
        </w:tc>
      </w:tr>
      <w:tr>
        <w:trPr>
          <w:cantSplit/>
        </w:trPr>
        <w:tc>
          <w:tcPr>
            <w:tcW w:type="dxa" w:w="1504"/>
            <w:tcW w:type="dxa" w:w="150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DPS (KRW)</w:t>
            </w:r>
          </w:p>
        </w:tc>
        <w:tc>
          <w:tcPr>
            <w:tcW w:type="dxa" w:w="529"/>
            <w:tcW w:type="dxa" w:w="52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0</w:t>
            </w:r>
          </w:p>
        </w:tc>
        <w:tc>
          <w:tcPr>
            <w:tcW w:type="dxa" w:w="756"/>
            <w:tcW w:type="dxa" w:w="75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350 [u]</w:t>
            </w:r>
          </w:p>
        </w:tc>
        <w:tc>
          <w:tcPr>
            <w:tcW w:type="dxa" w:w="605"/>
            <w:tcW w:type="dxa" w:w="60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930</w:t>
            </w:r>
          </w:p>
        </w:tc>
        <w:tc>
          <w:tcPr>
            <w:tcW w:type="dxa" w:w="2724"/>
            <w:tcW w:type="dxa" w:w="272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1,170</w:t>
            </w:r>
          </w:p>
        </w:tc>
        <w:tc>
          <w:tcPr>
            <w:tcW w:type="dxa" w:w="2043"/>
            <w:tcW w:type="dxa" w:w="204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950</w:t>
            </w:r>
          </w:p>
        </w:tc>
        <w:tc>
          <w:tcPr>
            <w:tcW w:type="dxa" w:w="1286"/>
            <w:tcW w:type="dxa" w:w="128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p>
        </w:tc>
        <w:tc>
          <w:tcPr>
            <w:tcW w:type="dxa" w:w="454"/>
            <w:tcW w:type="dxa" w:w="45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p>
        </w:tc>
      </w:tr>
      <w:tr>
        <w:trPr>
          <w:cantSplit/>
        </w:trPr>
        <w:tc>
          <w:tcPr>
            <w:tcW w:type="dxa" w:w="1504"/>
            <w:tcW w:type="dxa" w:w="150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Payout</w:t>
            </w:r>
          </w:p>
        </w:tc>
        <w:tc>
          <w:tcPr>
            <w:tcW w:type="dxa" w:w="529"/>
            <w:tcW w:type="dxa" w:w="52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n/a</w:t>
            </w:r>
          </w:p>
        </w:tc>
        <w:tc>
          <w:tcPr>
            <w:tcW w:type="dxa" w:w="756"/>
            <w:tcW w:type="dxa" w:w="75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n/a</w:t>
            </w:r>
          </w:p>
        </w:tc>
        <w:tc>
          <w:tcPr>
            <w:tcW w:type="dxa" w:w="605"/>
            <w:tcW w:type="dxa" w:w="60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55.3%</w:t>
            </w:r>
          </w:p>
        </w:tc>
        <w:tc>
          <w:tcPr>
            <w:tcW w:type="dxa" w:w="2724"/>
            <w:tcW w:type="dxa" w:w="272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~51%</w:t>
            </w:r>
          </w:p>
        </w:tc>
        <w:tc>
          <w:tcPr>
            <w:tcW w:type="dxa" w:w="2043"/>
            <w:tcW w:type="dxa" w:w="204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59.2% (total return 62.6%)</w:t>
            </w:r>
          </w:p>
        </w:tc>
        <w:tc>
          <w:tcPr>
            <w:tcW w:type="dxa" w:w="1286"/>
            <w:tcW w:type="dxa" w:w="128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p>
        </w:tc>
        <w:tc>
          <w:tcPr>
            <w:tcW w:type="dxa" w:w="454"/>
            <w:tcW w:type="dxa" w:w="45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p>
        </w:tc>
      </w:tr>
      <w:tr>
        <w:trPr>
          <w:cantSplit/>
        </w:trPr>
        <w:tc>
          <w:tcPr>
            <w:tcW w:type="dxa" w:w="1504"/>
            <w:tcW w:type="dxa" w:w="150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Capex executed</w:t>
            </w:r>
          </w:p>
        </w:tc>
        <w:tc>
          <w:tcPr>
            <w:tcW w:type="dxa" w:w="529"/>
            <w:tcW w:type="dxa" w:w="52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n/f</w:t>
            </w:r>
          </w:p>
        </w:tc>
        <w:tc>
          <w:tcPr>
            <w:tcW w:type="dxa" w:w="756"/>
            <w:tcW w:type="dxa" w:w="75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n/f</w:t>
            </w:r>
          </w:p>
        </w:tc>
        <w:tc>
          <w:tcPr>
            <w:tcW w:type="dxa" w:w="605"/>
            <w:tcW w:type="dxa" w:w="60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64.7</w:t>
            </w:r>
          </w:p>
        </w:tc>
        <w:tc>
          <w:tcPr>
            <w:tcW w:type="dxa" w:w="2724"/>
            <w:tcW w:type="dxa" w:w="272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119.8</w:t>
            </w:r>
          </w:p>
        </w:tc>
        <w:tc>
          <w:tcPr>
            <w:tcW w:type="dxa" w:w="2043"/>
            <w:tcW w:type="dxa" w:w="204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143.7</w:t>
            </w:r>
          </w:p>
        </w:tc>
        <w:tc>
          <w:tcPr>
            <w:tcW w:type="dxa" w:w="1286"/>
            <w:tcW w:type="dxa" w:w="128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p>
        </w:tc>
        <w:tc>
          <w:tcPr>
            <w:tcW w:type="dxa" w:w="454"/>
            <w:tcW w:type="dxa" w:w="45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87.2</w:t>
            </w:r>
          </w:p>
        </w:tc>
      </w:tr>
    </w:tbl>
    <w:p>
      <w:pPr>
        <w:spacing w:before="0" w:after="40" w:line="240" w:lineRule="auto"/>
      </w:pPr>
    </w:p>
    <w:p>
      <w:pPr>
        <w:spacing w:before="0" w:after="100" w:line="288" w:lineRule="auto"/>
      </w:pPr>
      <w:r>
        <w:rPr>
          <w:rFonts w:ascii="Arial" w:hAnsi="Arial"/>
          <w:i/>
          <w:color w:val="5A6270"/>
          <w:sz w:val="15"/>
        </w:rPr>
        <w:t>Source: preliminary and final results via ASGAM, GGRAsia, Quartr, ddaily, Sigma; Daishin, Eugene, Hana broker tables; IB Tomato (capex). FY2020: revenue KRW478.6bn, OP −KRW431.5bn (closed 223 days). FY2019: revenue KRW1,520.1bn. Implied non-operating income = net profit / (1 − ~24% tax) − OP [e]. n/f = not found.</w:t>
      </w:r>
    </w:p>
    <w:p>
      <w:pPr>
        <w:pStyle w:val="Heading2"/>
        <w:keepNext/>
        <w:spacing w:before="160" w:after="80" w:line="264" w:lineRule="auto"/>
      </w:pPr>
      <w:r>
        <w:rPr>
          <w:rFonts w:ascii="Arial" w:hAnsi="Arial"/>
        </w:rPr>
        <w:t>8.2 Revenue by division</w:t>
      </w:r>
    </w:p>
    <w:tbl>
      <w:tblPr>
        <w:tblW w:type="auto" w:w="0"/>
        <w:jc w:val="center"/>
        <w:tblLook w:firstColumn="1" w:firstRow="1" w:lastColumn="0" w:lastRow="0" w:noHBand="0" w:noVBand="1" w:val="04A0"/>
        <w:tblLayout w:type="fixed"/>
        <w:tblW w:type="dxa" w:w="9906"/>
      </w:tblPr>
      <w:tblGrid>
        <w:gridCol w:w="1017"/>
        <w:gridCol w:w="1074"/>
        <w:gridCol w:w="1294"/>
        <w:gridCol w:w="1294"/>
        <w:gridCol w:w="1121"/>
        <w:gridCol w:w="4103"/>
      </w:tblGrid>
      <w:tr>
        <w:trPr>
          <w:tblHeader/>
        </w:trPr>
        <w:tc>
          <w:tcPr>
            <w:tcW w:type="dxa" w:w="1017"/>
            <w:tcW w:type="dxa" w:w="1017"/>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KRW bn</w:t>
            </w:r>
          </w:p>
        </w:tc>
        <w:tc>
          <w:tcPr>
            <w:tcW w:type="dxa" w:w="1074"/>
            <w:tcW w:type="dxa" w:w="1074"/>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FY2022</w:t>
            </w:r>
          </w:p>
        </w:tc>
        <w:tc>
          <w:tcPr>
            <w:tcW w:type="dxa" w:w="1294"/>
            <w:tcW w:type="dxa" w:w="1294"/>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3Q25</w:t>
            </w:r>
          </w:p>
        </w:tc>
        <w:tc>
          <w:tcPr>
            <w:tcW w:type="dxa" w:w="1294"/>
            <w:tcW w:type="dxa" w:w="1294"/>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1Q26</w:t>
            </w:r>
          </w:p>
        </w:tc>
        <w:tc>
          <w:tcPr>
            <w:tcW w:type="dxa" w:w="1121"/>
            <w:tcW w:type="dxa" w:w="1121"/>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2Q26</w:t>
            </w:r>
          </w:p>
        </w:tc>
        <w:tc>
          <w:tcPr>
            <w:tcW w:type="dxa" w:w="4103"/>
            <w:tcW w:type="dxa" w:w="4103"/>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Comment</w:t>
            </w:r>
          </w:p>
        </w:tc>
      </w:tr>
      <w:tr>
        <w:trPr>
          <w:cantSplit/>
        </w:trPr>
        <w:tc>
          <w:tcPr>
            <w:tcW w:type="dxa" w:w="1017"/>
            <w:tcW w:type="dxa" w:w="101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Casino</w:t>
            </w:r>
          </w:p>
        </w:tc>
        <w:tc>
          <w:tcPr>
            <w:tcW w:type="dxa" w:w="1074"/>
            <w:tcW w:type="dxa" w:w="107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1,110.0 (87.4%)</w:t>
            </w:r>
          </w:p>
        </w:tc>
        <w:tc>
          <w:tcPr>
            <w:tcW w:type="dxa" w:w="1294"/>
            <w:tcW w:type="dxa" w:w="129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333.7 (+4.2%)</w:t>
            </w:r>
          </w:p>
        </w:tc>
        <w:tc>
          <w:tcPr>
            <w:tcW w:type="dxa" w:w="1294"/>
            <w:tcW w:type="dxa" w:w="129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330.4 (+4.3%)</w:t>
            </w:r>
          </w:p>
        </w:tc>
        <w:tc>
          <w:tcPr>
            <w:tcW w:type="dxa" w:w="1121"/>
            <w:tcW w:type="dxa" w:w="112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~319.9 [e]</w:t>
            </w:r>
          </w:p>
        </w:tc>
        <w:tc>
          <w:tcPr>
            <w:tcW w:type="dxa" w:w="4103"/>
            <w:tcW w:type="dxa" w:w="410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Member lounges +27.6% (1Q26); 2Q26 casino GGR reported −2.4% to KRW281.8bn [u]</w:t>
            </w:r>
          </w:p>
        </w:tc>
      </w:tr>
      <w:tr>
        <w:trPr>
          <w:cantSplit/>
        </w:trPr>
        <w:tc>
          <w:tcPr>
            <w:tcW w:type="dxa" w:w="1017"/>
            <w:tcW w:type="dxa" w:w="101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Non-casino</w:t>
            </w:r>
          </w:p>
        </w:tc>
        <w:tc>
          <w:tcPr>
            <w:tcW w:type="dxa" w:w="1074"/>
            <w:tcW w:type="dxa" w:w="107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160.7 (12.6%)</w:t>
            </w:r>
          </w:p>
        </w:tc>
        <w:tc>
          <w:tcPr>
            <w:tcW w:type="dxa" w:w="1294"/>
            <w:tcW w:type="dxa" w:w="129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50.0 (−9.4%)</w:t>
            </w:r>
          </w:p>
        </w:tc>
        <w:tc>
          <w:tcPr>
            <w:tcW w:type="dxa" w:w="1294"/>
            <w:tcW w:type="dxa" w:w="129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48.6 (−1.8%)</w:t>
            </w:r>
          </w:p>
        </w:tc>
        <w:tc>
          <w:tcPr>
            <w:tcW w:type="dxa" w:w="1121"/>
            <w:tcW w:type="dxa" w:w="112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25.7 (−12.3%) [u: narrower definition]</w:t>
            </w:r>
          </w:p>
        </w:tc>
        <w:tc>
          <w:tcPr>
            <w:tcW w:type="dxa" w:w="4103"/>
            <w:tcW w:type="dxa" w:w="410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Ski visitors −20% (1Q26); 757 rooms closed from Mar-26</w:t>
            </w:r>
          </w:p>
        </w:tc>
      </w:tr>
      <w:tr>
        <w:trPr>
          <w:cantSplit/>
        </w:trPr>
        <w:tc>
          <w:tcPr>
            <w:tcW w:type="dxa" w:w="1017"/>
            <w:tcW w:type="dxa" w:w="1017"/>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b/>
                <w:sz w:val="15"/>
              </w:rPr>
              <w:t>Total</w:t>
            </w:r>
          </w:p>
        </w:tc>
        <w:tc>
          <w:tcPr>
            <w:tcW w:type="dxa" w:w="1074"/>
            <w:tcW w:type="dxa" w:w="1074"/>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b/>
                <w:sz w:val="15"/>
              </w:rPr>
              <w:t>1,270.7</w:t>
            </w:r>
          </w:p>
        </w:tc>
        <w:tc>
          <w:tcPr>
            <w:tcW w:type="dxa" w:w="1294"/>
            <w:tcW w:type="dxa" w:w="1294"/>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b/>
                <w:sz w:val="15"/>
              </w:rPr>
              <w:t>384.1</w:t>
            </w:r>
          </w:p>
        </w:tc>
        <w:tc>
          <w:tcPr>
            <w:tcW w:type="dxa" w:w="1294"/>
            <w:tcW w:type="dxa" w:w="1294"/>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b/>
                <w:sz w:val="15"/>
              </w:rPr>
              <w:t>378.9</w:t>
            </w:r>
          </w:p>
        </w:tc>
        <w:tc>
          <w:tcPr>
            <w:tcW w:type="dxa" w:w="1121"/>
            <w:tcW w:type="dxa" w:w="1121"/>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b/>
                <w:sz w:val="15"/>
              </w:rPr>
              <w:t>345.6</w:t>
            </w:r>
          </w:p>
        </w:tc>
        <w:tc>
          <w:tcPr>
            <w:tcW w:type="dxa" w:w="4103"/>
            <w:tcW w:type="dxa" w:w="4103"/>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p>
        </w:tc>
      </w:tr>
    </w:tbl>
    <w:p>
      <w:pPr>
        <w:spacing w:before="0" w:after="40" w:line="240" w:lineRule="auto"/>
      </w:pPr>
    </w:p>
    <w:p>
      <w:pPr>
        <w:spacing w:before="0" w:after="100" w:line="288" w:lineRule="auto"/>
      </w:pPr>
      <w:r>
        <w:rPr>
          <w:rFonts w:ascii="Arial" w:hAnsi="Arial"/>
          <w:sz w:val="19"/>
        </w:rPr>
        <w:t>The NGCC reports Kangwon Land's 2025 "gaming sales" at ~KRW1.43tn. That is above reported casino revenue (~KRW1.28tn [e]) because of definitional differences, such as comps and other deductions [u]. The 42% government take is measured on the NGCC base. Non-casino revenue has been flat to down for years. That is why K-HIT targets a non-gaming share of 40% (from ~13-20%), and it is also why the plan's economics are doubtful.</w:t>
      </w:r>
    </w:p>
    <w:p>
      <w:pPr>
        <w:pStyle w:val="Heading2"/>
        <w:keepNext/>
        <w:spacing w:before="160" w:after="80" w:line="264" w:lineRule="auto"/>
      </w:pPr>
      <w:r>
        <w:rPr>
          <w:rFonts w:ascii="Arial" w:hAnsi="Arial"/>
        </w:rPr>
        <w:t>8.3 Geography</w:t>
      </w:r>
    </w:p>
    <w:p>
      <w:pPr>
        <w:spacing w:before="0" w:after="100" w:line="288" w:lineRule="auto"/>
      </w:pPr>
      <w:r>
        <w:rPr>
          <w:rFonts w:ascii="Arial" w:hAnsi="Arial"/>
          <w:sz w:val="19"/>
        </w:rPr>
        <w:t>100% Korea, from one site. There is no foreign-currency revenue and no overseas assets of note. That isolates Kangwon Land from the China VIP, capital-control and won-strength factors behind the foreigner-only casinos' October 2026 sell-off.</w:t>
      </w:r>
    </w:p>
    <w:p>
      <w:pPr>
        <w:pStyle w:val="Heading2"/>
        <w:keepNext/>
        <w:spacing w:before="160" w:after="80" w:line="264" w:lineRule="auto"/>
      </w:pPr>
      <w:r>
        <w:rPr>
          <w:rFonts w:ascii="Arial" w:hAnsi="Arial"/>
        </w:rPr>
        <w:t>8.4 Trends in growth and margins: what changed and why</w:t>
      </w:r>
    </w:p>
    <w:p>
      <w:pPr>
        <w:spacing w:before="0" w:after="50" w:line="276" w:lineRule="auto"/>
        <w:ind w:left="360" w:hanging="245"/>
      </w:pPr>
      <w:r>
        <w:rPr>
          <w:rFonts w:ascii="Arial" w:hAnsi="Arial"/>
          <w:color w:val="2E74B5"/>
          <w:sz w:val="16"/>
        </w:rPr>
        <w:t xml:space="preserve">▪  </w:t>
      </w:r>
      <w:r>
        <w:rPr>
          <w:rFonts w:ascii="Arial" w:hAnsi="Arial"/>
          <w:b/>
          <w:sz w:val="19"/>
        </w:rPr>
        <w:t>FY2021-22: COVID recovery.</w:t>
      </w:r>
      <w:r>
        <w:rPr>
          <w:rFonts w:ascii="Arial" w:hAnsi="Arial"/>
          <w:sz w:val="19"/>
        </w:rPr>
        <w:t xml:space="preserve"> Normal operation resumed only on 16-May-2022. Revenue recovered to 84% of FY2019 by FY2022.</w:t>
      </w:r>
    </w:p>
    <w:p>
      <w:pPr>
        <w:spacing w:before="0" w:after="50" w:line="276" w:lineRule="auto"/>
        <w:ind w:left="360" w:hanging="245"/>
      </w:pPr>
      <w:r>
        <w:rPr>
          <w:rFonts w:ascii="Arial" w:hAnsi="Arial"/>
          <w:color w:val="2E74B5"/>
          <w:sz w:val="16"/>
        </w:rPr>
        <w:t xml:space="preserve">▪  </w:t>
      </w:r>
      <w:r>
        <w:rPr>
          <w:rFonts w:ascii="Arial" w:hAnsi="Arial"/>
          <w:b/>
          <w:sz w:val="19"/>
        </w:rPr>
        <w:t>FY2023-24: peak normalised profitability.</w:t>
      </w:r>
      <w:r>
        <w:rPr>
          <w:rFonts w:ascii="Arial" w:hAnsi="Arial"/>
          <w:sz w:val="19"/>
        </w:rPr>
        <w:t xml:space="preserve"> OP margin was ~20%. Net profit hit a record KRW456.7bn in FY24, helped by ~KRW123bn of VAT-litigation refunds booked in 2Q24 and 4Q24, which inflated non-operating income.</w:t>
      </w:r>
    </w:p>
    <w:p>
      <w:pPr>
        <w:spacing w:before="0" w:after="50" w:line="276" w:lineRule="auto"/>
        <w:ind w:left="360" w:hanging="245"/>
      </w:pPr>
      <w:r>
        <w:rPr>
          <w:rFonts w:ascii="Arial" w:hAnsi="Arial"/>
          <w:color w:val="2E74B5"/>
          <w:sz w:val="16"/>
        </w:rPr>
        <w:t xml:space="preserve">▪  </w:t>
      </w:r>
      <w:r>
        <w:rPr>
          <w:rFonts w:ascii="Arial" w:hAnsi="Arial"/>
          <w:b/>
          <w:sz w:val="19"/>
        </w:rPr>
        <w:t>FY2025-1H26: margin compression.</w:t>
      </w:r>
      <w:r>
        <w:rPr>
          <w:rFonts w:ascii="Arial" w:hAnsi="Arial"/>
          <w:sz w:val="19"/>
        </w:rPr>
        <w:t xml:space="preserve"> Revenue still grew (+3.5% in FY25), but OP fell 17.7% in FY25 and 15.6% in 1H26. The causes:</w:t>
      </w:r>
    </w:p>
    <w:p>
      <w:pPr>
        <w:spacing w:before="0" w:after="50" w:line="276" w:lineRule="auto"/>
        <w:ind w:left="360" w:hanging="245"/>
      </w:pPr>
      <w:r>
        <w:rPr>
          <w:rFonts w:ascii="Arial" w:hAnsi="Arial"/>
          <w:color w:val="2E74B5"/>
          <w:sz w:val="16"/>
        </w:rPr>
        <w:t xml:space="preserve">▪  </w:t>
      </w:r>
      <w:r>
        <w:rPr>
          <w:rFonts w:ascii="Arial" w:hAnsi="Arial"/>
          <w:b/>
          <w:sz w:val="19"/>
        </w:rPr>
        <w:t>Labour costs:</w:t>
      </w:r>
      <w:r>
        <w:rPr>
          <w:rFonts w:ascii="Arial" w:hAnsi="Arial"/>
          <w:sz w:val="19"/>
        </w:rPr>
        <w:t xml:space="preserve"> KRW24.5bn of bonus and early-retirement cost in 2Q25 after a "B" evaluation grade [u], plus annual wage and bonus creep.</w:t>
      </w:r>
    </w:p>
    <w:p>
      <w:pPr>
        <w:spacing w:before="0" w:after="50" w:line="276" w:lineRule="auto"/>
        <w:ind w:left="360" w:hanging="245"/>
      </w:pPr>
      <w:r>
        <w:rPr>
          <w:rFonts w:ascii="Arial" w:hAnsi="Arial"/>
          <w:color w:val="2E74B5"/>
          <w:sz w:val="16"/>
        </w:rPr>
        <w:t xml:space="preserve">▪  </w:t>
      </w:r>
      <w:r>
        <w:rPr>
          <w:rFonts w:ascii="Arial" w:hAnsi="Arial"/>
          <w:b/>
          <w:sz w:val="19"/>
        </w:rPr>
        <w:t>Higher D&amp;A</w:t>
      </w:r>
      <w:r>
        <w:rPr>
          <w:rFonts w:ascii="Arial" w:hAnsi="Arial"/>
          <w:sz w:val="19"/>
        </w:rPr>
        <w:t xml:space="preserve"> from rising capex.</w:t>
      </w:r>
    </w:p>
    <w:p>
      <w:pPr>
        <w:spacing w:before="0" w:after="50" w:line="276" w:lineRule="auto"/>
        <w:ind w:left="360" w:hanging="245"/>
      </w:pPr>
      <w:r>
        <w:rPr>
          <w:rFonts w:ascii="Arial" w:hAnsi="Arial"/>
          <w:color w:val="2E74B5"/>
          <w:sz w:val="16"/>
        </w:rPr>
        <w:t xml:space="preserve">▪  </w:t>
      </w:r>
      <w:r>
        <w:rPr>
          <w:rFonts w:ascii="Arial" w:hAnsi="Arial"/>
          <w:b/>
          <w:sz w:val="19"/>
        </w:rPr>
        <w:t>Donations:</w:t>
      </w:r>
      <w:r>
        <w:rPr>
          <w:rFonts w:ascii="Arial" w:hAnsi="Arial"/>
          <w:sz w:val="19"/>
        </w:rPr>
        <w:t xml:space="preserve"> +KRW17.1bn in 2Q25; KRW19.5bn booked in 2Q25.</w:t>
      </w:r>
    </w:p>
    <w:p>
      <w:pPr>
        <w:spacing w:before="0" w:after="50" w:line="276" w:lineRule="auto"/>
        <w:ind w:left="360" w:hanging="245"/>
      </w:pPr>
      <w:r>
        <w:rPr>
          <w:rFonts w:ascii="Arial" w:hAnsi="Arial"/>
          <w:color w:val="2E74B5"/>
          <w:sz w:val="16"/>
        </w:rPr>
        <w:t xml:space="preserve">▪  </w:t>
      </w:r>
      <w:r>
        <w:rPr>
          <w:rFonts w:ascii="Arial" w:hAnsi="Arial"/>
          <w:b/>
          <w:sz w:val="19"/>
        </w:rPr>
        <w:t>Lower hold</w:t>
      </w:r>
      <w:r>
        <w:rPr>
          <w:rFonts w:ascii="Arial" w:hAnsi="Arial"/>
          <w:sz w:val="19"/>
        </w:rPr>
        <w:t xml:space="preserve"> in 3Q25 and 2Q26.</w:t>
      </w:r>
    </w:p>
    <w:p>
      <w:pPr>
        <w:spacing w:before="0" w:after="50" w:line="276" w:lineRule="auto"/>
        <w:ind w:left="360" w:hanging="245"/>
      </w:pPr>
      <w:r>
        <w:rPr>
          <w:rFonts w:ascii="Arial" w:hAnsi="Arial"/>
          <w:color w:val="2E74B5"/>
          <w:sz w:val="16"/>
        </w:rPr>
        <w:t xml:space="preserve">▪  </w:t>
      </w:r>
      <w:r>
        <w:rPr>
          <w:rFonts w:ascii="Arial" w:hAnsi="Arial"/>
          <w:b/>
          <w:sz w:val="19"/>
        </w:rPr>
        <w:t>The room renovation</w:t>
      </w:r>
      <w:r>
        <w:rPr>
          <w:rFonts w:ascii="Arial" w:hAnsi="Arial"/>
          <w:sz w:val="19"/>
        </w:rPr>
        <w:t>, which took 757 rooms offline from Mar-26.</w:t>
      </w:r>
    </w:p>
    <w:p>
      <w:pPr>
        <w:spacing w:before="0" w:after="50" w:line="276" w:lineRule="auto"/>
        <w:ind w:left="360" w:hanging="245"/>
      </w:pPr>
      <w:r>
        <w:rPr>
          <w:rFonts w:ascii="Arial" w:hAnsi="Arial"/>
          <w:color w:val="2E74B5"/>
          <w:sz w:val="16"/>
        </w:rPr>
        <w:t xml:space="preserve">▪  </w:t>
      </w:r>
      <w:r>
        <w:rPr>
          <w:rFonts w:ascii="Arial" w:hAnsi="Arial"/>
          <w:b/>
          <w:sz w:val="19"/>
        </w:rPr>
        <w:t>Structural step-down since 2021.</w:t>
      </w:r>
      <w:r>
        <w:rPr>
          <w:rFonts w:ascii="Arial" w:hAnsi="Arial"/>
          <w:sz w:val="19"/>
        </w:rPr>
        <w:t xml:space="preserve"> The 2021 amendment replaced "25% of profit" with "13% of casino gross sales" for the mine fund, which rose from ~KRW140bn to ~KRW200bn a year. The levy is now payable even in a loss year. Pre-2021 operating margins were ~30-35% [u]; today they are ~15%.</w:t>
      </w:r>
    </w:p>
    <w:p>
      <w:pPr>
        <w:pStyle w:val="Heading2"/>
        <w:keepNext/>
        <w:spacing w:before="160" w:after="80" w:line="264" w:lineRule="auto"/>
      </w:pPr>
      <w:r>
        <w:rPr>
          <w:rFonts w:ascii="Arial" w:hAnsi="Arial"/>
        </w:rPr>
        <w:t>8.5 Quarterly trend (1Q24-2Q26)</w:t>
      </w:r>
    </w:p>
    <w:p>
      <w:pPr>
        <w:keepNext/>
        <w:spacing w:before="80" w:after="40" w:line="240" w:lineRule="auto"/>
        <w:jc w:val="center"/>
      </w:pPr>
      <w:r>
        <w:drawing>
          <wp:inline xmlns:a="http://schemas.openxmlformats.org/drawingml/2006/main" xmlns:pic="http://schemas.openxmlformats.org/drawingml/2006/picture">
            <wp:extent cx="6400800" cy="2789737"/>
            <wp:docPr id="2" name="Picture 2"/>
            <wp:cNvGraphicFramePr>
              <a:graphicFrameLocks noChangeAspect="1"/>
            </wp:cNvGraphicFramePr>
            <a:graphic>
              <a:graphicData uri="http://schemas.openxmlformats.org/drawingml/2006/picture">
                <pic:pic>
                  <pic:nvPicPr>
                    <pic:cNvPr id="0" name="quarterly.png"/>
                    <pic:cNvPicPr/>
                  </pic:nvPicPr>
                  <pic:blipFill>
                    <a:blip r:embed="rId12"/>
                    <a:stretch>
                      <a:fillRect/>
                    </a:stretch>
                  </pic:blipFill>
                  <pic:spPr>
                    <a:xfrm>
                      <a:off x="0" y="0"/>
                      <a:ext cx="6400800" cy="2789737"/>
                    </a:xfrm>
                    <a:prstGeom prst="rect"/>
                  </pic:spPr>
                </pic:pic>
              </a:graphicData>
            </a:graphic>
          </wp:inline>
        </w:drawing>
      </w:r>
    </w:p>
    <w:p>
      <w:pPr>
        <w:spacing w:before="0" w:after="120" w:line="240" w:lineRule="auto"/>
      </w:pPr>
      <w:r>
        <w:rPr>
          <w:rFonts w:ascii="Arial" w:hAnsi="Arial"/>
          <w:i/>
          <w:color w:val="5A6270"/>
          <w:sz w:val="15"/>
        </w:rPr>
        <w:t>Figure: Quarterly revenue, operating profit and net profit, 1Q24-2Q26.</w:t>
      </w:r>
    </w:p>
    <w:tbl>
      <w:tblPr>
        <w:tblW w:type="auto" w:w="0"/>
        <w:jc w:val="center"/>
        <w:tblLook w:firstColumn="1" w:firstRow="1" w:lastColumn="0" w:lastRow="0" w:noHBand="0" w:noVBand="1" w:val="04A0"/>
        <w:tblLayout w:type="fixed"/>
        <w:tblW w:type="dxa" w:w="9906"/>
      </w:tblPr>
      <w:tblGrid>
        <w:gridCol w:w="896"/>
        <w:gridCol w:w="1141"/>
        <w:gridCol w:w="1141"/>
        <w:gridCol w:w="570"/>
        <w:gridCol w:w="1222"/>
        <w:gridCol w:w="4934"/>
      </w:tblGrid>
      <w:tr>
        <w:trPr>
          <w:tblHeader/>
        </w:trPr>
        <w:tc>
          <w:tcPr>
            <w:tcW w:type="dxa" w:w="896"/>
            <w:tcW w:type="dxa" w:w="896"/>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Quarter</w:t>
            </w:r>
          </w:p>
        </w:tc>
        <w:tc>
          <w:tcPr>
            <w:tcW w:type="dxa" w:w="1141"/>
            <w:tcW w:type="dxa" w:w="1141"/>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Revenue (YoY)</w:t>
            </w:r>
          </w:p>
        </w:tc>
        <w:tc>
          <w:tcPr>
            <w:tcW w:type="dxa" w:w="1141"/>
            <w:tcW w:type="dxa" w:w="1141"/>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OP (YoY)</w:t>
            </w:r>
          </w:p>
        </w:tc>
        <w:tc>
          <w:tcPr>
            <w:tcW w:type="dxa" w:w="570"/>
            <w:tcW w:type="dxa" w:w="570"/>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right"/>
            </w:pPr>
            <w:r>
              <w:rPr>
                <w:rFonts w:ascii="Arial" w:hAnsi="Arial"/>
                <w:b/>
                <w:color w:val="FFFFFF"/>
                <w:sz w:val="15"/>
              </w:rPr>
              <w:t>OP margin</w:t>
            </w:r>
          </w:p>
        </w:tc>
        <w:tc>
          <w:tcPr>
            <w:tcW w:type="dxa" w:w="1222"/>
            <w:tcW w:type="dxa" w:w="1222"/>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Net profit (YoY)</w:t>
            </w:r>
          </w:p>
        </w:tc>
        <w:tc>
          <w:tcPr>
            <w:tcW w:type="dxa" w:w="4934"/>
            <w:tcW w:type="dxa" w:w="4934"/>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Stated drivers</w:t>
            </w:r>
          </w:p>
        </w:tc>
      </w:tr>
      <w:tr>
        <w:trPr>
          <w:cantSplit/>
        </w:trPr>
        <w:tc>
          <w:tcPr>
            <w:tcW w:type="dxa" w:w="896"/>
            <w:tcW w:type="dxa" w:w="89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1Q24</w:t>
            </w:r>
          </w:p>
        </w:tc>
        <w:tc>
          <w:tcPr>
            <w:tcW w:type="dxa" w:w="1141"/>
            <w:tcW w:type="dxa" w:w="114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368.3</w:t>
            </w:r>
          </w:p>
        </w:tc>
        <w:tc>
          <w:tcPr>
            <w:tcW w:type="dxa" w:w="1141"/>
            <w:tcW w:type="dxa" w:w="114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75.9 (+8.9%)</w:t>
            </w:r>
          </w:p>
        </w:tc>
        <w:tc>
          <w:tcPr>
            <w:tcW w:type="dxa" w:w="570"/>
            <w:tcW w:type="dxa" w:w="57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20.6%</w:t>
            </w:r>
          </w:p>
        </w:tc>
        <w:tc>
          <w:tcPr>
            <w:tcW w:type="dxa" w:w="1222"/>
            <w:tcW w:type="dxa" w:w="122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92.8 (−8.5%)</w:t>
            </w:r>
          </w:p>
        </w:tc>
        <w:tc>
          <w:tcPr>
            <w:tcW w:type="dxa" w:w="4934"/>
            <w:tcW w:type="dxa" w:w="493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Record hold; OP beat</w:t>
            </w:r>
          </w:p>
        </w:tc>
      </w:tr>
      <w:tr>
        <w:trPr>
          <w:cantSplit/>
        </w:trPr>
        <w:tc>
          <w:tcPr>
            <w:tcW w:type="dxa" w:w="896"/>
            <w:tcW w:type="dxa" w:w="89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2Q24</w:t>
            </w:r>
          </w:p>
        </w:tc>
        <w:tc>
          <w:tcPr>
            <w:tcW w:type="dxa" w:w="1141"/>
            <w:tcW w:type="dxa" w:w="114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338.0 (+2.1%)</w:t>
            </w:r>
          </w:p>
        </w:tc>
        <w:tc>
          <w:tcPr>
            <w:tcW w:type="dxa" w:w="1141"/>
            <w:tcW w:type="dxa" w:w="114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73.9 (−9.9%)</w:t>
            </w:r>
          </w:p>
        </w:tc>
        <w:tc>
          <w:tcPr>
            <w:tcW w:type="dxa" w:w="570"/>
            <w:tcW w:type="dxa" w:w="57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21.9%</w:t>
            </w:r>
          </w:p>
        </w:tc>
        <w:tc>
          <w:tcPr>
            <w:tcW w:type="dxa" w:w="1222"/>
            <w:tcW w:type="dxa" w:w="122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161.0 (+76%)</w:t>
            </w:r>
          </w:p>
        </w:tc>
        <w:tc>
          <w:tcPr>
            <w:tcW w:type="dxa" w:w="4934"/>
            <w:tcW w:type="dxa" w:w="493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VAT-lawsuit refund ~KRW75bn in other income</w:t>
            </w:r>
          </w:p>
        </w:tc>
      </w:tr>
      <w:tr>
        <w:trPr>
          <w:cantSplit/>
        </w:trPr>
        <w:tc>
          <w:tcPr>
            <w:tcW w:type="dxa" w:w="896"/>
            <w:tcW w:type="dxa" w:w="89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3Q24</w:t>
            </w:r>
          </w:p>
        </w:tc>
        <w:tc>
          <w:tcPr>
            <w:tcW w:type="dxa" w:w="1141"/>
            <w:tcW w:type="dxa" w:w="114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375.9 (+0.5%)</w:t>
            </w:r>
          </w:p>
        </w:tc>
        <w:tc>
          <w:tcPr>
            <w:tcW w:type="dxa" w:w="1141"/>
            <w:tcW w:type="dxa" w:w="114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93.3</w:t>
            </w:r>
          </w:p>
        </w:tc>
        <w:tc>
          <w:tcPr>
            <w:tcW w:type="dxa" w:w="570"/>
            <w:tcW w:type="dxa" w:w="57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24.8%</w:t>
            </w:r>
          </w:p>
        </w:tc>
        <w:tc>
          <w:tcPr>
            <w:tcW w:type="dxa" w:w="1222"/>
            <w:tcW w:type="dxa" w:w="122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90.9 (+22.6%)</w:t>
            </w:r>
          </w:p>
        </w:tc>
        <w:tc>
          <w:tcPr>
            <w:tcW w:type="dxa" w:w="4934"/>
            <w:tcW w:type="dxa" w:w="493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Peak quarter; one source shows OP 88.0 (conflict)</w:t>
            </w:r>
          </w:p>
        </w:tc>
      </w:tr>
      <w:tr>
        <w:trPr>
          <w:cantSplit/>
        </w:trPr>
        <w:tc>
          <w:tcPr>
            <w:tcW w:type="dxa" w:w="896"/>
            <w:tcW w:type="dxa" w:w="89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4Q24</w:t>
            </w:r>
          </w:p>
        </w:tc>
        <w:tc>
          <w:tcPr>
            <w:tcW w:type="dxa" w:w="1141"/>
            <w:tcW w:type="dxa" w:w="114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344.7 (+5.9%)</w:t>
            </w:r>
          </w:p>
        </w:tc>
        <w:tc>
          <w:tcPr>
            <w:tcW w:type="dxa" w:w="1141"/>
            <w:tcW w:type="dxa" w:w="114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42.7 (+4.9%)</w:t>
            </w:r>
          </w:p>
        </w:tc>
        <w:tc>
          <w:tcPr>
            <w:tcW w:type="dxa" w:w="570"/>
            <w:tcW w:type="dxa" w:w="57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12.4%</w:t>
            </w:r>
          </w:p>
        </w:tc>
        <w:tc>
          <w:tcPr>
            <w:tcW w:type="dxa" w:w="1222"/>
            <w:tcW w:type="dxa" w:w="122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112.2 (+61%)</w:t>
            </w:r>
          </w:p>
        </w:tc>
        <w:tc>
          <w:tcPr>
            <w:tcW w:type="dxa" w:w="4934"/>
            <w:tcW w:type="dxa" w:w="493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VAT refund ~KRW47.8bn [u]</w:t>
            </w:r>
          </w:p>
        </w:tc>
      </w:tr>
      <w:tr>
        <w:trPr>
          <w:cantSplit/>
        </w:trPr>
        <w:tc>
          <w:tcPr>
            <w:tcW w:type="dxa" w:w="896"/>
            <w:tcW w:type="dxa" w:w="89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1Q25</w:t>
            </w:r>
          </w:p>
        </w:tc>
        <w:tc>
          <w:tcPr>
            <w:tcW w:type="dxa" w:w="1141"/>
            <w:tcW w:type="dxa" w:w="114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366.3 (−0.5%)</w:t>
            </w:r>
          </w:p>
        </w:tc>
        <w:tc>
          <w:tcPr>
            <w:tcW w:type="dxa" w:w="1141"/>
            <w:tcW w:type="dxa" w:w="114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74.3 (−2.1%)</w:t>
            </w:r>
          </w:p>
        </w:tc>
        <w:tc>
          <w:tcPr>
            <w:tcW w:type="dxa" w:w="570"/>
            <w:tcW w:type="dxa" w:w="57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20.3%</w:t>
            </w:r>
          </w:p>
        </w:tc>
        <w:tc>
          <w:tcPr>
            <w:tcW w:type="dxa" w:w="1222"/>
            <w:tcW w:type="dxa" w:w="122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74.6 (−19.6%)</w:t>
            </w:r>
          </w:p>
        </w:tc>
        <w:tc>
          <w:tcPr>
            <w:tcW w:type="dxa" w:w="4934"/>
            <w:tcW w:type="dxa" w:w="493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Lower fair-value gains</w:t>
            </w:r>
          </w:p>
        </w:tc>
      </w:tr>
      <w:tr>
        <w:trPr>
          <w:cantSplit/>
        </w:trPr>
        <w:tc>
          <w:tcPr>
            <w:tcW w:type="dxa" w:w="896"/>
            <w:tcW w:type="dxa" w:w="89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2Q25</w:t>
            </w:r>
          </w:p>
        </w:tc>
        <w:tc>
          <w:tcPr>
            <w:tcW w:type="dxa" w:w="1141"/>
            <w:tcW w:type="dxa" w:w="114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360.7 (+6.8%)</w:t>
            </w:r>
          </w:p>
        </w:tc>
        <w:tc>
          <w:tcPr>
            <w:tcW w:type="dxa" w:w="1141"/>
            <w:tcW w:type="dxa" w:w="114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58.5 (−21%)</w:t>
            </w:r>
          </w:p>
        </w:tc>
        <w:tc>
          <w:tcPr>
            <w:tcW w:type="dxa" w:w="570"/>
            <w:tcW w:type="dxa" w:w="57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16.2%</w:t>
            </w:r>
          </w:p>
        </w:tc>
        <w:tc>
          <w:tcPr>
            <w:tcW w:type="dxa" w:w="1222"/>
            <w:tcW w:type="dxa" w:w="122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62.8 (−62%)</w:t>
            </w:r>
          </w:p>
        </w:tc>
        <w:tc>
          <w:tcPr>
            <w:tcW w:type="dxa" w:w="4934"/>
            <w:tcW w:type="dxa" w:w="493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KRW24.5bn bonus and early retirement; donations; management: OP +5.1% ex one-offs</w:t>
            </w:r>
          </w:p>
        </w:tc>
      </w:tr>
      <w:tr>
        <w:trPr>
          <w:cantSplit/>
        </w:trPr>
        <w:tc>
          <w:tcPr>
            <w:tcW w:type="dxa" w:w="896"/>
            <w:tcW w:type="dxa" w:w="89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3Q25</w:t>
            </w:r>
          </w:p>
        </w:tc>
        <w:tc>
          <w:tcPr>
            <w:tcW w:type="dxa" w:w="1141"/>
            <w:tcW w:type="dxa" w:w="114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384.1 (+2.2%)</w:t>
            </w:r>
          </w:p>
        </w:tc>
        <w:tc>
          <w:tcPr>
            <w:tcW w:type="dxa" w:w="1141"/>
            <w:tcW w:type="dxa" w:w="114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72.7 (−22%)</w:t>
            </w:r>
          </w:p>
        </w:tc>
        <w:tc>
          <w:tcPr>
            <w:tcW w:type="dxa" w:w="570"/>
            <w:tcW w:type="dxa" w:w="57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18.9%</w:t>
            </w:r>
          </w:p>
        </w:tc>
        <w:tc>
          <w:tcPr>
            <w:tcW w:type="dxa" w:w="1222"/>
            <w:tcW w:type="dxa" w:w="122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113.1 (+24%)</w:t>
            </w:r>
          </w:p>
        </w:tc>
        <w:tc>
          <w:tcPr>
            <w:tcW w:type="dxa" w:w="4934"/>
            <w:tcW w:type="dxa" w:w="493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Drop +6.9%, low hold; VIP +23.6% on higher limits; labour and D&amp;A</w:t>
            </w:r>
          </w:p>
        </w:tc>
      </w:tr>
      <w:tr>
        <w:trPr>
          <w:cantSplit/>
        </w:trPr>
        <w:tc>
          <w:tcPr>
            <w:tcW w:type="dxa" w:w="896"/>
            <w:tcW w:type="dxa" w:w="89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4Q25</w:t>
            </w:r>
          </w:p>
        </w:tc>
        <w:tc>
          <w:tcPr>
            <w:tcW w:type="dxa" w:w="1141"/>
            <w:tcW w:type="dxa" w:w="114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365.4 (+6.0%)</w:t>
            </w:r>
          </w:p>
        </w:tc>
        <w:tc>
          <w:tcPr>
            <w:tcW w:type="dxa" w:w="1141"/>
            <w:tcW w:type="dxa" w:w="114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29.7 (−30.5%)</w:t>
            </w:r>
          </w:p>
        </w:tc>
        <w:tc>
          <w:tcPr>
            <w:tcW w:type="dxa" w:w="570"/>
            <w:tcW w:type="dxa" w:w="57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8.1%</w:t>
            </w:r>
          </w:p>
        </w:tc>
        <w:tc>
          <w:tcPr>
            <w:tcW w:type="dxa" w:w="1222"/>
            <w:tcW w:type="dxa" w:w="122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66.0 (−41%)</w:t>
            </w:r>
          </w:p>
        </w:tc>
        <w:tc>
          <w:tcPr>
            <w:tcW w:type="dxa" w:w="4934"/>
            <w:tcW w:type="dxa" w:w="493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Higher SG&amp;A; OP missed consensus</w:t>
            </w:r>
          </w:p>
        </w:tc>
      </w:tr>
      <w:tr>
        <w:trPr>
          <w:cantSplit/>
        </w:trPr>
        <w:tc>
          <w:tcPr>
            <w:tcW w:type="dxa" w:w="896"/>
            <w:tcW w:type="dxa" w:w="89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1Q26</w:t>
            </w:r>
          </w:p>
        </w:tc>
        <w:tc>
          <w:tcPr>
            <w:tcW w:type="dxa" w:w="1141"/>
            <w:tcW w:type="dxa" w:w="114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378.9 (+3.4%)</w:t>
            </w:r>
          </w:p>
        </w:tc>
        <w:tc>
          <w:tcPr>
            <w:tcW w:type="dxa" w:w="1141"/>
            <w:tcW w:type="dxa" w:w="114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68.9 (−7.2%)</w:t>
            </w:r>
          </w:p>
        </w:tc>
        <w:tc>
          <w:tcPr>
            <w:tcW w:type="dxa" w:w="570"/>
            <w:tcW w:type="dxa" w:w="57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18.2%</w:t>
            </w:r>
          </w:p>
        </w:tc>
        <w:tc>
          <w:tcPr>
            <w:tcW w:type="dxa" w:w="1222"/>
            <w:tcW w:type="dxa" w:w="122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39.7 (−46.8%)</w:t>
            </w:r>
          </w:p>
        </w:tc>
        <w:tc>
          <w:tcPr>
            <w:tcW w:type="dxa" w:w="4934"/>
            <w:tcW w:type="dxa" w:w="493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OP beat (consensus ~63.5); NP missed (consensus 73.7); renovation from March</w:t>
            </w:r>
          </w:p>
        </w:tc>
      </w:tr>
      <w:tr>
        <w:trPr>
          <w:cantSplit/>
        </w:trPr>
        <w:tc>
          <w:tcPr>
            <w:tcW w:type="dxa" w:w="896"/>
            <w:tcW w:type="dxa" w:w="89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2Q26</w:t>
            </w:r>
          </w:p>
        </w:tc>
        <w:tc>
          <w:tcPr>
            <w:tcW w:type="dxa" w:w="1141"/>
            <w:tcW w:type="dxa" w:w="114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345.6 (−4.2%)</w:t>
            </w:r>
          </w:p>
        </w:tc>
        <w:tc>
          <w:tcPr>
            <w:tcW w:type="dxa" w:w="1141"/>
            <w:tcW w:type="dxa" w:w="114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43.2 (−26.2%)</w:t>
            </w:r>
          </w:p>
        </w:tc>
        <w:tc>
          <w:tcPr>
            <w:tcW w:type="dxa" w:w="570"/>
            <w:tcW w:type="dxa" w:w="57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12.5%</w:t>
            </w:r>
          </w:p>
        </w:tc>
        <w:tc>
          <w:tcPr>
            <w:tcW w:type="dxa" w:w="1222"/>
            <w:tcW w:type="dxa" w:w="122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100.3 (+59.8%)</w:t>
            </w:r>
          </w:p>
        </w:tc>
        <w:tc>
          <w:tcPr>
            <w:tcW w:type="dxa" w:w="4934"/>
            <w:tcW w:type="dxa" w:w="493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Visitors −3.3%; VIP hold; non-gaming −12.3%; KRW97.3bn valuation gain</w:t>
            </w:r>
          </w:p>
        </w:tc>
      </w:tr>
    </w:tbl>
    <w:p>
      <w:pPr>
        <w:spacing w:before="0" w:after="40" w:line="240" w:lineRule="auto"/>
      </w:pPr>
    </w:p>
    <w:p>
      <w:pPr>
        <w:spacing w:before="0" w:after="100" w:line="288" w:lineRule="auto"/>
      </w:pPr>
      <w:r>
        <w:rPr>
          <w:rFonts w:ascii="Arial" w:hAnsi="Arial"/>
          <w:i/>
          <w:color w:val="5A6270"/>
          <w:sz w:val="15"/>
        </w:rPr>
        <w:t>Source: company preliminary results via the press and Quartr; broker reviews. 2Q25 OP and NP are the restated comparatives (58.5 / 62.8; preliminary 57.9 / 60.6).</w:t>
      </w:r>
    </w:p>
    <w:p>
      <w:pPr>
        <w:pStyle w:val="Heading2"/>
        <w:keepNext/>
        <w:spacing w:before="160" w:after="80" w:line="264" w:lineRule="auto"/>
      </w:pPr>
      <w:r>
        <w:rPr>
          <w:rFonts w:ascii="Arial" w:hAnsi="Arial"/>
        </w:rPr>
        <w:t>8.6 Most relevant operational KPIs</w:t>
      </w:r>
    </w:p>
    <w:tbl>
      <w:tblPr>
        <w:tblW w:type="auto" w:w="0"/>
        <w:jc w:val="center"/>
        <w:tblLook w:firstColumn="1" w:firstRow="1" w:lastColumn="0" w:lastRow="0" w:noHBand="0" w:noVBand="1" w:val="04A0"/>
        <w:tblLayout w:type="fixed"/>
        <w:tblW w:type="dxa" w:w="9906"/>
      </w:tblPr>
      <w:tblGrid>
        <w:gridCol w:w="2326"/>
        <w:gridCol w:w="1168"/>
        <w:gridCol w:w="1931"/>
        <w:gridCol w:w="4479"/>
      </w:tblGrid>
      <w:tr>
        <w:trPr>
          <w:tblHeader/>
        </w:trPr>
        <w:tc>
          <w:tcPr>
            <w:tcW w:type="dxa" w:w="2326"/>
            <w:tcW w:type="dxa" w:w="2326"/>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KPI</w:t>
            </w:r>
          </w:p>
        </w:tc>
        <w:tc>
          <w:tcPr>
            <w:tcW w:type="dxa" w:w="1168"/>
            <w:tcW w:type="dxa" w:w="1168"/>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2024</w:t>
            </w:r>
          </w:p>
        </w:tc>
        <w:tc>
          <w:tcPr>
            <w:tcW w:type="dxa" w:w="1931"/>
            <w:tcW w:type="dxa" w:w="1931"/>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2025</w:t>
            </w:r>
          </w:p>
        </w:tc>
        <w:tc>
          <w:tcPr>
            <w:tcW w:type="dxa" w:w="4479"/>
            <w:tcW w:type="dxa" w:w="4479"/>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Latest / trend</w:t>
            </w:r>
          </w:p>
        </w:tc>
      </w:tr>
      <w:tr>
        <w:trPr>
          <w:cantSplit/>
        </w:trPr>
        <w:tc>
          <w:tcPr>
            <w:tcW w:type="dxa" w:w="2326"/>
            <w:tcW w:type="dxa" w:w="232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Casino visits</w:t>
            </w:r>
          </w:p>
        </w:tc>
        <w:tc>
          <w:tcPr>
            <w:tcW w:type="dxa" w:w="1168"/>
            <w:tcW w:type="dxa" w:w="116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n/f</w:t>
            </w:r>
          </w:p>
        </w:tc>
        <w:tc>
          <w:tcPr>
            <w:tcW w:type="dxa" w:w="1931"/>
            <w:tcW w:type="dxa" w:w="193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~2.4m a year [e]</w:t>
            </w:r>
          </w:p>
        </w:tc>
        <w:tc>
          <w:tcPr>
            <w:tcW w:type="dxa" w:w="4479"/>
            <w:tcW w:type="dxa" w:w="447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2Q26 559,481 (−3.3%); 3Q25 ~660k (+2.2%)</w:t>
            </w:r>
          </w:p>
        </w:tc>
      </w:tr>
      <w:tr>
        <w:trPr>
          <w:cantSplit/>
        </w:trPr>
        <w:tc>
          <w:tcPr>
            <w:tcW w:type="dxa" w:w="2326"/>
            <w:tcW w:type="dxa" w:w="232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Drop (wagers)</w:t>
            </w:r>
          </w:p>
        </w:tc>
        <w:tc>
          <w:tcPr>
            <w:tcW w:type="dxa" w:w="1168"/>
            <w:tcW w:type="dxa" w:w="116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n/f</w:t>
            </w:r>
          </w:p>
        </w:tc>
        <w:tc>
          <w:tcPr>
            <w:tcW w:type="dxa" w:w="1931"/>
            <w:tcW w:type="dxa" w:w="193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3Q25 +6.9%</w:t>
            </w:r>
          </w:p>
        </w:tc>
        <w:tc>
          <w:tcPr>
            <w:tcW w:type="dxa" w:w="4479"/>
            <w:tcW w:type="dxa" w:w="447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2Q26 mass −3.9%, VIP +7.2%</w:t>
            </w:r>
          </w:p>
        </w:tc>
      </w:tr>
      <w:tr>
        <w:trPr>
          <w:cantSplit/>
        </w:trPr>
        <w:tc>
          <w:tcPr>
            <w:tcW w:type="dxa" w:w="2326"/>
            <w:tcW w:type="dxa" w:w="232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NGCC sales cap vs gaming sales</w:t>
            </w:r>
          </w:p>
        </w:tc>
        <w:tc>
          <w:tcPr>
            <w:tcW w:type="dxa" w:w="1168"/>
            <w:tcW w:type="dxa" w:w="116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KRW1.434tn cap vs ~KRW1.364tn [u]</w:t>
            </w:r>
          </w:p>
        </w:tc>
        <w:tc>
          <w:tcPr>
            <w:tcW w:type="dxa" w:w="1931"/>
            <w:tcW w:type="dxa" w:w="193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KRW1.64tn cap vs ~KRW1.43tn</w:t>
            </w:r>
          </w:p>
        </w:tc>
        <w:tc>
          <w:tcPr>
            <w:tcW w:type="dxa" w:w="4479"/>
            <w:tcW w:type="dxa" w:w="447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Cap not binding; 2026 Korean quota reportedly separated from foreigner volume [u]</w:t>
            </w:r>
          </w:p>
        </w:tc>
      </w:tr>
      <w:tr>
        <w:trPr>
          <w:cantSplit/>
        </w:trPr>
        <w:tc>
          <w:tcPr>
            <w:tcW w:type="dxa" w:w="2326"/>
            <w:tcW w:type="dxa" w:w="232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Tables / machines</w:t>
            </w:r>
          </w:p>
        </w:tc>
        <w:tc>
          <w:tcPr>
            <w:tcW w:type="dxa" w:w="1168"/>
            <w:tcW w:type="dxa" w:w="116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200 / ~1,360</w:t>
            </w:r>
          </w:p>
        </w:tc>
        <w:tc>
          <w:tcPr>
            <w:tcW w:type="dxa" w:w="1931"/>
            <w:tcW w:type="dxa" w:w="193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Same</w:t>
            </w:r>
          </w:p>
        </w:tc>
        <w:tc>
          <w:tcPr>
            <w:tcW w:type="dxa" w:w="4479"/>
            <w:tcW w:type="dxa" w:w="447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Permit for 250 / 1,610 with the second casino (~2028)</w:t>
            </w:r>
          </w:p>
        </w:tc>
      </w:tr>
      <w:tr>
        <w:trPr>
          <w:cantSplit/>
        </w:trPr>
        <w:tc>
          <w:tcPr>
            <w:tcW w:type="dxa" w:w="2326"/>
            <w:tcW w:type="dxa" w:w="232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Rooms in service</w:t>
            </w:r>
          </w:p>
        </w:tc>
        <w:tc>
          <w:tcPr>
            <w:tcW w:type="dxa" w:w="1168"/>
            <w:tcW w:type="dxa" w:w="116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~1,850 [e]</w:t>
            </w:r>
          </w:p>
        </w:tc>
        <w:tc>
          <w:tcPr>
            <w:tcW w:type="dxa" w:w="1931"/>
            <w:tcW w:type="dxa" w:w="193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Same</w:t>
            </w:r>
          </w:p>
        </w:tc>
        <w:tc>
          <w:tcPr>
            <w:tcW w:type="dxa" w:w="4479"/>
            <w:tcW w:type="dxa" w:w="447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~1,090 from Mar-26 (757 under renovation) [e]</w:t>
            </w:r>
          </w:p>
        </w:tc>
      </w:tr>
      <w:tr>
        <w:trPr>
          <w:cantSplit/>
        </w:trPr>
        <w:tc>
          <w:tcPr>
            <w:tcW w:type="dxa" w:w="2326"/>
            <w:tcW w:type="dxa" w:w="232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Government take</w:t>
            </w:r>
          </w:p>
        </w:tc>
        <w:tc>
          <w:tcPr>
            <w:tcW w:type="dxa" w:w="1168"/>
            <w:tcW w:type="dxa" w:w="116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KRW570bn [e]</w:t>
            </w:r>
          </w:p>
        </w:tc>
        <w:tc>
          <w:tcPr>
            <w:tcW w:type="dxa" w:w="1931"/>
            <w:tcW w:type="dxa" w:w="193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KRW603.3bn (+5.8%), 42% of gaming sales</w:t>
            </w:r>
          </w:p>
        </w:tc>
        <w:tc>
          <w:tcPr>
            <w:tcW w:type="dxa" w:w="4479"/>
            <w:tcW w:type="dxa" w:w="447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Funds KRW354.7bn, taxes KRW248.6bn</w:t>
            </w:r>
          </w:p>
        </w:tc>
      </w:tr>
      <w:tr>
        <w:trPr>
          <w:cantSplit/>
        </w:trPr>
        <w:tc>
          <w:tcPr>
            <w:tcW w:type="dxa" w:w="2326"/>
            <w:tcW w:type="dxa" w:w="232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Capex</w:t>
            </w:r>
          </w:p>
        </w:tc>
        <w:tc>
          <w:tcPr>
            <w:tcW w:type="dxa" w:w="1168"/>
            <w:tcW w:type="dxa" w:w="116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119.8</w:t>
            </w:r>
          </w:p>
        </w:tc>
        <w:tc>
          <w:tcPr>
            <w:tcW w:type="dxa" w:w="1931"/>
            <w:tcW w:type="dxa" w:w="193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143.7</w:t>
            </w:r>
          </w:p>
        </w:tc>
        <w:tc>
          <w:tcPr>
            <w:tcW w:type="dxa" w:w="4479"/>
            <w:tcW w:type="dxa" w:w="447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2026 budget 145.4 (87.2 spent in 1H26)</w:t>
            </w:r>
          </w:p>
        </w:tc>
      </w:tr>
      <w:tr>
        <w:trPr>
          <w:cantSplit/>
        </w:trPr>
        <w:tc>
          <w:tcPr>
            <w:tcW w:type="dxa" w:w="2326"/>
            <w:tcW w:type="dxa" w:w="2326"/>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b/>
                <w:sz w:val="15"/>
              </w:rPr>
              <w:t>Total shareholder return (payout incl. buybacks)</w:t>
            </w:r>
          </w:p>
        </w:tc>
        <w:tc>
          <w:tcPr>
            <w:tcW w:type="dxa" w:w="1168"/>
            <w:tcW w:type="dxa" w:w="1168"/>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sz w:val="15"/>
              </w:rPr>
              <w:t>60.1%</w:t>
            </w:r>
          </w:p>
        </w:tc>
        <w:tc>
          <w:tcPr>
            <w:tcW w:type="dxa" w:w="1931"/>
            <w:tcW w:type="dxa" w:w="1931"/>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sz w:val="15"/>
              </w:rPr>
              <w:t>62.6%</w:t>
            </w:r>
          </w:p>
        </w:tc>
        <w:tc>
          <w:tcPr>
            <w:tcW w:type="dxa" w:w="4479"/>
            <w:tcW w:type="dxa" w:w="4479"/>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sz w:val="15"/>
              </w:rPr>
              <w:t>Value-Up target ≥60%</w:t>
            </w:r>
          </w:p>
        </w:tc>
      </w:tr>
    </w:tbl>
    <w:p>
      <w:pPr>
        <w:spacing w:before="0" w:after="40" w:line="240" w:lineRule="auto"/>
      </w:pPr>
    </w:p>
    <w:p>
      <w:pPr>
        <w:pStyle w:val="Heading1"/>
        <w:pageBreakBefore/>
        <w:spacing w:before="0" w:after="120" w:line="264" w:lineRule="auto"/>
      </w:pPr>
      <w:r>
        <w:rPr>
          <w:rFonts w:ascii="Arial" w:hAnsi="Arial"/>
        </w:rPr>
        <w:t>9. Historical Share Price Catalysts (Moves of More Than 10%)</w:t>
      </w:r>
    </w:p>
    <w:p>
      <w:pPr>
        <w:keepNext/>
        <w:spacing w:before="80" w:after="40" w:line="240" w:lineRule="auto"/>
        <w:jc w:val="center"/>
      </w:pPr>
      <w:r>
        <w:drawing>
          <wp:inline xmlns:a="http://schemas.openxmlformats.org/drawingml/2006/main" xmlns:pic="http://schemas.openxmlformats.org/drawingml/2006/picture">
            <wp:extent cx="6400800" cy="3007529"/>
            <wp:docPr id="3" name="Picture 3"/>
            <wp:cNvGraphicFramePr>
              <a:graphicFrameLocks noChangeAspect="1"/>
            </wp:cNvGraphicFramePr>
            <a:graphic>
              <a:graphicData uri="http://schemas.openxmlformats.org/drawingml/2006/picture">
                <pic:pic>
                  <pic:nvPicPr>
                    <pic:cNvPr id="0" name="price_10y.png"/>
                    <pic:cNvPicPr/>
                  </pic:nvPicPr>
                  <pic:blipFill>
                    <a:blip r:embed="rId13"/>
                    <a:stretch>
                      <a:fillRect/>
                    </a:stretch>
                  </pic:blipFill>
                  <pic:spPr>
                    <a:xfrm>
                      <a:off x="0" y="0"/>
                      <a:ext cx="6400800" cy="3007529"/>
                    </a:xfrm>
                    <a:prstGeom prst="rect"/>
                  </pic:spPr>
                </pic:pic>
              </a:graphicData>
            </a:graphic>
          </wp:inline>
        </w:drawing>
      </w:r>
    </w:p>
    <w:p>
      <w:pPr>
        <w:spacing w:before="0" w:after="120" w:line="240" w:lineRule="auto"/>
      </w:pPr>
      <w:r>
        <w:rPr>
          <w:rFonts w:ascii="Arial" w:hAnsi="Arial"/>
          <w:i/>
          <w:color w:val="5A6270"/>
          <w:sz w:val="15"/>
        </w:rPr>
        <w:t>Figure: Kangwon Land share price, Oct-2016 to 23-Oct-2026, selected sourced levels and estimated year-end levels.</w:t>
      </w:r>
    </w:p>
    <w:p>
      <w:pPr>
        <w:spacing w:before="0" w:after="100" w:line="288" w:lineRule="auto"/>
      </w:pPr>
      <w:r>
        <w:rPr>
          <w:rFonts w:ascii="Arial" w:hAnsi="Arial"/>
          <w:b/>
          <w:sz w:val="19"/>
        </w:rPr>
        <w:t>Data caveat.</w:t>
      </w:r>
      <w:r>
        <w:rPr>
          <w:rFonts w:ascii="Arial" w:hAnsi="Arial"/>
          <w:sz w:val="19"/>
        </w:rPr>
        <w:t xml:space="preserve"> Our sources (search-engine summaries; S&amp;P Capital IQ was not authorised for this session) gave dated price points rather than a continuous series. The chart joins sourced closes with year-end levels estimated from market-cap data [e]. It shows direction and magnitude, not exact weekly moves.</w:t>
      </w:r>
    </w:p>
    <w:p>
      <w:pPr>
        <w:spacing w:before="0" w:after="100" w:line="288" w:lineRule="auto"/>
      </w:pPr>
      <w:r>
        <w:rPr>
          <w:rFonts w:ascii="Arial" w:hAnsi="Arial"/>
          <w:b/>
          <w:sz w:val="19"/>
        </w:rPr>
        <w:t>Performance (price only):</w:t>
      </w:r>
    </w:p>
    <w:p>
      <w:pPr>
        <w:spacing w:before="0" w:after="50" w:line="276" w:lineRule="auto"/>
        <w:ind w:left="360" w:hanging="245"/>
      </w:pPr>
      <w:r>
        <w:rPr>
          <w:rFonts w:ascii="Arial" w:hAnsi="Arial"/>
          <w:color w:val="2E74B5"/>
          <w:sz w:val="16"/>
        </w:rPr>
        <w:t xml:space="preserve">▪  </w:t>
      </w:r>
      <w:r>
        <w:rPr>
          <w:rFonts w:ascii="Arial" w:hAnsi="Arial"/>
          <w:b/>
          <w:sz w:val="19"/>
        </w:rPr>
        <w:t>1 year:</w:t>
      </w:r>
      <w:r>
        <w:rPr>
          <w:rFonts w:ascii="Arial" w:hAnsi="Arial"/>
          <w:sz w:val="19"/>
        </w:rPr>
        <w:t xml:space="preserve"> −26% (WiseReport [u]), against the KOSPI's ~+82% [e].</w:t>
      </w:r>
    </w:p>
    <w:p>
      <w:pPr>
        <w:spacing w:before="0" w:after="50" w:line="276" w:lineRule="auto"/>
        <w:ind w:left="360" w:hanging="245"/>
      </w:pPr>
      <w:r>
        <w:rPr>
          <w:rFonts w:ascii="Arial" w:hAnsi="Arial"/>
          <w:color w:val="2E74B5"/>
          <w:sz w:val="16"/>
        </w:rPr>
        <w:t xml:space="preserve">▪  </w:t>
      </w:r>
      <w:r>
        <w:rPr>
          <w:rFonts w:ascii="Arial" w:hAnsi="Arial"/>
          <w:b/>
          <w:sz w:val="19"/>
        </w:rPr>
        <w:t>YTD 2026:</w:t>
      </w:r>
      <w:r>
        <w:rPr>
          <w:rFonts w:ascii="Arial" w:hAnsi="Arial"/>
          <w:sz w:val="19"/>
        </w:rPr>
        <w:t xml:space="preserve"> about −24% [e], from ~KRW18,600 at end-2025 [e] to KRW14,180.</w:t>
      </w:r>
    </w:p>
    <w:p>
      <w:pPr>
        <w:spacing w:before="0" w:after="50" w:line="276" w:lineRule="auto"/>
        <w:ind w:left="360" w:hanging="245"/>
      </w:pPr>
      <w:r>
        <w:rPr>
          <w:rFonts w:ascii="Arial" w:hAnsi="Arial"/>
          <w:color w:val="2E74B5"/>
          <w:sz w:val="16"/>
        </w:rPr>
        <w:t xml:space="preserve">▪  </w:t>
      </w:r>
      <w:r>
        <w:rPr>
          <w:rFonts w:ascii="Arial" w:hAnsi="Arial"/>
          <w:b/>
          <w:sz w:val="19"/>
        </w:rPr>
        <w:t>10 years:</w:t>
      </w:r>
      <w:r>
        <w:rPr>
          <w:rFonts w:ascii="Arial" w:hAnsi="Arial"/>
          <w:sz w:val="19"/>
        </w:rPr>
        <w:t xml:space="preserve"> about −60% [e], from ~KRW35,500 at end-2016.</w:t>
      </w:r>
    </w:p>
    <w:p>
      <w:pPr>
        <w:spacing w:before="0" w:after="50" w:line="276" w:lineRule="auto"/>
        <w:ind w:left="360" w:hanging="245"/>
      </w:pPr>
      <w:r>
        <w:rPr>
          <w:rFonts w:ascii="Arial" w:hAnsi="Arial"/>
          <w:color w:val="2E74B5"/>
          <w:sz w:val="16"/>
        </w:rPr>
        <w:t xml:space="preserve">▪  </w:t>
      </w:r>
      <w:r>
        <w:rPr>
          <w:rFonts w:ascii="Arial" w:hAnsi="Arial"/>
          <w:b/>
          <w:sz w:val="19"/>
        </w:rPr>
        <w:t>From the all-time high:</w:t>
      </w:r>
      <w:r>
        <w:rPr>
          <w:rFonts w:ascii="Arial" w:hAnsi="Arial"/>
          <w:sz w:val="19"/>
        </w:rPr>
        <w:t xml:space="preserve"> −69% (KRW45,900, 20-Aug-2015).</w:t>
      </w:r>
    </w:p>
    <w:p>
      <w:pPr>
        <w:spacing w:before="0" w:after="50" w:line="276" w:lineRule="auto"/>
        <w:ind w:left="360" w:hanging="245"/>
      </w:pPr>
      <w:r>
        <w:rPr>
          <w:rFonts w:ascii="Arial" w:hAnsi="Arial"/>
          <w:color w:val="2E74B5"/>
          <w:sz w:val="16"/>
        </w:rPr>
        <w:t xml:space="preserve">▪  </w:t>
      </w:r>
      <w:r>
        <w:rPr>
          <w:rFonts w:ascii="Arial" w:hAnsi="Arial"/>
          <w:b/>
          <w:sz w:val="19"/>
        </w:rPr>
        <w:t>Price-to-book</w:t>
      </w:r>
      <w:r>
        <w:rPr>
          <w:rFonts w:ascii="Arial" w:hAnsi="Arial"/>
          <w:sz w:val="19"/>
        </w:rPr>
        <w:t xml:space="preserve"> fell from 2.60x (2015) to ~0.74x.</w:t>
      </w:r>
    </w:p>
    <w:p>
      <w:pPr>
        <w:pStyle w:val="Heading2"/>
        <w:keepNext/>
        <w:spacing w:before="160" w:after="80" w:line="264" w:lineRule="auto"/>
      </w:pPr>
      <w:r>
        <w:rPr>
          <w:rFonts w:ascii="Arial" w:hAnsi="Arial"/>
        </w:rPr>
        <w:t>9.1 Single-day moves of 10% or more (last five years)</w:t>
      </w:r>
    </w:p>
    <w:p>
      <w:pPr>
        <w:spacing w:before="0" w:after="100" w:line="288" w:lineRule="auto"/>
      </w:pPr>
      <w:r>
        <w:rPr>
          <w:rFonts w:ascii="Arial" w:hAnsi="Arial"/>
          <w:b/>
          <w:sz w:val="19"/>
        </w:rPr>
        <w:t>None found.</w:t>
      </w:r>
      <w:r>
        <w:rPr>
          <w:rFonts w:ascii="Arial" w:hAnsi="Arial"/>
          <w:sz w:val="19"/>
        </w:rPr>
        <w:t xml:space="preserve"> Kangwon Land is a low-volatility stock; the largest daily move we found in recent years was +5.67% (20-May-2020, operating hours extended after the COVID closure). The contrast with peers on the levy news is telling:</w:t>
      </w:r>
    </w:p>
    <w:tbl>
      <w:tblPr>
        <w:tblW w:type="auto" w:w="0"/>
        <w:jc w:val="center"/>
        <w:tblLook w:firstColumn="1" w:firstRow="1" w:lastColumn="0" w:lastRow="0" w:noHBand="0" w:noVBand="1" w:val="04A0"/>
        <w:tblLayout w:type="fixed"/>
        <w:tblW w:type="dxa" w:w="9906"/>
      </w:tblPr>
      <w:tblGrid>
        <w:gridCol w:w="1157"/>
        <w:gridCol w:w="1141"/>
        <w:gridCol w:w="1350"/>
        <w:gridCol w:w="868"/>
        <w:gridCol w:w="2026"/>
        <w:gridCol w:w="3360"/>
      </w:tblGrid>
      <w:tr>
        <w:trPr>
          <w:tblHeader/>
        </w:trPr>
        <w:tc>
          <w:tcPr>
            <w:tcW w:type="dxa" w:w="1157"/>
            <w:tcW w:type="dxa" w:w="1157"/>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Date</w:t>
            </w:r>
          </w:p>
        </w:tc>
        <w:tc>
          <w:tcPr>
            <w:tcW w:type="dxa" w:w="1141"/>
            <w:tcW w:type="dxa" w:w="1141"/>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Kangwon Land</w:t>
            </w:r>
          </w:p>
        </w:tc>
        <w:tc>
          <w:tcPr>
            <w:tcW w:type="dxa" w:w="1350"/>
            <w:tcW w:type="dxa" w:w="1350"/>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Paradise</w:t>
            </w:r>
          </w:p>
        </w:tc>
        <w:tc>
          <w:tcPr>
            <w:tcW w:type="dxa" w:w="868"/>
            <w:tcW w:type="dxa" w:w="868"/>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GKL</w:t>
            </w:r>
          </w:p>
        </w:tc>
        <w:tc>
          <w:tcPr>
            <w:tcW w:type="dxa" w:w="2026"/>
            <w:tcW w:type="dxa" w:w="2026"/>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Lotte Tour</w:t>
            </w:r>
          </w:p>
        </w:tc>
        <w:tc>
          <w:tcPr>
            <w:tcW w:type="dxa" w:w="3360"/>
            <w:tcW w:type="dxa" w:w="3360"/>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Trigger</w:t>
            </w:r>
          </w:p>
        </w:tc>
      </w:tr>
      <w:tr>
        <w:trPr>
          <w:cantSplit/>
        </w:trPr>
        <w:tc>
          <w:tcPr>
            <w:tcW w:type="dxa" w:w="1157"/>
            <w:tcW w:type="dxa" w:w="115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15-Jul-2026</w:t>
            </w:r>
          </w:p>
        </w:tc>
        <w:tc>
          <w:tcPr>
            <w:tcW w:type="dxa" w:w="1141"/>
            <w:tcW w:type="dxa" w:w="114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~−3% over five days</w:t>
            </w:r>
          </w:p>
        </w:tc>
        <w:tc>
          <w:tcPr>
            <w:tcW w:type="dxa" w:w="1350"/>
            <w:tcW w:type="dxa" w:w="135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−13.5% (−23% over five days)</w:t>
            </w:r>
          </w:p>
        </w:tc>
        <w:tc>
          <w:tcPr>
            <w:tcW w:type="dxa" w:w="868"/>
            <w:tcW w:type="dxa" w:w="86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−10.8%</w:t>
            </w:r>
          </w:p>
        </w:tc>
        <w:tc>
          <w:tcPr>
            <w:tcW w:type="dxa" w:w="2026"/>
            <w:tcW w:type="dxa" w:w="202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−14.6% (−20% intraday)</w:t>
            </w:r>
          </w:p>
        </w:tc>
        <w:tc>
          <w:tcPr>
            <w:tcW w:type="dxa" w:w="3360"/>
            <w:tcW w:type="dxa" w:w="336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MCST floats a 15% tourism-levy bracket</w:t>
            </w:r>
          </w:p>
        </w:tc>
      </w:tr>
      <w:tr>
        <w:trPr>
          <w:cantSplit/>
        </w:trPr>
        <w:tc>
          <w:tcPr>
            <w:tcW w:type="dxa" w:w="1157"/>
            <w:tcW w:type="dxa" w:w="115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Feb-high → Oct-2026</w:t>
            </w:r>
          </w:p>
        </w:tc>
        <w:tc>
          <w:tcPr>
            <w:tcW w:type="dxa" w:w="1141"/>
            <w:tcW w:type="dxa" w:w="114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−27%</w:t>
            </w:r>
          </w:p>
        </w:tc>
        <w:tc>
          <w:tcPr>
            <w:tcW w:type="dxa" w:w="1350"/>
            <w:tcW w:type="dxa" w:w="135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−55% to −58%</w:t>
            </w:r>
          </w:p>
        </w:tc>
        <w:tc>
          <w:tcPr>
            <w:tcW w:type="dxa" w:w="868"/>
            <w:tcW w:type="dxa" w:w="86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52-week low KRW8,400</w:t>
            </w:r>
          </w:p>
        </w:tc>
        <w:tc>
          <w:tcPr>
            <w:tcW w:type="dxa" w:w="2026"/>
            <w:tcW w:type="dxa" w:w="202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52-week closing low (12-Oct)</w:t>
            </w:r>
          </w:p>
        </w:tc>
        <w:tc>
          <w:tcPr>
            <w:tcW w:type="dxa" w:w="3360"/>
            <w:tcW w:type="dxa" w:w="336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China capital controls, strong won, levy, earnings</w:t>
            </w:r>
          </w:p>
        </w:tc>
      </w:tr>
    </w:tbl>
    <w:p>
      <w:pPr>
        <w:spacing w:before="0" w:after="40" w:line="240" w:lineRule="auto"/>
      </w:pPr>
    </w:p>
    <w:p>
      <w:pPr>
        <w:pStyle w:val="Heading2"/>
        <w:keepNext/>
        <w:spacing w:before="160" w:after="80" w:line="264" w:lineRule="auto"/>
      </w:pPr>
      <w:r>
        <w:rPr>
          <w:rFonts w:ascii="Arial" w:hAnsi="Arial"/>
        </w:rPr>
        <w:t>9.2 Multi-week swings of 10% or more since Oct-2021</w:t>
      </w:r>
    </w:p>
    <w:tbl>
      <w:tblPr>
        <w:tblW w:type="auto" w:w="0"/>
        <w:jc w:val="center"/>
        <w:tblLook w:firstColumn="1" w:firstRow="1" w:lastColumn="0" w:lastRow="0" w:noHBand="0" w:noVBand="1" w:val="04A0"/>
        <w:tblLayout w:type="fixed"/>
        <w:tblW w:type="dxa" w:w="9906"/>
      </w:tblPr>
      <w:tblGrid>
        <w:gridCol w:w="1150"/>
        <w:gridCol w:w="2854"/>
        <w:gridCol w:w="5901"/>
      </w:tblGrid>
      <w:tr>
        <w:trPr>
          <w:tblHeader/>
        </w:trPr>
        <w:tc>
          <w:tcPr>
            <w:tcW w:type="dxa" w:w="1150"/>
            <w:tcW w:type="dxa" w:w="1150"/>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Period</w:t>
            </w:r>
          </w:p>
        </w:tc>
        <w:tc>
          <w:tcPr>
            <w:tcW w:type="dxa" w:w="2854"/>
            <w:tcW w:type="dxa" w:w="2854"/>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Move</w:t>
            </w:r>
          </w:p>
        </w:tc>
        <w:tc>
          <w:tcPr>
            <w:tcW w:type="dxa" w:w="5901"/>
            <w:tcW w:type="dxa" w:w="5901"/>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Drivers</w:t>
            </w:r>
          </w:p>
        </w:tc>
      </w:tr>
      <w:tr>
        <w:trPr>
          <w:cantSplit/>
        </w:trPr>
        <w:tc>
          <w:tcPr>
            <w:tcW w:type="dxa" w:w="1150"/>
            <w:tcW w:type="dxa" w:w="115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Mar-22 → Mar-23</w:t>
            </w:r>
          </w:p>
        </w:tc>
        <w:tc>
          <w:tcPr>
            <w:tcW w:type="dxa" w:w="2854"/>
            <w:tcW w:type="dxa" w:w="285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−35%</w:t>
            </w:r>
            <w:r>
              <w:rPr>
                <w:rFonts w:ascii="Arial" w:hAnsi="Arial"/>
                <w:sz w:val="15"/>
              </w:rPr>
              <w:t xml:space="preserve"> (52-week low KRW18,040 on 17-Mar-23)</w:t>
            </w:r>
          </w:p>
        </w:tc>
        <w:tc>
          <w:tcPr>
            <w:tcW w:type="dxa" w:w="5901"/>
            <w:tcW w:type="dxa" w:w="590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Slow post-COVID ramp; illegal gambling; labour and public-sector controversies</w:t>
            </w:r>
          </w:p>
        </w:tc>
      </w:tr>
      <w:tr>
        <w:trPr>
          <w:cantSplit/>
        </w:trPr>
        <w:tc>
          <w:tcPr>
            <w:tcW w:type="dxa" w:w="1150"/>
            <w:tcW w:type="dxa" w:w="115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2H23</w:t>
            </w:r>
          </w:p>
        </w:tc>
        <w:tc>
          <w:tcPr>
            <w:tcW w:type="dxa" w:w="2854"/>
            <w:tcW w:type="dxa" w:w="285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~−13% to ~KRW15,700 at year-end [e]</w:t>
            </w:r>
          </w:p>
        </w:tc>
        <w:tc>
          <w:tcPr>
            <w:tcW w:type="dxa" w:w="5901"/>
            <w:tcW w:type="dxa" w:w="590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First-ever "D" in the public-enterprise evaluation (Jun-23); CEO Lee Sam-geol resigns (Nov/Dec-23)</w:t>
            </w:r>
          </w:p>
        </w:tc>
      </w:tr>
      <w:tr>
        <w:trPr>
          <w:cantSplit/>
        </w:trPr>
        <w:tc>
          <w:tcPr>
            <w:tcW w:type="dxa" w:w="1150"/>
            <w:tcW w:type="dxa" w:w="115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Jul-24 → Sep-24</w:t>
            </w:r>
          </w:p>
        </w:tc>
        <w:tc>
          <w:tcPr>
            <w:tcW w:type="dxa" w:w="2854"/>
            <w:tcW w:type="dxa" w:w="285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+35%</w:t>
            </w:r>
            <w:r>
              <w:rPr>
                <w:rFonts w:ascii="Arial" w:hAnsi="Arial"/>
                <w:sz w:val="15"/>
              </w:rPr>
              <w:t xml:space="preserve"> (KRW13,760 → 18,610)</w:t>
            </w:r>
          </w:p>
        </w:tc>
        <w:tc>
          <w:tcPr>
            <w:tcW w:type="dxa" w:w="5901"/>
            <w:tcW w:type="dxa" w:w="590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MCST expansion permit (floor +40%, tables 250, machines 1,610; 5-Sep-24); Value-Up plan (10-Oct-24)</w:t>
            </w:r>
          </w:p>
        </w:tc>
      </w:tr>
      <w:tr>
        <w:trPr>
          <w:cantSplit/>
        </w:trPr>
        <w:tc>
          <w:tcPr>
            <w:tcW w:type="dxa" w:w="1150"/>
            <w:tcW w:type="dxa" w:w="115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Late-24 → mid-25</w:t>
            </w:r>
          </w:p>
        </w:tc>
        <w:tc>
          <w:tcPr>
            <w:tcW w:type="dxa" w:w="2854"/>
            <w:tcW w:type="dxa" w:w="285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~+30%</w:t>
            </w:r>
            <w:r>
              <w:rPr>
                <w:rFonts w:ascii="Arial" w:hAnsi="Arial"/>
                <w:sz w:val="15"/>
              </w:rPr>
              <w:t xml:space="preserve"> to the 2025 high (~KRW20,600 [u])</w:t>
            </w:r>
          </w:p>
        </w:tc>
        <w:tc>
          <w:tcPr>
            <w:tcW w:type="dxa" w:w="5901"/>
            <w:tcW w:type="dxa" w:w="590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Record FY24 dividend (KRW1,170; 7.3% yield); KRX Value-Up index inclusion (Jun-25); sales cap raised to KRW1.64tn; VIP bet limits up 10x</w:t>
            </w:r>
          </w:p>
        </w:tc>
      </w:tr>
      <w:tr>
        <w:trPr>
          <w:cantSplit/>
        </w:trPr>
        <w:tc>
          <w:tcPr>
            <w:tcW w:type="dxa" w:w="1150"/>
            <w:tcW w:type="dxa" w:w="115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Feb-26 → Jul-26</w:t>
            </w:r>
          </w:p>
        </w:tc>
        <w:tc>
          <w:tcPr>
            <w:tcW w:type="dxa" w:w="2854"/>
            <w:tcW w:type="dxa" w:w="285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−28%</w:t>
            </w:r>
            <w:r>
              <w:rPr>
                <w:rFonts w:ascii="Arial" w:hAnsi="Arial"/>
                <w:sz w:val="15"/>
              </w:rPr>
              <w:t xml:space="preserve"> (~KRW19,600 → 13,920 low [u])</w:t>
            </w:r>
          </w:p>
        </w:tc>
        <w:tc>
          <w:tcPr>
            <w:tcW w:type="dxa" w:w="5901"/>
            <w:tcW w:type="dxa" w:w="590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Renovation; weak 1Q26 net profit (−47%); levy proposal (Jul-26); AML due-diligence proposal (Jul-26); rotation into AI and semiconductors</w:t>
            </w:r>
          </w:p>
        </w:tc>
      </w:tr>
      <w:tr>
        <w:trPr>
          <w:cantSplit/>
        </w:trPr>
        <w:tc>
          <w:tcPr>
            <w:tcW w:type="dxa" w:w="1150"/>
            <w:tcW w:type="dxa" w:w="115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Aug-26 → Oct-26</w:t>
            </w:r>
          </w:p>
        </w:tc>
        <w:tc>
          <w:tcPr>
            <w:tcW w:type="dxa" w:w="2854"/>
            <w:tcW w:type="dxa" w:w="285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Flat (KRW14,100-14,700)</w:t>
            </w:r>
          </w:p>
        </w:tc>
        <w:tc>
          <w:tcPr>
            <w:tcW w:type="dxa" w:w="5901"/>
            <w:tcW w:type="dxa" w:w="590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2Q26 OP −26%; target cuts (Hana, Kiwoom, Eugene, iM); CEO appointment; held up better than foreigner-only peers in October</w:t>
            </w:r>
          </w:p>
        </w:tc>
      </w:tr>
    </w:tbl>
    <w:p>
      <w:pPr>
        <w:spacing w:before="0" w:after="40" w:line="240" w:lineRule="auto"/>
      </w:pPr>
    </w:p>
    <w:p>
      <w:pPr>
        <w:pStyle w:val="Heading2"/>
        <w:keepNext/>
        <w:spacing w:before="160" w:after="80" w:line="264" w:lineRule="auto"/>
      </w:pPr>
      <w:r>
        <w:rPr>
          <w:rFonts w:ascii="Arial" w:hAnsi="Arial"/>
        </w:rPr>
        <w:t>9.3 Ten-year context</w:t>
      </w:r>
    </w:p>
    <w:p>
      <w:pPr>
        <w:spacing w:before="0" w:after="100" w:line="288" w:lineRule="auto"/>
      </w:pPr>
      <w:r>
        <w:rPr>
          <w:rFonts w:ascii="Arial" w:hAnsi="Arial"/>
          <w:sz w:val="19"/>
        </w:rPr>
        <w:t>The ten-year decline from ~KRW35,500 to KRW14,180 is mostly policy, not demand. Revenue in FY2025 (KRW1.48tn) is still below FY2016 (~KRW1.7tn [u]). But three government decisions permanently lowered the earning power available to minorities:</w:t>
      </w:r>
    </w:p>
    <w:p>
      <w:pPr>
        <w:spacing w:before="0" w:after="50" w:line="276" w:lineRule="auto"/>
        <w:ind w:left="360" w:hanging="245"/>
      </w:pPr>
      <w:r>
        <w:rPr>
          <w:rFonts w:ascii="Arial" w:hAnsi="Arial"/>
          <w:color w:val="2E74B5"/>
          <w:sz w:val="16"/>
        </w:rPr>
        <w:t xml:space="preserve">▪  </w:t>
      </w:r>
      <w:r>
        <w:rPr>
          <w:rFonts w:ascii="Arial" w:hAnsi="Arial"/>
          <w:sz w:val="19"/>
        </w:rPr>
        <w:t>the 2018 licence conditions (two fewer hours, fewer tables);</w:t>
      </w:r>
    </w:p>
    <w:p>
      <w:pPr>
        <w:spacing w:before="0" w:after="50" w:line="276" w:lineRule="auto"/>
        <w:ind w:left="360" w:hanging="245"/>
      </w:pPr>
      <w:r>
        <w:rPr>
          <w:rFonts w:ascii="Arial" w:hAnsi="Arial"/>
          <w:color w:val="2E74B5"/>
          <w:sz w:val="16"/>
        </w:rPr>
        <w:t xml:space="preserve">▪  </w:t>
      </w:r>
      <w:r>
        <w:rPr>
          <w:rFonts w:ascii="Arial" w:hAnsi="Arial"/>
          <w:sz w:val="19"/>
        </w:rPr>
        <w:t>the 2021 mine-fund change (from 25% of profit to 13% of casino sales);</w:t>
      </w:r>
    </w:p>
    <w:p>
      <w:pPr>
        <w:spacing w:before="0" w:after="50" w:line="276" w:lineRule="auto"/>
        <w:ind w:left="360" w:hanging="245"/>
      </w:pPr>
      <w:r>
        <w:rPr>
          <w:rFonts w:ascii="Arial" w:hAnsi="Arial"/>
          <w:color w:val="2E74B5"/>
          <w:sz w:val="16"/>
        </w:rPr>
        <w:t xml:space="preserve">▪  </w:t>
      </w:r>
      <w:r>
        <w:rPr>
          <w:rFonts w:ascii="Arial" w:hAnsi="Arial"/>
          <w:sz w:val="19"/>
        </w:rPr>
        <w:t>the cost creep of public-enterprise governance.</w:t>
      </w:r>
    </w:p>
    <w:p>
      <w:pPr>
        <w:spacing w:before="0" w:after="100" w:line="288" w:lineRule="auto"/>
      </w:pPr>
      <w:r>
        <w:rPr>
          <w:rFonts w:ascii="Arial" w:hAnsi="Arial"/>
          <w:sz w:val="19"/>
        </w:rPr>
        <w:t>Book value per share kept rising as profits were retained, so P/B halved twice: from 2.6x (2015) to 1.5x (2020), then to 0.74x (2026). The stock now trades below its net financial assets for the first time in our data.</w:t>
      </w:r>
    </w:p>
    <w:p>
      <w:pPr>
        <w:pStyle w:val="Heading1"/>
        <w:pageBreakBefore/>
        <w:spacing w:before="0" w:after="120" w:line="264" w:lineRule="auto"/>
      </w:pPr>
      <w:r>
        <w:rPr>
          <w:rFonts w:ascii="Arial" w:hAnsi="Arial"/>
        </w:rPr>
        <w:t>10. Earnings Calls, Management Focus and Sentiment</w:t>
      </w:r>
    </w:p>
    <w:p>
      <w:pPr>
        <w:spacing w:before="0" w:after="100" w:line="288" w:lineRule="auto"/>
      </w:pPr>
      <w:r>
        <w:rPr>
          <w:rFonts w:ascii="Arial" w:hAnsi="Arial"/>
          <w:b/>
          <w:sz w:val="19"/>
        </w:rPr>
        <w:t>Method.</w:t>
      </w:r>
      <w:r>
        <w:rPr>
          <w:rFonts w:ascii="Arial" w:hAnsi="Arial"/>
          <w:sz w:val="19"/>
        </w:rPr>
        <w:t xml:space="preserve"> S&amp;P Capital IQ and ProntoNLP were not available in this session, and Kangwon Land's results calls are not transcribed in public sources. We therefore scored each quarter's results release and the press and broker coverage of management commentary on a disclosed four-part rubric:</w:t>
      </w:r>
    </w:p>
    <w:p>
      <w:pPr>
        <w:spacing w:before="0" w:after="50" w:line="276" w:lineRule="auto"/>
        <w:ind w:left="360" w:hanging="245"/>
      </w:pPr>
      <w:r>
        <w:rPr>
          <w:rFonts w:ascii="Arial" w:hAnsi="Arial"/>
          <w:color w:val="2E74B5"/>
          <w:sz w:val="16"/>
        </w:rPr>
        <w:t xml:space="preserve">▪  </w:t>
      </w:r>
      <w:r>
        <w:rPr>
          <w:rFonts w:ascii="Arial" w:hAnsi="Arial"/>
          <w:sz w:val="19"/>
        </w:rPr>
        <w:t>results vs consensus (±1);</w:t>
      </w:r>
    </w:p>
    <w:p>
      <w:pPr>
        <w:spacing w:before="0" w:after="50" w:line="276" w:lineRule="auto"/>
        <w:ind w:left="360" w:hanging="245"/>
      </w:pPr>
      <w:r>
        <w:rPr>
          <w:rFonts w:ascii="Arial" w:hAnsi="Arial"/>
          <w:color w:val="2E74B5"/>
          <w:sz w:val="16"/>
        </w:rPr>
        <w:t xml:space="preserve">▪  </w:t>
      </w:r>
      <w:r>
        <w:rPr>
          <w:rFonts w:ascii="Arial" w:hAnsi="Arial"/>
          <w:sz w:val="19"/>
        </w:rPr>
        <w:t>management tone (±0.5);</w:t>
      </w:r>
    </w:p>
    <w:p>
      <w:pPr>
        <w:spacing w:before="0" w:after="50" w:line="276" w:lineRule="auto"/>
        <w:ind w:left="360" w:hanging="245"/>
      </w:pPr>
      <w:r>
        <w:rPr>
          <w:rFonts w:ascii="Arial" w:hAnsi="Arial"/>
          <w:color w:val="2E74B5"/>
          <w:sz w:val="16"/>
        </w:rPr>
        <w:t xml:space="preserve">▪  </w:t>
      </w:r>
      <w:r>
        <w:rPr>
          <w:rFonts w:ascii="Arial" w:hAnsi="Arial"/>
          <w:sz w:val="19"/>
        </w:rPr>
        <w:t>outlook (±0.5);</w:t>
      </w:r>
    </w:p>
    <w:p>
      <w:pPr>
        <w:spacing w:before="0" w:after="50" w:line="276" w:lineRule="auto"/>
        <w:ind w:left="360" w:hanging="245"/>
      </w:pPr>
      <w:r>
        <w:rPr>
          <w:rFonts w:ascii="Arial" w:hAnsi="Arial"/>
          <w:color w:val="2E74B5"/>
          <w:sz w:val="16"/>
        </w:rPr>
        <w:t xml:space="preserve">▪  </w:t>
      </w:r>
      <w:r>
        <w:rPr>
          <w:rFonts w:ascii="Arial" w:hAnsi="Arial"/>
          <w:sz w:val="19"/>
        </w:rPr>
        <w:t>one-offs and quality (±0.5).</w:t>
      </w:r>
    </w:p>
    <w:p>
      <w:pPr>
        <w:pStyle w:val="Heading2"/>
        <w:keepNext/>
        <w:spacing w:before="160" w:after="80" w:line="264" w:lineRule="auto"/>
      </w:pPr>
      <w:r>
        <w:rPr>
          <w:rFonts w:ascii="Arial" w:hAnsi="Arial"/>
        </w:rPr>
        <w:t>10.1 Quarter-by-quarter summary</w:t>
      </w:r>
    </w:p>
    <w:tbl>
      <w:tblPr>
        <w:tblW w:type="auto" w:w="0"/>
        <w:jc w:val="center"/>
        <w:tblLook w:firstColumn="1" w:firstRow="1" w:lastColumn="0" w:lastRow="0" w:noHBand="0" w:noVBand="1" w:val="04A0"/>
        <w:tblLayout w:type="fixed"/>
        <w:tblW w:type="dxa" w:w="9906"/>
      </w:tblPr>
      <w:tblGrid>
        <w:gridCol w:w="1175"/>
        <w:gridCol w:w="5375"/>
        <w:gridCol w:w="2714"/>
        <w:gridCol w:w="640"/>
      </w:tblGrid>
      <w:tr>
        <w:trPr>
          <w:tblHeader/>
        </w:trPr>
        <w:tc>
          <w:tcPr>
            <w:tcW w:type="dxa" w:w="1175"/>
            <w:tcW w:type="dxa" w:w="1175"/>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Quarter</w:t>
            </w:r>
          </w:p>
        </w:tc>
        <w:tc>
          <w:tcPr>
            <w:tcW w:type="dxa" w:w="5375"/>
            <w:tcW w:type="dxa" w:w="5375"/>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What management emphasised</w:t>
            </w:r>
          </w:p>
        </w:tc>
        <w:tc>
          <w:tcPr>
            <w:tcW w:type="dxa" w:w="2714"/>
            <w:tcW w:type="dxa" w:w="2714"/>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Result vs expectations</w:t>
            </w:r>
          </w:p>
        </w:tc>
        <w:tc>
          <w:tcPr>
            <w:tcW w:type="dxa" w:w="640"/>
            <w:tcW w:type="dxa" w:w="640"/>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right"/>
            </w:pPr>
            <w:r>
              <w:rPr>
                <w:rFonts w:ascii="Arial" w:hAnsi="Arial"/>
                <w:b/>
                <w:color w:val="FFFFFF"/>
                <w:sz w:val="15"/>
              </w:rPr>
              <w:t>Score</w:t>
            </w:r>
          </w:p>
        </w:tc>
      </w:tr>
      <w:tr>
        <w:trPr>
          <w:cantSplit/>
        </w:trPr>
        <w:tc>
          <w:tcPr>
            <w:tcW w:type="dxa" w:w="1175"/>
            <w:tcW w:type="dxa" w:w="117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1Q24</w:t>
            </w:r>
          </w:p>
        </w:tc>
        <w:tc>
          <w:tcPr>
            <w:tcW w:type="dxa" w:w="5375"/>
            <w:tcW w:type="dxa" w:w="537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Record hold; steady mass</w:t>
            </w:r>
          </w:p>
        </w:tc>
        <w:tc>
          <w:tcPr>
            <w:tcW w:type="dxa" w:w="2714"/>
            <w:tcW w:type="dxa" w:w="271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Beat</w:t>
            </w:r>
          </w:p>
        </w:tc>
        <w:tc>
          <w:tcPr>
            <w:tcW w:type="dxa" w:w="640"/>
            <w:tcW w:type="dxa" w:w="64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+1.5</w:t>
            </w:r>
          </w:p>
        </w:tc>
      </w:tr>
      <w:tr>
        <w:trPr>
          <w:cantSplit/>
        </w:trPr>
        <w:tc>
          <w:tcPr>
            <w:tcW w:type="dxa" w:w="1175"/>
            <w:tcW w:type="dxa" w:w="117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2Q24</w:t>
            </w:r>
          </w:p>
        </w:tc>
        <w:tc>
          <w:tcPr>
            <w:tcW w:type="dxa" w:w="5375"/>
            <w:tcW w:type="dxa" w:w="537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VAT refund; resilient drop</w:t>
            </w:r>
          </w:p>
        </w:tc>
        <w:tc>
          <w:tcPr>
            <w:tcW w:type="dxa" w:w="2714"/>
            <w:tcW w:type="dxa" w:w="271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Mixed (OP down, NP up on refund)</w:t>
            </w:r>
          </w:p>
        </w:tc>
        <w:tc>
          <w:tcPr>
            <w:tcW w:type="dxa" w:w="640"/>
            <w:tcW w:type="dxa" w:w="64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+0.5</w:t>
            </w:r>
          </w:p>
        </w:tc>
      </w:tr>
      <w:tr>
        <w:trPr>
          <w:cantSplit/>
        </w:trPr>
        <w:tc>
          <w:tcPr>
            <w:tcW w:type="dxa" w:w="1175"/>
            <w:tcW w:type="dxa" w:w="117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3Q24</w:t>
            </w:r>
          </w:p>
        </w:tc>
        <w:tc>
          <w:tcPr>
            <w:tcW w:type="dxa" w:w="5375"/>
            <w:tcW w:type="dxa" w:w="537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Expansion permit (Sep-24); deregulation</w:t>
            </w:r>
          </w:p>
        </w:tc>
        <w:tc>
          <w:tcPr>
            <w:tcW w:type="dxa" w:w="2714"/>
            <w:tcW w:type="dxa" w:w="271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OP up; NP +22.6%</w:t>
            </w:r>
          </w:p>
        </w:tc>
        <w:tc>
          <w:tcPr>
            <w:tcW w:type="dxa" w:w="640"/>
            <w:tcW w:type="dxa" w:w="64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+1.0</w:t>
            </w:r>
          </w:p>
        </w:tc>
      </w:tr>
      <w:tr>
        <w:trPr>
          <w:cantSplit/>
        </w:trPr>
        <w:tc>
          <w:tcPr>
            <w:tcW w:type="dxa" w:w="1175"/>
            <w:tcW w:type="dxa" w:w="117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4Q24</w:t>
            </w:r>
          </w:p>
        </w:tc>
        <w:tc>
          <w:tcPr>
            <w:tcW w:type="dxa" w:w="5375"/>
            <w:tcW w:type="dxa" w:w="537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Value-Up plan; record FY24 dividend</w:t>
            </w:r>
          </w:p>
        </w:tc>
        <w:tc>
          <w:tcPr>
            <w:tcW w:type="dxa" w:w="2714"/>
            <w:tcW w:type="dxa" w:w="271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OP +4.9%; NP one-off</w:t>
            </w:r>
          </w:p>
        </w:tc>
        <w:tc>
          <w:tcPr>
            <w:tcW w:type="dxa" w:w="640"/>
            <w:tcW w:type="dxa" w:w="64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0.0</w:t>
            </w:r>
          </w:p>
        </w:tc>
      </w:tr>
      <w:tr>
        <w:trPr>
          <w:cantSplit/>
        </w:trPr>
        <w:tc>
          <w:tcPr>
            <w:tcW w:type="dxa" w:w="1175"/>
            <w:tcW w:type="dxa" w:w="117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1Q25</w:t>
            </w:r>
          </w:p>
        </w:tc>
        <w:tc>
          <w:tcPr>
            <w:tcW w:type="dxa" w:w="5375"/>
            <w:tcW w:type="dxa" w:w="537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Foreigner-zone pilot; betting-limit applications</w:t>
            </w:r>
          </w:p>
        </w:tc>
        <w:tc>
          <w:tcPr>
            <w:tcW w:type="dxa" w:w="2714"/>
            <w:tcW w:type="dxa" w:w="271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OP −2%</w:t>
            </w:r>
          </w:p>
        </w:tc>
        <w:tc>
          <w:tcPr>
            <w:tcW w:type="dxa" w:w="640"/>
            <w:tcW w:type="dxa" w:w="64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0.0</w:t>
            </w:r>
          </w:p>
        </w:tc>
      </w:tr>
      <w:tr>
        <w:trPr>
          <w:cantSplit/>
        </w:trPr>
        <w:tc>
          <w:tcPr>
            <w:tcW w:type="dxa" w:w="1175"/>
            <w:tcW w:type="dxa" w:w="117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2Q25</w:t>
            </w:r>
          </w:p>
        </w:tc>
        <w:tc>
          <w:tcPr>
            <w:tcW w:type="dxa" w:w="5375"/>
            <w:tcW w:type="dxa" w:w="537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"OP +5.1% excluding one-offs" (bonus, early retirement, donations)</w:t>
            </w:r>
          </w:p>
        </w:tc>
        <w:tc>
          <w:tcPr>
            <w:tcW w:type="dxa" w:w="2714"/>
            <w:tcW w:type="dxa" w:w="271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OP −21%</w:t>
            </w:r>
          </w:p>
        </w:tc>
        <w:tc>
          <w:tcPr>
            <w:tcW w:type="dxa" w:w="640"/>
            <w:tcW w:type="dxa" w:w="64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−0.5</w:t>
            </w:r>
          </w:p>
        </w:tc>
      </w:tr>
      <w:tr>
        <w:trPr>
          <w:cantSplit/>
        </w:trPr>
        <w:tc>
          <w:tcPr>
            <w:tcW w:type="dxa" w:w="1175"/>
            <w:tcW w:type="dxa" w:w="117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3Q25</w:t>
            </w:r>
          </w:p>
        </w:tc>
        <w:tc>
          <w:tcPr>
            <w:tcW w:type="dxa" w:w="5375"/>
            <w:tcW w:type="dxa" w:w="537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Low hold "temporary"; VIP +23.6% after higher limits</w:t>
            </w:r>
          </w:p>
        </w:tc>
        <w:tc>
          <w:tcPr>
            <w:tcW w:type="dxa" w:w="2714"/>
            <w:tcW w:type="dxa" w:w="271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OP −22%</w:t>
            </w:r>
          </w:p>
        </w:tc>
        <w:tc>
          <w:tcPr>
            <w:tcW w:type="dxa" w:w="640"/>
            <w:tcW w:type="dxa" w:w="64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0.0</w:t>
            </w:r>
          </w:p>
        </w:tc>
      </w:tr>
      <w:tr>
        <w:trPr>
          <w:cantSplit/>
        </w:trPr>
        <w:tc>
          <w:tcPr>
            <w:tcW w:type="dxa" w:w="1175"/>
            <w:tcW w:type="dxa" w:w="117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4Q25</w:t>
            </w:r>
          </w:p>
        </w:tc>
        <w:tc>
          <w:tcPr>
            <w:tcW w:type="dxa" w:w="5375"/>
            <w:tcW w:type="dxa" w:w="537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K-HIT master plan (~KRW3tn, Nov-25); non-gaming to 40%</w:t>
            </w:r>
          </w:p>
        </w:tc>
        <w:tc>
          <w:tcPr>
            <w:tcW w:type="dxa" w:w="2714"/>
            <w:tcW w:type="dxa" w:w="271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OP −30.5%, missed consensus</w:t>
            </w:r>
          </w:p>
        </w:tc>
        <w:tc>
          <w:tcPr>
            <w:tcW w:type="dxa" w:w="640"/>
            <w:tcW w:type="dxa" w:w="64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−1.0</w:t>
            </w:r>
          </w:p>
        </w:tc>
      </w:tr>
      <w:tr>
        <w:trPr>
          <w:cantSplit/>
        </w:trPr>
        <w:tc>
          <w:tcPr>
            <w:tcW w:type="dxa" w:w="1175"/>
            <w:tcW w:type="dxa" w:w="117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1Q26</w:t>
            </w:r>
          </w:p>
        </w:tc>
        <w:tc>
          <w:tcPr>
            <w:tcW w:type="dxa" w:w="5375"/>
            <w:tcW w:type="dxa" w:w="537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Renovation started; member lounges +27.6%</w:t>
            </w:r>
          </w:p>
        </w:tc>
        <w:tc>
          <w:tcPr>
            <w:tcW w:type="dxa" w:w="2714"/>
            <w:tcW w:type="dxa" w:w="271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OP beat, NP big miss</w:t>
            </w:r>
          </w:p>
        </w:tc>
        <w:tc>
          <w:tcPr>
            <w:tcW w:type="dxa" w:w="640"/>
            <w:tcW w:type="dxa" w:w="64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−0.5</w:t>
            </w:r>
          </w:p>
        </w:tc>
      </w:tr>
      <w:tr>
        <w:trPr>
          <w:cantSplit/>
        </w:trPr>
        <w:tc>
          <w:tcPr>
            <w:tcW w:type="dxa" w:w="1175"/>
            <w:tcW w:type="dxa" w:w="117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2Q26</w:t>
            </w:r>
          </w:p>
        </w:tc>
        <w:tc>
          <w:tcPr>
            <w:tcW w:type="dxa" w:w="5375"/>
            <w:tcW w:type="dxa" w:w="537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Lower visitation and renovation; gains on financial assets</w:t>
            </w:r>
          </w:p>
        </w:tc>
        <w:tc>
          <w:tcPr>
            <w:tcW w:type="dxa" w:w="2714"/>
            <w:tcW w:type="dxa" w:w="271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OP 12% below consensus; traffic weak into July</w:t>
            </w:r>
          </w:p>
        </w:tc>
        <w:tc>
          <w:tcPr>
            <w:tcW w:type="dxa" w:w="640"/>
            <w:tcW w:type="dxa" w:w="64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−1.5</w:t>
            </w:r>
          </w:p>
        </w:tc>
      </w:tr>
    </w:tbl>
    <w:p>
      <w:pPr>
        <w:spacing w:before="0" w:after="40" w:line="240" w:lineRule="auto"/>
      </w:pPr>
    </w:p>
    <w:p>
      <w:pPr>
        <w:keepNext/>
        <w:spacing w:before="80" w:after="40" w:line="240" w:lineRule="auto"/>
        <w:jc w:val="center"/>
      </w:pPr>
      <w:r>
        <w:drawing>
          <wp:inline xmlns:a="http://schemas.openxmlformats.org/drawingml/2006/main" xmlns:pic="http://schemas.openxmlformats.org/drawingml/2006/picture">
            <wp:extent cx="6400800" cy="3348810"/>
            <wp:docPr id="4" name="Picture 4"/>
            <wp:cNvGraphicFramePr>
              <a:graphicFrameLocks noChangeAspect="1"/>
            </wp:cNvGraphicFramePr>
            <a:graphic>
              <a:graphicData uri="http://schemas.openxmlformats.org/drawingml/2006/picture">
                <pic:pic>
                  <pic:nvPicPr>
                    <pic:cNvPr id="0" name="sentiment.png"/>
                    <pic:cNvPicPr/>
                  </pic:nvPicPr>
                  <pic:blipFill>
                    <a:blip r:embed="rId14"/>
                    <a:stretch>
                      <a:fillRect/>
                    </a:stretch>
                  </pic:blipFill>
                  <pic:spPr>
                    <a:xfrm>
                      <a:off x="0" y="0"/>
                      <a:ext cx="6400800" cy="3348810"/>
                    </a:xfrm>
                    <a:prstGeom prst="rect"/>
                  </pic:spPr>
                </pic:pic>
              </a:graphicData>
            </a:graphic>
          </wp:inline>
        </w:drawing>
      </w:r>
    </w:p>
    <w:p>
      <w:pPr>
        <w:spacing w:before="0" w:after="120" w:line="240" w:lineRule="auto"/>
      </w:pPr>
      <w:r>
        <w:rPr>
          <w:rFonts w:ascii="Arial" w:hAnsi="Arial"/>
          <w:i/>
          <w:color w:val="5A6270"/>
          <w:sz w:val="15"/>
        </w:rPr>
        <w:t>Figure: Results-tone score and topic intensity, 1Q24-2Q26 (analyst rubric).</w:t>
      </w:r>
    </w:p>
    <w:p>
      <w:pPr>
        <w:pStyle w:val="Heading2"/>
        <w:keepNext/>
        <w:spacing w:before="160" w:after="80" w:line="264" w:lineRule="auto"/>
      </w:pPr>
      <w:r>
        <w:rPr>
          <w:rFonts w:ascii="Arial" w:hAnsi="Arial"/>
        </w:rPr>
        <w:t>10.2 What management is focused on</w:t>
      </w:r>
    </w:p>
    <w:p>
      <w:pPr>
        <w:spacing w:before="0" w:after="50" w:line="276" w:lineRule="auto"/>
        <w:ind w:left="360" w:hanging="245"/>
      </w:pPr>
      <w:r>
        <w:rPr>
          <w:rFonts w:ascii="Arial" w:hAnsi="Arial"/>
          <w:color w:val="2E74B5"/>
          <w:sz w:val="16"/>
        </w:rPr>
        <w:t xml:space="preserve">▪  </w:t>
      </w:r>
      <w:r>
        <w:rPr>
          <w:rFonts w:ascii="Arial" w:hAnsi="Arial"/>
          <w:b/>
          <w:sz w:val="19"/>
        </w:rPr>
        <w:t>Capex and K-HIT:</w:t>
      </w:r>
      <w:r>
        <w:rPr>
          <w:rFonts w:ascii="Arial" w:hAnsi="Arial"/>
          <w:sz w:val="19"/>
        </w:rPr>
        <w:t xml:space="preserve"> room renovation (757 rooms), the second casino (KRW179.6bn, Dec-27), the ~KRW3tn master plan, and the request for a feasibility-study exemption.</w:t>
      </w:r>
    </w:p>
    <w:p>
      <w:pPr>
        <w:spacing w:before="0" w:after="50" w:line="276" w:lineRule="auto"/>
        <w:ind w:left="360" w:hanging="245"/>
      </w:pPr>
      <w:r>
        <w:rPr>
          <w:rFonts w:ascii="Arial" w:hAnsi="Arial"/>
          <w:color w:val="2E74B5"/>
          <w:sz w:val="16"/>
        </w:rPr>
        <w:t xml:space="preserve">▪  </w:t>
      </w:r>
      <w:r>
        <w:rPr>
          <w:rFonts w:ascii="Arial" w:hAnsi="Arial"/>
          <w:b/>
          <w:sz w:val="19"/>
        </w:rPr>
        <w:t>Regulatory reform:</w:t>
      </w:r>
      <w:r>
        <w:rPr>
          <w:rFonts w:ascii="Arial" w:hAnsi="Arial"/>
          <w:sz w:val="19"/>
        </w:rPr>
        <w:t xml:space="preserve"> time-based entry limits, higher mass bet limits (KRW300k → 1m), longer hours, the foreigner zone. 2026 was billed as a "regulatory reform year".</w:t>
      </w:r>
    </w:p>
    <w:p>
      <w:pPr>
        <w:spacing w:before="0" w:after="50" w:line="276" w:lineRule="auto"/>
        <w:ind w:left="360" w:hanging="245"/>
      </w:pPr>
      <w:r>
        <w:rPr>
          <w:rFonts w:ascii="Arial" w:hAnsi="Arial"/>
          <w:color w:val="2E74B5"/>
          <w:sz w:val="16"/>
        </w:rPr>
        <w:t xml:space="preserve">▪  </w:t>
      </w:r>
      <w:r>
        <w:rPr>
          <w:rFonts w:ascii="Arial" w:hAnsi="Arial"/>
          <w:b/>
          <w:sz w:val="19"/>
        </w:rPr>
        <w:t>Shareholder returns:</w:t>
      </w:r>
      <w:r>
        <w:rPr>
          <w:rFonts w:ascii="Arial" w:hAnsi="Arial"/>
          <w:sz w:val="19"/>
        </w:rPr>
        <w:t xml:space="preserve"> meeting the Value-Up targets (60% total return) and pointing to qualification for separate dividend taxation.</w:t>
      </w:r>
    </w:p>
    <w:p>
      <w:pPr>
        <w:spacing w:before="0" w:after="50" w:line="276" w:lineRule="auto"/>
        <w:ind w:left="360" w:hanging="245"/>
      </w:pPr>
      <w:r>
        <w:rPr>
          <w:rFonts w:ascii="Arial" w:hAnsi="Arial"/>
          <w:color w:val="2E74B5"/>
          <w:sz w:val="16"/>
        </w:rPr>
        <w:t xml:space="preserve">▪  </w:t>
      </w:r>
      <w:r>
        <w:rPr>
          <w:rFonts w:ascii="Arial" w:hAnsi="Arial"/>
          <w:b/>
          <w:sz w:val="19"/>
        </w:rPr>
        <w:t>Defending against new rules:</w:t>
      </w:r>
      <w:r>
        <w:rPr>
          <w:rFonts w:ascii="Arial" w:hAnsi="Arial"/>
          <w:sz w:val="19"/>
        </w:rPr>
        <w:t xml:space="preserve"> the AML due-diligence proposal (company estimate −25.8% revenue) and the levy.</w:t>
      </w:r>
    </w:p>
    <w:p>
      <w:pPr>
        <w:spacing w:before="0" w:after="50" w:line="276" w:lineRule="auto"/>
        <w:ind w:left="360" w:hanging="245"/>
      </w:pPr>
      <w:r>
        <w:rPr>
          <w:rFonts w:ascii="Arial" w:hAnsi="Arial"/>
          <w:color w:val="2E74B5"/>
          <w:sz w:val="16"/>
        </w:rPr>
        <w:t xml:space="preserve">▪  </w:t>
      </w:r>
      <w:r>
        <w:rPr>
          <w:rFonts w:ascii="Arial" w:hAnsi="Arial"/>
          <w:b/>
          <w:sz w:val="19"/>
        </w:rPr>
        <w:t>New CEO priorities:</w:t>
      </w:r>
      <w:r>
        <w:rPr>
          <w:rFonts w:ascii="Arial" w:hAnsi="Arial"/>
          <w:sz w:val="19"/>
        </w:rPr>
        <w:t xml:space="preserve"> "global, co-prosperity, culture reform" (Kim Do-kyun, Sep-26), plus the Organisational Diagnosis and Innovation Committee (Oct-Dec 2026).</w:t>
      </w:r>
    </w:p>
    <w:p>
      <w:pPr>
        <w:pStyle w:val="Heading2"/>
        <w:keepNext/>
        <w:spacing w:before="160" w:after="80" w:line="264" w:lineRule="auto"/>
      </w:pPr>
      <w:r>
        <w:rPr>
          <w:rFonts w:ascii="Arial" w:hAnsi="Arial"/>
        </w:rPr>
        <w:t>10.3 How sentiment has shifted</w:t>
      </w:r>
    </w:p>
    <w:p>
      <w:pPr>
        <w:spacing w:before="0" w:after="50" w:line="276" w:lineRule="auto"/>
        <w:ind w:left="360" w:hanging="245"/>
      </w:pPr>
      <w:r>
        <w:rPr>
          <w:rFonts w:ascii="Arial" w:hAnsi="Arial"/>
          <w:color w:val="2E74B5"/>
          <w:sz w:val="16"/>
        </w:rPr>
        <w:t xml:space="preserve">▪  </w:t>
      </w:r>
      <w:r>
        <w:rPr>
          <w:rFonts w:ascii="Arial" w:hAnsi="Arial"/>
          <w:b/>
          <w:sz w:val="19"/>
        </w:rPr>
        <w:t>2024: optimism.</w:t>
      </w:r>
      <w:r>
        <w:rPr>
          <w:rFonts w:ascii="Arial" w:hAnsi="Arial"/>
          <w:sz w:val="19"/>
        </w:rPr>
        <w:t xml:space="preserve"> Deregulation, the Value-Up plan and a record dividend took the stock up ~50% from its mid-2024 low.</w:t>
      </w:r>
    </w:p>
    <w:p>
      <w:pPr>
        <w:spacing w:before="0" w:after="50" w:line="276" w:lineRule="auto"/>
        <w:ind w:left="360" w:hanging="245"/>
      </w:pPr>
      <w:r>
        <w:rPr>
          <w:rFonts w:ascii="Arial" w:hAnsi="Arial"/>
          <w:color w:val="2E74B5"/>
          <w:sz w:val="16"/>
        </w:rPr>
        <w:t xml:space="preserve">▪  </w:t>
      </w:r>
      <w:r>
        <w:rPr>
          <w:rFonts w:ascii="Arial" w:hAnsi="Arial"/>
          <w:b/>
          <w:sz w:val="19"/>
        </w:rPr>
        <w:t>2025: cost disappointment.</w:t>
      </w:r>
      <w:r>
        <w:rPr>
          <w:rFonts w:ascii="Arial" w:hAnsi="Arial"/>
          <w:sz w:val="19"/>
        </w:rPr>
        <w:t xml:space="preserve"> Revenue grew but OP fell every quarter from 2Q25. Management relied on "ex one-offs" framing.</w:t>
      </w:r>
    </w:p>
    <w:p>
      <w:pPr>
        <w:spacing w:before="0" w:after="50" w:line="276" w:lineRule="auto"/>
        <w:ind w:left="360" w:hanging="245"/>
      </w:pPr>
      <w:r>
        <w:rPr>
          <w:rFonts w:ascii="Arial" w:hAnsi="Arial"/>
          <w:color w:val="2E74B5"/>
          <w:sz w:val="16"/>
        </w:rPr>
        <w:t xml:space="preserve">▪  </w:t>
      </w:r>
      <w:r>
        <w:rPr>
          <w:rFonts w:ascii="Arial" w:hAnsi="Arial"/>
          <w:b/>
          <w:sz w:val="19"/>
        </w:rPr>
        <w:t>2026: capex and policy anxiety.</w:t>
      </w:r>
      <w:r>
        <w:rPr>
          <w:rFonts w:ascii="Arial" w:hAnsi="Arial"/>
          <w:sz w:val="19"/>
        </w:rPr>
        <w:t xml:space="preserve"> The renovation, K-HIT, the levy and the AML proposal dominate. Profit increasingly comes from financial gains, not the casino.</w:t>
      </w:r>
    </w:p>
    <w:p>
      <w:pPr>
        <w:spacing w:before="0" w:after="50" w:line="276" w:lineRule="auto"/>
        <w:ind w:left="360" w:hanging="245"/>
      </w:pPr>
      <w:r>
        <w:rPr>
          <w:rFonts w:ascii="Arial" w:hAnsi="Arial"/>
          <w:color w:val="2E74B5"/>
          <w:sz w:val="16"/>
        </w:rPr>
        <w:t xml:space="preserve">▪  </w:t>
      </w:r>
      <w:r>
        <w:rPr>
          <w:rFonts w:ascii="Arial" w:hAnsi="Arial"/>
          <w:b/>
          <w:sz w:val="19"/>
        </w:rPr>
        <w:t>Next turn to watch:</w:t>
      </w:r>
      <w:r>
        <w:rPr>
          <w:rFonts w:ascii="Arial" w:hAnsi="Arial"/>
          <w:sz w:val="19"/>
        </w:rPr>
        <w:t xml:space="preserve"> whether the new CEO's committee scales back K-HIT and whether the FY27-29 Value-Up plan raises the payout.</w:t>
      </w:r>
    </w:p>
    <w:p>
      <w:pPr>
        <w:pStyle w:val="Heading1"/>
        <w:pageBreakBefore/>
        <w:spacing w:before="0" w:after="120" w:line="264" w:lineRule="auto"/>
      </w:pPr>
      <w:r>
        <w:rPr>
          <w:rFonts w:ascii="Arial" w:hAnsi="Arial"/>
        </w:rPr>
        <w:t>11. Latest Result: 2Q26 / 1H26 (released 4-Aug-2026)</w:t>
      </w:r>
    </w:p>
    <w:p>
      <w:pPr>
        <w:pStyle w:val="Heading2"/>
        <w:keepNext/>
        <w:spacing w:before="160" w:after="80" w:line="264" w:lineRule="auto"/>
      </w:pPr>
      <w:r>
        <w:rPr>
          <w:rFonts w:ascii="Arial" w:hAnsi="Arial"/>
        </w:rPr>
        <w:t>11.1 Revenue and profit vs expectations</w:t>
      </w:r>
    </w:p>
    <w:tbl>
      <w:tblPr>
        <w:tblW w:type="auto" w:w="0"/>
        <w:jc w:val="center"/>
        <w:tblLook w:firstColumn="1" w:firstRow="1" w:lastColumn="0" w:lastRow="0" w:noHBand="0" w:noVBand="1" w:val="04A0"/>
        <w:tblLayout w:type="fixed"/>
        <w:tblW w:type="dxa" w:w="9906"/>
      </w:tblPr>
      <w:tblGrid>
        <w:gridCol w:w="1289"/>
        <w:gridCol w:w="2051"/>
        <w:gridCol w:w="2424"/>
        <w:gridCol w:w="2144"/>
        <w:gridCol w:w="932"/>
        <w:gridCol w:w="1064"/>
      </w:tblGrid>
      <w:tr>
        <w:trPr>
          <w:tblHeader/>
        </w:trPr>
        <w:tc>
          <w:tcPr>
            <w:tcW w:type="dxa" w:w="1289"/>
            <w:tcW w:type="dxa" w:w="1289"/>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KRW bn</w:t>
            </w:r>
          </w:p>
        </w:tc>
        <w:tc>
          <w:tcPr>
            <w:tcW w:type="dxa" w:w="2051"/>
            <w:tcW w:type="dxa" w:w="2051"/>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right"/>
            </w:pPr>
            <w:r>
              <w:rPr>
                <w:rFonts w:ascii="Arial" w:hAnsi="Arial"/>
                <w:b/>
                <w:color w:val="FFFFFF"/>
                <w:sz w:val="15"/>
              </w:rPr>
              <w:t>2Q26</w:t>
            </w:r>
          </w:p>
        </w:tc>
        <w:tc>
          <w:tcPr>
            <w:tcW w:type="dxa" w:w="2424"/>
            <w:tcW w:type="dxa" w:w="2424"/>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right"/>
            </w:pPr>
            <w:r>
              <w:rPr>
                <w:rFonts w:ascii="Arial" w:hAnsi="Arial"/>
                <w:b/>
                <w:color w:val="FFFFFF"/>
                <w:sz w:val="15"/>
              </w:rPr>
              <w:t>2Q25</w:t>
            </w:r>
          </w:p>
        </w:tc>
        <w:tc>
          <w:tcPr>
            <w:tcW w:type="dxa" w:w="2144"/>
            <w:tcW w:type="dxa" w:w="2144"/>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right"/>
            </w:pPr>
            <w:r>
              <w:rPr>
                <w:rFonts w:ascii="Arial" w:hAnsi="Arial"/>
                <w:b/>
                <w:color w:val="FFFFFF"/>
                <w:sz w:val="15"/>
              </w:rPr>
              <w:t>YoY</w:t>
            </w:r>
          </w:p>
        </w:tc>
        <w:tc>
          <w:tcPr>
            <w:tcW w:type="dxa" w:w="932"/>
            <w:tcW w:type="dxa" w:w="932"/>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Consensus</w:t>
            </w:r>
          </w:p>
        </w:tc>
        <w:tc>
          <w:tcPr>
            <w:tcW w:type="dxa" w:w="1064"/>
            <w:tcW w:type="dxa" w:w="1064"/>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vs consensus</w:t>
            </w:r>
          </w:p>
        </w:tc>
      </w:tr>
      <w:tr>
        <w:trPr>
          <w:cantSplit/>
        </w:trPr>
        <w:tc>
          <w:tcPr>
            <w:tcW w:type="dxa" w:w="1289"/>
            <w:tcW w:type="dxa" w:w="128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Revenue</w:t>
            </w:r>
          </w:p>
        </w:tc>
        <w:tc>
          <w:tcPr>
            <w:tcW w:type="dxa" w:w="2051"/>
            <w:tcW w:type="dxa" w:w="205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345.6</w:t>
            </w:r>
          </w:p>
        </w:tc>
        <w:tc>
          <w:tcPr>
            <w:tcW w:type="dxa" w:w="2424"/>
            <w:tcW w:type="dxa" w:w="242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360.7</w:t>
            </w:r>
          </w:p>
        </w:tc>
        <w:tc>
          <w:tcPr>
            <w:tcW w:type="dxa" w:w="2144"/>
            <w:tcW w:type="dxa" w:w="214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−4.2%</w:t>
            </w:r>
          </w:p>
        </w:tc>
        <w:tc>
          <w:tcPr>
            <w:tcW w:type="dxa" w:w="932"/>
            <w:tcW w:type="dxa" w:w="93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~in line</w:t>
            </w:r>
          </w:p>
        </w:tc>
        <w:tc>
          <w:tcPr>
            <w:tcW w:type="dxa" w:w="1064"/>
            <w:tcW w:type="dxa" w:w="106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In line</w:t>
            </w:r>
          </w:p>
        </w:tc>
      </w:tr>
      <w:tr>
        <w:trPr>
          <w:cantSplit/>
        </w:trPr>
        <w:tc>
          <w:tcPr>
            <w:tcW w:type="dxa" w:w="1289"/>
            <w:tcW w:type="dxa" w:w="128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Operating profit</w:t>
            </w:r>
          </w:p>
        </w:tc>
        <w:tc>
          <w:tcPr>
            <w:tcW w:type="dxa" w:w="2051"/>
            <w:tcW w:type="dxa" w:w="205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43.2</w:t>
            </w:r>
          </w:p>
        </w:tc>
        <w:tc>
          <w:tcPr>
            <w:tcW w:type="dxa" w:w="2424"/>
            <w:tcW w:type="dxa" w:w="242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58.5</w:t>
            </w:r>
          </w:p>
        </w:tc>
        <w:tc>
          <w:tcPr>
            <w:tcW w:type="dxa" w:w="2144"/>
            <w:tcW w:type="dxa" w:w="214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−26.2%</w:t>
            </w:r>
          </w:p>
        </w:tc>
        <w:tc>
          <w:tcPr>
            <w:tcW w:type="dxa" w:w="932"/>
            <w:tcW w:type="dxa" w:w="93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~49 [e]</w:t>
            </w:r>
          </w:p>
        </w:tc>
        <w:tc>
          <w:tcPr>
            <w:tcW w:type="dxa" w:w="1064"/>
            <w:tcW w:type="dxa" w:w="106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−12.1%</w:t>
            </w:r>
            <w:r>
              <w:rPr>
                <w:rFonts w:ascii="Arial" w:hAnsi="Arial"/>
                <w:sz w:val="15"/>
              </w:rPr>
              <w:t xml:space="preserve"> [u]</w:t>
            </w:r>
          </w:p>
        </w:tc>
      </w:tr>
      <w:tr>
        <w:trPr>
          <w:cantSplit/>
        </w:trPr>
        <w:tc>
          <w:tcPr>
            <w:tcW w:type="dxa" w:w="1289"/>
            <w:tcW w:type="dxa" w:w="128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OP margin</w:t>
            </w:r>
          </w:p>
        </w:tc>
        <w:tc>
          <w:tcPr>
            <w:tcW w:type="dxa" w:w="2051"/>
            <w:tcW w:type="dxa" w:w="205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12.5%</w:t>
            </w:r>
          </w:p>
        </w:tc>
        <w:tc>
          <w:tcPr>
            <w:tcW w:type="dxa" w:w="2424"/>
            <w:tcW w:type="dxa" w:w="242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16.2%</w:t>
            </w:r>
          </w:p>
        </w:tc>
        <w:tc>
          <w:tcPr>
            <w:tcW w:type="dxa" w:w="2144"/>
            <w:tcW w:type="dxa" w:w="214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−3.7pt</w:t>
            </w:r>
          </w:p>
        </w:tc>
        <w:tc>
          <w:tcPr>
            <w:tcW w:type="dxa" w:w="932"/>
            <w:tcW w:type="dxa" w:w="93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p>
        </w:tc>
        <w:tc>
          <w:tcPr>
            <w:tcW w:type="dxa" w:w="1064"/>
            <w:tcW w:type="dxa" w:w="106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p>
        </w:tc>
      </w:tr>
      <w:tr>
        <w:trPr>
          <w:cantSplit/>
        </w:trPr>
        <w:tc>
          <w:tcPr>
            <w:tcW w:type="dxa" w:w="1289"/>
            <w:tcW w:type="dxa" w:w="128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Net profit</w:t>
            </w:r>
          </w:p>
        </w:tc>
        <w:tc>
          <w:tcPr>
            <w:tcW w:type="dxa" w:w="2051"/>
            <w:tcW w:type="dxa" w:w="205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100.3</w:t>
            </w:r>
          </w:p>
        </w:tc>
        <w:tc>
          <w:tcPr>
            <w:tcW w:type="dxa" w:w="2424"/>
            <w:tcW w:type="dxa" w:w="242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62.8</w:t>
            </w:r>
          </w:p>
        </w:tc>
        <w:tc>
          <w:tcPr>
            <w:tcW w:type="dxa" w:w="2144"/>
            <w:tcW w:type="dxa" w:w="214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+59.8%</w:t>
            </w:r>
          </w:p>
        </w:tc>
        <w:tc>
          <w:tcPr>
            <w:tcW w:type="dxa" w:w="932"/>
            <w:tcW w:type="dxa" w:w="93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n/f</w:t>
            </w:r>
          </w:p>
        </w:tc>
        <w:tc>
          <w:tcPr>
            <w:tcW w:type="dxa" w:w="1064"/>
            <w:tcW w:type="dxa" w:w="106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Helped by a KRW97.3bn valuation gain</w:t>
            </w:r>
          </w:p>
        </w:tc>
      </w:tr>
      <w:tr>
        <w:trPr>
          <w:cantSplit/>
        </w:trPr>
        <w:tc>
          <w:tcPr>
            <w:tcW w:type="dxa" w:w="1289"/>
            <w:tcW w:type="dxa" w:w="1289"/>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b/>
                <w:sz w:val="15"/>
              </w:rPr>
              <w:t>1H26</w:t>
            </w:r>
            <w:r>
              <w:rPr>
                <w:rFonts w:ascii="Arial" w:hAnsi="Arial"/>
                <w:b/>
                <w:sz w:val="15"/>
              </w:rPr>
              <w:t xml:space="preserve"> revenue / OP / NP</w:t>
            </w:r>
          </w:p>
        </w:tc>
        <w:tc>
          <w:tcPr>
            <w:tcW w:type="dxa" w:w="2051"/>
            <w:tcW w:type="dxa" w:w="2051"/>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right"/>
            </w:pPr>
            <w:r>
              <w:rPr>
                <w:rFonts w:ascii="Arial" w:hAnsi="Arial"/>
                <w:sz w:val="15"/>
              </w:rPr>
              <w:t>724.5 / 112.1 / 140.0</w:t>
            </w:r>
          </w:p>
        </w:tc>
        <w:tc>
          <w:tcPr>
            <w:tcW w:type="dxa" w:w="2424"/>
            <w:tcW w:type="dxa" w:w="2424"/>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right"/>
            </w:pPr>
            <w:r>
              <w:rPr>
                <w:rFonts w:ascii="Arial" w:hAnsi="Arial"/>
                <w:sz w:val="15"/>
              </w:rPr>
              <w:t>727.0 / 132.8 / 137.4 [e]</w:t>
            </w:r>
          </w:p>
        </w:tc>
        <w:tc>
          <w:tcPr>
            <w:tcW w:type="dxa" w:w="2144"/>
            <w:tcW w:type="dxa" w:w="2144"/>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right"/>
            </w:pPr>
            <w:r>
              <w:rPr>
                <w:rFonts w:ascii="Arial" w:hAnsi="Arial"/>
                <w:sz w:val="15"/>
              </w:rPr>
              <w:t>−0.4% / −15.6% / +1.9%</w:t>
            </w:r>
          </w:p>
        </w:tc>
        <w:tc>
          <w:tcPr>
            <w:tcW w:type="dxa" w:w="932"/>
            <w:tcW w:type="dxa" w:w="932"/>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p>
        </w:tc>
        <w:tc>
          <w:tcPr>
            <w:tcW w:type="dxa" w:w="1064"/>
            <w:tcW w:type="dxa" w:w="1064"/>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p>
        </w:tc>
      </w:tr>
    </w:tbl>
    <w:p>
      <w:pPr>
        <w:spacing w:before="0" w:after="40" w:line="240" w:lineRule="auto"/>
      </w:pPr>
    </w:p>
    <w:p>
      <w:pPr>
        <w:pStyle w:val="Heading2"/>
        <w:keepNext/>
        <w:spacing w:before="160" w:after="80" w:line="264" w:lineRule="auto"/>
      </w:pPr>
      <w:r>
        <w:rPr>
          <w:rFonts w:ascii="Arial" w:hAnsi="Arial"/>
        </w:rPr>
        <w:t>11.2 Segment drivers</w:t>
      </w:r>
    </w:p>
    <w:p>
      <w:pPr>
        <w:spacing w:before="0" w:after="50" w:line="276" w:lineRule="auto"/>
        <w:ind w:left="360" w:hanging="245"/>
      </w:pPr>
      <w:r>
        <w:rPr>
          <w:rFonts w:ascii="Arial" w:hAnsi="Arial"/>
          <w:color w:val="2E74B5"/>
          <w:sz w:val="16"/>
        </w:rPr>
        <w:t xml:space="preserve">▪  </w:t>
      </w:r>
      <w:r>
        <w:rPr>
          <w:rFonts w:ascii="Arial" w:hAnsi="Arial"/>
          <w:b/>
          <w:sz w:val="19"/>
        </w:rPr>
        <w:t>Casino:</w:t>
      </w:r>
    </w:p>
    <w:p>
      <w:pPr>
        <w:spacing w:before="0" w:after="50" w:line="276" w:lineRule="auto"/>
        <w:ind w:left="360" w:hanging="245"/>
      </w:pPr>
      <w:r>
        <w:rPr>
          <w:rFonts w:ascii="Arial" w:hAnsi="Arial"/>
          <w:color w:val="2E74B5"/>
          <w:sz w:val="16"/>
        </w:rPr>
        <w:t xml:space="preserve">▪  </w:t>
      </w:r>
      <w:r>
        <w:rPr>
          <w:rFonts w:ascii="Arial" w:hAnsi="Arial"/>
          <w:sz w:val="19"/>
        </w:rPr>
        <w:t>Visitors were 559,481 (−3.3%); mass visitors −3.5%; mass wagers −3.9%.</w:t>
      </w:r>
    </w:p>
    <w:p>
      <w:pPr>
        <w:spacing w:before="0" w:after="50" w:line="276" w:lineRule="auto"/>
        <w:ind w:left="360" w:hanging="245"/>
      </w:pPr>
      <w:r>
        <w:rPr>
          <w:rFonts w:ascii="Arial" w:hAnsi="Arial"/>
          <w:color w:val="2E74B5"/>
          <w:sz w:val="16"/>
        </w:rPr>
        <w:t xml:space="preserve">▪  </w:t>
      </w:r>
      <w:r>
        <w:rPr>
          <w:rFonts w:ascii="Arial" w:hAnsi="Arial"/>
          <w:sz w:val="19"/>
        </w:rPr>
        <w:t>Member (VIP) visits rose 18% and wagers 7.2%, but VIP revenue fell 7.6% on unfavourable hold.</w:t>
      </w:r>
    </w:p>
    <w:p>
      <w:pPr>
        <w:spacing w:before="0" w:after="50" w:line="276" w:lineRule="auto"/>
        <w:ind w:left="360" w:hanging="245"/>
      </w:pPr>
      <w:r>
        <w:rPr>
          <w:rFonts w:ascii="Arial" w:hAnsi="Arial"/>
          <w:color w:val="2E74B5"/>
          <w:sz w:val="16"/>
        </w:rPr>
        <w:t xml:space="preserve">▪  </w:t>
      </w:r>
      <w:r>
        <w:rPr>
          <w:rFonts w:ascii="Arial" w:hAnsi="Arial"/>
          <w:sz w:val="19"/>
        </w:rPr>
        <w:t>Reported casino GGR −2.4% to KRW281.8bn [u].</w:t>
      </w:r>
    </w:p>
    <w:p>
      <w:pPr>
        <w:spacing w:before="0" w:after="50" w:line="276" w:lineRule="auto"/>
        <w:ind w:left="360" w:hanging="245"/>
      </w:pPr>
      <w:r>
        <w:rPr>
          <w:rFonts w:ascii="Arial" w:hAnsi="Arial"/>
          <w:color w:val="2E74B5"/>
          <w:sz w:val="16"/>
        </w:rPr>
        <w:t xml:space="preserve">▪  </w:t>
      </w:r>
      <w:r>
        <w:rPr>
          <w:rFonts w:ascii="Arial" w:hAnsi="Arial"/>
          <w:b/>
          <w:sz w:val="19"/>
        </w:rPr>
        <w:t>Non-gaming:</w:t>
      </w:r>
      <w:r>
        <w:rPr>
          <w:rFonts w:ascii="Arial" w:hAnsi="Arial"/>
          <w:sz w:val="19"/>
        </w:rPr>
        <w:t xml:space="preserve"> KRW25.7bn (−12.3%); hotel and condo −14.7% [u], as 757 rooms (~41%) were taken offline from March. The condo reopens ~Nov-27 and the Grand Hotel main tower ~Apr-28.</w:t>
      </w:r>
    </w:p>
    <w:p>
      <w:pPr>
        <w:spacing w:before="0" w:after="50" w:line="276" w:lineRule="auto"/>
        <w:ind w:left="360" w:hanging="245"/>
      </w:pPr>
      <w:r>
        <w:rPr>
          <w:rFonts w:ascii="Arial" w:hAnsi="Arial"/>
          <w:color w:val="2E74B5"/>
          <w:sz w:val="16"/>
        </w:rPr>
        <w:t xml:space="preserve">▪  </w:t>
      </w:r>
      <w:r>
        <w:rPr>
          <w:rFonts w:ascii="Arial" w:hAnsi="Arial"/>
          <w:b/>
          <w:sz w:val="19"/>
        </w:rPr>
        <w:t>Traffic:</w:t>
      </w:r>
      <w:r>
        <w:rPr>
          <w:rFonts w:ascii="Arial" w:hAnsi="Arial"/>
          <w:sz w:val="19"/>
        </w:rPr>
        <w:t xml:space="preserve"> weak from June, and the weakness continued into July.</w:t>
      </w:r>
    </w:p>
    <w:p>
      <w:pPr>
        <w:pStyle w:val="Heading2"/>
        <w:keepNext/>
        <w:spacing w:before="160" w:after="80" w:line="264" w:lineRule="auto"/>
      </w:pPr>
      <w:r>
        <w:rPr>
          <w:rFonts w:ascii="Arial" w:hAnsi="Arial"/>
        </w:rPr>
        <w:t>11.3 Margin trends</w:t>
      </w:r>
    </w:p>
    <w:p>
      <w:pPr>
        <w:spacing w:before="0" w:after="100" w:line="288" w:lineRule="auto"/>
      </w:pPr>
      <w:r>
        <w:rPr>
          <w:rFonts w:ascii="Arial" w:hAnsi="Arial"/>
          <w:sz w:val="19"/>
        </w:rPr>
        <w:t>The OP margin fell to 12.5% from 16.2%. Kiwoom: "the high fixed-cost structure made the profit damage larger than the revenue decline". Costs that do not flex with revenue (labour, D&amp;A, upkeep) absorbed the 4% revenue drop. Variable levies (23% of casino sales) did fall with revenue.</w:t>
      </w:r>
    </w:p>
    <w:p>
      <w:pPr>
        <w:pStyle w:val="Heading2"/>
        <w:keepNext/>
        <w:spacing w:before="160" w:after="80" w:line="264" w:lineRule="auto"/>
      </w:pPr>
      <w:r>
        <w:rPr>
          <w:rFonts w:ascii="Arial" w:hAnsi="Arial"/>
        </w:rPr>
        <w:t>11.4 Guidance and outlook</w:t>
      </w:r>
    </w:p>
    <w:p>
      <w:pPr>
        <w:spacing w:before="0" w:after="100" w:line="288" w:lineRule="auto"/>
      </w:pPr>
      <w:r>
        <w:rPr>
          <w:rFonts w:ascii="Arial" w:hAnsi="Arial"/>
          <w:sz w:val="19"/>
        </w:rPr>
        <w:t xml:space="preserve">No numeric guidance. Brokers expect no meaningful margin recovery before the renovations finish (4Q27-1Q28). Samsung expects growth only after 2028. </w:t>
      </w:r>
      <w:r>
        <w:rPr>
          <w:rFonts w:ascii="Arial" w:hAnsi="Arial"/>
          <w:b/>
          <w:sz w:val="19"/>
        </w:rPr>
        <w:t>3Q26 preview (iM, 23-Oct-26):</w:t>
      </w:r>
      <w:r>
        <w:rPr>
          <w:rFonts w:ascii="Arial" w:hAnsi="Arial"/>
          <w:sz w:val="19"/>
        </w:rPr>
        <w:t xml:space="preserve"> revenue KRW378.4bn (−1%) and OP KRW64.2bn (−12%), against a consensus OP of KRW67.2bn. iM cut its target to KRW18,000.</w:t>
      </w:r>
    </w:p>
    <w:p>
      <w:pPr>
        <w:pStyle w:val="Heading2"/>
        <w:keepNext/>
        <w:spacing w:before="160" w:after="80" w:line="264" w:lineRule="auto"/>
      </w:pPr>
      <w:r>
        <w:rPr>
          <w:rFonts w:ascii="Arial" w:hAnsi="Arial"/>
        </w:rPr>
        <w:t>11.5 Balance sheet flags</w:t>
      </w:r>
    </w:p>
    <w:p>
      <w:pPr>
        <w:spacing w:before="0" w:after="50" w:line="276" w:lineRule="auto"/>
        <w:ind w:left="360" w:hanging="245"/>
      </w:pPr>
      <w:r>
        <w:rPr>
          <w:rFonts w:ascii="Arial" w:hAnsi="Arial"/>
          <w:color w:val="2E74B5"/>
          <w:sz w:val="16"/>
        </w:rPr>
        <w:t xml:space="preserve">▪  </w:t>
      </w:r>
      <w:r>
        <w:rPr>
          <w:rFonts w:ascii="Arial" w:hAnsi="Arial"/>
          <w:b/>
          <w:sz w:val="19"/>
        </w:rPr>
        <w:t>Liquidity:</w:t>
      </w:r>
      <w:r>
        <w:rPr>
          <w:rFonts w:ascii="Arial" w:hAnsi="Arial"/>
          <w:sz w:val="19"/>
        </w:rPr>
        <w:t xml:space="preserve"> current financial assets ~KRW2.8tn; current ratio 466%; debt ratio (liabilities/equity) 18%.</w:t>
      </w:r>
    </w:p>
    <w:p>
      <w:pPr>
        <w:spacing w:before="0" w:after="50" w:line="276" w:lineRule="auto"/>
        <w:ind w:left="360" w:hanging="245"/>
      </w:pPr>
      <w:r>
        <w:rPr>
          <w:rFonts w:ascii="Arial" w:hAnsi="Arial"/>
          <w:color w:val="2E74B5"/>
          <w:sz w:val="16"/>
        </w:rPr>
        <w:t xml:space="preserve">▪  </w:t>
      </w:r>
      <w:r>
        <w:rPr>
          <w:rFonts w:ascii="Arial" w:hAnsi="Arial"/>
          <w:b/>
          <w:sz w:val="19"/>
        </w:rPr>
        <w:t>Operating cash flow was a net outflow in 1H26</w:t>
      </w:r>
      <w:r>
        <w:rPr>
          <w:rFonts w:ascii="Arial" w:hAnsi="Arial"/>
          <w:sz w:val="19"/>
        </w:rPr>
        <w:t xml:space="preserve"> (IB Tomato). This is likely seasonal and timing-related: levy and tax payments plus bonuses. It needs checking in 3Q.</w:t>
      </w:r>
    </w:p>
    <w:p>
      <w:pPr>
        <w:spacing w:before="0" w:after="50" w:line="276" w:lineRule="auto"/>
        <w:ind w:left="360" w:hanging="245"/>
      </w:pPr>
      <w:r>
        <w:rPr>
          <w:rFonts w:ascii="Arial" w:hAnsi="Arial"/>
          <w:color w:val="2E74B5"/>
          <w:sz w:val="16"/>
        </w:rPr>
        <w:t xml:space="preserve">▪  </w:t>
      </w:r>
      <w:r>
        <w:rPr>
          <w:rFonts w:ascii="Arial" w:hAnsi="Arial"/>
          <w:b/>
          <w:sz w:val="19"/>
        </w:rPr>
        <w:t>Capex:</w:t>
      </w:r>
      <w:r>
        <w:rPr>
          <w:rFonts w:ascii="Arial" w:hAnsi="Arial"/>
          <w:sz w:val="19"/>
        </w:rPr>
        <w:t xml:space="preserve"> KRW87.2bn spent in 1H26 against a KRW145.4bn budget.</w:t>
      </w:r>
    </w:p>
    <w:p>
      <w:pPr>
        <w:spacing w:before="0" w:after="50" w:line="276" w:lineRule="auto"/>
        <w:ind w:left="360" w:hanging="245"/>
      </w:pPr>
      <w:r>
        <w:rPr>
          <w:rFonts w:ascii="Arial" w:hAnsi="Arial"/>
          <w:color w:val="2E74B5"/>
          <w:sz w:val="16"/>
        </w:rPr>
        <w:t xml:space="preserve">▪  </w:t>
      </w:r>
      <w:r>
        <w:rPr>
          <w:rFonts w:ascii="Arial" w:hAnsi="Arial"/>
          <w:b/>
          <w:sz w:val="19"/>
        </w:rPr>
        <w:t>Earnings quality:</w:t>
      </w:r>
      <w:r>
        <w:rPr>
          <w:rFonts w:ascii="Arial" w:hAnsi="Arial"/>
          <w:sz w:val="19"/>
        </w:rPr>
        <w:t xml:space="preserve"> the KRW97.3bn valuation gain means 2Q26 net profit overstates recurring earnings.</w:t>
      </w:r>
    </w:p>
    <w:p>
      <w:pPr>
        <w:pStyle w:val="Heading2"/>
        <w:keepNext/>
        <w:spacing w:before="160" w:after="80" w:line="264" w:lineRule="auto"/>
      </w:pPr>
      <w:r>
        <w:rPr>
          <w:rFonts w:ascii="Arial" w:hAnsi="Arial"/>
        </w:rPr>
        <w:t>11.6 Market reaction and what was priced in</w:t>
      </w:r>
    </w:p>
    <w:p>
      <w:pPr>
        <w:spacing w:before="0" w:after="50" w:line="276" w:lineRule="auto"/>
        <w:ind w:left="360" w:hanging="245"/>
      </w:pPr>
      <w:r>
        <w:rPr>
          <w:rFonts w:ascii="Arial" w:hAnsi="Arial"/>
          <w:color w:val="2E74B5"/>
          <w:sz w:val="16"/>
        </w:rPr>
        <w:t xml:space="preserve">▪  </w:t>
      </w:r>
      <w:r>
        <w:rPr>
          <w:rFonts w:ascii="Arial" w:hAnsi="Arial"/>
          <w:sz w:val="19"/>
        </w:rPr>
        <w:t>The stock closed at KRW14,500 on 4-Aug and KRW14,180 on 5-Aug (−2.2%).</w:t>
      </w:r>
    </w:p>
    <w:p>
      <w:pPr>
        <w:spacing w:before="0" w:after="50" w:line="276" w:lineRule="auto"/>
        <w:ind w:left="360" w:hanging="245"/>
      </w:pPr>
      <w:r>
        <w:rPr>
          <w:rFonts w:ascii="Arial" w:hAnsi="Arial"/>
          <w:color w:val="2E74B5"/>
          <w:sz w:val="16"/>
        </w:rPr>
        <w:t xml:space="preserve">▪  </w:t>
      </w:r>
      <w:r>
        <w:rPr>
          <w:rFonts w:ascii="Arial" w:hAnsi="Arial"/>
          <w:sz w:val="19"/>
        </w:rPr>
        <w:t>Hana cut its target from KRW22,000 to 19,000 (2026E P/E 11x), noting that shareholder returns limit downside.</w:t>
      </w:r>
    </w:p>
    <w:p>
      <w:pPr>
        <w:spacing w:before="0" w:after="50" w:line="276" w:lineRule="auto"/>
        <w:ind w:left="360" w:hanging="245"/>
      </w:pPr>
      <w:r>
        <w:rPr>
          <w:rFonts w:ascii="Arial" w:hAnsi="Arial"/>
          <w:color w:val="2E74B5"/>
          <w:sz w:val="16"/>
        </w:rPr>
        <w:t xml:space="preserve">▪  </w:t>
      </w:r>
      <w:r>
        <w:rPr>
          <w:rFonts w:ascii="Arial" w:hAnsi="Arial"/>
          <w:sz w:val="19"/>
        </w:rPr>
        <w:t>Kiwoom cut from KRW22,000 to 18,000; Eugene to KRW20,000 [u].</w:t>
      </w:r>
    </w:p>
    <w:p>
      <w:pPr>
        <w:spacing w:before="0" w:after="50" w:line="276" w:lineRule="auto"/>
        <w:ind w:left="360" w:hanging="245"/>
      </w:pPr>
      <w:r>
        <w:rPr>
          <w:rFonts w:ascii="Arial" w:hAnsi="Arial"/>
          <w:color w:val="2E74B5"/>
          <w:sz w:val="16"/>
        </w:rPr>
        <w:t xml:space="preserve">▪  </w:t>
      </w:r>
      <w:r>
        <w:rPr>
          <w:rFonts w:ascii="Arial" w:hAnsi="Arial"/>
          <w:sz w:val="19"/>
        </w:rPr>
        <w:t>The muted reaction suggests a weak quarter was already in the price after the 28% fall from February.</w:t>
      </w:r>
    </w:p>
    <w:p>
      <w:pPr>
        <w:pStyle w:val="Heading2"/>
        <w:keepNext/>
        <w:spacing w:before="160" w:after="80" w:line="264" w:lineRule="auto"/>
      </w:pPr>
      <w:r>
        <w:rPr>
          <w:rFonts w:ascii="Arial" w:hAnsi="Arial"/>
        </w:rPr>
        <w:t>11.7 Unusual vs recent history</w:t>
      </w:r>
    </w:p>
    <w:p>
      <w:pPr>
        <w:spacing w:before="0" w:after="50" w:line="276" w:lineRule="auto"/>
        <w:ind w:left="360" w:hanging="245"/>
      </w:pPr>
      <w:r>
        <w:rPr>
          <w:rFonts w:ascii="Arial" w:hAnsi="Arial"/>
          <w:color w:val="2E74B5"/>
          <w:sz w:val="16"/>
        </w:rPr>
        <w:t xml:space="preserve">▪  </w:t>
      </w:r>
      <w:r>
        <w:rPr>
          <w:rFonts w:ascii="Arial" w:hAnsi="Arial"/>
          <w:b/>
          <w:sz w:val="19"/>
        </w:rPr>
        <w:t>Revenue fell</w:t>
      </w:r>
      <w:r>
        <w:rPr>
          <w:rFonts w:ascii="Arial" w:hAnsi="Arial"/>
          <w:sz w:val="19"/>
        </w:rPr>
        <w:t xml:space="preserve"> YoY for the first time since the COVID recovery.</w:t>
      </w:r>
    </w:p>
    <w:p>
      <w:pPr>
        <w:spacing w:before="0" w:after="50" w:line="276" w:lineRule="auto"/>
        <w:ind w:left="360" w:hanging="245"/>
      </w:pPr>
      <w:r>
        <w:rPr>
          <w:rFonts w:ascii="Arial" w:hAnsi="Arial"/>
          <w:color w:val="2E74B5"/>
          <w:sz w:val="16"/>
        </w:rPr>
        <w:t xml:space="preserve">▪  </w:t>
      </w:r>
      <w:r>
        <w:rPr>
          <w:rFonts w:ascii="Arial" w:hAnsi="Arial"/>
          <w:b/>
          <w:sz w:val="19"/>
        </w:rPr>
        <w:t>Net profit rose 60% while OP fell 26%.</w:t>
      </w:r>
      <w:r>
        <w:rPr>
          <w:rFonts w:ascii="Arial" w:hAnsi="Arial"/>
          <w:sz w:val="19"/>
        </w:rPr>
        <w:t xml:space="preserve"> The gap between operating and reported profit is now the widest in our data. Financial income is ~45% of pre-tax profit [e].</w:t>
      </w:r>
    </w:p>
    <w:p>
      <w:pPr>
        <w:spacing w:before="0" w:after="50" w:line="276" w:lineRule="auto"/>
        <w:ind w:left="360" w:hanging="245"/>
      </w:pPr>
      <w:r>
        <w:rPr>
          <w:rFonts w:ascii="Arial" w:hAnsi="Arial"/>
          <w:color w:val="2E74B5"/>
          <w:sz w:val="16"/>
        </w:rPr>
        <w:t xml:space="preserve">▪  </w:t>
      </w:r>
      <w:r>
        <w:rPr>
          <w:rFonts w:ascii="Arial" w:hAnsi="Arial"/>
          <w:b/>
          <w:sz w:val="19"/>
        </w:rPr>
        <w:t>Donations</w:t>
      </w:r>
      <w:r>
        <w:rPr>
          <w:rFonts w:ascii="Arial" w:hAnsi="Arial"/>
          <w:sz w:val="19"/>
        </w:rPr>
        <w:t xml:space="preserve"> were shifted into 1Q, which makes the quarterly comparisons noisy.</w:t>
      </w:r>
    </w:p>
    <w:p>
      <w:pPr>
        <w:pStyle w:val="Heading1"/>
        <w:pageBreakBefore/>
        <w:spacing w:before="0" w:after="120" w:line="264" w:lineRule="auto"/>
      </w:pPr>
      <w:r>
        <w:rPr>
          <w:rFonts w:ascii="Arial" w:hAnsi="Arial"/>
        </w:rPr>
        <w:t>12. Earnings Estimates, FY2026E-FY2028E</w:t>
      </w:r>
    </w:p>
    <w:p>
      <w:pPr>
        <w:pStyle w:val="Heading2"/>
        <w:keepNext/>
        <w:spacing w:before="160" w:after="80" w:line="264" w:lineRule="auto"/>
      </w:pPr>
      <w:r>
        <w:rPr>
          <w:rFonts w:ascii="Arial" w:hAnsi="Arial"/>
        </w:rPr>
        <w:t>12.1 Our forecasts vs consensus</w:t>
      </w:r>
    </w:p>
    <w:tbl>
      <w:tblPr>
        <w:tblW w:type="auto" w:w="0"/>
        <w:jc w:val="center"/>
        <w:tblLook w:firstColumn="1" w:firstRow="1" w:lastColumn="0" w:lastRow="0" w:noHBand="0" w:noVBand="1" w:val="04A0"/>
        <w:tblLayout w:type="fixed"/>
        <w:tblW w:type="dxa" w:w="9906"/>
      </w:tblPr>
      <w:tblGrid>
        <w:gridCol w:w="1778"/>
        <w:gridCol w:w="1016"/>
        <w:gridCol w:w="2032"/>
        <w:gridCol w:w="1397"/>
        <w:gridCol w:w="1016"/>
        <w:gridCol w:w="1651"/>
        <w:gridCol w:w="1016"/>
      </w:tblGrid>
      <w:tr>
        <w:trPr>
          <w:tblHeader/>
        </w:trPr>
        <w:tc>
          <w:tcPr>
            <w:tcW w:type="dxa" w:w="1778"/>
            <w:tcW w:type="dxa" w:w="1778"/>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KRW bn</w:t>
            </w:r>
          </w:p>
        </w:tc>
        <w:tc>
          <w:tcPr>
            <w:tcW w:type="dxa" w:w="1016"/>
            <w:tcW w:type="dxa" w:w="1016"/>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right"/>
            </w:pPr>
            <w:r>
              <w:rPr>
                <w:rFonts w:ascii="Arial" w:hAnsi="Arial"/>
                <w:b/>
                <w:color w:val="FFFFFF"/>
                <w:sz w:val="15"/>
              </w:rPr>
              <w:t>FY2025A</w:t>
            </w:r>
          </w:p>
        </w:tc>
        <w:tc>
          <w:tcPr>
            <w:tcW w:type="dxa" w:w="2032"/>
            <w:tcW w:type="dxa" w:w="2032"/>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right"/>
            </w:pPr>
            <w:r>
              <w:rPr>
                <w:rFonts w:ascii="Arial" w:hAnsi="Arial"/>
                <w:b/>
                <w:color w:val="FFFFFF"/>
                <w:sz w:val="15"/>
              </w:rPr>
              <w:t>FY2026E (ours)</w:t>
            </w:r>
          </w:p>
        </w:tc>
        <w:tc>
          <w:tcPr>
            <w:tcW w:type="dxa" w:w="1397"/>
            <w:tcW w:type="dxa" w:w="1397"/>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right"/>
            </w:pPr>
            <w:r>
              <w:rPr>
                <w:rFonts w:ascii="Arial" w:hAnsi="Arial"/>
                <w:b/>
                <w:color w:val="FFFFFF"/>
                <w:sz w:val="15"/>
              </w:rPr>
              <w:t>Consensus FY26E</w:t>
            </w:r>
          </w:p>
        </w:tc>
        <w:tc>
          <w:tcPr>
            <w:tcW w:type="dxa" w:w="1016"/>
            <w:tcW w:type="dxa" w:w="1016"/>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right"/>
            </w:pPr>
            <w:r>
              <w:rPr>
                <w:rFonts w:ascii="Arial" w:hAnsi="Arial"/>
                <w:b/>
                <w:color w:val="FFFFFF"/>
                <w:sz w:val="15"/>
              </w:rPr>
              <w:t>FY2027E (ours)</w:t>
            </w:r>
          </w:p>
        </w:tc>
        <w:tc>
          <w:tcPr>
            <w:tcW w:type="dxa" w:w="1651"/>
            <w:tcW w:type="dxa" w:w="1651"/>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right"/>
            </w:pPr>
            <w:r>
              <w:rPr>
                <w:rFonts w:ascii="Arial" w:hAnsi="Arial"/>
                <w:b/>
                <w:color w:val="FFFFFF"/>
                <w:sz w:val="15"/>
              </w:rPr>
              <w:t>Consensus FY27E</w:t>
            </w:r>
          </w:p>
        </w:tc>
        <w:tc>
          <w:tcPr>
            <w:tcW w:type="dxa" w:w="1016"/>
            <w:tcW w:type="dxa" w:w="1016"/>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right"/>
            </w:pPr>
            <w:r>
              <w:rPr>
                <w:rFonts w:ascii="Arial" w:hAnsi="Arial"/>
                <w:b/>
                <w:color w:val="FFFFFF"/>
                <w:sz w:val="15"/>
              </w:rPr>
              <w:t>FY2028E (ours)</w:t>
            </w:r>
          </w:p>
        </w:tc>
      </w:tr>
      <w:tr>
        <w:trPr>
          <w:cantSplit/>
        </w:trPr>
        <w:tc>
          <w:tcPr>
            <w:tcW w:type="dxa" w:w="1778"/>
            <w:tcW w:type="dxa" w:w="177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Revenue</w:t>
            </w:r>
          </w:p>
        </w:tc>
        <w:tc>
          <w:tcPr>
            <w:tcW w:type="dxa" w:w="1016"/>
            <w:tcW w:type="dxa" w:w="101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1,476.7</w:t>
            </w:r>
          </w:p>
        </w:tc>
        <w:tc>
          <w:tcPr>
            <w:tcW w:type="dxa" w:w="2032"/>
            <w:tcW w:type="dxa" w:w="203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1,454.5</w:t>
            </w:r>
          </w:p>
        </w:tc>
        <w:tc>
          <w:tcPr>
            <w:tcW w:type="dxa" w:w="1397"/>
            <w:tcW w:type="dxa" w:w="139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~1,492 [u]</w:t>
            </w:r>
          </w:p>
        </w:tc>
        <w:tc>
          <w:tcPr>
            <w:tcW w:type="dxa" w:w="1016"/>
            <w:tcW w:type="dxa" w:w="101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1,480</w:t>
            </w:r>
          </w:p>
        </w:tc>
        <w:tc>
          <w:tcPr>
            <w:tcW w:type="dxa" w:w="1651"/>
            <w:tcW w:type="dxa" w:w="165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~1,523 [u]</w:t>
            </w:r>
          </w:p>
        </w:tc>
        <w:tc>
          <w:tcPr>
            <w:tcW w:type="dxa" w:w="1016"/>
            <w:tcW w:type="dxa" w:w="101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1,560</w:t>
            </w:r>
          </w:p>
        </w:tc>
      </w:tr>
      <w:tr>
        <w:trPr>
          <w:cantSplit/>
        </w:trPr>
        <w:tc>
          <w:tcPr>
            <w:tcW w:type="dxa" w:w="1778"/>
            <w:tcW w:type="dxa" w:w="177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Growth</w:t>
            </w:r>
          </w:p>
        </w:tc>
        <w:tc>
          <w:tcPr>
            <w:tcW w:type="dxa" w:w="1016"/>
            <w:tcW w:type="dxa" w:w="101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+3.5%</w:t>
            </w:r>
          </w:p>
        </w:tc>
        <w:tc>
          <w:tcPr>
            <w:tcW w:type="dxa" w:w="2032"/>
            <w:tcW w:type="dxa" w:w="203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−1.5%</w:t>
            </w:r>
          </w:p>
        </w:tc>
        <w:tc>
          <w:tcPr>
            <w:tcW w:type="dxa" w:w="1397"/>
            <w:tcW w:type="dxa" w:w="139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p>
        </w:tc>
        <w:tc>
          <w:tcPr>
            <w:tcW w:type="dxa" w:w="1016"/>
            <w:tcW w:type="dxa" w:w="101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+1.8%</w:t>
            </w:r>
          </w:p>
        </w:tc>
        <w:tc>
          <w:tcPr>
            <w:tcW w:type="dxa" w:w="1651"/>
            <w:tcW w:type="dxa" w:w="165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p>
        </w:tc>
        <w:tc>
          <w:tcPr>
            <w:tcW w:type="dxa" w:w="1016"/>
            <w:tcW w:type="dxa" w:w="101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+5.4%</w:t>
            </w:r>
          </w:p>
        </w:tc>
      </w:tr>
      <w:tr>
        <w:trPr>
          <w:cantSplit/>
        </w:trPr>
        <w:tc>
          <w:tcPr>
            <w:tcW w:type="dxa" w:w="1778"/>
            <w:tcW w:type="dxa" w:w="177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Operating profit</w:t>
            </w:r>
          </w:p>
        </w:tc>
        <w:tc>
          <w:tcPr>
            <w:tcW w:type="dxa" w:w="1016"/>
            <w:tcW w:type="dxa" w:w="101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235.2</w:t>
            </w:r>
          </w:p>
        </w:tc>
        <w:tc>
          <w:tcPr>
            <w:tcW w:type="dxa" w:w="2032"/>
            <w:tcW w:type="dxa" w:w="203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201.1</w:t>
            </w:r>
          </w:p>
        </w:tc>
        <w:tc>
          <w:tcPr>
            <w:tcW w:type="dxa" w:w="1397"/>
            <w:tcW w:type="dxa" w:w="139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246.5</w:t>
            </w:r>
          </w:p>
        </w:tc>
        <w:tc>
          <w:tcPr>
            <w:tcW w:type="dxa" w:w="1016"/>
            <w:tcW w:type="dxa" w:w="101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215.0</w:t>
            </w:r>
          </w:p>
        </w:tc>
        <w:tc>
          <w:tcPr>
            <w:tcW w:type="dxa" w:w="1651"/>
            <w:tcW w:type="dxa" w:w="165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260.2</w:t>
            </w:r>
          </w:p>
        </w:tc>
        <w:tc>
          <w:tcPr>
            <w:tcW w:type="dxa" w:w="1016"/>
            <w:tcW w:type="dxa" w:w="101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245.0</w:t>
            </w:r>
          </w:p>
        </w:tc>
      </w:tr>
      <w:tr>
        <w:trPr>
          <w:cantSplit/>
        </w:trPr>
        <w:tc>
          <w:tcPr>
            <w:tcW w:type="dxa" w:w="1778"/>
            <w:tcW w:type="dxa" w:w="177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OP margin</w:t>
            </w:r>
          </w:p>
        </w:tc>
        <w:tc>
          <w:tcPr>
            <w:tcW w:type="dxa" w:w="1016"/>
            <w:tcW w:type="dxa" w:w="101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15.9%</w:t>
            </w:r>
          </w:p>
        </w:tc>
        <w:tc>
          <w:tcPr>
            <w:tcW w:type="dxa" w:w="2032"/>
            <w:tcW w:type="dxa" w:w="203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13.8%</w:t>
            </w:r>
          </w:p>
        </w:tc>
        <w:tc>
          <w:tcPr>
            <w:tcW w:type="dxa" w:w="1397"/>
            <w:tcW w:type="dxa" w:w="139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16.5%</w:t>
            </w:r>
          </w:p>
        </w:tc>
        <w:tc>
          <w:tcPr>
            <w:tcW w:type="dxa" w:w="1016"/>
            <w:tcW w:type="dxa" w:w="101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14.5%</w:t>
            </w:r>
          </w:p>
        </w:tc>
        <w:tc>
          <w:tcPr>
            <w:tcW w:type="dxa" w:w="1651"/>
            <w:tcW w:type="dxa" w:w="165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17.1%</w:t>
            </w:r>
          </w:p>
        </w:tc>
        <w:tc>
          <w:tcPr>
            <w:tcW w:type="dxa" w:w="1016"/>
            <w:tcW w:type="dxa" w:w="101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15.7%</w:t>
            </w:r>
          </w:p>
        </w:tc>
      </w:tr>
      <w:tr>
        <w:trPr>
          <w:cantSplit/>
        </w:trPr>
        <w:tc>
          <w:tcPr>
            <w:tcW w:type="dxa" w:w="1778"/>
            <w:tcW w:type="dxa" w:w="177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EBITDA [e]</w:t>
            </w:r>
          </w:p>
        </w:tc>
        <w:tc>
          <w:tcPr>
            <w:tcW w:type="dxa" w:w="1016"/>
            <w:tcW w:type="dxa" w:w="101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~327</w:t>
            </w:r>
          </w:p>
        </w:tc>
        <w:tc>
          <w:tcPr>
            <w:tcW w:type="dxa" w:w="2032"/>
            <w:tcW w:type="dxa" w:w="203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~293</w:t>
            </w:r>
          </w:p>
        </w:tc>
        <w:tc>
          <w:tcPr>
            <w:tcW w:type="dxa" w:w="1397"/>
            <w:tcW w:type="dxa" w:w="139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p>
        </w:tc>
        <w:tc>
          <w:tcPr>
            <w:tcW w:type="dxa" w:w="1016"/>
            <w:tcW w:type="dxa" w:w="101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~310</w:t>
            </w:r>
          </w:p>
        </w:tc>
        <w:tc>
          <w:tcPr>
            <w:tcW w:type="dxa" w:w="1651"/>
            <w:tcW w:type="dxa" w:w="165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p>
        </w:tc>
        <w:tc>
          <w:tcPr>
            <w:tcW w:type="dxa" w:w="1016"/>
            <w:tcW w:type="dxa" w:w="101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~345</w:t>
            </w:r>
          </w:p>
        </w:tc>
      </w:tr>
      <w:tr>
        <w:trPr>
          <w:cantSplit/>
        </w:trPr>
        <w:tc>
          <w:tcPr>
            <w:tcW w:type="dxa" w:w="1778"/>
            <w:tcW w:type="dxa" w:w="177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Net non-operating income [e]</w:t>
            </w:r>
          </w:p>
        </w:tc>
        <w:tc>
          <w:tcPr>
            <w:tcW w:type="dxa" w:w="1016"/>
            <w:tcW w:type="dxa" w:w="101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~181</w:t>
            </w:r>
          </w:p>
        </w:tc>
        <w:tc>
          <w:tcPr>
            <w:tcW w:type="dxa" w:w="2032"/>
            <w:tcW w:type="dxa" w:w="203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~115 + 1H gains</w:t>
            </w:r>
          </w:p>
        </w:tc>
        <w:tc>
          <w:tcPr>
            <w:tcW w:type="dxa" w:w="1397"/>
            <w:tcW w:type="dxa" w:w="139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p>
        </w:tc>
        <w:tc>
          <w:tcPr>
            <w:tcW w:type="dxa" w:w="1016"/>
            <w:tcW w:type="dxa" w:w="101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115</w:t>
            </w:r>
          </w:p>
        </w:tc>
        <w:tc>
          <w:tcPr>
            <w:tcW w:type="dxa" w:w="1651"/>
            <w:tcW w:type="dxa" w:w="165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p>
        </w:tc>
        <w:tc>
          <w:tcPr>
            <w:tcW w:type="dxa" w:w="1016"/>
            <w:tcW w:type="dxa" w:w="101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110</w:t>
            </w:r>
          </w:p>
        </w:tc>
      </w:tr>
      <w:tr>
        <w:trPr>
          <w:cantSplit/>
        </w:trPr>
        <w:tc>
          <w:tcPr>
            <w:tcW w:type="dxa" w:w="1778"/>
            <w:tcW w:type="dxa" w:w="177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Net profit</w:t>
            </w:r>
          </w:p>
        </w:tc>
        <w:tc>
          <w:tcPr>
            <w:tcW w:type="dxa" w:w="1016"/>
            <w:tcW w:type="dxa" w:w="101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316.5</w:t>
            </w:r>
          </w:p>
        </w:tc>
        <w:tc>
          <w:tcPr>
            <w:tcW w:type="dxa" w:w="2032"/>
            <w:tcW w:type="dxa" w:w="203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248.0</w:t>
            </w:r>
          </w:p>
        </w:tc>
        <w:tc>
          <w:tcPr>
            <w:tcW w:type="dxa" w:w="1397"/>
            <w:tcW w:type="dxa" w:w="139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~282 [e]</w:t>
            </w:r>
          </w:p>
        </w:tc>
        <w:tc>
          <w:tcPr>
            <w:tcW w:type="dxa" w:w="1016"/>
            <w:tcW w:type="dxa" w:w="101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244.2</w:t>
            </w:r>
          </w:p>
        </w:tc>
        <w:tc>
          <w:tcPr>
            <w:tcW w:type="dxa" w:w="1651"/>
            <w:tcW w:type="dxa" w:w="165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~295 [e]</w:t>
            </w:r>
          </w:p>
        </w:tc>
        <w:tc>
          <w:tcPr>
            <w:tcW w:type="dxa" w:w="1016"/>
            <w:tcW w:type="dxa" w:w="101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262.7</w:t>
            </w:r>
          </w:p>
        </w:tc>
      </w:tr>
      <w:tr>
        <w:trPr>
          <w:cantSplit/>
        </w:trPr>
        <w:tc>
          <w:tcPr>
            <w:tcW w:type="dxa" w:w="1778"/>
            <w:tcW w:type="dxa" w:w="177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EPS (KRW)</w:t>
            </w:r>
          </w:p>
        </w:tc>
        <w:tc>
          <w:tcPr>
            <w:tcW w:type="dxa" w:w="1016"/>
            <w:tcW w:type="dxa" w:w="101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1,597</w:t>
            </w:r>
          </w:p>
        </w:tc>
        <w:tc>
          <w:tcPr>
            <w:tcW w:type="dxa" w:w="2032"/>
            <w:tcW w:type="dxa" w:w="203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1,252</w:t>
            </w:r>
          </w:p>
        </w:tc>
        <w:tc>
          <w:tcPr>
            <w:tcW w:type="dxa" w:w="1397"/>
            <w:tcW w:type="dxa" w:w="139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1,423</w:t>
            </w:r>
          </w:p>
        </w:tc>
        <w:tc>
          <w:tcPr>
            <w:tcW w:type="dxa" w:w="1016"/>
            <w:tcW w:type="dxa" w:w="101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1,232</w:t>
            </w:r>
          </w:p>
        </w:tc>
        <w:tc>
          <w:tcPr>
            <w:tcW w:type="dxa" w:w="1651"/>
            <w:tcW w:type="dxa" w:w="165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1,487</w:t>
            </w:r>
          </w:p>
        </w:tc>
        <w:tc>
          <w:tcPr>
            <w:tcW w:type="dxa" w:w="1016"/>
            <w:tcW w:type="dxa" w:w="101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1,326</w:t>
            </w:r>
          </w:p>
        </w:tc>
      </w:tr>
      <w:tr>
        <w:trPr>
          <w:cantSplit/>
        </w:trPr>
        <w:tc>
          <w:tcPr>
            <w:tcW w:type="dxa" w:w="1778"/>
            <w:tcW w:type="dxa" w:w="177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DPS (KRW)</w:t>
            </w:r>
          </w:p>
        </w:tc>
        <w:tc>
          <w:tcPr>
            <w:tcW w:type="dxa" w:w="1016"/>
            <w:tcW w:type="dxa" w:w="101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950</w:t>
            </w:r>
          </w:p>
        </w:tc>
        <w:tc>
          <w:tcPr>
            <w:tcW w:type="dxa" w:w="2032"/>
            <w:tcW w:type="dxa" w:w="203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850</w:t>
            </w:r>
          </w:p>
        </w:tc>
        <w:tc>
          <w:tcPr>
            <w:tcW w:type="dxa" w:w="1397"/>
            <w:tcW w:type="dxa" w:w="139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970 (Hana)</w:t>
            </w:r>
          </w:p>
        </w:tc>
        <w:tc>
          <w:tcPr>
            <w:tcW w:type="dxa" w:w="1016"/>
            <w:tcW w:type="dxa" w:w="101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870</w:t>
            </w:r>
          </w:p>
        </w:tc>
        <w:tc>
          <w:tcPr>
            <w:tcW w:type="dxa" w:w="1651"/>
            <w:tcW w:type="dxa" w:w="165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1,000 (Hana)</w:t>
            </w:r>
          </w:p>
        </w:tc>
        <w:tc>
          <w:tcPr>
            <w:tcW w:type="dxa" w:w="1016"/>
            <w:tcW w:type="dxa" w:w="101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920</w:t>
            </w:r>
          </w:p>
        </w:tc>
      </w:tr>
      <w:tr>
        <w:trPr>
          <w:cantSplit/>
        </w:trPr>
        <w:tc>
          <w:tcPr>
            <w:tcW w:type="dxa" w:w="1778"/>
            <w:tcW w:type="dxa" w:w="177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Payout</w:t>
            </w:r>
          </w:p>
        </w:tc>
        <w:tc>
          <w:tcPr>
            <w:tcW w:type="dxa" w:w="1016"/>
            <w:tcW w:type="dxa" w:w="101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59%</w:t>
            </w:r>
          </w:p>
        </w:tc>
        <w:tc>
          <w:tcPr>
            <w:tcW w:type="dxa" w:w="2032"/>
            <w:tcW w:type="dxa" w:w="203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68%</w:t>
            </w:r>
          </w:p>
        </w:tc>
        <w:tc>
          <w:tcPr>
            <w:tcW w:type="dxa" w:w="1397"/>
            <w:tcW w:type="dxa" w:w="139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p>
        </w:tc>
        <w:tc>
          <w:tcPr>
            <w:tcW w:type="dxa" w:w="1016"/>
            <w:tcW w:type="dxa" w:w="101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71%</w:t>
            </w:r>
          </w:p>
        </w:tc>
        <w:tc>
          <w:tcPr>
            <w:tcW w:type="dxa" w:w="1651"/>
            <w:tcW w:type="dxa" w:w="165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p>
        </w:tc>
        <w:tc>
          <w:tcPr>
            <w:tcW w:type="dxa" w:w="1016"/>
            <w:tcW w:type="dxa" w:w="101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69%</w:t>
            </w:r>
          </w:p>
        </w:tc>
      </w:tr>
      <w:tr>
        <w:trPr>
          <w:cantSplit/>
        </w:trPr>
        <w:tc>
          <w:tcPr>
            <w:tcW w:type="dxa" w:w="1778"/>
            <w:tcW w:type="dxa" w:w="177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P/E at KRW14,180</w:t>
            </w:r>
          </w:p>
        </w:tc>
        <w:tc>
          <w:tcPr>
            <w:tcW w:type="dxa" w:w="1016"/>
            <w:tcW w:type="dxa" w:w="101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8.9x</w:t>
            </w:r>
          </w:p>
        </w:tc>
        <w:tc>
          <w:tcPr>
            <w:tcW w:type="dxa" w:w="2032"/>
            <w:tcW w:type="dxa" w:w="203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11.3x</w:t>
            </w:r>
          </w:p>
        </w:tc>
        <w:tc>
          <w:tcPr>
            <w:tcW w:type="dxa" w:w="1397"/>
            <w:tcW w:type="dxa" w:w="139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10.0x</w:t>
            </w:r>
          </w:p>
        </w:tc>
        <w:tc>
          <w:tcPr>
            <w:tcW w:type="dxa" w:w="1016"/>
            <w:tcW w:type="dxa" w:w="101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11.5x</w:t>
            </w:r>
          </w:p>
        </w:tc>
        <w:tc>
          <w:tcPr>
            <w:tcW w:type="dxa" w:w="1651"/>
            <w:tcW w:type="dxa" w:w="165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9.5x</w:t>
            </w:r>
          </w:p>
        </w:tc>
        <w:tc>
          <w:tcPr>
            <w:tcW w:type="dxa" w:w="1016"/>
            <w:tcW w:type="dxa" w:w="101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10.7x</w:t>
            </w:r>
          </w:p>
        </w:tc>
      </w:tr>
      <w:tr>
        <w:trPr>
          <w:cantSplit/>
        </w:trPr>
        <w:tc>
          <w:tcPr>
            <w:tcW w:type="dxa" w:w="1778"/>
            <w:tcW w:type="dxa" w:w="177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Dividend yield</w:t>
            </w:r>
          </w:p>
        </w:tc>
        <w:tc>
          <w:tcPr>
            <w:tcW w:type="dxa" w:w="1016"/>
            <w:tcW w:type="dxa" w:w="101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6.7%</w:t>
            </w:r>
          </w:p>
        </w:tc>
        <w:tc>
          <w:tcPr>
            <w:tcW w:type="dxa" w:w="2032"/>
            <w:tcW w:type="dxa" w:w="203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6.0%</w:t>
            </w:r>
          </w:p>
        </w:tc>
        <w:tc>
          <w:tcPr>
            <w:tcW w:type="dxa" w:w="1397"/>
            <w:tcW w:type="dxa" w:w="139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6.8%</w:t>
            </w:r>
          </w:p>
        </w:tc>
        <w:tc>
          <w:tcPr>
            <w:tcW w:type="dxa" w:w="1016"/>
            <w:tcW w:type="dxa" w:w="101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6.1%</w:t>
            </w:r>
          </w:p>
        </w:tc>
        <w:tc>
          <w:tcPr>
            <w:tcW w:type="dxa" w:w="1651"/>
            <w:tcW w:type="dxa" w:w="165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7.1%</w:t>
            </w:r>
          </w:p>
        </w:tc>
        <w:tc>
          <w:tcPr>
            <w:tcW w:type="dxa" w:w="1016"/>
            <w:tcW w:type="dxa" w:w="101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6.5%</w:t>
            </w:r>
          </w:p>
        </w:tc>
      </w:tr>
    </w:tbl>
    <w:p>
      <w:pPr>
        <w:spacing w:before="0" w:after="40" w:line="240" w:lineRule="auto"/>
      </w:pPr>
    </w:p>
    <w:p>
      <w:pPr>
        <w:spacing w:before="0" w:after="100" w:line="288" w:lineRule="auto"/>
      </w:pPr>
      <w:r>
        <w:rPr>
          <w:rFonts w:ascii="Arial" w:hAnsi="Arial"/>
          <w:sz w:val="19"/>
        </w:rPr>
        <w:t>Consensus: Hana (4-May-26, pre-2Q26) and the StockHub aggregation; post-2Q26 consensus not found, but targets were cut 14-18% in August, so consensus has likely fallen towards our numbers. EPS is on ~198.2m outstanding shares.</w:t>
      </w:r>
    </w:p>
    <w:p>
      <w:pPr>
        <w:spacing w:before="0" w:after="100" w:line="288" w:lineRule="auto"/>
      </w:pPr>
      <w:r>
        <w:rPr>
          <w:rFonts w:ascii="Arial" w:hAnsi="Arial"/>
          <w:b/>
          <w:sz w:val="19"/>
        </w:rPr>
        <w:t>Our FY26-27E OP is 17-18% below the May consensus</w:t>
      </w:r>
      <w:r>
        <w:rPr>
          <w:rFonts w:ascii="Arial" w:hAnsi="Arial"/>
          <w:sz w:val="19"/>
        </w:rPr>
        <w:t xml:space="preserve"> because we assume:</w:t>
      </w:r>
    </w:p>
    <w:p>
      <w:pPr>
        <w:spacing w:before="0" w:after="50" w:line="276" w:lineRule="auto"/>
        <w:ind w:left="360" w:hanging="245"/>
      </w:pPr>
      <w:r>
        <w:rPr>
          <w:rFonts w:ascii="Arial" w:hAnsi="Arial"/>
          <w:color w:val="2E74B5"/>
          <w:sz w:val="16"/>
        </w:rPr>
        <w:t xml:space="preserve">▪  </w:t>
      </w:r>
      <w:r>
        <w:rPr>
          <w:rFonts w:ascii="Arial" w:hAnsi="Arial"/>
          <w:sz w:val="19"/>
        </w:rPr>
        <w:t>the renovation costs ~KRW30bn of revenue a year until 2028;</w:t>
      </w:r>
    </w:p>
    <w:p>
      <w:pPr>
        <w:spacing w:before="0" w:after="50" w:line="276" w:lineRule="auto"/>
        <w:ind w:left="360" w:hanging="245"/>
      </w:pPr>
      <w:r>
        <w:rPr>
          <w:rFonts w:ascii="Arial" w:hAnsi="Arial"/>
          <w:color w:val="2E74B5"/>
          <w:sz w:val="16"/>
        </w:rPr>
        <w:t xml:space="preserve">▪  </w:t>
      </w:r>
      <w:r>
        <w:rPr>
          <w:rFonts w:ascii="Arial" w:hAnsi="Arial"/>
          <w:sz w:val="19"/>
        </w:rPr>
        <w:t>wage and bonus costs grow faster than revenue;</w:t>
      </w:r>
    </w:p>
    <w:p>
      <w:pPr>
        <w:spacing w:before="0" w:after="50" w:line="276" w:lineRule="auto"/>
        <w:ind w:left="360" w:hanging="245"/>
      </w:pPr>
      <w:r>
        <w:rPr>
          <w:rFonts w:ascii="Arial" w:hAnsi="Arial"/>
          <w:color w:val="2E74B5"/>
          <w:sz w:val="16"/>
        </w:rPr>
        <w:t xml:space="preserve">▪  </w:t>
      </w:r>
      <w:r>
        <w:rPr>
          <w:rFonts w:ascii="Arial" w:hAnsi="Arial"/>
          <w:sz w:val="19"/>
        </w:rPr>
        <w:t>mass visitation stays flat until the second casino opens.</w:t>
      </w:r>
    </w:p>
    <w:p>
      <w:pPr>
        <w:spacing w:before="0" w:after="100" w:line="288" w:lineRule="auto"/>
      </w:pPr>
      <w:r>
        <w:rPr>
          <w:rFonts w:ascii="Arial" w:hAnsi="Arial"/>
          <w:b/>
          <w:sz w:val="19"/>
        </w:rPr>
        <w:t>Our EPS is 12-17% below</w:t>
      </w:r>
      <w:r>
        <w:rPr>
          <w:rFonts w:ascii="Arial" w:hAnsi="Arial"/>
          <w:sz w:val="19"/>
        </w:rPr>
        <w:t>: we assume no further valuation gains and a ~26% effective tax rate after the 2026 corporate-tax increase [u].</w:t>
      </w:r>
    </w:p>
    <w:p>
      <w:pPr>
        <w:pStyle w:val="Heading2"/>
        <w:keepNext/>
        <w:spacing w:before="160" w:after="80" w:line="264" w:lineRule="auto"/>
      </w:pPr>
      <w:r>
        <w:rPr>
          <w:rFonts w:ascii="Arial" w:hAnsi="Arial"/>
        </w:rPr>
        <w:t>12.2 Key assumptions</w:t>
      </w:r>
    </w:p>
    <w:p>
      <w:pPr>
        <w:spacing w:before="0" w:after="50" w:line="276" w:lineRule="auto"/>
        <w:ind w:left="360" w:hanging="245"/>
      </w:pPr>
      <w:r>
        <w:rPr>
          <w:rFonts w:ascii="Arial" w:hAnsi="Arial"/>
          <w:color w:val="2E74B5"/>
          <w:sz w:val="16"/>
        </w:rPr>
        <w:t xml:space="preserve">▪  </w:t>
      </w:r>
      <w:r>
        <w:rPr>
          <w:rFonts w:ascii="Arial" w:hAnsi="Arial"/>
          <w:b/>
          <w:sz w:val="19"/>
        </w:rPr>
        <w:t>Revenue:</w:t>
      </w:r>
    </w:p>
    <w:p>
      <w:pPr>
        <w:spacing w:before="0" w:after="50" w:line="276" w:lineRule="auto"/>
        <w:ind w:left="360" w:hanging="245"/>
      </w:pPr>
      <w:r>
        <w:rPr>
          <w:rFonts w:ascii="Arial" w:hAnsi="Arial"/>
          <w:color w:val="2E74B5"/>
          <w:sz w:val="16"/>
        </w:rPr>
        <w:t xml:space="preserve">▪  </w:t>
      </w:r>
      <w:r>
        <w:rPr>
          <w:rFonts w:ascii="Arial" w:hAnsi="Arial"/>
          <w:sz w:val="19"/>
        </w:rPr>
        <w:t>3Q26E revenue KRW378bn and OP KRW63bn (in line with iM); 4Q26E revenue KRW352bn (−3.7%) and OP KRW26bn.</w:t>
      </w:r>
    </w:p>
    <w:p>
      <w:pPr>
        <w:spacing w:before="0" w:after="50" w:line="276" w:lineRule="auto"/>
        <w:ind w:left="360" w:hanging="245"/>
      </w:pPr>
      <w:r>
        <w:rPr>
          <w:rFonts w:ascii="Arial" w:hAnsi="Arial"/>
          <w:color w:val="2E74B5"/>
          <w:sz w:val="16"/>
        </w:rPr>
        <w:t xml:space="preserve">▪  </w:t>
      </w:r>
      <w:r>
        <w:rPr>
          <w:rFonts w:ascii="Arial" w:hAnsi="Arial"/>
          <w:sz w:val="19"/>
        </w:rPr>
        <w:t>FY27E casino +2.5%, non-casino −15% (renovation).</w:t>
      </w:r>
    </w:p>
    <w:p>
      <w:pPr>
        <w:spacing w:before="0" w:after="50" w:line="276" w:lineRule="auto"/>
        <w:ind w:left="360" w:hanging="245"/>
      </w:pPr>
      <w:r>
        <w:rPr>
          <w:rFonts w:ascii="Arial" w:hAnsi="Arial"/>
          <w:color w:val="2E74B5"/>
          <w:sz w:val="16"/>
        </w:rPr>
        <w:t xml:space="preserve">▪  </w:t>
      </w:r>
      <w:r>
        <w:rPr>
          <w:rFonts w:ascii="Arial" w:hAnsi="Arial"/>
          <w:sz w:val="19"/>
        </w:rPr>
        <w:t>FY28E +5.4%: the second casino adds ~25% table capacity from 2028, rooms reopen, and VIP limits help.</w:t>
      </w:r>
    </w:p>
    <w:p>
      <w:pPr>
        <w:spacing w:before="0" w:after="50" w:line="276" w:lineRule="auto"/>
        <w:ind w:left="360" w:hanging="245"/>
      </w:pPr>
      <w:r>
        <w:rPr>
          <w:rFonts w:ascii="Arial" w:hAnsi="Arial"/>
          <w:color w:val="2E74B5"/>
          <w:sz w:val="16"/>
        </w:rPr>
        <w:t xml:space="preserve">▪  </w:t>
      </w:r>
      <w:r>
        <w:rPr>
          <w:rFonts w:ascii="Arial" w:hAnsi="Arial"/>
          <w:b/>
          <w:sz w:val="19"/>
        </w:rPr>
        <w:t>Levies:</w:t>
      </w:r>
      <w:r>
        <w:rPr>
          <w:rFonts w:ascii="Arial" w:hAnsi="Arial"/>
          <w:sz w:val="19"/>
        </w:rPr>
        <w:t xml:space="preserve"> the current 10% tourism fund and 13% mine fund. </w:t>
      </w:r>
      <w:r>
        <w:rPr>
          <w:rFonts w:ascii="Arial" w:hAnsi="Arial"/>
          <w:b/>
          <w:sz w:val="19"/>
        </w:rPr>
        <w:t>No 15% levy in the base case</w:t>
      </w:r>
      <w:r>
        <w:rPr>
          <w:rFonts w:ascii="Arial" w:hAnsi="Arial"/>
          <w:sz w:val="19"/>
        </w:rPr>
        <w:t xml:space="preserve"> (the MCST indicated an exclusion [u]). If it did apply, FY27E OP would fall by ~KRW56bn [e].</w:t>
      </w:r>
    </w:p>
    <w:p>
      <w:pPr>
        <w:spacing w:before="0" w:after="50" w:line="276" w:lineRule="auto"/>
        <w:ind w:left="360" w:hanging="245"/>
      </w:pPr>
      <w:r>
        <w:rPr>
          <w:rFonts w:ascii="Arial" w:hAnsi="Arial"/>
          <w:color w:val="2E74B5"/>
          <w:sz w:val="16"/>
        </w:rPr>
        <w:t xml:space="preserve">▪  </w:t>
      </w:r>
      <w:r>
        <w:rPr>
          <w:rFonts w:ascii="Arial" w:hAnsi="Arial"/>
          <w:b/>
          <w:sz w:val="19"/>
        </w:rPr>
        <w:t>AML:</w:t>
      </w:r>
      <w:r>
        <w:rPr>
          <w:rFonts w:ascii="Arial" w:hAnsi="Arial"/>
          <w:sz w:val="19"/>
        </w:rPr>
        <w:t xml:space="preserve"> no full customer due diligence in the base case.</w:t>
      </w:r>
    </w:p>
    <w:p>
      <w:pPr>
        <w:spacing w:before="0" w:after="50" w:line="276" w:lineRule="auto"/>
        <w:ind w:left="360" w:hanging="245"/>
      </w:pPr>
      <w:r>
        <w:rPr>
          <w:rFonts w:ascii="Arial" w:hAnsi="Arial"/>
          <w:color w:val="2E74B5"/>
          <w:sz w:val="16"/>
        </w:rPr>
        <w:t xml:space="preserve">▪  </w:t>
      </w:r>
      <w:r>
        <w:rPr>
          <w:rFonts w:ascii="Arial" w:hAnsi="Arial"/>
          <w:b/>
          <w:sz w:val="19"/>
        </w:rPr>
        <w:t>Financial income:</w:t>
      </w:r>
      <w:r>
        <w:rPr>
          <w:rFonts w:ascii="Arial" w:hAnsi="Arial"/>
          <w:sz w:val="19"/>
        </w:rPr>
        <w:t xml:space="preserve"> ~KRW140bn a year recurring (~5% on the portfolio, including fund gains), less ~KRW25bn of donations and other items. It declines as K-HIT draws on cash.</w:t>
      </w:r>
    </w:p>
    <w:p>
      <w:pPr>
        <w:spacing w:before="0" w:after="50" w:line="276" w:lineRule="auto"/>
        <w:ind w:left="360" w:hanging="245"/>
      </w:pPr>
      <w:r>
        <w:rPr>
          <w:rFonts w:ascii="Arial" w:hAnsi="Arial"/>
          <w:color w:val="2E74B5"/>
          <w:sz w:val="16"/>
        </w:rPr>
        <w:t xml:space="preserve">▪  </w:t>
      </w:r>
      <w:r>
        <w:rPr>
          <w:rFonts w:ascii="Arial" w:hAnsi="Arial"/>
          <w:b/>
          <w:sz w:val="19"/>
        </w:rPr>
        <w:t>Shareholder returns:</w:t>
      </w:r>
    </w:p>
    <w:p>
      <w:pPr>
        <w:spacing w:before="0" w:after="50" w:line="276" w:lineRule="auto"/>
        <w:ind w:left="360" w:hanging="245"/>
      </w:pPr>
      <w:r>
        <w:rPr>
          <w:rFonts w:ascii="Arial" w:hAnsi="Arial"/>
          <w:color w:val="2E74B5"/>
          <w:sz w:val="16"/>
        </w:rPr>
        <w:t xml:space="preserve">▪  </w:t>
      </w:r>
      <w:r>
        <w:rPr>
          <w:rFonts w:ascii="Arial" w:hAnsi="Arial"/>
          <w:sz w:val="19"/>
        </w:rPr>
        <w:t>DPS KRW850/870/920.</w:t>
      </w:r>
    </w:p>
    <w:p>
      <w:pPr>
        <w:spacing w:before="0" w:after="50" w:line="276" w:lineRule="auto"/>
        <w:ind w:left="360" w:hanging="245"/>
      </w:pPr>
      <w:r>
        <w:rPr>
          <w:rFonts w:ascii="Arial" w:hAnsi="Arial"/>
          <w:color w:val="2E74B5"/>
          <w:sz w:val="16"/>
        </w:rPr>
        <w:t xml:space="preserve">▪  </w:t>
      </w:r>
      <w:r>
        <w:rPr>
          <w:rFonts w:ascii="Arial" w:hAnsi="Arial"/>
          <w:sz w:val="19"/>
        </w:rPr>
        <w:t>KRW49bn of buybacks in 2026, then none assumed.</w:t>
      </w:r>
    </w:p>
    <w:p>
      <w:pPr>
        <w:spacing w:before="0" w:after="50" w:line="276" w:lineRule="auto"/>
        <w:ind w:left="360" w:hanging="245"/>
      </w:pPr>
      <w:r>
        <w:rPr>
          <w:rFonts w:ascii="Arial" w:hAnsi="Arial"/>
          <w:color w:val="2E74B5"/>
          <w:sz w:val="16"/>
        </w:rPr>
        <w:t xml:space="preserve">▪  </w:t>
      </w:r>
      <w:r>
        <w:rPr>
          <w:rFonts w:ascii="Arial" w:hAnsi="Arial"/>
          <w:sz w:val="19"/>
        </w:rPr>
        <w:t>Treasury shares are not cancelled in our share count; cancellation would not change outstanding shares.</w:t>
      </w:r>
    </w:p>
    <w:p>
      <w:pPr>
        <w:pStyle w:val="Heading1"/>
        <w:pageBreakBefore/>
        <w:spacing w:before="0" w:after="120" w:line="264" w:lineRule="auto"/>
      </w:pPr>
      <w:r>
        <w:rPr>
          <w:rFonts w:ascii="Arial" w:hAnsi="Arial"/>
        </w:rPr>
        <w:t>13. Capital Structure, Debt, Covenants and Liquidity</w:t>
      </w:r>
    </w:p>
    <w:p>
      <w:pPr>
        <w:pStyle w:val="Heading2"/>
        <w:keepNext/>
        <w:spacing w:before="160" w:after="80" w:line="264" w:lineRule="auto"/>
      </w:pPr>
      <w:r>
        <w:rPr>
          <w:rFonts w:ascii="Arial" w:hAnsi="Arial"/>
        </w:rPr>
        <w:t>13.1 Summary (30-Jun-2026)</w:t>
      </w:r>
    </w:p>
    <w:tbl>
      <w:tblPr>
        <w:tblW w:type="auto" w:w="0"/>
        <w:jc w:val="center"/>
        <w:tblLook w:firstColumn="1" w:firstRow="1" w:lastColumn="0" w:lastRow="0" w:noHBand="0" w:noVBand="1" w:val="04A0"/>
        <w:tblLayout w:type="fixed"/>
        <w:tblW w:type="dxa" w:w="9906"/>
      </w:tblPr>
      <w:tblGrid>
        <w:gridCol w:w="2159"/>
        <w:gridCol w:w="2001"/>
        <w:gridCol w:w="5745"/>
      </w:tblGrid>
      <w:tr>
        <w:trPr>
          <w:tblHeader/>
        </w:trPr>
        <w:tc>
          <w:tcPr>
            <w:tcW w:type="dxa" w:w="2159"/>
            <w:tcW w:type="dxa" w:w="2159"/>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Item</w:t>
            </w:r>
          </w:p>
        </w:tc>
        <w:tc>
          <w:tcPr>
            <w:tcW w:type="dxa" w:w="2001"/>
            <w:tcW w:type="dxa" w:w="2001"/>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Value</w:t>
            </w:r>
          </w:p>
        </w:tc>
        <w:tc>
          <w:tcPr>
            <w:tcW w:type="dxa" w:w="5745"/>
            <w:tcW w:type="dxa" w:w="5745"/>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Comment</w:t>
            </w:r>
          </w:p>
        </w:tc>
      </w:tr>
      <w:tr>
        <w:trPr>
          <w:cantSplit/>
        </w:trPr>
        <w:tc>
          <w:tcPr>
            <w:tcW w:type="dxa" w:w="2159"/>
            <w:tcW w:type="dxa" w:w="215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Borrowings</w:t>
            </w:r>
          </w:p>
        </w:tc>
        <w:tc>
          <w:tcPr>
            <w:tcW w:type="dxa" w:w="2001"/>
            <w:tcW w:type="dxa" w:w="200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~nil</w:t>
            </w:r>
          </w:p>
        </w:tc>
        <w:tc>
          <w:tcPr>
            <w:tcW w:type="dxa" w:w="5745"/>
            <w:tcW w:type="dxa" w:w="574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No bonds or bank debt of note found</w:t>
            </w:r>
          </w:p>
        </w:tc>
      </w:tr>
      <w:tr>
        <w:trPr>
          <w:cantSplit/>
        </w:trPr>
        <w:tc>
          <w:tcPr>
            <w:tcW w:type="dxa" w:w="2159"/>
            <w:tcW w:type="dxa" w:w="215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Net financial assets [e]</w:t>
            </w:r>
          </w:p>
        </w:tc>
        <w:tc>
          <w:tcPr>
            <w:tcW w:type="dxa" w:w="2001"/>
            <w:tcW w:type="dxa" w:w="200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~KRW2.93tn</w:t>
            </w:r>
          </w:p>
        </w:tc>
        <w:tc>
          <w:tcPr>
            <w:tcW w:type="dxa" w:w="5745"/>
            <w:tcW w:type="dxa" w:w="574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S&amp;P Capital IQ net debt/EBITDA of −9.6x on LTM EBITDA of ~KRW305bn; IB Tomato: ~KRW2.8tn of current financial assets</w:t>
            </w:r>
          </w:p>
        </w:tc>
      </w:tr>
      <w:tr>
        <w:trPr>
          <w:cantSplit/>
        </w:trPr>
        <w:tc>
          <w:tcPr>
            <w:tcW w:type="dxa" w:w="2159"/>
            <w:tcW w:type="dxa" w:w="215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Cash and equivalents</w:t>
            </w:r>
          </w:p>
        </w:tc>
        <w:tc>
          <w:tcPr>
            <w:tcW w:type="dxa" w:w="2001"/>
            <w:tcW w:type="dxa" w:w="200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KRW162.1bn (Sep-25)</w:t>
            </w:r>
          </w:p>
        </w:tc>
        <w:tc>
          <w:tcPr>
            <w:tcW w:type="dxa" w:w="5745"/>
            <w:tcW w:type="dxa" w:w="574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The rest sits in short-term financial instruments and funds</w:t>
            </w:r>
          </w:p>
        </w:tc>
      </w:tr>
      <w:tr>
        <w:trPr>
          <w:cantSplit/>
        </w:trPr>
        <w:tc>
          <w:tcPr>
            <w:tcW w:type="dxa" w:w="2159"/>
            <w:tcW w:type="dxa" w:w="215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Current ratio</w:t>
            </w:r>
          </w:p>
        </w:tc>
        <w:tc>
          <w:tcPr>
            <w:tcW w:type="dxa" w:w="2001"/>
            <w:tcW w:type="dxa" w:w="200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466%</w:t>
            </w:r>
          </w:p>
        </w:tc>
        <w:tc>
          <w:tcPr>
            <w:tcW w:type="dxa" w:w="5745"/>
            <w:tcW w:type="dxa" w:w="574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p>
        </w:tc>
      </w:tr>
      <w:tr>
        <w:trPr>
          <w:cantSplit/>
        </w:trPr>
        <w:tc>
          <w:tcPr>
            <w:tcW w:type="dxa" w:w="2159"/>
            <w:tcW w:type="dxa" w:w="215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Liabilities / equity</w:t>
            </w:r>
          </w:p>
        </w:tc>
        <w:tc>
          <w:tcPr>
            <w:tcW w:type="dxa" w:w="2001"/>
            <w:tcW w:type="dxa" w:w="200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18%</w:t>
            </w:r>
          </w:p>
        </w:tc>
        <w:tc>
          <w:tcPr>
            <w:tcW w:type="dxa" w:w="5745"/>
            <w:tcW w:type="dxa" w:w="574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Implies liabilities of ~KRW0.7tn: payables, accrued levies, deposits [e]</w:t>
            </w:r>
          </w:p>
        </w:tc>
      </w:tr>
      <w:tr>
        <w:trPr>
          <w:cantSplit/>
        </w:trPr>
        <w:tc>
          <w:tcPr>
            <w:tcW w:type="dxa" w:w="2159"/>
            <w:tcW w:type="dxa" w:w="215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Book equity [e]</w:t>
            </w:r>
          </w:p>
        </w:tc>
        <w:tc>
          <w:tcPr>
            <w:tcW w:type="dxa" w:w="2001"/>
            <w:tcW w:type="dxa" w:w="200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~KRW3.8tn (~KRW19,300/share)</w:t>
            </w:r>
          </w:p>
        </w:tc>
        <w:tc>
          <w:tcPr>
            <w:tcW w:type="dxa" w:w="5745"/>
            <w:tcW w:type="dxa" w:w="574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From P/B of ~0.74x [u]</w:t>
            </w:r>
          </w:p>
        </w:tc>
      </w:tr>
      <w:tr>
        <w:trPr>
          <w:cantSplit/>
        </w:trPr>
        <w:tc>
          <w:tcPr>
            <w:tcW w:type="dxa" w:w="2159"/>
            <w:tcW w:type="dxa" w:w="215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Net financial assets per share [e]</w:t>
            </w:r>
          </w:p>
        </w:tc>
        <w:tc>
          <w:tcPr>
            <w:tcW w:type="dxa" w:w="2001"/>
            <w:tcW w:type="dxa" w:w="200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~KRW14,780</w:t>
            </w:r>
          </w:p>
        </w:tc>
        <w:tc>
          <w:tcPr>
            <w:tcW w:type="dxa" w:w="5745"/>
            <w:tcW w:type="dxa" w:w="574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104% of the share price</w:t>
            </w:r>
          </w:p>
        </w:tc>
      </w:tr>
      <w:tr>
        <w:trPr>
          <w:cantSplit/>
        </w:trPr>
        <w:tc>
          <w:tcPr>
            <w:tcW w:type="dxa" w:w="2159"/>
            <w:tcW w:type="dxa" w:w="215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Credit rating</w:t>
            </w:r>
          </w:p>
        </w:tc>
        <w:tc>
          <w:tcPr>
            <w:tcW w:type="dxa" w:w="2001"/>
            <w:tcW w:type="dxa" w:w="200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None needed</w:t>
            </w:r>
          </w:p>
        </w:tc>
        <w:tc>
          <w:tcPr>
            <w:tcW w:type="dxa" w:w="5745"/>
            <w:tcW w:type="dxa" w:w="574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p>
        </w:tc>
      </w:tr>
    </w:tbl>
    <w:p>
      <w:pPr>
        <w:spacing w:before="0" w:after="40" w:line="240" w:lineRule="auto"/>
      </w:pPr>
    </w:p>
    <w:p>
      <w:pPr>
        <w:pStyle w:val="Heading2"/>
        <w:keepNext/>
        <w:spacing w:before="160" w:after="80" w:line="264" w:lineRule="auto"/>
      </w:pPr>
      <w:r>
        <w:rPr>
          <w:rFonts w:ascii="Arial" w:hAnsi="Arial"/>
        </w:rPr>
        <w:t>13.2 Cash path under our base case [e]</w:t>
      </w:r>
    </w:p>
    <w:tbl>
      <w:tblPr>
        <w:tblW w:type="auto" w:w="0"/>
        <w:jc w:val="center"/>
        <w:tblLook w:firstColumn="1" w:firstRow="1" w:lastColumn="0" w:lastRow="0" w:noHBand="0" w:noVBand="1" w:val="04A0"/>
        <w:tblLayout w:type="fixed"/>
        <w:tblW w:type="dxa" w:w="9906"/>
      </w:tblPr>
      <w:tblGrid>
        <w:gridCol w:w="4175"/>
        <w:gridCol w:w="1146"/>
        <w:gridCol w:w="1146"/>
        <w:gridCol w:w="1146"/>
        <w:gridCol w:w="1146"/>
        <w:gridCol w:w="1146"/>
      </w:tblGrid>
      <w:tr>
        <w:trPr>
          <w:tblHeader/>
        </w:trPr>
        <w:tc>
          <w:tcPr>
            <w:tcW w:type="dxa" w:w="4175"/>
            <w:tcW w:type="dxa" w:w="4175"/>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KRW tn</w:t>
            </w:r>
          </w:p>
        </w:tc>
        <w:tc>
          <w:tcPr>
            <w:tcW w:type="dxa" w:w="1146"/>
            <w:tcW w:type="dxa" w:w="1146"/>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right"/>
            </w:pPr>
            <w:r>
              <w:rPr>
                <w:rFonts w:ascii="Arial" w:hAnsi="Arial"/>
                <w:b/>
                <w:color w:val="FFFFFF"/>
                <w:sz w:val="15"/>
              </w:rPr>
              <w:t>2026E</w:t>
            </w:r>
          </w:p>
        </w:tc>
        <w:tc>
          <w:tcPr>
            <w:tcW w:type="dxa" w:w="1146"/>
            <w:tcW w:type="dxa" w:w="1146"/>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right"/>
            </w:pPr>
            <w:r>
              <w:rPr>
                <w:rFonts w:ascii="Arial" w:hAnsi="Arial"/>
                <w:b/>
                <w:color w:val="FFFFFF"/>
                <w:sz w:val="15"/>
              </w:rPr>
              <w:t>2027E</w:t>
            </w:r>
          </w:p>
        </w:tc>
        <w:tc>
          <w:tcPr>
            <w:tcW w:type="dxa" w:w="1146"/>
            <w:tcW w:type="dxa" w:w="1146"/>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right"/>
            </w:pPr>
            <w:r>
              <w:rPr>
                <w:rFonts w:ascii="Arial" w:hAnsi="Arial"/>
                <w:b/>
                <w:color w:val="FFFFFF"/>
                <w:sz w:val="15"/>
              </w:rPr>
              <w:t>2028E</w:t>
            </w:r>
          </w:p>
        </w:tc>
        <w:tc>
          <w:tcPr>
            <w:tcW w:type="dxa" w:w="1146"/>
            <w:tcW w:type="dxa" w:w="1146"/>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right"/>
            </w:pPr>
            <w:r>
              <w:rPr>
                <w:rFonts w:ascii="Arial" w:hAnsi="Arial"/>
                <w:b/>
                <w:color w:val="FFFFFF"/>
                <w:sz w:val="15"/>
              </w:rPr>
              <w:t>2029E</w:t>
            </w:r>
          </w:p>
        </w:tc>
        <w:tc>
          <w:tcPr>
            <w:tcW w:type="dxa" w:w="1146"/>
            <w:tcW w:type="dxa" w:w="1146"/>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right"/>
            </w:pPr>
            <w:r>
              <w:rPr>
                <w:rFonts w:ascii="Arial" w:hAnsi="Arial"/>
                <w:b/>
                <w:color w:val="FFFFFF"/>
                <w:sz w:val="15"/>
              </w:rPr>
              <w:t>2030E</w:t>
            </w:r>
          </w:p>
        </w:tc>
      </w:tr>
      <w:tr>
        <w:trPr>
          <w:cantSplit/>
        </w:trPr>
        <w:tc>
          <w:tcPr>
            <w:tcW w:type="dxa" w:w="4175"/>
            <w:tcW w:type="dxa" w:w="417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Operating cash flow</w:t>
            </w:r>
          </w:p>
        </w:tc>
        <w:tc>
          <w:tcPr>
            <w:tcW w:type="dxa" w:w="1146"/>
            <w:tcW w:type="dxa" w:w="114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0.33</w:t>
            </w:r>
          </w:p>
        </w:tc>
        <w:tc>
          <w:tcPr>
            <w:tcW w:type="dxa" w:w="1146"/>
            <w:tcW w:type="dxa" w:w="114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0.33</w:t>
            </w:r>
          </w:p>
        </w:tc>
        <w:tc>
          <w:tcPr>
            <w:tcW w:type="dxa" w:w="1146"/>
            <w:tcW w:type="dxa" w:w="114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0.35</w:t>
            </w:r>
          </w:p>
        </w:tc>
        <w:tc>
          <w:tcPr>
            <w:tcW w:type="dxa" w:w="1146"/>
            <w:tcW w:type="dxa" w:w="114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0.36</w:t>
            </w:r>
          </w:p>
        </w:tc>
        <w:tc>
          <w:tcPr>
            <w:tcW w:type="dxa" w:w="1146"/>
            <w:tcW w:type="dxa" w:w="114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0.37</w:t>
            </w:r>
          </w:p>
        </w:tc>
      </w:tr>
      <w:tr>
        <w:trPr>
          <w:cantSplit/>
        </w:trPr>
        <w:tc>
          <w:tcPr>
            <w:tcW w:type="dxa" w:w="4175"/>
            <w:tcW w:type="dxa" w:w="417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Capex (renovation, second casino, K-HIT ramp)</w:t>
            </w:r>
          </w:p>
        </w:tc>
        <w:tc>
          <w:tcPr>
            <w:tcW w:type="dxa" w:w="1146"/>
            <w:tcW w:type="dxa" w:w="114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(0.15)</w:t>
            </w:r>
          </w:p>
        </w:tc>
        <w:tc>
          <w:tcPr>
            <w:tcW w:type="dxa" w:w="1146"/>
            <w:tcW w:type="dxa" w:w="114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(0.25)</w:t>
            </w:r>
          </w:p>
        </w:tc>
        <w:tc>
          <w:tcPr>
            <w:tcW w:type="dxa" w:w="1146"/>
            <w:tcW w:type="dxa" w:w="114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(0.30)</w:t>
            </w:r>
          </w:p>
        </w:tc>
        <w:tc>
          <w:tcPr>
            <w:tcW w:type="dxa" w:w="1146"/>
            <w:tcW w:type="dxa" w:w="114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(0.40)</w:t>
            </w:r>
          </w:p>
        </w:tc>
        <w:tc>
          <w:tcPr>
            <w:tcW w:type="dxa" w:w="1146"/>
            <w:tcW w:type="dxa" w:w="114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(0.45)</w:t>
            </w:r>
          </w:p>
        </w:tc>
      </w:tr>
      <w:tr>
        <w:trPr>
          <w:cantSplit/>
        </w:trPr>
        <w:tc>
          <w:tcPr>
            <w:tcW w:type="dxa" w:w="4175"/>
            <w:tcW w:type="dxa" w:w="417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Dividends paid (prior FY)</w:t>
            </w:r>
          </w:p>
        </w:tc>
        <w:tc>
          <w:tcPr>
            <w:tcW w:type="dxa" w:w="1146"/>
            <w:tcW w:type="dxa" w:w="114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(0.19)</w:t>
            </w:r>
          </w:p>
        </w:tc>
        <w:tc>
          <w:tcPr>
            <w:tcW w:type="dxa" w:w="1146"/>
            <w:tcW w:type="dxa" w:w="114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(0.17)</w:t>
            </w:r>
          </w:p>
        </w:tc>
        <w:tc>
          <w:tcPr>
            <w:tcW w:type="dxa" w:w="1146"/>
            <w:tcW w:type="dxa" w:w="114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(0.17)</w:t>
            </w:r>
          </w:p>
        </w:tc>
        <w:tc>
          <w:tcPr>
            <w:tcW w:type="dxa" w:w="1146"/>
            <w:tcW w:type="dxa" w:w="114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(0.18)</w:t>
            </w:r>
          </w:p>
        </w:tc>
        <w:tc>
          <w:tcPr>
            <w:tcW w:type="dxa" w:w="1146"/>
            <w:tcW w:type="dxa" w:w="114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(0.19)</w:t>
            </w:r>
          </w:p>
        </w:tc>
      </w:tr>
      <w:tr>
        <w:trPr>
          <w:cantSplit/>
        </w:trPr>
        <w:tc>
          <w:tcPr>
            <w:tcW w:type="dxa" w:w="4175"/>
            <w:tcW w:type="dxa" w:w="417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Buybacks</w:t>
            </w:r>
          </w:p>
        </w:tc>
        <w:tc>
          <w:tcPr>
            <w:tcW w:type="dxa" w:w="1146"/>
            <w:tcW w:type="dxa" w:w="114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(0.05)</w:t>
            </w:r>
          </w:p>
        </w:tc>
        <w:tc>
          <w:tcPr>
            <w:tcW w:type="dxa" w:w="1146"/>
            <w:tcW w:type="dxa" w:w="114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w:t>
            </w:r>
          </w:p>
        </w:tc>
        <w:tc>
          <w:tcPr>
            <w:tcW w:type="dxa" w:w="1146"/>
            <w:tcW w:type="dxa" w:w="114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w:t>
            </w:r>
          </w:p>
        </w:tc>
        <w:tc>
          <w:tcPr>
            <w:tcW w:type="dxa" w:w="1146"/>
            <w:tcW w:type="dxa" w:w="114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w:t>
            </w:r>
          </w:p>
        </w:tc>
        <w:tc>
          <w:tcPr>
            <w:tcW w:type="dxa" w:w="1146"/>
            <w:tcW w:type="dxa" w:w="114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w:t>
            </w:r>
          </w:p>
        </w:tc>
      </w:tr>
      <w:tr>
        <w:trPr>
          <w:cantSplit/>
        </w:trPr>
        <w:tc>
          <w:tcPr>
            <w:tcW w:type="dxa" w:w="4175"/>
            <w:tcW w:type="dxa" w:w="4175"/>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b/>
                <w:sz w:val="15"/>
              </w:rPr>
              <w:t>Year-end net financial assets</w:t>
            </w:r>
          </w:p>
        </w:tc>
        <w:tc>
          <w:tcPr>
            <w:tcW w:type="dxa" w:w="1146"/>
            <w:tcW w:type="dxa" w:w="1146"/>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right"/>
            </w:pPr>
            <w:r>
              <w:rPr>
                <w:rFonts w:ascii="Arial" w:hAnsi="Arial"/>
                <w:b/>
                <w:sz w:val="15"/>
              </w:rPr>
              <w:t>2.88</w:t>
            </w:r>
          </w:p>
        </w:tc>
        <w:tc>
          <w:tcPr>
            <w:tcW w:type="dxa" w:w="1146"/>
            <w:tcW w:type="dxa" w:w="1146"/>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right"/>
            </w:pPr>
            <w:r>
              <w:rPr>
                <w:rFonts w:ascii="Arial" w:hAnsi="Arial"/>
                <w:b/>
                <w:sz w:val="15"/>
              </w:rPr>
              <w:t>2.79</w:t>
            </w:r>
          </w:p>
        </w:tc>
        <w:tc>
          <w:tcPr>
            <w:tcW w:type="dxa" w:w="1146"/>
            <w:tcW w:type="dxa" w:w="1146"/>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right"/>
            </w:pPr>
            <w:r>
              <w:rPr>
                <w:rFonts w:ascii="Arial" w:hAnsi="Arial"/>
                <w:b/>
                <w:sz w:val="15"/>
              </w:rPr>
              <w:t>2.67</w:t>
            </w:r>
          </w:p>
        </w:tc>
        <w:tc>
          <w:tcPr>
            <w:tcW w:type="dxa" w:w="1146"/>
            <w:tcW w:type="dxa" w:w="1146"/>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right"/>
            </w:pPr>
            <w:r>
              <w:rPr>
                <w:rFonts w:ascii="Arial" w:hAnsi="Arial"/>
                <w:b/>
                <w:sz w:val="15"/>
              </w:rPr>
              <w:t>2.44</w:t>
            </w:r>
          </w:p>
        </w:tc>
        <w:tc>
          <w:tcPr>
            <w:tcW w:type="dxa" w:w="1146"/>
            <w:tcW w:type="dxa" w:w="1146"/>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right"/>
            </w:pPr>
            <w:r>
              <w:rPr>
                <w:rFonts w:ascii="Arial" w:hAnsi="Arial"/>
                <w:b/>
                <w:sz w:val="15"/>
              </w:rPr>
              <w:t>2.17</w:t>
            </w:r>
          </w:p>
        </w:tc>
      </w:tr>
    </w:tbl>
    <w:p>
      <w:pPr>
        <w:spacing w:before="0" w:after="40" w:line="240" w:lineRule="auto"/>
      </w:pPr>
    </w:p>
    <w:p>
      <w:pPr>
        <w:spacing w:before="0" w:after="100" w:line="288" w:lineRule="auto"/>
      </w:pPr>
      <w:r>
        <w:rPr>
          <w:rFonts w:ascii="Arial" w:hAnsi="Arial"/>
          <w:sz w:val="19"/>
        </w:rPr>
        <w:t>Even with K-HIT ramping to ~KRW0.45tn a year, net financial assets stay above KRW2tn to 2030 in our base case. That is ~KRW11,000 a share, or 77% of today's price. K-HIT's full ~KRW3tn runs to 2035, and the large phase (Grand Dome, 600-room hotel, 3,000-seat arena) falls in 2028-32. It still needs a feasibility exemption.</w:t>
      </w:r>
    </w:p>
    <w:p>
      <w:pPr>
        <w:pStyle w:val="Heading2"/>
        <w:keepNext/>
        <w:spacing w:before="160" w:after="80" w:line="264" w:lineRule="auto"/>
      </w:pPr>
      <w:r>
        <w:rPr>
          <w:rFonts w:ascii="Arial" w:hAnsi="Arial"/>
        </w:rPr>
        <w:t>13.3 Cost of debt, covenants and ratings</w:t>
      </w:r>
    </w:p>
    <w:p>
      <w:pPr>
        <w:spacing w:before="0" w:after="100" w:line="288" w:lineRule="auto"/>
      </w:pPr>
      <w:r>
        <w:rPr>
          <w:rFonts w:ascii="Arial" w:hAnsi="Arial"/>
          <w:sz w:val="19"/>
        </w:rPr>
        <w:t>Not applicable (no debt). The relevant constraints are statutory, not financial:</w:t>
      </w:r>
    </w:p>
    <w:p>
      <w:pPr>
        <w:spacing w:before="0" w:after="50" w:line="276" w:lineRule="auto"/>
        <w:ind w:left="360" w:hanging="245"/>
      </w:pPr>
      <w:r>
        <w:rPr>
          <w:rFonts w:ascii="Arial" w:hAnsi="Arial"/>
          <w:color w:val="2E74B5"/>
          <w:sz w:val="16"/>
        </w:rPr>
        <w:t xml:space="preserve">▪  </w:t>
      </w:r>
      <w:r>
        <w:rPr>
          <w:rFonts w:ascii="Arial" w:hAnsi="Arial"/>
          <w:sz w:val="19"/>
        </w:rPr>
        <w:t>the ≥51% public ownership floor;</w:t>
      </w:r>
    </w:p>
    <w:p>
      <w:pPr>
        <w:spacing w:before="0" w:after="50" w:line="276" w:lineRule="auto"/>
        <w:ind w:left="360" w:hanging="245"/>
      </w:pPr>
      <w:r>
        <w:rPr>
          <w:rFonts w:ascii="Arial" w:hAnsi="Arial"/>
          <w:color w:val="2E74B5"/>
          <w:sz w:val="16"/>
        </w:rPr>
        <w:t xml:space="preserve">▪  </w:t>
      </w:r>
      <w:r>
        <w:rPr>
          <w:rFonts w:ascii="Arial" w:hAnsi="Arial"/>
          <w:sz w:val="19"/>
        </w:rPr>
        <w:t>public-institution budget approval;</w:t>
      </w:r>
    </w:p>
    <w:p>
      <w:pPr>
        <w:spacing w:before="0" w:after="50" w:line="276" w:lineRule="auto"/>
        <w:ind w:left="360" w:hanging="245"/>
      </w:pPr>
      <w:r>
        <w:rPr>
          <w:rFonts w:ascii="Arial" w:hAnsi="Arial"/>
          <w:color w:val="2E74B5"/>
          <w:sz w:val="16"/>
        </w:rPr>
        <w:t xml:space="preserve">▪  </w:t>
      </w:r>
      <w:r>
        <w:rPr>
          <w:rFonts w:ascii="Arial" w:hAnsi="Arial"/>
          <w:sz w:val="19"/>
        </w:rPr>
        <w:t>the preliminary feasibility study required for large public projects. Kangwon Land is seeking an exemption for K-HIT.</w:t>
      </w:r>
    </w:p>
    <w:p>
      <w:pPr>
        <w:pStyle w:val="Heading2"/>
        <w:keepNext/>
        <w:spacing w:before="160" w:after="80" w:line="264" w:lineRule="auto"/>
      </w:pPr>
      <w:r>
        <w:rPr>
          <w:rFonts w:ascii="Arial" w:hAnsi="Arial"/>
        </w:rPr>
        <w:t>13.4 Assessment</w:t>
      </w:r>
    </w:p>
    <w:p>
      <w:pPr>
        <w:spacing w:before="0" w:after="100" w:line="288" w:lineRule="auto"/>
      </w:pPr>
      <w:r>
        <w:rPr>
          <w:rFonts w:ascii="Arial" w:hAnsi="Arial"/>
          <w:sz w:val="19"/>
        </w:rPr>
        <w:t xml:space="preserve">Kangwon Land is over-capitalised by any commercial standard. The cash pile is ~9.6x EBITDA. The question is not solvency but </w:t>
      </w:r>
      <w:r>
        <w:rPr>
          <w:rFonts w:ascii="Arial" w:hAnsi="Arial"/>
          <w:b/>
          <w:sz w:val="19"/>
        </w:rPr>
        <w:t>who gets the cash</w:t>
      </w:r>
      <w:r>
        <w:rPr>
          <w:rFonts w:ascii="Arial" w:hAnsi="Arial"/>
          <w:sz w:val="19"/>
        </w:rPr>
        <w:t>: minorities (via payouts), the State (via levies and KOMIR's dividends), or the mountain (via K-HIT). The balance sheet is the floor under the stock, and capital allocation is the thesis.</w:t>
      </w:r>
    </w:p>
    <w:p>
      <w:pPr>
        <w:pStyle w:val="Heading1"/>
        <w:pageBreakBefore/>
        <w:spacing w:before="0" w:after="120" w:line="264" w:lineRule="auto"/>
      </w:pPr>
      <w:r>
        <w:rPr>
          <w:rFonts w:ascii="Arial" w:hAnsi="Arial"/>
        </w:rPr>
        <w:t>14. Valuation vs Peers and vs History</w:t>
      </w:r>
    </w:p>
    <w:p>
      <w:pPr>
        <w:spacing w:before="0" w:after="100" w:line="288" w:lineRule="auto"/>
      </w:pPr>
      <w:r>
        <w:rPr>
          <w:rFonts w:ascii="Arial" w:hAnsi="Arial"/>
          <w:b/>
          <w:sz w:val="19"/>
        </w:rPr>
        <w:t>Bottom line: the market values the operating business at roughly zero.</w:t>
      </w:r>
    </w:p>
    <w:p>
      <w:pPr>
        <w:spacing w:before="0" w:after="50" w:line="276" w:lineRule="auto"/>
        <w:ind w:left="360" w:hanging="245"/>
      </w:pPr>
      <w:r>
        <w:rPr>
          <w:rFonts w:ascii="Arial" w:hAnsi="Arial"/>
          <w:color w:val="2E74B5"/>
          <w:sz w:val="16"/>
        </w:rPr>
        <w:t xml:space="preserve">▪  </w:t>
      </w:r>
      <w:r>
        <w:rPr>
          <w:rFonts w:ascii="Arial" w:hAnsi="Arial"/>
          <w:sz w:val="19"/>
        </w:rPr>
        <w:t xml:space="preserve">At KRW14,180, Kangwon Land trades at </w:t>
      </w:r>
      <w:r>
        <w:rPr>
          <w:rFonts w:ascii="Arial" w:hAnsi="Arial"/>
          <w:b/>
          <w:sz w:val="19"/>
        </w:rPr>
        <w:t>8.8x LTM P/E and ~0.74x book</w:t>
      </w:r>
      <w:r>
        <w:rPr>
          <w:rFonts w:ascii="Arial" w:hAnsi="Arial"/>
          <w:sz w:val="19"/>
        </w:rPr>
        <w:t>, with a 6.7% trailing yield.</w:t>
      </w:r>
    </w:p>
    <w:p>
      <w:pPr>
        <w:spacing w:before="0" w:after="50" w:line="276" w:lineRule="auto"/>
        <w:ind w:left="360" w:hanging="245"/>
      </w:pPr>
      <w:r>
        <w:rPr>
          <w:rFonts w:ascii="Arial" w:hAnsi="Arial"/>
          <w:color w:val="2E74B5"/>
          <w:sz w:val="16"/>
        </w:rPr>
        <w:t xml:space="preserve">▪  </w:t>
      </w:r>
      <w:r>
        <w:rPr>
          <w:rFonts w:ascii="Arial" w:hAnsi="Arial"/>
          <w:sz w:val="19"/>
        </w:rPr>
        <w:t>Its enterprise value is negative (about −KRW0.12tn).</w:t>
      </w:r>
    </w:p>
    <w:p>
      <w:pPr>
        <w:spacing w:before="0" w:after="50" w:line="276" w:lineRule="auto"/>
        <w:ind w:left="360" w:hanging="245"/>
      </w:pPr>
      <w:r>
        <w:rPr>
          <w:rFonts w:ascii="Arial" w:hAnsi="Arial"/>
          <w:color w:val="2E74B5"/>
          <w:sz w:val="16"/>
        </w:rPr>
        <w:t xml:space="preserve">▪  </w:t>
      </w:r>
      <w:r>
        <w:rPr>
          <w:rFonts w:ascii="Arial" w:hAnsi="Arial"/>
          <w:sz w:val="19"/>
        </w:rPr>
        <w:t>Peers trade at 7.4x NTM EV/EBITDA (Asia-Pacific median), 10.7x NTM P/E and ~1.2x book [CIQ].</w:t>
      </w:r>
    </w:p>
    <w:p>
      <w:pPr>
        <w:spacing w:before="0" w:after="50" w:line="276" w:lineRule="auto"/>
        <w:ind w:left="360" w:hanging="245"/>
      </w:pPr>
      <w:r>
        <w:rPr>
          <w:rFonts w:ascii="Arial" w:hAnsi="Arial"/>
          <w:color w:val="2E74B5"/>
          <w:sz w:val="16"/>
        </w:rPr>
        <w:t xml:space="preserve">▪  </w:t>
      </w:r>
      <w:r>
        <w:rPr>
          <w:rFonts w:ascii="Arial" w:hAnsi="Arial"/>
          <w:sz w:val="19"/>
        </w:rPr>
        <w:t xml:space="preserve">Even after a KRW0.4tn operating reserve, the implied value of the casino resort is ~KRW0.28tn: </w:t>
      </w:r>
      <w:r>
        <w:rPr>
          <w:rFonts w:ascii="Arial" w:hAnsi="Arial"/>
          <w:b/>
          <w:sz w:val="19"/>
        </w:rPr>
        <w:t>~0.9x EBITDA and ~1.8x operating NOPAT</w:t>
      </w:r>
      <w:r>
        <w:rPr>
          <w:rFonts w:ascii="Arial" w:hAnsi="Arial"/>
          <w:sz w:val="19"/>
        </w:rPr>
        <w:t>.</w:t>
      </w:r>
    </w:p>
    <w:p>
      <w:pPr>
        <w:pStyle w:val="Heading2"/>
        <w:keepNext/>
        <w:spacing w:before="160" w:after="80" w:line="264" w:lineRule="auto"/>
      </w:pPr>
      <w:r>
        <w:rPr>
          <w:rFonts w:ascii="Arial" w:hAnsi="Arial"/>
        </w:rPr>
        <w:t>14.1 Headline valuation (23-Oct-2026, KRW14,180)</w:t>
      </w:r>
    </w:p>
    <w:tbl>
      <w:tblPr>
        <w:tblW w:type="auto" w:w="0"/>
        <w:jc w:val="center"/>
        <w:tblLook w:firstColumn="1" w:firstRow="1" w:lastColumn="0" w:lastRow="0" w:noHBand="0" w:noVBand="1" w:val="04A0"/>
        <w:tblLayout w:type="fixed"/>
        <w:tblW w:type="dxa" w:w="9906"/>
      </w:tblPr>
      <w:tblGrid>
        <w:gridCol w:w="3041"/>
        <w:gridCol w:w="1601"/>
        <w:gridCol w:w="2001"/>
        <w:gridCol w:w="1401"/>
        <w:gridCol w:w="1859"/>
      </w:tblGrid>
      <w:tr>
        <w:trPr>
          <w:tblHeader/>
        </w:trPr>
        <w:tc>
          <w:tcPr>
            <w:tcW w:type="dxa" w:w="3041"/>
            <w:tcW w:type="dxa" w:w="3041"/>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Metric</w:t>
            </w:r>
          </w:p>
        </w:tc>
        <w:tc>
          <w:tcPr>
            <w:tcW w:type="dxa" w:w="1601"/>
            <w:tcW w:type="dxa" w:w="1601"/>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right"/>
            </w:pPr>
            <w:r>
              <w:rPr>
                <w:rFonts w:ascii="Arial" w:hAnsi="Arial"/>
                <w:b/>
                <w:color w:val="FFFFFF"/>
                <w:sz w:val="15"/>
              </w:rPr>
              <w:t>Kangwon Land</w:t>
            </w:r>
          </w:p>
        </w:tc>
        <w:tc>
          <w:tcPr>
            <w:tcW w:type="dxa" w:w="2001"/>
            <w:tcW w:type="dxa" w:w="2001"/>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right"/>
            </w:pPr>
            <w:r>
              <w:rPr>
                <w:rFonts w:ascii="Arial" w:hAnsi="Arial"/>
                <w:b/>
                <w:color w:val="FFFFFF"/>
                <w:sz w:val="15"/>
              </w:rPr>
              <w:t>Peer median (31)</w:t>
            </w:r>
          </w:p>
        </w:tc>
        <w:tc>
          <w:tcPr>
            <w:tcW w:type="dxa" w:w="1401"/>
            <w:tcW w:type="dxa" w:w="1401"/>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right"/>
            </w:pPr>
            <w:r>
              <w:rPr>
                <w:rFonts w:ascii="Arial" w:hAnsi="Arial"/>
                <w:b/>
                <w:color w:val="FFFFFF"/>
                <w:sz w:val="15"/>
              </w:rPr>
              <w:t>Asia-Pac median</w:t>
            </w:r>
          </w:p>
        </w:tc>
        <w:tc>
          <w:tcPr>
            <w:tcW w:type="dxa" w:w="1859"/>
            <w:tcW w:type="dxa" w:w="1859"/>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Signal</w:t>
            </w:r>
          </w:p>
        </w:tc>
      </w:tr>
      <w:tr>
        <w:trPr>
          <w:cantSplit/>
        </w:trPr>
        <w:tc>
          <w:tcPr>
            <w:tcW w:type="dxa" w:w="3041"/>
            <w:tcW w:type="dxa" w:w="304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TEV/Sales (LTM)</w:t>
            </w:r>
          </w:p>
        </w:tc>
        <w:tc>
          <w:tcPr>
            <w:tcW w:type="dxa" w:w="1601"/>
            <w:tcW w:type="dxa" w:w="160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−0.08x (n.m.)</w:t>
            </w:r>
          </w:p>
        </w:tc>
        <w:tc>
          <w:tcPr>
            <w:tcW w:type="dxa" w:w="2001"/>
            <w:tcW w:type="dxa" w:w="200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1.81x</w:t>
            </w:r>
          </w:p>
        </w:tc>
        <w:tc>
          <w:tcPr>
            <w:tcW w:type="dxa" w:w="1401"/>
            <w:tcW w:type="dxa" w:w="140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1.66x</w:t>
            </w:r>
          </w:p>
        </w:tc>
        <w:tc>
          <w:tcPr>
            <w:tcW w:type="dxa" w:w="1859"/>
            <w:tcW w:type="dxa" w:w="185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Extremely cheap</w:t>
            </w:r>
          </w:p>
        </w:tc>
      </w:tr>
      <w:tr>
        <w:trPr>
          <w:cantSplit/>
        </w:trPr>
        <w:tc>
          <w:tcPr>
            <w:tcW w:type="dxa" w:w="3041"/>
            <w:tcW w:type="dxa" w:w="304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TEV/EBITDA (LTM)</w:t>
            </w:r>
          </w:p>
        </w:tc>
        <w:tc>
          <w:tcPr>
            <w:tcW w:type="dxa" w:w="1601"/>
            <w:tcW w:type="dxa" w:w="160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n.m. (negative)</w:t>
            </w:r>
          </w:p>
        </w:tc>
        <w:tc>
          <w:tcPr>
            <w:tcW w:type="dxa" w:w="2001"/>
            <w:tcW w:type="dxa" w:w="200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8.0x</w:t>
            </w:r>
          </w:p>
        </w:tc>
        <w:tc>
          <w:tcPr>
            <w:tcW w:type="dxa" w:w="1401"/>
            <w:tcW w:type="dxa" w:w="140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7.9x</w:t>
            </w:r>
          </w:p>
        </w:tc>
        <w:tc>
          <w:tcPr>
            <w:tcW w:type="dxa" w:w="1859"/>
            <w:tcW w:type="dxa" w:w="185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Extremely cheap</w:t>
            </w:r>
          </w:p>
        </w:tc>
      </w:tr>
      <w:tr>
        <w:trPr>
          <w:cantSplit/>
        </w:trPr>
        <w:tc>
          <w:tcPr>
            <w:tcW w:type="dxa" w:w="3041"/>
            <w:tcW w:type="dxa" w:w="304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Value of operations / EBITDA (after KRW0.4tn reserve) [e]</w:t>
            </w:r>
          </w:p>
        </w:tc>
        <w:tc>
          <w:tcPr>
            <w:tcW w:type="dxa" w:w="1601"/>
            <w:tcW w:type="dxa" w:w="160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~0.9x</w:t>
            </w:r>
          </w:p>
        </w:tc>
        <w:tc>
          <w:tcPr>
            <w:tcW w:type="dxa" w:w="2001"/>
            <w:tcW w:type="dxa" w:w="200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p>
        </w:tc>
        <w:tc>
          <w:tcPr>
            <w:tcW w:type="dxa" w:w="1401"/>
            <w:tcW w:type="dxa" w:w="140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p>
        </w:tc>
        <w:tc>
          <w:tcPr>
            <w:tcW w:type="dxa" w:w="1859"/>
            <w:tcW w:type="dxa" w:w="185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Extremely cheap</w:t>
            </w:r>
          </w:p>
        </w:tc>
      </w:tr>
      <w:tr>
        <w:trPr>
          <w:cantSplit/>
        </w:trPr>
        <w:tc>
          <w:tcPr>
            <w:tcW w:type="dxa" w:w="3041"/>
            <w:tcW w:type="dxa" w:w="304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P/E LTM / FY26E (ours)</w:t>
            </w:r>
          </w:p>
        </w:tc>
        <w:tc>
          <w:tcPr>
            <w:tcW w:type="dxa" w:w="1601"/>
            <w:tcW w:type="dxa" w:w="160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8.8x / 11.3x</w:t>
            </w:r>
          </w:p>
        </w:tc>
        <w:tc>
          <w:tcPr>
            <w:tcW w:type="dxa" w:w="2001"/>
            <w:tcW w:type="dxa" w:w="200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13.6x / 10.7x (NTM)</w:t>
            </w:r>
          </w:p>
        </w:tc>
        <w:tc>
          <w:tcPr>
            <w:tcW w:type="dxa" w:w="1401"/>
            <w:tcW w:type="dxa" w:w="140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13.4x / 10.7x</w:t>
            </w:r>
          </w:p>
        </w:tc>
        <w:tc>
          <w:tcPr>
            <w:tcW w:type="dxa" w:w="1859"/>
            <w:tcW w:type="dxa" w:w="185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Cheap (LTM); fair (NTM)</w:t>
            </w:r>
          </w:p>
        </w:tc>
      </w:tr>
      <w:tr>
        <w:trPr>
          <w:cantSplit/>
        </w:trPr>
        <w:tc>
          <w:tcPr>
            <w:tcW w:type="dxa" w:w="3041"/>
            <w:tcW w:type="dxa" w:w="304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Ex-cash P/E on FY27E operating NOPAT [e]</w:t>
            </w:r>
          </w:p>
        </w:tc>
        <w:tc>
          <w:tcPr>
            <w:tcW w:type="dxa" w:w="1601"/>
            <w:tcW w:type="dxa" w:w="160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~1.8x</w:t>
            </w:r>
          </w:p>
        </w:tc>
        <w:tc>
          <w:tcPr>
            <w:tcW w:type="dxa" w:w="2001"/>
            <w:tcW w:type="dxa" w:w="200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p>
        </w:tc>
        <w:tc>
          <w:tcPr>
            <w:tcW w:type="dxa" w:w="1401"/>
            <w:tcW w:type="dxa" w:w="140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p>
        </w:tc>
        <w:tc>
          <w:tcPr>
            <w:tcW w:type="dxa" w:w="1859"/>
            <w:tcW w:type="dxa" w:w="185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Extremely cheap</w:t>
            </w:r>
          </w:p>
        </w:tc>
      </w:tr>
      <w:tr>
        <w:trPr>
          <w:cantSplit/>
        </w:trPr>
        <w:tc>
          <w:tcPr>
            <w:tcW w:type="dxa" w:w="3041"/>
            <w:tcW w:type="dxa" w:w="304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EBITDA margin (CIQ)</w:t>
            </w:r>
          </w:p>
        </w:tc>
        <w:tc>
          <w:tcPr>
            <w:tcW w:type="dxa" w:w="1601"/>
            <w:tcW w:type="dxa" w:w="160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20.7%</w:t>
            </w:r>
          </w:p>
        </w:tc>
        <w:tc>
          <w:tcPr>
            <w:tcW w:type="dxa" w:w="2001"/>
            <w:tcW w:type="dxa" w:w="200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24.6%</w:t>
            </w:r>
          </w:p>
        </w:tc>
        <w:tc>
          <w:tcPr>
            <w:tcW w:type="dxa" w:w="1401"/>
            <w:tcW w:type="dxa" w:w="140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24.6%</w:t>
            </w:r>
          </w:p>
        </w:tc>
        <w:tc>
          <w:tcPr>
            <w:tcW w:type="dxa" w:w="1859"/>
            <w:tcW w:type="dxa" w:w="185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Below peers (government take)</w:t>
            </w:r>
          </w:p>
        </w:tc>
      </w:tr>
      <w:tr>
        <w:trPr>
          <w:cantSplit/>
        </w:trPr>
        <w:tc>
          <w:tcPr>
            <w:tcW w:type="dxa" w:w="3041"/>
            <w:tcW w:type="dxa" w:w="304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EBIT margin (CIQ)</w:t>
            </w:r>
          </w:p>
        </w:tc>
        <w:tc>
          <w:tcPr>
            <w:tcW w:type="dxa" w:w="1601"/>
            <w:tcW w:type="dxa" w:w="160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14.6%</w:t>
            </w:r>
          </w:p>
        </w:tc>
        <w:tc>
          <w:tcPr>
            <w:tcW w:type="dxa" w:w="2001"/>
            <w:tcW w:type="dxa" w:w="200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12.6%</w:t>
            </w:r>
          </w:p>
        </w:tc>
        <w:tc>
          <w:tcPr>
            <w:tcW w:type="dxa" w:w="1401"/>
            <w:tcW w:type="dxa" w:w="140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12.6%</w:t>
            </w:r>
          </w:p>
        </w:tc>
        <w:tc>
          <w:tcPr>
            <w:tcW w:type="dxa" w:w="1859"/>
            <w:tcW w:type="dxa" w:w="185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Above median</w:t>
            </w:r>
          </w:p>
        </w:tc>
      </w:tr>
      <w:tr>
        <w:trPr>
          <w:cantSplit/>
        </w:trPr>
        <w:tc>
          <w:tcPr>
            <w:tcW w:type="dxa" w:w="3041"/>
            <w:tcW w:type="dxa" w:w="304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Sales growth (LTM)</w:t>
            </w:r>
          </w:p>
        </w:tc>
        <w:tc>
          <w:tcPr>
            <w:tcW w:type="dxa" w:w="1601"/>
            <w:tcW w:type="dxa" w:w="160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1.8%</w:t>
            </w:r>
          </w:p>
        </w:tc>
        <w:tc>
          <w:tcPr>
            <w:tcW w:type="dxa" w:w="2001"/>
            <w:tcW w:type="dxa" w:w="200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6.0%</w:t>
            </w:r>
          </w:p>
        </w:tc>
        <w:tc>
          <w:tcPr>
            <w:tcW w:type="dxa" w:w="1401"/>
            <w:tcW w:type="dxa" w:w="140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7.9%</w:t>
            </w:r>
          </w:p>
        </w:tc>
        <w:tc>
          <w:tcPr>
            <w:tcW w:type="dxa" w:w="1859"/>
            <w:tcW w:type="dxa" w:w="185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Below peers</w:t>
            </w:r>
          </w:p>
        </w:tc>
      </w:tr>
      <w:tr>
        <w:trPr>
          <w:cantSplit/>
        </w:trPr>
        <w:tc>
          <w:tcPr>
            <w:tcW w:type="dxa" w:w="3041"/>
            <w:tcW w:type="dxa" w:w="304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Net debt / EBITDA</w:t>
            </w:r>
          </w:p>
        </w:tc>
        <w:tc>
          <w:tcPr>
            <w:tcW w:type="dxa" w:w="1601"/>
            <w:tcW w:type="dxa" w:w="160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−9.6x</w:t>
            </w:r>
          </w:p>
        </w:tc>
        <w:tc>
          <w:tcPr>
            <w:tcW w:type="dxa" w:w="2001"/>
            <w:tcW w:type="dxa" w:w="200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4.4x</w:t>
            </w:r>
          </w:p>
        </w:tc>
        <w:tc>
          <w:tcPr>
            <w:tcW w:type="dxa" w:w="1401"/>
            <w:tcW w:type="dxa" w:w="140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4.4x</w:t>
            </w:r>
          </w:p>
        </w:tc>
        <w:tc>
          <w:tcPr>
            <w:tcW w:type="dxa" w:w="1859"/>
            <w:tcW w:type="dxa" w:w="185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Net cash</w:t>
            </w:r>
          </w:p>
        </w:tc>
      </w:tr>
      <w:tr>
        <w:trPr>
          <w:cantSplit/>
        </w:trPr>
        <w:tc>
          <w:tcPr>
            <w:tcW w:type="dxa" w:w="3041"/>
            <w:tcW w:type="dxa" w:w="304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Dividend yield</w:t>
            </w:r>
          </w:p>
        </w:tc>
        <w:tc>
          <w:tcPr>
            <w:tcW w:type="dxa" w:w="1601"/>
            <w:tcW w:type="dxa" w:w="160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6.7%</w:t>
            </w:r>
          </w:p>
        </w:tc>
        <w:tc>
          <w:tcPr>
            <w:tcW w:type="dxa" w:w="2001"/>
            <w:tcW w:type="dxa" w:w="200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1.1%</w:t>
            </w:r>
          </w:p>
        </w:tc>
        <w:tc>
          <w:tcPr>
            <w:tcW w:type="dxa" w:w="1401"/>
            <w:tcW w:type="dxa" w:w="140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2.7%</w:t>
            </w:r>
          </w:p>
        </w:tc>
        <w:tc>
          <w:tcPr>
            <w:tcW w:type="dxa" w:w="1859"/>
            <w:tcW w:type="dxa" w:w="185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High</w:t>
            </w:r>
          </w:p>
        </w:tc>
      </w:tr>
      <w:tr>
        <w:trPr>
          <w:cantSplit/>
        </w:trPr>
        <w:tc>
          <w:tcPr>
            <w:tcW w:type="dxa" w:w="3041"/>
            <w:tcW w:type="dxa" w:w="304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FCF yield [e] (EBITDA − capex, pre-tax)</w:t>
            </w:r>
          </w:p>
        </w:tc>
        <w:tc>
          <w:tcPr>
            <w:tcW w:type="dxa" w:w="1601"/>
            <w:tcW w:type="dxa" w:w="160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~5.7%</w:t>
            </w:r>
          </w:p>
        </w:tc>
        <w:tc>
          <w:tcPr>
            <w:tcW w:type="dxa" w:w="2001"/>
            <w:tcW w:type="dxa" w:w="200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10.0%</w:t>
            </w:r>
          </w:p>
        </w:tc>
        <w:tc>
          <w:tcPr>
            <w:tcW w:type="dxa" w:w="1401"/>
            <w:tcW w:type="dxa" w:w="140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10.6%</w:t>
            </w:r>
          </w:p>
        </w:tc>
        <w:tc>
          <w:tcPr>
            <w:tcW w:type="dxa" w:w="1859"/>
            <w:tcW w:type="dxa" w:w="185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Below peers (capex rising)</w:t>
            </w:r>
          </w:p>
        </w:tc>
      </w:tr>
      <w:tr>
        <w:trPr>
          <w:cantSplit/>
        </w:trPr>
        <w:tc>
          <w:tcPr>
            <w:tcW w:type="dxa" w:w="3041"/>
            <w:tcW w:type="dxa" w:w="304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P/B</w:t>
            </w:r>
          </w:p>
        </w:tc>
        <w:tc>
          <w:tcPr>
            <w:tcW w:type="dxa" w:w="1601"/>
            <w:tcW w:type="dxa" w:w="160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~0.74x [u]</w:t>
            </w:r>
          </w:p>
        </w:tc>
        <w:tc>
          <w:tcPr>
            <w:tcW w:type="dxa" w:w="2001"/>
            <w:tcW w:type="dxa" w:w="200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~1.2x</w:t>
            </w:r>
          </w:p>
        </w:tc>
        <w:tc>
          <w:tcPr>
            <w:tcW w:type="dxa" w:w="1401"/>
            <w:tcW w:type="dxa" w:w="140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p>
        </w:tc>
        <w:tc>
          <w:tcPr>
            <w:tcW w:type="dxa" w:w="1859"/>
            <w:tcW w:type="dxa" w:w="185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Cheap</w:t>
            </w:r>
          </w:p>
        </w:tc>
      </w:tr>
    </w:tbl>
    <w:p>
      <w:pPr>
        <w:spacing w:before="0" w:after="40" w:line="240" w:lineRule="auto"/>
      </w:pPr>
    </w:p>
    <w:p>
      <w:pPr>
        <w:spacing w:before="0" w:after="100" w:line="288" w:lineRule="auto"/>
      </w:pPr>
      <w:r>
        <w:rPr>
          <w:rFonts w:ascii="Arial" w:hAnsi="Arial"/>
          <w:i/>
          <w:color w:val="5A6270"/>
          <w:sz w:val="15"/>
        </w:rPr>
        <w:t>Source: S&amp;P Capital IQ peer data (16-Oct-2026; financials LTM to 30-Jun-2026), as tabulated in our Genting Malaysia report; Kangwon Land figures are our calculations at KRW14,180. Peer medians exclude Kangwon Land.</w:t>
      </w:r>
    </w:p>
    <w:p>
      <w:pPr>
        <w:pStyle w:val="Heading2"/>
        <w:keepNext/>
        <w:spacing w:before="160" w:after="80" w:line="264" w:lineRule="auto"/>
      </w:pPr>
      <w:r>
        <w:rPr>
          <w:rFonts w:ascii="Arial" w:hAnsi="Arial"/>
        </w:rPr>
        <w:t>14.2 Listed peer comparison (multiples)</w:t>
      </w:r>
    </w:p>
    <w:tbl>
      <w:tblPr>
        <w:tblW w:type="auto" w:w="0"/>
        <w:jc w:val="center"/>
        <w:tblLook w:firstColumn="1" w:firstRow="1" w:lastColumn="0" w:lastRow="0" w:noHBand="0" w:noVBand="1" w:val="04A0"/>
        <w:tblLayout w:type="fixed"/>
        <w:tblW w:type="dxa" w:w="9906"/>
      </w:tblPr>
      <w:tblGrid>
        <w:gridCol w:w="1966"/>
        <w:gridCol w:w="1502"/>
        <w:gridCol w:w="751"/>
        <w:gridCol w:w="1072"/>
        <w:gridCol w:w="1180"/>
        <w:gridCol w:w="1180"/>
        <w:gridCol w:w="965"/>
        <w:gridCol w:w="643"/>
        <w:gridCol w:w="643"/>
      </w:tblGrid>
      <w:tr>
        <w:trPr>
          <w:tblHeader/>
        </w:trPr>
        <w:tc>
          <w:tcPr>
            <w:tcW w:type="dxa" w:w="1966"/>
            <w:tcW w:type="dxa" w:w="1966"/>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Company</w:t>
            </w:r>
          </w:p>
        </w:tc>
        <w:tc>
          <w:tcPr>
            <w:tcW w:type="dxa" w:w="1502"/>
            <w:tcW w:type="dxa" w:w="1502"/>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Ticker</w:t>
            </w:r>
          </w:p>
        </w:tc>
        <w:tc>
          <w:tcPr>
            <w:tcW w:type="dxa" w:w="751"/>
            <w:tcW w:type="dxa" w:w="751"/>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right"/>
            </w:pPr>
            <w:r>
              <w:rPr>
                <w:rFonts w:ascii="Arial" w:hAnsi="Arial"/>
                <w:b/>
                <w:color w:val="FFFFFF"/>
                <w:sz w:val="15"/>
              </w:rPr>
              <w:t>Mkt cap US$m</w:t>
            </w:r>
          </w:p>
        </w:tc>
        <w:tc>
          <w:tcPr>
            <w:tcW w:type="dxa" w:w="1072"/>
            <w:tcW w:type="dxa" w:w="1072"/>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right"/>
            </w:pPr>
            <w:r>
              <w:rPr>
                <w:rFonts w:ascii="Arial" w:hAnsi="Arial"/>
                <w:b/>
                <w:color w:val="FFFFFF"/>
                <w:sz w:val="15"/>
              </w:rPr>
              <w:t>TEV/Sales</w:t>
            </w:r>
          </w:p>
        </w:tc>
        <w:tc>
          <w:tcPr>
            <w:tcW w:type="dxa" w:w="1180"/>
            <w:tcW w:type="dxa" w:w="1180"/>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right"/>
            </w:pPr>
            <w:r>
              <w:rPr>
                <w:rFonts w:ascii="Arial" w:hAnsi="Arial"/>
                <w:b/>
                <w:color w:val="FFFFFF"/>
                <w:sz w:val="15"/>
              </w:rPr>
              <w:t>TEV/EBITDA LTM</w:t>
            </w:r>
          </w:p>
        </w:tc>
        <w:tc>
          <w:tcPr>
            <w:tcW w:type="dxa" w:w="1180"/>
            <w:tcW w:type="dxa" w:w="1180"/>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right"/>
            </w:pPr>
            <w:r>
              <w:rPr>
                <w:rFonts w:ascii="Arial" w:hAnsi="Arial"/>
                <w:b/>
                <w:color w:val="FFFFFF"/>
                <w:sz w:val="15"/>
              </w:rPr>
              <w:t>TEV/EBITDA NTM</w:t>
            </w:r>
          </w:p>
        </w:tc>
        <w:tc>
          <w:tcPr>
            <w:tcW w:type="dxa" w:w="965"/>
            <w:tcW w:type="dxa" w:w="965"/>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right"/>
            </w:pPr>
            <w:r>
              <w:rPr>
                <w:rFonts w:ascii="Arial" w:hAnsi="Arial"/>
                <w:b/>
                <w:color w:val="FFFFFF"/>
                <w:sz w:val="15"/>
              </w:rPr>
              <w:t>TEV/EBIT</w:t>
            </w:r>
          </w:p>
        </w:tc>
        <w:tc>
          <w:tcPr>
            <w:tcW w:type="dxa" w:w="643"/>
            <w:tcW w:type="dxa" w:w="643"/>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right"/>
            </w:pPr>
            <w:r>
              <w:rPr>
                <w:rFonts w:ascii="Arial" w:hAnsi="Arial"/>
                <w:b/>
                <w:color w:val="FFFFFF"/>
                <w:sz w:val="15"/>
              </w:rPr>
              <w:t>P/E LTM</w:t>
            </w:r>
          </w:p>
        </w:tc>
        <w:tc>
          <w:tcPr>
            <w:tcW w:type="dxa" w:w="643"/>
            <w:tcW w:type="dxa" w:w="643"/>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right"/>
            </w:pPr>
            <w:r>
              <w:rPr>
                <w:rFonts w:ascii="Arial" w:hAnsi="Arial"/>
                <w:b/>
                <w:color w:val="FFFFFF"/>
                <w:sz w:val="15"/>
              </w:rPr>
              <w:t>P/E NTM</w:t>
            </w:r>
          </w:p>
        </w:tc>
      </w:tr>
      <w:tr>
        <w:trPr>
          <w:cantSplit/>
        </w:trPr>
        <w:tc>
          <w:tcPr>
            <w:tcW w:type="dxa" w:w="1966"/>
            <w:tcW w:type="dxa" w:w="1966"/>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b/>
                <w:sz w:val="15"/>
              </w:rPr>
              <w:t>Kangwon Land</w:t>
            </w:r>
          </w:p>
        </w:tc>
        <w:tc>
          <w:tcPr>
            <w:tcW w:type="dxa" w:w="1502"/>
            <w:tcW w:type="dxa" w:w="1502"/>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sz w:val="15"/>
              </w:rPr>
              <w:t>KOSE:A035250</w:t>
            </w:r>
          </w:p>
        </w:tc>
        <w:tc>
          <w:tcPr>
            <w:tcW w:type="dxa" w:w="751"/>
            <w:tcW w:type="dxa" w:w="751"/>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right"/>
            </w:pPr>
            <w:r>
              <w:rPr>
                <w:rFonts w:ascii="Arial" w:hAnsi="Arial"/>
                <w:sz w:val="15"/>
              </w:rPr>
              <w:t>2,117</w:t>
            </w:r>
          </w:p>
        </w:tc>
        <w:tc>
          <w:tcPr>
            <w:tcW w:type="dxa" w:w="1072"/>
            <w:tcW w:type="dxa" w:w="1072"/>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right"/>
            </w:pPr>
            <w:r>
              <w:rPr>
                <w:rFonts w:ascii="Arial" w:hAnsi="Arial"/>
                <w:sz w:val="15"/>
              </w:rPr>
              <w:t>n.m.</w:t>
            </w:r>
          </w:p>
        </w:tc>
        <w:tc>
          <w:tcPr>
            <w:tcW w:type="dxa" w:w="1180"/>
            <w:tcW w:type="dxa" w:w="1180"/>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right"/>
            </w:pPr>
            <w:r>
              <w:rPr>
                <w:rFonts w:ascii="Arial" w:hAnsi="Arial"/>
                <w:sz w:val="15"/>
              </w:rPr>
              <w:t>n.m.</w:t>
            </w:r>
          </w:p>
        </w:tc>
        <w:tc>
          <w:tcPr>
            <w:tcW w:type="dxa" w:w="1180"/>
            <w:tcW w:type="dxa" w:w="1180"/>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right"/>
            </w:pPr>
            <w:r>
              <w:rPr>
                <w:rFonts w:ascii="Arial" w:hAnsi="Arial"/>
                <w:sz w:val="15"/>
              </w:rPr>
              <w:t>n.m.</w:t>
            </w:r>
          </w:p>
        </w:tc>
        <w:tc>
          <w:tcPr>
            <w:tcW w:type="dxa" w:w="965"/>
            <w:tcW w:type="dxa" w:w="965"/>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right"/>
            </w:pPr>
            <w:r>
              <w:rPr>
                <w:rFonts w:ascii="Arial" w:hAnsi="Arial"/>
                <w:sz w:val="15"/>
              </w:rPr>
              <w:t>n.m.</w:t>
            </w:r>
          </w:p>
        </w:tc>
        <w:tc>
          <w:tcPr>
            <w:tcW w:type="dxa" w:w="643"/>
            <w:tcW w:type="dxa" w:w="643"/>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right"/>
            </w:pPr>
            <w:r>
              <w:rPr>
                <w:rFonts w:ascii="Arial" w:hAnsi="Arial"/>
                <w:sz w:val="15"/>
              </w:rPr>
              <w:t>8.7x</w:t>
            </w:r>
          </w:p>
        </w:tc>
        <w:tc>
          <w:tcPr>
            <w:tcW w:type="dxa" w:w="643"/>
            <w:tcW w:type="dxa" w:w="643"/>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right"/>
            </w:pPr>
            <w:r>
              <w:rPr>
                <w:rFonts w:ascii="Arial" w:hAnsi="Arial"/>
                <w:sz w:val="15"/>
              </w:rPr>
              <w:t>10.1x</w:t>
            </w:r>
          </w:p>
        </w:tc>
      </w:tr>
      <w:tr>
        <w:trPr>
          <w:cantSplit/>
        </w:trPr>
        <w:tc>
          <w:tcPr>
            <w:tcW w:type="dxa" w:w="1966"/>
            <w:tcW w:type="dxa" w:w="196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Paradise Co</w:t>
            </w:r>
          </w:p>
        </w:tc>
        <w:tc>
          <w:tcPr>
            <w:tcW w:type="dxa" w:w="1502"/>
            <w:tcW w:type="dxa" w:w="150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KOSE:A034230</w:t>
            </w:r>
          </w:p>
        </w:tc>
        <w:tc>
          <w:tcPr>
            <w:tcW w:type="dxa" w:w="751"/>
            <w:tcW w:type="dxa" w:w="75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644</w:t>
            </w:r>
          </w:p>
        </w:tc>
        <w:tc>
          <w:tcPr>
            <w:tcW w:type="dxa" w:w="1072"/>
            <w:tcW w:type="dxa" w:w="107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1.66x</w:t>
            </w:r>
          </w:p>
        </w:tc>
        <w:tc>
          <w:tcPr>
            <w:tcW w:type="dxa" w:w="1180"/>
            <w:tcW w:type="dxa" w:w="118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9.6x</w:t>
            </w:r>
          </w:p>
        </w:tc>
        <w:tc>
          <w:tcPr>
            <w:tcW w:type="dxa" w:w="1180"/>
            <w:tcW w:type="dxa" w:w="118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7.5x</w:t>
            </w:r>
          </w:p>
        </w:tc>
        <w:tc>
          <w:tcPr>
            <w:tcW w:type="dxa" w:w="965"/>
            <w:tcW w:type="dxa" w:w="96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15.4x</w:t>
            </w:r>
          </w:p>
        </w:tc>
        <w:tc>
          <w:tcPr>
            <w:tcW w:type="dxa" w:w="643"/>
            <w:tcW w:type="dxa" w:w="64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11.6x</w:t>
            </w:r>
          </w:p>
        </w:tc>
        <w:tc>
          <w:tcPr>
            <w:tcW w:type="dxa" w:w="643"/>
            <w:tcW w:type="dxa" w:w="64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9.8x</w:t>
            </w:r>
          </w:p>
        </w:tc>
      </w:tr>
      <w:tr>
        <w:trPr>
          <w:cantSplit/>
        </w:trPr>
        <w:tc>
          <w:tcPr>
            <w:tcW w:type="dxa" w:w="1966"/>
            <w:tcW w:type="dxa" w:w="196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Grand Korea Leisure</w:t>
            </w:r>
          </w:p>
        </w:tc>
        <w:tc>
          <w:tcPr>
            <w:tcW w:type="dxa" w:w="1502"/>
            <w:tcW w:type="dxa" w:w="150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KOSE:A114090</w:t>
            </w:r>
          </w:p>
        </w:tc>
        <w:tc>
          <w:tcPr>
            <w:tcW w:type="dxa" w:w="751"/>
            <w:tcW w:type="dxa" w:w="75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394</w:t>
            </w:r>
          </w:p>
        </w:tc>
        <w:tc>
          <w:tcPr>
            <w:tcW w:type="dxa" w:w="1072"/>
            <w:tcW w:type="dxa" w:w="107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0.33x</w:t>
            </w:r>
          </w:p>
        </w:tc>
        <w:tc>
          <w:tcPr>
            <w:tcW w:type="dxa" w:w="1180"/>
            <w:tcW w:type="dxa" w:w="118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1.7x</w:t>
            </w:r>
          </w:p>
        </w:tc>
        <w:tc>
          <w:tcPr>
            <w:tcW w:type="dxa" w:w="1180"/>
            <w:tcW w:type="dxa" w:w="118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1.6x</w:t>
            </w:r>
          </w:p>
        </w:tc>
        <w:tc>
          <w:tcPr>
            <w:tcW w:type="dxa" w:w="965"/>
            <w:tcW w:type="dxa" w:w="96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2.7x</w:t>
            </w:r>
          </w:p>
        </w:tc>
        <w:tc>
          <w:tcPr>
            <w:tcW w:type="dxa" w:w="643"/>
            <w:tcW w:type="dxa" w:w="64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11.2x</w:t>
            </w:r>
          </w:p>
        </w:tc>
        <w:tc>
          <w:tcPr>
            <w:tcW w:type="dxa" w:w="643"/>
            <w:tcW w:type="dxa" w:w="64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9.3x</w:t>
            </w:r>
          </w:p>
        </w:tc>
      </w:tr>
      <w:tr>
        <w:trPr>
          <w:cantSplit/>
        </w:trPr>
        <w:tc>
          <w:tcPr>
            <w:tcW w:type="dxa" w:w="1966"/>
            <w:tcW w:type="dxa" w:w="196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Genting Singapore</w:t>
            </w:r>
          </w:p>
        </w:tc>
        <w:tc>
          <w:tcPr>
            <w:tcW w:type="dxa" w:w="1502"/>
            <w:tcW w:type="dxa" w:w="150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SGX:G13</w:t>
            </w:r>
          </w:p>
        </w:tc>
        <w:tc>
          <w:tcPr>
            <w:tcW w:type="dxa" w:w="751"/>
            <w:tcW w:type="dxa" w:w="75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5,750</w:t>
            </w:r>
          </w:p>
        </w:tc>
        <w:tc>
          <w:tcPr>
            <w:tcW w:type="dxa" w:w="1072"/>
            <w:tcW w:type="dxa" w:w="107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1.81x</w:t>
            </w:r>
          </w:p>
        </w:tc>
        <w:tc>
          <w:tcPr>
            <w:tcW w:type="dxa" w:w="1180"/>
            <w:tcW w:type="dxa" w:w="118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5.6x</w:t>
            </w:r>
          </w:p>
        </w:tc>
        <w:tc>
          <w:tcPr>
            <w:tcW w:type="dxa" w:w="1180"/>
            <w:tcW w:type="dxa" w:w="118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5.1x</w:t>
            </w:r>
          </w:p>
        </w:tc>
        <w:tc>
          <w:tcPr>
            <w:tcW w:type="dxa" w:w="965"/>
            <w:tcW w:type="dxa" w:w="96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11.7x</w:t>
            </w:r>
          </w:p>
        </w:tc>
        <w:tc>
          <w:tcPr>
            <w:tcW w:type="dxa" w:w="643"/>
            <w:tcW w:type="dxa" w:w="64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23.5x</w:t>
            </w:r>
          </w:p>
        </w:tc>
        <w:tc>
          <w:tcPr>
            <w:tcW w:type="dxa" w:w="643"/>
            <w:tcW w:type="dxa" w:w="64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17.0x</w:t>
            </w:r>
          </w:p>
        </w:tc>
      </w:tr>
      <w:tr>
        <w:trPr>
          <w:cantSplit/>
        </w:trPr>
        <w:tc>
          <w:tcPr>
            <w:tcW w:type="dxa" w:w="1966"/>
            <w:tcW w:type="dxa" w:w="196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Genting Malaysia</w:t>
            </w:r>
          </w:p>
        </w:tc>
        <w:tc>
          <w:tcPr>
            <w:tcW w:type="dxa" w:w="1502"/>
            <w:tcW w:type="dxa" w:w="150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KLSE:GENM</w:t>
            </w:r>
          </w:p>
        </w:tc>
        <w:tc>
          <w:tcPr>
            <w:tcW w:type="dxa" w:w="751"/>
            <w:tcW w:type="dxa" w:w="75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1,763</w:t>
            </w:r>
          </w:p>
        </w:tc>
        <w:tc>
          <w:tcPr>
            <w:tcW w:type="dxa" w:w="1072"/>
            <w:tcW w:type="dxa" w:w="107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1.56x</w:t>
            </w:r>
          </w:p>
        </w:tc>
        <w:tc>
          <w:tcPr>
            <w:tcW w:type="dxa" w:w="1180"/>
            <w:tcW w:type="dxa" w:w="118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8.1x</w:t>
            </w:r>
          </w:p>
        </w:tc>
        <w:tc>
          <w:tcPr>
            <w:tcW w:type="dxa" w:w="1180"/>
            <w:tcW w:type="dxa" w:w="118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6.6x</w:t>
            </w:r>
          </w:p>
        </w:tc>
        <w:tc>
          <w:tcPr>
            <w:tcW w:type="dxa" w:w="965"/>
            <w:tcW w:type="dxa" w:w="96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18.2x</w:t>
            </w:r>
          </w:p>
        </w:tc>
        <w:tc>
          <w:tcPr>
            <w:tcW w:type="dxa" w:w="643"/>
            <w:tcW w:type="dxa" w:w="64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23.1x</w:t>
            </w:r>
          </w:p>
        </w:tc>
        <w:tc>
          <w:tcPr>
            <w:tcW w:type="dxa" w:w="643"/>
            <w:tcW w:type="dxa" w:w="64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14.9x</w:t>
            </w:r>
          </w:p>
        </w:tc>
      </w:tr>
      <w:tr>
        <w:trPr>
          <w:cantSplit/>
        </w:trPr>
        <w:tc>
          <w:tcPr>
            <w:tcW w:type="dxa" w:w="1966"/>
            <w:tcW w:type="dxa" w:w="196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Genting Bhd</w:t>
            </w:r>
          </w:p>
        </w:tc>
        <w:tc>
          <w:tcPr>
            <w:tcW w:type="dxa" w:w="1502"/>
            <w:tcW w:type="dxa" w:w="150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KLSE:GENTING</w:t>
            </w:r>
          </w:p>
        </w:tc>
        <w:tc>
          <w:tcPr>
            <w:tcW w:type="dxa" w:w="751"/>
            <w:tcW w:type="dxa" w:w="75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1,368</w:t>
            </w:r>
          </w:p>
        </w:tc>
        <w:tc>
          <w:tcPr>
            <w:tcW w:type="dxa" w:w="1072"/>
            <w:tcW w:type="dxa" w:w="107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1.78x</w:t>
            </w:r>
          </w:p>
        </w:tc>
        <w:tc>
          <w:tcPr>
            <w:tcW w:type="dxa" w:w="1180"/>
            <w:tcW w:type="dxa" w:w="118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6.4x</w:t>
            </w:r>
          </w:p>
        </w:tc>
        <w:tc>
          <w:tcPr>
            <w:tcW w:type="dxa" w:w="1180"/>
            <w:tcW w:type="dxa" w:w="118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6.1x</w:t>
            </w:r>
          </w:p>
        </w:tc>
        <w:tc>
          <w:tcPr>
            <w:tcW w:type="dxa" w:w="965"/>
            <w:tcW w:type="dxa" w:w="96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12.4x</w:t>
            </w:r>
          </w:p>
        </w:tc>
        <w:tc>
          <w:tcPr>
            <w:tcW w:type="dxa" w:w="643"/>
            <w:tcW w:type="dxa" w:w="64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n/a</w:t>
            </w:r>
          </w:p>
        </w:tc>
        <w:tc>
          <w:tcPr>
            <w:tcW w:type="dxa" w:w="643"/>
            <w:tcW w:type="dxa" w:w="64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8.8x</w:t>
            </w:r>
          </w:p>
        </w:tc>
      </w:tr>
      <w:tr>
        <w:trPr>
          <w:cantSplit/>
        </w:trPr>
        <w:tc>
          <w:tcPr>
            <w:tcW w:type="dxa" w:w="1966"/>
            <w:tcW w:type="dxa" w:w="196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Sands China</w:t>
            </w:r>
          </w:p>
        </w:tc>
        <w:tc>
          <w:tcPr>
            <w:tcW w:type="dxa" w:w="1502"/>
            <w:tcW w:type="dxa" w:w="150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SEHK:1928</w:t>
            </w:r>
          </w:p>
        </w:tc>
        <w:tc>
          <w:tcPr>
            <w:tcW w:type="dxa" w:w="751"/>
            <w:tcW w:type="dxa" w:w="75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11,849</w:t>
            </w:r>
          </w:p>
        </w:tc>
        <w:tc>
          <w:tcPr>
            <w:tcW w:type="dxa" w:w="1072"/>
            <w:tcW w:type="dxa" w:w="107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2.23x</w:t>
            </w:r>
          </w:p>
        </w:tc>
        <w:tc>
          <w:tcPr>
            <w:tcW w:type="dxa" w:w="1180"/>
            <w:tcW w:type="dxa" w:w="118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8.5x</w:t>
            </w:r>
          </w:p>
        </w:tc>
        <w:tc>
          <w:tcPr>
            <w:tcW w:type="dxa" w:w="1180"/>
            <w:tcW w:type="dxa" w:w="118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7.8x</w:t>
            </w:r>
          </w:p>
        </w:tc>
        <w:tc>
          <w:tcPr>
            <w:tcW w:type="dxa" w:w="965"/>
            <w:tcW w:type="dxa" w:w="96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13.7x</w:t>
            </w:r>
          </w:p>
        </w:tc>
        <w:tc>
          <w:tcPr>
            <w:tcW w:type="dxa" w:w="643"/>
            <w:tcW w:type="dxa" w:w="64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13.4x</w:t>
            </w:r>
          </w:p>
        </w:tc>
        <w:tc>
          <w:tcPr>
            <w:tcW w:type="dxa" w:w="643"/>
            <w:tcW w:type="dxa" w:w="64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11.3x</w:t>
            </w:r>
          </w:p>
        </w:tc>
      </w:tr>
      <w:tr>
        <w:trPr>
          <w:cantSplit/>
        </w:trPr>
        <w:tc>
          <w:tcPr>
            <w:tcW w:type="dxa" w:w="1966"/>
            <w:tcW w:type="dxa" w:w="196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Galaxy Entertainment</w:t>
            </w:r>
          </w:p>
        </w:tc>
        <w:tc>
          <w:tcPr>
            <w:tcW w:type="dxa" w:w="1502"/>
            <w:tcW w:type="dxa" w:w="150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SEHK:27</w:t>
            </w:r>
          </w:p>
        </w:tc>
        <w:tc>
          <w:tcPr>
            <w:tcW w:type="dxa" w:w="751"/>
            <w:tcW w:type="dxa" w:w="75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18,714</w:t>
            </w:r>
          </w:p>
        </w:tc>
        <w:tc>
          <w:tcPr>
            <w:tcW w:type="dxa" w:w="1072"/>
            <w:tcW w:type="dxa" w:w="107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2.71x</w:t>
            </w:r>
          </w:p>
        </w:tc>
        <w:tc>
          <w:tcPr>
            <w:tcW w:type="dxa" w:w="1180"/>
            <w:tcW w:type="dxa" w:w="118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10.1x</w:t>
            </w:r>
          </w:p>
        </w:tc>
        <w:tc>
          <w:tcPr>
            <w:tcW w:type="dxa" w:w="1180"/>
            <w:tcW w:type="dxa" w:w="118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9.2x</w:t>
            </w:r>
          </w:p>
        </w:tc>
        <w:tc>
          <w:tcPr>
            <w:tcW w:type="dxa" w:w="965"/>
            <w:tcW w:type="dxa" w:w="96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14.1x</w:t>
            </w:r>
          </w:p>
        </w:tc>
        <w:tc>
          <w:tcPr>
            <w:tcW w:type="dxa" w:w="643"/>
            <w:tcW w:type="dxa" w:w="64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13.7x</w:t>
            </w:r>
          </w:p>
        </w:tc>
        <w:tc>
          <w:tcPr>
            <w:tcW w:type="dxa" w:w="643"/>
            <w:tcW w:type="dxa" w:w="64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13.2x</w:t>
            </w:r>
          </w:p>
        </w:tc>
      </w:tr>
      <w:tr>
        <w:trPr>
          <w:cantSplit/>
        </w:trPr>
        <w:tc>
          <w:tcPr>
            <w:tcW w:type="dxa" w:w="1966"/>
            <w:tcW w:type="dxa" w:w="196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Wynn Macau</w:t>
            </w:r>
          </w:p>
        </w:tc>
        <w:tc>
          <w:tcPr>
            <w:tcW w:type="dxa" w:w="1502"/>
            <w:tcW w:type="dxa" w:w="150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SEHK:1128</w:t>
            </w:r>
          </w:p>
        </w:tc>
        <w:tc>
          <w:tcPr>
            <w:tcW w:type="dxa" w:w="751"/>
            <w:tcW w:type="dxa" w:w="75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3,391</w:t>
            </w:r>
          </w:p>
        </w:tc>
        <w:tc>
          <w:tcPr>
            <w:tcW w:type="dxa" w:w="1072"/>
            <w:tcW w:type="dxa" w:w="107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1.95x</w:t>
            </w:r>
          </w:p>
        </w:tc>
        <w:tc>
          <w:tcPr>
            <w:tcW w:type="dxa" w:w="1180"/>
            <w:tcW w:type="dxa" w:w="118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7.9x</w:t>
            </w:r>
          </w:p>
        </w:tc>
        <w:tc>
          <w:tcPr>
            <w:tcW w:type="dxa" w:w="1180"/>
            <w:tcW w:type="dxa" w:w="118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7.5x</w:t>
            </w:r>
          </w:p>
        </w:tc>
        <w:tc>
          <w:tcPr>
            <w:tcW w:type="dxa" w:w="965"/>
            <w:tcW w:type="dxa" w:w="96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12.0x</w:t>
            </w:r>
          </w:p>
        </w:tc>
        <w:tc>
          <w:tcPr>
            <w:tcW w:type="dxa" w:w="643"/>
            <w:tcW w:type="dxa" w:w="64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9.5x</w:t>
            </w:r>
          </w:p>
        </w:tc>
        <w:tc>
          <w:tcPr>
            <w:tcW w:type="dxa" w:w="643"/>
            <w:tcW w:type="dxa" w:w="64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10.1x</w:t>
            </w:r>
          </w:p>
        </w:tc>
      </w:tr>
      <w:tr>
        <w:trPr>
          <w:cantSplit/>
        </w:trPr>
        <w:tc>
          <w:tcPr>
            <w:tcW w:type="dxa" w:w="1966"/>
            <w:tcW w:type="dxa" w:w="196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MGM China</w:t>
            </w:r>
          </w:p>
        </w:tc>
        <w:tc>
          <w:tcPr>
            <w:tcW w:type="dxa" w:w="1502"/>
            <w:tcW w:type="dxa" w:w="150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SEHK:2282</w:t>
            </w:r>
          </w:p>
        </w:tc>
        <w:tc>
          <w:tcPr>
            <w:tcW w:type="dxa" w:w="751"/>
            <w:tcW w:type="dxa" w:w="75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4,770</w:t>
            </w:r>
          </w:p>
        </w:tc>
        <w:tc>
          <w:tcPr>
            <w:tcW w:type="dxa" w:w="1072"/>
            <w:tcW w:type="dxa" w:w="107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1.45x</w:t>
            </w:r>
          </w:p>
        </w:tc>
        <w:tc>
          <w:tcPr>
            <w:tcW w:type="dxa" w:w="1180"/>
            <w:tcW w:type="dxa" w:w="118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6.2x</w:t>
            </w:r>
          </w:p>
        </w:tc>
        <w:tc>
          <w:tcPr>
            <w:tcW w:type="dxa" w:w="1180"/>
            <w:tcW w:type="dxa" w:w="118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5.2x</w:t>
            </w:r>
          </w:p>
        </w:tc>
        <w:tc>
          <w:tcPr>
            <w:tcW w:type="dxa" w:w="965"/>
            <w:tcW w:type="dxa" w:w="96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8.5x</w:t>
            </w:r>
          </w:p>
        </w:tc>
        <w:tc>
          <w:tcPr>
            <w:tcW w:type="dxa" w:w="643"/>
            <w:tcW w:type="dxa" w:w="64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8.2x</w:t>
            </w:r>
          </w:p>
        </w:tc>
        <w:tc>
          <w:tcPr>
            <w:tcW w:type="dxa" w:w="643"/>
            <w:tcW w:type="dxa" w:w="64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8.3x</w:t>
            </w:r>
          </w:p>
        </w:tc>
      </w:tr>
      <w:tr>
        <w:trPr>
          <w:cantSplit/>
        </w:trPr>
        <w:tc>
          <w:tcPr>
            <w:tcW w:type="dxa" w:w="1966"/>
            <w:tcW w:type="dxa" w:w="196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Melco Resorts &amp; Ent.</w:t>
            </w:r>
          </w:p>
        </w:tc>
        <w:tc>
          <w:tcPr>
            <w:tcW w:type="dxa" w:w="1502"/>
            <w:tcW w:type="dxa" w:w="150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NasdaqGS:MLCO</w:t>
            </w:r>
          </w:p>
        </w:tc>
        <w:tc>
          <w:tcPr>
            <w:tcW w:type="dxa" w:w="751"/>
            <w:tcW w:type="dxa" w:w="75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1,578</w:t>
            </w:r>
          </w:p>
        </w:tc>
        <w:tc>
          <w:tcPr>
            <w:tcW w:type="dxa" w:w="1072"/>
            <w:tcW w:type="dxa" w:w="107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1.59x</w:t>
            </w:r>
          </w:p>
        </w:tc>
        <w:tc>
          <w:tcPr>
            <w:tcW w:type="dxa" w:w="1180"/>
            <w:tcW w:type="dxa" w:w="118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6.4x</w:t>
            </w:r>
          </w:p>
        </w:tc>
        <w:tc>
          <w:tcPr>
            <w:tcW w:type="dxa" w:w="1180"/>
            <w:tcW w:type="dxa" w:w="118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6.2x</w:t>
            </w:r>
          </w:p>
        </w:tc>
        <w:tc>
          <w:tcPr>
            <w:tcW w:type="dxa" w:w="965"/>
            <w:tcW w:type="dxa" w:w="96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11.8x</w:t>
            </w:r>
          </w:p>
        </w:tc>
        <w:tc>
          <w:tcPr>
            <w:tcW w:type="dxa" w:w="643"/>
            <w:tcW w:type="dxa" w:w="64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6.9x</w:t>
            </w:r>
          </w:p>
        </w:tc>
        <w:tc>
          <w:tcPr>
            <w:tcW w:type="dxa" w:w="643"/>
            <w:tcW w:type="dxa" w:w="64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7.7x</w:t>
            </w:r>
          </w:p>
        </w:tc>
      </w:tr>
      <w:tr>
        <w:trPr>
          <w:cantSplit/>
        </w:trPr>
        <w:tc>
          <w:tcPr>
            <w:tcW w:type="dxa" w:w="1966"/>
            <w:tcW w:type="dxa" w:w="196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SJM Holdings</w:t>
            </w:r>
          </w:p>
        </w:tc>
        <w:tc>
          <w:tcPr>
            <w:tcW w:type="dxa" w:w="1502"/>
            <w:tcW w:type="dxa" w:w="150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SEHK:880</w:t>
            </w:r>
          </w:p>
        </w:tc>
        <w:tc>
          <w:tcPr>
            <w:tcW w:type="dxa" w:w="751"/>
            <w:tcW w:type="dxa" w:w="75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1,081</w:t>
            </w:r>
          </w:p>
        </w:tc>
        <w:tc>
          <w:tcPr>
            <w:tcW w:type="dxa" w:w="1072"/>
            <w:tcW w:type="dxa" w:w="107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1.50x</w:t>
            </w:r>
          </w:p>
        </w:tc>
        <w:tc>
          <w:tcPr>
            <w:tcW w:type="dxa" w:w="1180"/>
            <w:tcW w:type="dxa" w:w="118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12.4x</w:t>
            </w:r>
          </w:p>
        </w:tc>
        <w:tc>
          <w:tcPr>
            <w:tcW w:type="dxa" w:w="1180"/>
            <w:tcW w:type="dxa" w:w="118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10.3x</w:t>
            </w:r>
          </w:p>
        </w:tc>
        <w:tc>
          <w:tcPr>
            <w:tcW w:type="dxa" w:w="965"/>
            <w:tcW w:type="dxa" w:w="96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44.9x</w:t>
            </w:r>
          </w:p>
        </w:tc>
        <w:tc>
          <w:tcPr>
            <w:tcW w:type="dxa" w:w="643"/>
            <w:tcW w:type="dxa" w:w="64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n/a</w:t>
            </w:r>
          </w:p>
        </w:tc>
        <w:tc>
          <w:tcPr>
            <w:tcW w:type="dxa" w:w="643"/>
            <w:tcW w:type="dxa" w:w="64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n.m.</w:t>
            </w:r>
          </w:p>
        </w:tc>
      </w:tr>
      <w:tr>
        <w:trPr>
          <w:cantSplit/>
        </w:trPr>
        <w:tc>
          <w:tcPr>
            <w:tcW w:type="dxa" w:w="1966"/>
            <w:tcW w:type="dxa" w:w="196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NagaCorp</w:t>
            </w:r>
          </w:p>
        </w:tc>
        <w:tc>
          <w:tcPr>
            <w:tcW w:type="dxa" w:w="1502"/>
            <w:tcW w:type="dxa" w:w="150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SEHK:3918</w:t>
            </w:r>
          </w:p>
        </w:tc>
        <w:tc>
          <w:tcPr>
            <w:tcW w:type="dxa" w:w="751"/>
            <w:tcW w:type="dxa" w:w="75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1,367</w:t>
            </w:r>
          </w:p>
        </w:tc>
        <w:tc>
          <w:tcPr>
            <w:tcW w:type="dxa" w:w="1072"/>
            <w:tcW w:type="dxa" w:w="107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1.64x</w:t>
            </w:r>
          </w:p>
        </w:tc>
        <w:tc>
          <w:tcPr>
            <w:tcW w:type="dxa" w:w="1180"/>
            <w:tcW w:type="dxa" w:w="118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2.6x</w:t>
            </w:r>
          </w:p>
        </w:tc>
        <w:tc>
          <w:tcPr>
            <w:tcW w:type="dxa" w:w="1180"/>
            <w:tcW w:type="dxa" w:w="118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3.1x</w:t>
            </w:r>
          </w:p>
        </w:tc>
        <w:tc>
          <w:tcPr>
            <w:tcW w:type="dxa" w:w="965"/>
            <w:tcW w:type="dxa" w:w="96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3.5x</w:t>
            </w:r>
          </w:p>
        </w:tc>
        <w:tc>
          <w:tcPr>
            <w:tcW w:type="dxa" w:w="643"/>
            <w:tcW w:type="dxa" w:w="64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4.5x</w:t>
            </w:r>
          </w:p>
        </w:tc>
        <w:tc>
          <w:tcPr>
            <w:tcW w:type="dxa" w:w="643"/>
            <w:tcW w:type="dxa" w:w="64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5.1x</w:t>
            </w:r>
          </w:p>
        </w:tc>
      </w:tr>
      <w:tr>
        <w:trPr>
          <w:cantSplit/>
        </w:trPr>
        <w:tc>
          <w:tcPr>
            <w:tcW w:type="dxa" w:w="1966"/>
            <w:tcW w:type="dxa" w:w="196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Bloomberry Resorts</w:t>
            </w:r>
          </w:p>
        </w:tc>
        <w:tc>
          <w:tcPr>
            <w:tcW w:type="dxa" w:w="1502"/>
            <w:tcW w:type="dxa" w:w="150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PSE:BLOOM</w:t>
            </w:r>
          </w:p>
        </w:tc>
        <w:tc>
          <w:tcPr>
            <w:tcW w:type="dxa" w:w="751"/>
            <w:tcW w:type="dxa" w:w="75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347</w:t>
            </w:r>
          </w:p>
        </w:tc>
        <w:tc>
          <w:tcPr>
            <w:tcW w:type="dxa" w:w="1072"/>
            <w:tcW w:type="dxa" w:w="107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1.92x</w:t>
            </w:r>
          </w:p>
        </w:tc>
        <w:tc>
          <w:tcPr>
            <w:tcW w:type="dxa" w:w="1180"/>
            <w:tcW w:type="dxa" w:w="118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10.7x</w:t>
            </w:r>
          </w:p>
        </w:tc>
        <w:tc>
          <w:tcPr>
            <w:tcW w:type="dxa" w:w="1180"/>
            <w:tcW w:type="dxa" w:w="118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7.4x</w:t>
            </w:r>
          </w:p>
        </w:tc>
        <w:tc>
          <w:tcPr>
            <w:tcW w:type="dxa" w:w="965"/>
            <w:tcW w:type="dxa" w:w="96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52.5x</w:t>
            </w:r>
          </w:p>
        </w:tc>
        <w:tc>
          <w:tcPr>
            <w:tcW w:type="dxa" w:w="643"/>
            <w:tcW w:type="dxa" w:w="64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n/a</w:t>
            </w:r>
          </w:p>
        </w:tc>
        <w:tc>
          <w:tcPr>
            <w:tcW w:type="dxa" w:w="643"/>
            <w:tcW w:type="dxa" w:w="64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n/a</w:t>
            </w:r>
          </w:p>
        </w:tc>
      </w:tr>
      <w:tr>
        <w:trPr>
          <w:cantSplit/>
        </w:trPr>
        <w:tc>
          <w:tcPr>
            <w:tcW w:type="dxa" w:w="1966"/>
            <w:tcW w:type="dxa" w:w="196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Universal Entertainment</w:t>
            </w:r>
          </w:p>
        </w:tc>
        <w:tc>
          <w:tcPr>
            <w:tcW w:type="dxa" w:w="1502"/>
            <w:tcW w:type="dxa" w:w="150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TSE:6425</w:t>
            </w:r>
          </w:p>
        </w:tc>
        <w:tc>
          <w:tcPr>
            <w:tcW w:type="dxa" w:w="751"/>
            <w:tcW w:type="dxa" w:w="75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330</w:t>
            </w:r>
          </w:p>
        </w:tc>
        <w:tc>
          <w:tcPr>
            <w:tcW w:type="dxa" w:w="1072"/>
            <w:tcW w:type="dxa" w:w="107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1.48x</w:t>
            </w:r>
          </w:p>
        </w:tc>
        <w:tc>
          <w:tcPr>
            <w:tcW w:type="dxa" w:w="1180"/>
            <w:tcW w:type="dxa" w:w="118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9.2x</w:t>
            </w:r>
          </w:p>
        </w:tc>
        <w:tc>
          <w:tcPr>
            <w:tcW w:type="dxa" w:w="1180"/>
            <w:tcW w:type="dxa" w:w="118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n/a</w:t>
            </w:r>
          </w:p>
        </w:tc>
        <w:tc>
          <w:tcPr>
            <w:tcW w:type="dxa" w:w="965"/>
            <w:tcW w:type="dxa" w:w="96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28.7x</w:t>
            </w:r>
          </w:p>
        </w:tc>
        <w:tc>
          <w:tcPr>
            <w:tcW w:type="dxa" w:w="643"/>
            <w:tcW w:type="dxa" w:w="64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n/a</w:t>
            </w:r>
          </w:p>
        </w:tc>
        <w:tc>
          <w:tcPr>
            <w:tcW w:type="dxa" w:w="643"/>
            <w:tcW w:type="dxa" w:w="64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n/a</w:t>
            </w:r>
          </w:p>
        </w:tc>
      </w:tr>
      <w:tr>
        <w:trPr>
          <w:cantSplit/>
        </w:trPr>
        <w:tc>
          <w:tcPr>
            <w:tcW w:type="dxa" w:w="1966"/>
            <w:tcW w:type="dxa" w:w="196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SkyCity Entertainment</w:t>
            </w:r>
          </w:p>
        </w:tc>
        <w:tc>
          <w:tcPr>
            <w:tcW w:type="dxa" w:w="1502"/>
            <w:tcW w:type="dxa" w:w="150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NZSE:SKC</w:t>
            </w:r>
          </w:p>
        </w:tc>
        <w:tc>
          <w:tcPr>
            <w:tcW w:type="dxa" w:w="751"/>
            <w:tcW w:type="dxa" w:w="75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424</w:t>
            </w:r>
          </w:p>
        </w:tc>
        <w:tc>
          <w:tcPr>
            <w:tcW w:type="dxa" w:w="1072"/>
            <w:tcW w:type="dxa" w:w="107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1.66x</w:t>
            </w:r>
          </w:p>
        </w:tc>
        <w:tc>
          <w:tcPr>
            <w:tcW w:type="dxa" w:w="1180"/>
            <w:tcW w:type="dxa" w:w="118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9.7x</w:t>
            </w:r>
          </w:p>
        </w:tc>
        <w:tc>
          <w:tcPr>
            <w:tcW w:type="dxa" w:w="1180"/>
            <w:tcW w:type="dxa" w:w="118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7.7x</w:t>
            </w:r>
          </w:p>
        </w:tc>
        <w:tc>
          <w:tcPr>
            <w:tcW w:type="dxa" w:w="965"/>
            <w:tcW w:type="dxa" w:w="96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28.7x</w:t>
            </w:r>
          </w:p>
        </w:tc>
        <w:tc>
          <w:tcPr>
            <w:tcW w:type="dxa" w:w="643"/>
            <w:tcW w:type="dxa" w:w="64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37.8x</w:t>
            </w:r>
          </w:p>
        </w:tc>
        <w:tc>
          <w:tcPr>
            <w:tcW w:type="dxa" w:w="643"/>
            <w:tcW w:type="dxa" w:w="64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44.8x</w:t>
            </w:r>
          </w:p>
        </w:tc>
      </w:tr>
      <w:tr>
        <w:trPr>
          <w:cantSplit/>
        </w:trPr>
        <w:tc>
          <w:tcPr>
            <w:tcW w:type="dxa" w:w="1966"/>
            <w:tcW w:type="dxa" w:w="196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Star Entertainment</w:t>
            </w:r>
          </w:p>
        </w:tc>
        <w:tc>
          <w:tcPr>
            <w:tcW w:type="dxa" w:w="1502"/>
            <w:tcW w:type="dxa" w:w="150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ASX:SGR</w:t>
            </w:r>
          </w:p>
        </w:tc>
        <w:tc>
          <w:tcPr>
            <w:tcW w:type="dxa" w:w="751"/>
            <w:tcW w:type="dxa" w:w="75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553</w:t>
            </w:r>
          </w:p>
        </w:tc>
        <w:tc>
          <w:tcPr>
            <w:tcW w:type="dxa" w:w="1072"/>
            <w:tcW w:type="dxa" w:w="107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0.84x</w:t>
            </w:r>
          </w:p>
        </w:tc>
        <w:tc>
          <w:tcPr>
            <w:tcW w:type="dxa" w:w="1180"/>
            <w:tcW w:type="dxa" w:w="118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n/a</w:t>
            </w:r>
          </w:p>
        </w:tc>
        <w:tc>
          <w:tcPr>
            <w:tcW w:type="dxa" w:w="1180"/>
            <w:tcW w:type="dxa" w:w="118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43.8x</w:t>
            </w:r>
          </w:p>
        </w:tc>
        <w:tc>
          <w:tcPr>
            <w:tcW w:type="dxa" w:w="965"/>
            <w:tcW w:type="dxa" w:w="96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n/a</w:t>
            </w:r>
          </w:p>
        </w:tc>
        <w:tc>
          <w:tcPr>
            <w:tcW w:type="dxa" w:w="643"/>
            <w:tcW w:type="dxa" w:w="64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n/a</w:t>
            </w:r>
          </w:p>
        </w:tc>
        <w:tc>
          <w:tcPr>
            <w:tcW w:type="dxa" w:w="643"/>
            <w:tcW w:type="dxa" w:w="64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n/a</w:t>
            </w:r>
          </w:p>
        </w:tc>
      </w:tr>
      <w:tr>
        <w:trPr>
          <w:cantSplit/>
        </w:trPr>
        <w:tc>
          <w:tcPr>
            <w:tcW w:type="dxa" w:w="1966"/>
            <w:tcW w:type="dxa" w:w="196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Las Vegas Sands</w:t>
            </w:r>
          </w:p>
        </w:tc>
        <w:tc>
          <w:tcPr>
            <w:tcW w:type="dxa" w:w="1502"/>
            <w:tcW w:type="dxa" w:w="150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NYSE:LVS</w:t>
            </w:r>
          </w:p>
        </w:tc>
        <w:tc>
          <w:tcPr>
            <w:tcW w:type="dxa" w:w="751"/>
            <w:tcW w:type="dxa" w:w="75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24,618</w:t>
            </w:r>
          </w:p>
        </w:tc>
        <w:tc>
          <w:tcPr>
            <w:tcW w:type="dxa" w:w="1072"/>
            <w:tcW w:type="dxa" w:w="107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2.69x</w:t>
            </w:r>
          </w:p>
        </w:tc>
        <w:tc>
          <w:tcPr>
            <w:tcW w:type="dxa" w:w="1180"/>
            <w:tcW w:type="dxa" w:w="118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7.8x</w:t>
            </w:r>
          </w:p>
        </w:tc>
        <w:tc>
          <w:tcPr>
            <w:tcW w:type="dxa" w:w="1180"/>
            <w:tcW w:type="dxa" w:w="118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6.9x</w:t>
            </w:r>
          </w:p>
        </w:tc>
        <w:tc>
          <w:tcPr>
            <w:tcW w:type="dxa" w:w="965"/>
            <w:tcW w:type="dxa" w:w="96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11.6x</w:t>
            </w:r>
          </w:p>
        </w:tc>
        <w:tc>
          <w:tcPr>
            <w:tcW w:type="dxa" w:w="643"/>
            <w:tcW w:type="dxa" w:w="64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14.7x</w:t>
            </w:r>
          </w:p>
        </w:tc>
        <w:tc>
          <w:tcPr>
            <w:tcW w:type="dxa" w:w="643"/>
            <w:tcW w:type="dxa" w:w="64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11.7x</w:t>
            </w:r>
          </w:p>
        </w:tc>
      </w:tr>
      <w:tr>
        <w:trPr>
          <w:cantSplit/>
        </w:trPr>
        <w:tc>
          <w:tcPr>
            <w:tcW w:type="dxa" w:w="1966"/>
            <w:tcW w:type="dxa" w:w="196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Wynn Resorts</w:t>
            </w:r>
          </w:p>
        </w:tc>
        <w:tc>
          <w:tcPr>
            <w:tcW w:type="dxa" w:w="1502"/>
            <w:tcW w:type="dxa" w:w="150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NasdaqGS:WYNN</w:t>
            </w:r>
          </w:p>
        </w:tc>
        <w:tc>
          <w:tcPr>
            <w:tcW w:type="dxa" w:w="751"/>
            <w:tcW w:type="dxa" w:w="75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7,670</w:t>
            </w:r>
          </w:p>
        </w:tc>
        <w:tc>
          <w:tcPr>
            <w:tcW w:type="dxa" w:w="1072"/>
            <w:tcW w:type="dxa" w:w="107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2.32x</w:t>
            </w:r>
          </w:p>
        </w:tc>
        <w:tc>
          <w:tcPr>
            <w:tcW w:type="dxa" w:w="1180"/>
            <w:tcW w:type="dxa" w:w="118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9.2x</w:t>
            </w:r>
          </w:p>
        </w:tc>
        <w:tc>
          <w:tcPr>
            <w:tcW w:type="dxa" w:w="1180"/>
            <w:tcW w:type="dxa" w:w="118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7.6x</w:t>
            </w:r>
          </w:p>
        </w:tc>
        <w:tc>
          <w:tcPr>
            <w:tcW w:type="dxa" w:w="965"/>
            <w:tcW w:type="dxa" w:w="96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14.5x</w:t>
            </w:r>
          </w:p>
        </w:tc>
        <w:tc>
          <w:tcPr>
            <w:tcW w:type="dxa" w:w="643"/>
            <w:tcW w:type="dxa" w:w="64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18.1x</w:t>
            </w:r>
          </w:p>
        </w:tc>
        <w:tc>
          <w:tcPr>
            <w:tcW w:type="dxa" w:w="643"/>
            <w:tcW w:type="dxa" w:w="64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17.8x</w:t>
            </w:r>
          </w:p>
        </w:tc>
      </w:tr>
      <w:tr>
        <w:trPr>
          <w:cantSplit/>
        </w:trPr>
        <w:tc>
          <w:tcPr>
            <w:tcW w:type="dxa" w:w="1966"/>
            <w:tcW w:type="dxa" w:w="196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MGM Resorts</w:t>
            </w:r>
          </w:p>
        </w:tc>
        <w:tc>
          <w:tcPr>
            <w:tcW w:type="dxa" w:w="1502"/>
            <w:tcW w:type="dxa" w:w="150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NYSE:MGM</w:t>
            </w:r>
          </w:p>
        </w:tc>
        <w:tc>
          <w:tcPr>
            <w:tcW w:type="dxa" w:w="751"/>
            <w:tcW w:type="dxa" w:w="75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7,196</w:t>
            </w:r>
          </w:p>
        </w:tc>
        <w:tc>
          <w:tcPr>
            <w:tcW w:type="dxa" w:w="1072"/>
            <w:tcW w:type="dxa" w:w="107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2.00x</w:t>
            </w:r>
          </w:p>
        </w:tc>
        <w:tc>
          <w:tcPr>
            <w:tcW w:type="dxa" w:w="1180"/>
            <w:tcW w:type="dxa" w:w="118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7.8x</w:t>
            </w:r>
          </w:p>
        </w:tc>
        <w:tc>
          <w:tcPr>
            <w:tcW w:type="dxa" w:w="1180"/>
            <w:tcW w:type="dxa" w:w="118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7.8x</w:t>
            </w:r>
          </w:p>
        </w:tc>
        <w:tc>
          <w:tcPr>
            <w:tcW w:type="dxa" w:w="965"/>
            <w:tcW w:type="dxa" w:w="96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28.4x</w:t>
            </w:r>
          </w:p>
        </w:tc>
        <w:tc>
          <w:tcPr>
            <w:tcW w:type="dxa" w:w="643"/>
            <w:tcW w:type="dxa" w:w="64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17.9x</w:t>
            </w:r>
          </w:p>
        </w:tc>
        <w:tc>
          <w:tcPr>
            <w:tcW w:type="dxa" w:w="643"/>
            <w:tcW w:type="dxa" w:w="64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18.5x</w:t>
            </w:r>
          </w:p>
        </w:tc>
      </w:tr>
      <w:tr>
        <w:trPr>
          <w:cantSplit/>
        </w:trPr>
        <w:tc>
          <w:tcPr>
            <w:tcW w:type="dxa" w:w="1966"/>
            <w:tcW w:type="dxa" w:w="196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Caesars Entertainment</w:t>
            </w:r>
          </w:p>
        </w:tc>
        <w:tc>
          <w:tcPr>
            <w:tcW w:type="dxa" w:w="1502"/>
            <w:tcW w:type="dxa" w:w="150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NasdaqGS:CZR</w:t>
            </w:r>
          </w:p>
        </w:tc>
        <w:tc>
          <w:tcPr>
            <w:tcW w:type="dxa" w:w="751"/>
            <w:tcW w:type="dxa" w:w="75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5,867</w:t>
            </w:r>
          </w:p>
        </w:tc>
        <w:tc>
          <w:tcPr>
            <w:tcW w:type="dxa" w:w="1072"/>
            <w:tcW w:type="dxa" w:w="107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2.66x</w:t>
            </w:r>
          </w:p>
        </w:tc>
        <w:tc>
          <w:tcPr>
            <w:tcW w:type="dxa" w:w="1180"/>
            <w:tcW w:type="dxa" w:w="118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8.4x</w:t>
            </w:r>
          </w:p>
        </w:tc>
        <w:tc>
          <w:tcPr>
            <w:tcW w:type="dxa" w:w="1180"/>
            <w:tcW w:type="dxa" w:w="118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8.3x</w:t>
            </w:r>
          </w:p>
        </w:tc>
        <w:tc>
          <w:tcPr>
            <w:tcW w:type="dxa" w:w="965"/>
            <w:tcW w:type="dxa" w:w="96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15.1x</w:t>
            </w:r>
          </w:p>
        </w:tc>
        <w:tc>
          <w:tcPr>
            <w:tcW w:type="dxa" w:w="643"/>
            <w:tcW w:type="dxa" w:w="64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n/a</w:t>
            </w:r>
          </w:p>
        </w:tc>
        <w:tc>
          <w:tcPr>
            <w:tcW w:type="dxa" w:w="643"/>
            <w:tcW w:type="dxa" w:w="64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n/a</w:t>
            </w:r>
          </w:p>
        </w:tc>
      </w:tr>
      <w:tr>
        <w:trPr>
          <w:cantSplit/>
        </w:trPr>
        <w:tc>
          <w:tcPr>
            <w:tcW w:type="dxa" w:w="1966"/>
            <w:tcW w:type="dxa" w:w="196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Boyd Gaming</w:t>
            </w:r>
          </w:p>
        </w:tc>
        <w:tc>
          <w:tcPr>
            <w:tcW w:type="dxa" w:w="1502"/>
            <w:tcW w:type="dxa" w:w="150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NYSE:BYD</w:t>
            </w:r>
          </w:p>
        </w:tc>
        <w:tc>
          <w:tcPr>
            <w:tcW w:type="dxa" w:w="751"/>
            <w:tcW w:type="dxa" w:w="75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5,089</w:t>
            </w:r>
          </w:p>
        </w:tc>
        <w:tc>
          <w:tcPr>
            <w:tcW w:type="dxa" w:w="1072"/>
            <w:tcW w:type="dxa" w:w="107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1.96x</w:t>
            </w:r>
          </w:p>
        </w:tc>
        <w:tc>
          <w:tcPr>
            <w:tcW w:type="dxa" w:w="1180"/>
            <w:tcW w:type="dxa" w:w="118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6.0x</w:t>
            </w:r>
          </w:p>
        </w:tc>
        <w:tc>
          <w:tcPr>
            <w:tcW w:type="dxa" w:w="1180"/>
            <w:tcW w:type="dxa" w:w="118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6.6x</w:t>
            </w:r>
          </w:p>
        </w:tc>
        <w:tc>
          <w:tcPr>
            <w:tcW w:type="dxa" w:w="965"/>
            <w:tcW w:type="dxa" w:w="96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9.7x</w:t>
            </w:r>
          </w:p>
        </w:tc>
        <w:tc>
          <w:tcPr>
            <w:tcW w:type="dxa" w:w="643"/>
            <w:tcW w:type="dxa" w:w="64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3.0x</w:t>
            </w:r>
          </w:p>
        </w:tc>
        <w:tc>
          <w:tcPr>
            <w:tcW w:type="dxa" w:w="643"/>
            <w:tcW w:type="dxa" w:w="64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9.7x</w:t>
            </w:r>
          </w:p>
        </w:tc>
      </w:tr>
      <w:tr>
        <w:trPr>
          <w:cantSplit/>
        </w:trPr>
        <w:tc>
          <w:tcPr>
            <w:tcW w:type="dxa" w:w="1966"/>
            <w:tcW w:type="dxa" w:w="196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Churchill Downs</w:t>
            </w:r>
          </w:p>
        </w:tc>
        <w:tc>
          <w:tcPr>
            <w:tcW w:type="dxa" w:w="1502"/>
            <w:tcW w:type="dxa" w:w="150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NasdaqGS:CHDN</w:t>
            </w:r>
          </w:p>
        </w:tc>
        <w:tc>
          <w:tcPr>
            <w:tcW w:type="dxa" w:w="751"/>
            <w:tcW w:type="dxa" w:w="75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5,694</w:t>
            </w:r>
          </w:p>
        </w:tc>
        <w:tc>
          <w:tcPr>
            <w:tcW w:type="dxa" w:w="1072"/>
            <w:tcW w:type="dxa" w:w="107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3.48x</w:t>
            </w:r>
          </w:p>
        </w:tc>
        <w:tc>
          <w:tcPr>
            <w:tcW w:type="dxa" w:w="1180"/>
            <w:tcW w:type="dxa" w:w="118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8.9x</w:t>
            </w:r>
          </w:p>
        </w:tc>
        <w:tc>
          <w:tcPr>
            <w:tcW w:type="dxa" w:w="1180"/>
            <w:tcW w:type="dxa" w:w="118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8.3x</w:t>
            </w:r>
          </w:p>
        </w:tc>
        <w:tc>
          <w:tcPr>
            <w:tcW w:type="dxa" w:w="965"/>
            <w:tcW w:type="dxa" w:w="96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11.3x</w:t>
            </w:r>
          </w:p>
        </w:tc>
        <w:tc>
          <w:tcPr>
            <w:tcW w:type="dxa" w:w="643"/>
            <w:tcW w:type="dxa" w:w="64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13.9x</w:t>
            </w:r>
          </w:p>
        </w:tc>
        <w:tc>
          <w:tcPr>
            <w:tcW w:type="dxa" w:w="643"/>
            <w:tcW w:type="dxa" w:w="64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11.6x</w:t>
            </w:r>
          </w:p>
        </w:tc>
      </w:tr>
      <w:tr>
        <w:trPr>
          <w:cantSplit/>
        </w:trPr>
        <w:tc>
          <w:tcPr>
            <w:tcW w:type="dxa" w:w="1966"/>
            <w:tcW w:type="dxa" w:w="196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Red Rock Resorts</w:t>
            </w:r>
          </w:p>
        </w:tc>
        <w:tc>
          <w:tcPr>
            <w:tcW w:type="dxa" w:w="1502"/>
            <w:tcW w:type="dxa" w:w="150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NasdaqGS:RRR</w:t>
            </w:r>
          </w:p>
        </w:tc>
        <w:tc>
          <w:tcPr>
            <w:tcW w:type="dxa" w:w="751"/>
            <w:tcW w:type="dxa" w:w="75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2,854</w:t>
            </w:r>
          </w:p>
        </w:tc>
        <w:tc>
          <w:tcPr>
            <w:tcW w:type="dxa" w:w="1072"/>
            <w:tcW w:type="dxa" w:w="107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3.23x</w:t>
            </w:r>
          </w:p>
        </w:tc>
        <w:tc>
          <w:tcPr>
            <w:tcW w:type="dxa" w:w="1180"/>
            <w:tcW w:type="dxa" w:w="118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7.9x</w:t>
            </w:r>
          </w:p>
        </w:tc>
        <w:tc>
          <w:tcPr>
            <w:tcW w:type="dxa" w:w="1180"/>
            <w:tcW w:type="dxa" w:w="118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7.5x</w:t>
            </w:r>
          </w:p>
        </w:tc>
        <w:tc>
          <w:tcPr>
            <w:tcW w:type="dxa" w:w="965"/>
            <w:tcW w:type="dxa" w:w="96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11.2x</w:t>
            </w:r>
          </w:p>
        </w:tc>
        <w:tc>
          <w:tcPr>
            <w:tcW w:type="dxa" w:w="643"/>
            <w:tcW w:type="dxa" w:w="64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17.4x</w:t>
            </w:r>
          </w:p>
        </w:tc>
        <w:tc>
          <w:tcPr>
            <w:tcW w:type="dxa" w:w="643"/>
            <w:tcW w:type="dxa" w:w="64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20.2x</w:t>
            </w:r>
          </w:p>
        </w:tc>
      </w:tr>
      <w:tr>
        <w:trPr>
          <w:cantSplit/>
        </w:trPr>
        <w:tc>
          <w:tcPr>
            <w:tcW w:type="dxa" w:w="1966"/>
            <w:tcW w:type="dxa" w:w="196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Monarch Casino &amp; Resort</w:t>
            </w:r>
          </w:p>
        </w:tc>
        <w:tc>
          <w:tcPr>
            <w:tcW w:type="dxa" w:w="1502"/>
            <w:tcW w:type="dxa" w:w="150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NasdaqGS:MCRI</w:t>
            </w:r>
          </w:p>
        </w:tc>
        <w:tc>
          <w:tcPr>
            <w:tcW w:type="dxa" w:w="751"/>
            <w:tcW w:type="dxa" w:w="75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2,036</w:t>
            </w:r>
          </w:p>
        </w:tc>
        <w:tc>
          <w:tcPr>
            <w:tcW w:type="dxa" w:w="1072"/>
            <w:tcW w:type="dxa" w:w="107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3.40x</w:t>
            </w:r>
          </w:p>
        </w:tc>
        <w:tc>
          <w:tcPr>
            <w:tcW w:type="dxa" w:w="1180"/>
            <w:tcW w:type="dxa" w:w="118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9.6x</w:t>
            </w:r>
          </w:p>
        </w:tc>
        <w:tc>
          <w:tcPr>
            <w:tcW w:type="dxa" w:w="1180"/>
            <w:tcW w:type="dxa" w:w="118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8.9x</w:t>
            </w:r>
          </w:p>
        </w:tc>
        <w:tc>
          <w:tcPr>
            <w:tcW w:type="dxa" w:w="965"/>
            <w:tcW w:type="dxa" w:w="96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12.8x</w:t>
            </w:r>
          </w:p>
        </w:tc>
        <w:tc>
          <w:tcPr>
            <w:tcW w:type="dxa" w:w="643"/>
            <w:tcW w:type="dxa" w:w="64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18.2x</w:t>
            </w:r>
          </w:p>
        </w:tc>
        <w:tc>
          <w:tcPr>
            <w:tcW w:type="dxa" w:w="643"/>
            <w:tcW w:type="dxa" w:w="64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16.6x</w:t>
            </w:r>
          </w:p>
        </w:tc>
      </w:tr>
      <w:tr>
        <w:trPr>
          <w:cantSplit/>
        </w:trPr>
        <w:tc>
          <w:tcPr>
            <w:tcW w:type="dxa" w:w="1966"/>
            <w:tcW w:type="dxa" w:w="196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PENN Entertainment</w:t>
            </w:r>
          </w:p>
        </w:tc>
        <w:tc>
          <w:tcPr>
            <w:tcW w:type="dxa" w:w="1502"/>
            <w:tcW w:type="dxa" w:w="150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NasdaqGS:PENN</w:t>
            </w:r>
          </w:p>
        </w:tc>
        <w:tc>
          <w:tcPr>
            <w:tcW w:type="dxa" w:w="751"/>
            <w:tcW w:type="dxa" w:w="75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1,903</w:t>
            </w:r>
          </w:p>
        </w:tc>
        <w:tc>
          <w:tcPr>
            <w:tcW w:type="dxa" w:w="1072"/>
            <w:tcW w:type="dxa" w:w="107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1.69x</w:t>
            </w:r>
          </w:p>
        </w:tc>
        <w:tc>
          <w:tcPr>
            <w:tcW w:type="dxa" w:w="1180"/>
            <w:tcW w:type="dxa" w:w="118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7.2x</w:t>
            </w:r>
          </w:p>
        </w:tc>
        <w:tc>
          <w:tcPr>
            <w:tcW w:type="dxa" w:w="1180"/>
            <w:tcW w:type="dxa" w:w="118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6.4x</w:t>
            </w:r>
          </w:p>
        </w:tc>
        <w:tc>
          <w:tcPr>
            <w:tcW w:type="dxa" w:w="965"/>
            <w:tcW w:type="dxa" w:w="96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27.2x</w:t>
            </w:r>
          </w:p>
        </w:tc>
        <w:tc>
          <w:tcPr>
            <w:tcW w:type="dxa" w:w="643"/>
            <w:tcW w:type="dxa" w:w="64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n/a</w:t>
            </w:r>
          </w:p>
        </w:tc>
        <w:tc>
          <w:tcPr>
            <w:tcW w:type="dxa" w:w="643"/>
            <w:tcW w:type="dxa" w:w="64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9.4x</w:t>
            </w:r>
          </w:p>
        </w:tc>
      </w:tr>
      <w:tr>
        <w:trPr>
          <w:cantSplit/>
        </w:trPr>
        <w:tc>
          <w:tcPr>
            <w:tcW w:type="dxa" w:w="1966"/>
            <w:tcW w:type="dxa" w:w="196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Rank Group</w:t>
            </w:r>
          </w:p>
        </w:tc>
        <w:tc>
          <w:tcPr>
            <w:tcW w:type="dxa" w:w="1502"/>
            <w:tcW w:type="dxa" w:w="150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LSE:RNK</w:t>
            </w:r>
          </w:p>
        </w:tc>
        <w:tc>
          <w:tcPr>
            <w:tcW w:type="dxa" w:w="751"/>
            <w:tcW w:type="dxa" w:w="75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470</w:t>
            </w:r>
          </w:p>
        </w:tc>
        <w:tc>
          <w:tcPr>
            <w:tcW w:type="dxa" w:w="1072"/>
            <w:tcW w:type="dxa" w:w="107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0.61x</w:t>
            </w:r>
          </w:p>
        </w:tc>
        <w:tc>
          <w:tcPr>
            <w:tcW w:type="dxa" w:w="1180"/>
            <w:tcW w:type="dxa" w:w="118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4.0x</w:t>
            </w:r>
          </w:p>
        </w:tc>
        <w:tc>
          <w:tcPr>
            <w:tcW w:type="dxa" w:w="1180"/>
            <w:tcW w:type="dxa" w:w="118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3.9x</w:t>
            </w:r>
          </w:p>
        </w:tc>
        <w:tc>
          <w:tcPr>
            <w:tcW w:type="dxa" w:w="965"/>
            <w:tcW w:type="dxa" w:w="96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6.6x</w:t>
            </w:r>
          </w:p>
        </w:tc>
        <w:tc>
          <w:tcPr>
            <w:tcW w:type="dxa" w:w="643"/>
            <w:tcW w:type="dxa" w:w="64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12.0x</w:t>
            </w:r>
          </w:p>
        </w:tc>
        <w:tc>
          <w:tcPr>
            <w:tcW w:type="dxa" w:w="643"/>
            <w:tcW w:type="dxa" w:w="64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8.4x</w:t>
            </w:r>
          </w:p>
        </w:tc>
      </w:tr>
      <w:tr>
        <w:trPr>
          <w:cantSplit/>
        </w:trPr>
        <w:tc>
          <w:tcPr>
            <w:tcW w:type="dxa" w:w="1966"/>
            <w:tcW w:type="dxa" w:w="1966"/>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b/>
                <w:sz w:val="15"/>
              </w:rPr>
              <w:t>Peer median (ex-Kangwon Land, 31 names)</w:t>
            </w:r>
          </w:p>
        </w:tc>
        <w:tc>
          <w:tcPr>
            <w:tcW w:type="dxa" w:w="1502"/>
            <w:tcW w:type="dxa" w:w="1502"/>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p>
        </w:tc>
        <w:tc>
          <w:tcPr>
            <w:tcW w:type="dxa" w:w="751"/>
            <w:tcW w:type="dxa" w:w="751"/>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right"/>
            </w:pPr>
          </w:p>
        </w:tc>
        <w:tc>
          <w:tcPr>
            <w:tcW w:type="dxa" w:w="1072"/>
            <w:tcW w:type="dxa" w:w="1072"/>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right"/>
            </w:pPr>
            <w:r>
              <w:rPr>
                <w:rFonts w:ascii="Arial" w:hAnsi="Arial"/>
                <w:b/>
                <w:sz w:val="15"/>
              </w:rPr>
              <w:t>1.81x</w:t>
            </w:r>
          </w:p>
        </w:tc>
        <w:tc>
          <w:tcPr>
            <w:tcW w:type="dxa" w:w="1180"/>
            <w:tcW w:type="dxa" w:w="1180"/>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right"/>
            </w:pPr>
            <w:r>
              <w:rPr>
                <w:rFonts w:ascii="Arial" w:hAnsi="Arial"/>
                <w:b/>
                <w:sz w:val="15"/>
              </w:rPr>
              <w:t>8.0x</w:t>
            </w:r>
          </w:p>
        </w:tc>
        <w:tc>
          <w:tcPr>
            <w:tcW w:type="dxa" w:w="1180"/>
            <w:tcW w:type="dxa" w:w="1180"/>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right"/>
            </w:pPr>
            <w:r>
              <w:rPr>
                <w:rFonts w:ascii="Arial" w:hAnsi="Arial"/>
                <w:b/>
                <w:sz w:val="15"/>
              </w:rPr>
              <w:t>7.5x</w:t>
            </w:r>
          </w:p>
        </w:tc>
        <w:tc>
          <w:tcPr>
            <w:tcW w:type="dxa" w:w="965"/>
            <w:tcW w:type="dxa" w:w="965"/>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right"/>
            </w:pPr>
            <w:r>
              <w:rPr>
                <w:rFonts w:ascii="Arial" w:hAnsi="Arial"/>
                <w:b/>
                <w:sz w:val="15"/>
              </w:rPr>
              <w:t>13.3x</w:t>
            </w:r>
          </w:p>
        </w:tc>
        <w:tc>
          <w:tcPr>
            <w:tcW w:type="dxa" w:w="643"/>
            <w:tcW w:type="dxa" w:w="643"/>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right"/>
            </w:pPr>
            <w:r>
              <w:rPr>
                <w:rFonts w:ascii="Arial" w:hAnsi="Arial"/>
                <w:b/>
                <w:sz w:val="15"/>
              </w:rPr>
              <w:t>13.6x</w:t>
            </w:r>
          </w:p>
        </w:tc>
        <w:tc>
          <w:tcPr>
            <w:tcW w:type="dxa" w:w="643"/>
            <w:tcW w:type="dxa" w:w="643"/>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right"/>
            </w:pPr>
            <w:r>
              <w:rPr>
                <w:rFonts w:ascii="Arial" w:hAnsi="Arial"/>
                <w:b/>
                <w:sz w:val="15"/>
              </w:rPr>
              <w:t>10.7x</w:t>
            </w:r>
          </w:p>
        </w:tc>
      </w:tr>
    </w:tbl>
    <w:p>
      <w:pPr>
        <w:spacing w:before="0" w:after="40" w:line="240" w:lineRule="auto"/>
      </w:pPr>
    </w:p>
    <w:p>
      <w:pPr>
        <w:spacing w:before="0" w:after="100" w:line="288" w:lineRule="auto"/>
      </w:pPr>
      <w:r>
        <w:rPr>
          <w:rFonts w:ascii="Arial" w:hAnsi="Arial"/>
          <w:i/>
          <w:color w:val="5A6270"/>
          <w:sz w:val="15"/>
        </w:rPr>
        <w:t>Source: S&amp;P Capital IQ, 16-Oct-2026 (Kangwon Land at KRW14,260 that day). The median covers all 31 peers in our Genting Malaysia report, including those not shown here (Melco International, Studio City, Bally's, Century, Full House). n.m. = negative TEV.</w:t>
      </w:r>
    </w:p>
    <w:p>
      <w:pPr>
        <w:pStyle w:val="Heading2"/>
        <w:keepNext/>
        <w:spacing w:before="160" w:after="80" w:line="264" w:lineRule="auto"/>
      </w:pPr>
      <w:r>
        <w:rPr>
          <w:rFonts w:ascii="Arial" w:hAnsi="Arial"/>
        </w:rPr>
        <w:t>14.3 Listed peer comparison (operating and balance-sheet metrics)</w:t>
      </w:r>
    </w:p>
    <w:tbl>
      <w:tblPr>
        <w:tblW w:type="auto" w:w="0"/>
        <w:jc w:val="center"/>
        <w:tblLook w:firstColumn="1" w:firstRow="1" w:lastColumn="0" w:lastRow="0" w:noHBand="0" w:noVBand="1" w:val="04A0"/>
        <w:tblLayout w:type="fixed"/>
        <w:tblW w:type="dxa" w:w="9906"/>
      </w:tblPr>
      <w:tblGrid>
        <w:gridCol w:w="2292"/>
        <w:gridCol w:w="1575"/>
        <w:gridCol w:w="918"/>
        <w:gridCol w:w="918"/>
        <w:gridCol w:w="918"/>
        <w:gridCol w:w="1575"/>
        <w:gridCol w:w="787"/>
        <w:gridCol w:w="918"/>
      </w:tblGrid>
      <w:tr>
        <w:trPr>
          <w:tblHeader/>
        </w:trPr>
        <w:tc>
          <w:tcPr>
            <w:tcW w:type="dxa" w:w="2292"/>
            <w:tcW w:type="dxa" w:w="2292"/>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Company</w:t>
            </w:r>
          </w:p>
        </w:tc>
        <w:tc>
          <w:tcPr>
            <w:tcW w:type="dxa" w:w="1575"/>
            <w:tcW w:type="dxa" w:w="1575"/>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Country</w:t>
            </w:r>
          </w:p>
        </w:tc>
        <w:tc>
          <w:tcPr>
            <w:tcW w:type="dxa" w:w="918"/>
            <w:tcW w:type="dxa" w:w="918"/>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right"/>
            </w:pPr>
            <w:r>
              <w:rPr>
                <w:rFonts w:ascii="Arial" w:hAnsi="Arial"/>
                <w:b/>
                <w:color w:val="FFFFFF"/>
                <w:sz w:val="15"/>
              </w:rPr>
              <w:t>EBITDA margin</w:t>
            </w:r>
          </w:p>
        </w:tc>
        <w:tc>
          <w:tcPr>
            <w:tcW w:type="dxa" w:w="918"/>
            <w:tcW w:type="dxa" w:w="918"/>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right"/>
            </w:pPr>
            <w:r>
              <w:rPr>
                <w:rFonts w:ascii="Arial" w:hAnsi="Arial"/>
                <w:b/>
                <w:color w:val="FFFFFF"/>
                <w:sz w:val="15"/>
              </w:rPr>
              <w:t>EBIT margin</w:t>
            </w:r>
          </w:p>
        </w:tc>
        <w:tc>
          <w:tcPr>
            <w:tcW w:type="dxa" w:w="918"/>
            <w:tcW w:type="dxa" w:w="918"/>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right"/>
            </w:pPr>
            <w:r>
              <w:rPr>
                <w:rFonts w:ascii="Arial" w:hAnsi="Arial"/>
                <w:b/>
                <w:color w:val="FFFFFF"/>
                <w:sz w:val="15"/>
              </w:rPr>
              <w:t>Sales growth (LTM)</w:t>
            </w:r>
          </w:p>
        </w:tc>
        <w:tc>
          <w:tcPr>
            <w:tcW w:type="dxa" w:w="1575"/>
            <w:tcW w:type="dxa" w:w="1575"/>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right"/>
            </w:pPr>
            <w:r>
              <w:rPr>
                <w:rFonts w:ascii="Arial" w:hAnsi="Arial"/>
                <w:b/>
                <w:color w:val="FFFFFF"/>
                <w:sz w:val="15"/>
              </w:rPr>
              <w:t>Net debt/EBITDA</w:t>
            </w:r>
          </w:p>
        </w:tc>
        <w:tc>
          <w:tcPr>
            <w:tcW w:type="dxa" w:w="787"/>
            <w:tcW w:type="dxa" w:w="787"/>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right"/>
            </w:pPr>
            <w:r>
              <w:rPr>
                <w:rFonts w:ascii="Arial" w:hAnsi="Arial"/>
                <w:b/>
                <w:color w:val="FFFFFF"/>
                <w:sz w:val="15"/>
              </w:rPr>
              <w:t>Div. yield</w:t>
            </w:r>
          </w:p>
        </w:tc>
        <w:tc>
          <w:tcPr>
            <w:tcW w:type="dxa" w:w="918"/>
            <w:tcW w:type="dxa" w:w="918"/>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right"/>
            </w:pPr>
            <w:r>
              <w:rPr>
                <w:rFonts w:ascii="Arial" w:hAnsi="Arial"/>
                <w:b/>
                <w:color w:val="FFFFFF"/>
                <w:sz w:val="15"/>
              </w:rPr>
              <w:t>FCF yield</w:t>
            </w:r>
          </w:p>
        </w:tc>
      </w:tr>
      <w:tr>
        <w:trPr>
          <w:cantSplit/>
        </w:trPr>
        <w:tc>
          <w:tcPr>
            <w:tcW w:type="dxa" w:w="2292"/>
            <w:tcW w:type="dxa" w:w="2292"/>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b/>
                <w:sz w:val="15"/>
              </w:rPr>
              <w:t>Kangwon Land</w:t>
            </w:r>
          </w:p>
        </w:tc>
        <w:tc>
          <w:tcPr>
            <w:tcW w:type="dxa" w:w="1575"/>
            <w:tcW w:type="dxa" w:w="1575"/>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sz w:val="15"/>
              </w:rPr>
              <w:t>South Korea</w:t>
            </w:r>
          </w:p>
        </w:tc>
        <w:tc>
          <w:tcPr>
            <w:tcW w:type="dxa" w:w="918"/>
            <w:tcW w:type="dxa" w:w="918"/>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right"/>
            </w:pPr>
            <w:r>
              <w:rPr>
                <w:rFonts w:ascii="Arial" w:hAnsi="Arial"/>
                <w:sz w:val="15"/>
              </w:rPr>
              <w:t>20.7%</w:t>
            </w:r>
          </w:p>
        </w:tc>
        <w:tc>
          <w:tcPr>
            <w:tcW w:type="dxa" w:w="918"/>
            <w:tcW w:type="dxa" w:w="918"/>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right"/>
            </w:pPr>
            <w:r>
              <w:rPr>
                <w:rFonts w:ascii="Arial" w:hAnsi="Arial"/>
                <w:sz w:val="15"/>
              </w:rPr>
              <w:t>14.6%</w:t>
            </w:r>
          </w:p>
        </w:tc>
        <w:tc>
          <w:tcPr>
            <w:tcW w:type="dxa" w:w="918"/>
            <w:tcW w:type="dxa" w:w="918"/>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right"/>
            </w:pPr>
            <w:r>
              <w:rPr>
                <w:rFonts w:ascii="Arial" w:hAnsi="Arial"/>
                <w:sz w:val="15"/>
              </w:rPr>
              <w:t>1.8%</w:t>
            </w:r>
          </w:p>
        </w:tc>
        <w:tc>
          <w:tcPr>
            <w:tcW w:type="dxa" w:w="1575"/>
            <w:tcW w:type="dxa" w:w="1575"/>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right"/>
            </w:pPr>
            <w:r>
              <w:rPr>
                <w:rFonts w:ascii="Arial" w:hAnsi="Arial"/>
                <w:b/>
                <w:sz w:val="15"/>
              </w:rPr>
              <w:t>−9.6x</w:t>
            </w:r>
          </w:p>
        </w:tc>
        <w:tc>
          <w:tcPr>
            <w:tcW w:type="dxa" w:w="787"/>
            <w:tcW w:type="dxa" w:w="787"/>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right"/>
            </w:pPr>
            <w:r>
              <w:rPr>
                <w:rFonts w:ascii="Arial" w:hAnsi="Arial"/>
                <w:sz w:val="15"/>
              </w:rPr>
              <w:t>6.7%</w:t>
            </w:r>
          </w:p>
        </w:tc>
        <w:tc>
          <w:tcPr>
            <w:tcW w:type="dxa" w:w="918"/>
            <w:tcW w:type="dxa" w:w="918"/>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right"/>
            </w:pPr>
            <w:r>
              <w:rPr>
                <w:rFonts w:ascii="Arial" w:hAnsi="Arial"/>
                <w:sz w:val="15"/>
              </w:rPr>
              <w:t>4.3%</w:t>
            </w:r>
          </w:p>
        </w:tc>
      </w:tr>
      <w:tr>
        <w:trPr>
          <w:cantSplit/>
        </w:trPr>
        <w:tc>
          <w:tcPr>
            <w:tcW w:type="dxa" w:w="2292"/>
            <w:tcW w:type="dxa" w:w="229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Paradise Co</w:t>
            </w:r>
          </w:p>
        </w:tc>
        <w:tc>
          <w:tcPr>
            <w:tcW w:type="dxa" w:w="1575"/>
            <w:tcW w:type="dxa" w:w="157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South Korea</w:t>
            </w:r>
          </w:p>
        </w:tc>
        <w:tc>
          <w:tcPr>
            <w:tcW w:type="dxa" w:w="918"/>
            <w:tcW w:type="dxa" w:w="91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17.4%</w:t>
            </w:r>
          </w:p>
        </w:tc>
        <w:tc>
          <w:tcPr>
            <w:tcW w:type="dxa" w:w="918"/>
            <w:tcW w:type="dxa" w:w="91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10.8%</w:t>
            </w:r>
          </w:p>
        </w:tc>
        <w:tc>
          <w:tcPr>
            <w:tcW w:type="dxa" w:w="918"/>
            <w:tcW w:type="dxa" w:w="91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8.4%</w:t>
            </w:r>
          </w:p>
        </w:tc>
        <w:tc>
          <w:tcPr>
            <w:tcW w:type="dxa" w:w="1575"/>
            <w:tcW w:type="dxa" w:w="157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3.0x</w:t>
            </w:r>
          </w:p>
        </w:tc>
        <w:tc>
          <w:tcPr>
            <w:tcW w:type="dxa" w:w="787"/>
            <w:tcW w:type="dxa" w:w="78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1.5%</w:t>
            </w:r>
          </w:p>
        </w:tc>
        <w:tc>
          <w:tcPr>
            <w:tcW w:type="dxa" w:w="918"/>
            <w:tcW w:type="dxa" w:w="91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−19.8%</w:t>
            </w:r>
          </w:p>
        </w:tc>
      </w:tr>
      <w:tr>
        <w:trPr>
          <w:cantSplit/>
        </w:trPr>
        <w:tc>
          <w:tcPr>
            <w:tcW w:type="dxa" w:w="2292"/>
            <w:tcW w:type="dxa" w:w="229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Grand Korea Leisure</w:t>
            </w:r>
          </w:p>
        </w:tc>
        <w:tc>
          <w:tcPr>
            <w:tcW w:type="dxa" w:w="1575"/>
            <w:tcW w:type="dxa" w:w="157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South Korea</w:t>
            </w:r>
          </w:p>
        </w:tc>
        <w:tc>
          <w:tcPr>
            <w:tcW w:type="dxa" w:w="918"/>
            <w:tcW w:type="dxa" w:w="91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19.8%</w:t>
            </w:r>
          </w:p>
        </w:tc>
        <w:tc>
          <w:tcPr>
            <w:tcW w:type="dxa" w:w="918"/>
            <w:tcW w:type="dxa" w:w="91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12.4%</w:t>
            </w:r>
          </w:p>
        </w:tc>
        <w:tc>
          <w:tcPr>
            <w:tcW w:type="dxa" w:w="918"/>
            <w:tcW w:type="dxa" w:w="91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8.0%</w:t>
            </w:r>
          </w:p>
        </w:tc>
        <w:tc>
          <w:tcPr>
            <w:tcW w:type="dxa" w:w="1575"/>
            <w:tcW w:type="dxa" w:w="157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−4.3x</w:t>
            </w:r>
          </w:p>
        </w:tc>
        <w:tc>
          <w:tcPr>
            <w:tcW w:type="dxa" w:w="787"/>
            <w:tcW w:type="dxa" w:w="78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4.9%</w:t>
            </w:r>
          </w:p>
        </w:tc>
        <w:tc>
          <w:tcPr>
            <w:tcW w:type="dxa" w:w="918"/>
            <w:tcW w:type="dxa" w:w="91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19.3%</w:t>
            </w:r>
          </w:p>
        </w:tc>
      </w:tr>
      <w:tr>
        <w:trPr>
          <w:cantSplit/>
        </w:trPr>
        <w:tc>
          <w:tcPr>
            <w:tcW w:type="dxa" w:w="2292"/>
            <w:tcW w:type="dxa" w:w="229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Genting Singapore</w:t>
            </w:r>
          </w:p>
        </w:tc>
        <w:tc>
          <w:tcPr>
            <w:tcW w:type="dxa" w:w="1575"/>
            <w:tcW w:type="dxa" w:w="157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Singapore</w:t>
            </w:r>
          </w:p>
        </w:tc>
        <w:tc>
          <w:tcPr>
            <w:tcW w:type="dxa" w:w="918"/>
            <w:tcW w:type="dxa" w:w="91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32.4%</w:t>
            </w:r>
          </w:p>
        </w:tc>
        <w:tc>
          <w:tcPr>
            <w:tcW w:type="dxa" w:w="918"/>
            <w:tcW w:type="dxa" w:w="91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15.4%</w:t>
            </w:r>
          </w:p>
        </w:tc>
        <w:tc>
          <w:tcPr>
            <w:tcW w:type="dxa" w:w="918"/>
            <w:tcW w:type="dxa" w:w="91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2.2%</w:t>
            </w:r>
          </w:p>
        </w:tc>
        <w:tc>
          <w:tcPr>
            <w:tcW w:type="dxa" w:w="1575"/>
            <w:tcW w:type="dxa" w:w="157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−3.7x</w:t>
            </w:r>
          </w:p>
        </w:tc>
        <w:tc>
          <w:tcPr>
            <w:tcW w:type="dxa" w:w="787"/>
            <w:tcW w:type="dxa" w:w="78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6.6%</w:t>
            </w:r>
          </w:p>
        </w:tc>
        <w:tc>
          <w:tcPr>
            <w:tcW w:type="dxa" w:w="918"/>
            <w:tcW w:type="dxa" w:w="91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2.3%</w:t>
            </w:r>
          </w:p>
        </w:tc>
      </w:tr>
      <w:tr>
        <w:trPr>
          <w:cantSplit/>
        </w:trPr>
        <w:tc>
          <w:tcPr>
            <w:tcW w:type="dxa" w:w="2292"/>
            <w:tcW w:type="dxa" w:w="229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Genting Malaysia</w:t>
            </w:r>
          </w:p>
        </w:tc>
        <w:tc>
          <w:tcPr>
            <w:tcW w:type="dxa" w:w="1575"/>
            <w:tcW w:type="dxa" w:w="157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Malaysia</w:t>
            </w:r>
          </w:p>
        </w:tc>
        <w:tc>
          <w:tcPr>
            <w:tcW w:type="dxa" w:w="918"/>
            <w:tcW w:type="dxa" w:w="91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19.2%</w:t>
            </w:r>
          </w:p>
        </w:tc>
        <w:tc>
          <w:tcPr>
            <w:tcW w:type="dxa" w:w="918"/>
            <w:tcW w:type="dxa" w:w="91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8.6%</w:t>
            </w:r>
          </w:p>
        </w:tc>
        <w:tc>
          <w:tcPr>
            <w:tcW w:type="dxa" w:w="918"/>
            <w:tcW w:type="dxa" w:w="91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19.1%</w:t>
            </w:r>
          </w:p>
        </w:tc>
        <w:tc>
          <w:tcPr>
            <w:tcW w:type="dxa" w:w="1575"/>
            <w:tcW w:type="dxa" w:w="157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5.6x</w:t>
            </w:r>
          </w:p>
        </w:tc>
        <w:tc>
          <w:tcPr>
            <w:tcW w:type="dxa" w:w="787"/>
            <w:tcW w:type="dxa" w:w="78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5.5%</w:t>
            </w:r>
          </w:p>
        </w:tc>
        <w:tc>
          <w:tcPr>
            <w:tcW w:type="dxa" w:w="918"/>
            <w:tcW w:type="dxa" w:w="91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7.3%</w:t>
            </w:r>
          </w:p>
        </w:tc>
      </w:tr>
      <w:tr>
        <w:trPr>
          <w:cantSplit/>
        </w:trPr>
        <w:tc>
          <w:tcPr>
            <w:tcW w:type="dxa" w:w="2292"/>
            <w:tcW w:type="dxa" w:w="229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Sands China</w:t>
            </w:r>
          </w:p>
        </w:tc>
        <w:tc>
          <w:tcPr>
            <w:tcW w:type="dxa" w:w="1575"/>
            <w:tcW w:type="dxa" w:w="157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Macau</w:t>
            </w:r>
          </w:p>
        </w:tc>
        <w:tc>
          <w:tcPr>
            <w:tcW w:type="dxa" w:w="918"/>
            <w:tcW w:type="dxa" w:w="91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26.3%</w:t>
            </w:r>
          </w:p>
        </w:tc>
        <w:tc>
          <w:tcPr>
            <w:tcW w:type="dxa" w:w="918"/>
            <w:tcW w:type="dxa" w:w="91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16.3%</w:t>
            </w:r>
          </w:p>
        </w:tc>
        <w:tc>
          <w:tcPr>
            <w:tcW w:type="dxa" w:w="918"/>
            <w:tcW w:type="dxa" w:w="91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11.5%</w:t>
            </w:r>
          </w:p>
        </w:tc>
        <w:tc>
          <w:tcPr>
            <w:tcW w:type="dxa" w:w="1575"/>
            <w:tcW w:type="dxa" w:w="157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2.7x</w:t>
            </w:r>
          </w:p>
        </w:tc>
        <w:tc>
          <w:tcPr>
            <w:tcW w:type="dxa" w:w="787"/>
            <w:tcW w:type="dxa" w:w="78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6.5%</w:t>
            </w:r>
          </w:p>
        </w:tc>
        <w:tc>
          <w:tcPr>
            <w:tcW w:type="dxa" w:w="918"/>
            <w:tcW w:type="dxa" w:w="91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14.4%</w:t>
            </w:r>
          </w:p>
        </w:tc>
      </w:tr>
      <w:tr>
        <w:trPr>
          <w:cantSplit/>
        </w:trPr>
        <w:tc>
          <w:tcPr>
            <w:tcW w:type="dxa" w:w="2292"/>
            <w:tcW w:type="dxa" w:w="229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Galaxy Entertainment</w:t>
            </w:r>
          </w:p>
        </w:tc>
        <w:tc>
          <w:tcPr>
            <w:tcW w:type="dxa" w:w="1575"/>
            <w:tcW w:type="dxa" w:w="157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Macau</w:t>
            </w:r>
          </w:p>
        </w:tc>
        <w:tc>
          <w:tcPr>
            <w:tcW w:type="dxa" w:w="918"/>
            <w:tcW w:type="dxa" w:w="91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26.9%</w:t>
            </w:r>
          </w:p>
        </w:tc>
        <w:tc>
          <w:tcPr>
            <w:tcW w:type="dxa" w:w="918"/>
            <w:tcW w:type="dxa" w:w="91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19.2%</w:t>
            </w:r>
          </w:p>
        </w:tc>
        <w:tc>
          <w:tcPr>
            <w:tcW w:type="dxa" w:w="918"/>
            <w:tcW w:type="dxa" w:w="91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11.1%</w:t>
            </w:r>
          </w:p>
        </w:tc>
        <w:tc>
          <w:tcPr>
            <w:tcW w:type="dxa" w:w="1575"/>
            <w:tcW w:type="dxa" w:w="157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−0.8x</w:t>
            </w:r>
          </w:p>
        </w:tc>
        <w:tc>
          <w:tcPr>
            <w:tcW w:type="dxa" w:w="787"/>
            <w:tcW w:type="dxa" w:w="78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4.5%</w:t>
            </w:r>
          </w:p>
        </w:tc>
        <w:tc>
          <w:tcPr>
            <w:tcW w:type="dxa" w:w="918"/>
            <w:tcW w:type="dxa" w:w="91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7.6%</w:t>
            </w:r>
          </w:p>
        </w:tc>
      </w:tr>
      <w:tr>
        <w:trPr>
          <w:cantSplit/>
        </w:trPr>
        <w:tc>
          <w:tcPr>
            <w:tcW w:type="dxa" w:w="2292"/>
            <w:tcW w:type="dxa" w:w="229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MGM China</w:t>
            </w:r>
          </w:p>
        </w:tc>
        <w:tc>
          <w:tcPr>
            <w:tcW w:type="dxa" w:w="1575"/>
            <w:tcW w:type="dxa" w:w="157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Macau</w:t>
            </w:r>
          </w:p>
        </w:tc>
        <w:tc>
          <w:tcPr>
            <w:tcW w:type="dxa" w:w="918"/>
            <w:tcW w:type="dxa" w:w="91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23.5%</w:t>
            </w:r>
          </w:p>
        </w:tc>
        <w:tc>
          <w:tcPr>
            <w:tcW w:type="dxa" w:w="918"/>
            <w:tcW w:type="dxa" w:w="91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17.1%</w:t>
            </w:r>
          </w:p>
        </w:tc>
        <w:tc>
          <w:tcPr>
            <w:tcW w:type="dxa" w:w="918"/>
            <w:tcW w:type="dxa" w:w="91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11.6%</w:t>
            </w:r>
          </w:p>
        </w:tc>
        <w:tc>
          <w:tcPr>
            <w:tcW w:type="dxa" w:w="1575"/>
            <w:tcW w:type="dxa" w:w="157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1.7x</w:t>
            </w:r>
          </w:p>
        </w:tc>
        <w:tc>
          <w:tcPr>
            <w:tcW w:type="dxa" w:w="787"/>
            <w:tcW w:type="dxa" w:w="78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6.8%</w:t>
            </w:r>
          </w:p>
        </w:tc>
        <w:tc>
          <w:tcPr>
            <w:tcW w:type="dxa" w:w="918"/>
            <w:tcW w:type="dxa" w:w="91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17.7%</w:t>
            </w:r>
          </w:p>
        </w:tc>
      </w:tr>
      <w:tr>
        <w:trPr>
          <w:cantSplit/>
        </w:trPr>
        <w:tc>
          <w:tcPr>
            <w:tcW w:type="dxa" w:w="2292"/>
            <w:tcW w:type="dxa" w:w="229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NagaCorp</w:t>
            </w:r>
          </w:p>
        </w:tc>
        <w:tc>
          <w:tcPr>
            <w:tcW w:type="dxa" w:w="1575"/>
            <w:tcW w:type="dxa" w:w="157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Cambodia</w:t>
            </w:r>
          </w:p>
        </w:tc>
        <w:tc>
          <w:tcPr>
            <w:tcW w:type="dxa" w:w="918"/>
            <w:tcW w:type="dxa" w:w="91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61.9%</w:t>
            </w:r>
          </w:p>
        </w:tc>
        <w:tc>
          <w:tcPr>
            <w:tcW w:type="dxa" w:w="918"/>
            <w:tcW w:type="dxa" w:w="91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46.5%</w:t>
            </w:r>
          </w:p>
        </w:tc>
        <w:tc>
          <w:tcPr>
            <w:tcW w:type="dxa" w:w="918"/>
            <w:tcW w:type="dxa" w:w="91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11.4%</w:t>
            </w:r>
          </w:p>
        </w:tc>
        <w:tc>
          <w:tcPr>
            <w:tcW w:type="dxa" w:w="1575"/>
            <w:tcW w:type="dxa" w:w="157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−0.8x</w:t>
            </w:r>
          </w:p>
        </w:tc>
        <w:tc>
          <w:tcPr>
            <w:tcW w:type="dxa" w:w="787"/>
            <w:tcW w:type="dxa" w:w="78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3.3%</w:t>
            </w:r>
          </w:p>
        </w:tc>
        <w:tc>
          <w:tcPr>
            <w:tcW w:type="dxa" w:w="918"/>
            <w:tcW w:type="dxa" w:w="91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22.4%</w:t>
            </w:r>
          </w:p>
        </w:tc>
      </w:tr>
      <w:tr>
        <w:trPr>
          <w:cantSplit/>
        </w:trPr>
        <w:tc>
          <w:tcPr>
            <w:tcW w:type="dxa" w:w="2292"/>
            <w:tcW w:type="dxa" w:w="229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Bloomberry Resorts</w:t>
            </w:r>
          </w:p>
        </w:tc>
        <w:tc>
          <w:tcPr>
            <w:tcW w:type="dxa" w:w="1575"/>
            <w:tcW w:type="dxa" w:w="157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Philippines</w:t>
            </w:r>
          </w:p>
        </w:tc>
        <w:tc>
          <w:tcPr>
            <w:tcW w:type="dxa" w:w="918"/>
            <w:tcW w:type="dxa" w:w="91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18.0%</w:t>
            </w:r>
          </w:p>
        </w:tc>
        <w:tc>
          <w:tcPr>
            <w:tcW w:type="dxa" w:w="918"/>
            <w:tcW w:type="dxa" w:w="91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3.7%</w:t>
            </w:r>
          </w:p>
        </w:tc>
        <w:tc>
          <w:tcPr>
            <w:tcW w:type="dxa" w:w="918"/>
            <w:tcW w:type="dxa" w:w="91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−4.9%</w:t>
            </w:r>
          </w:p>
        </w:tc>
        <w:tc>
          <w:tcPr>
            <w:tcW w:type="dxa" w:w="1575"/>
            <w:tcW w:type="dxa" w:w="157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8.3x</w:t>
            </w:r>
          </w:p>
        </w:tc>
        <w:tc>
          <w:tcPr>
            <w:tcW w:type="dxa" w:w="787"/>
            <w:tcW w:type="dxa" w:w="78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0.0%</w:t>
            </w:r>
          </w:p>
        </w:tc>
        <w:tc>
          <w:tcPr>
            <w:tcW w:type="dxa" w:w="918"/>
            <w:tcW w:type="dxa" w:w="91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22.4%</w:t>
            </w:r>
          </w:p>
        </w:tc>
      </w:tr>
      <w:tr>
        <w:trPr>
          <w:cantSplit/>
        </w:trPr>
        <w:tc>
          <w:tcPr>
            <w:tcW w:type="dxa" w:w="2292"/>
            <w:tcW w:type="dxa" w:w="229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Caesars Entertainment</w:t>
            </w:r>
          </w:p>
        </w:tc>
        <w:tc>
          <w:tcPr>
            <w:tcW w:type="dxa" w:w="1575"/>
            <w:tcW w:type="dxa" w:w="157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USA</w:t>
            </w:r>
          </w:p>
        </w:tc>
        <w:tc>
          <w:tcPr>
            <w:tcW w:type="dxa" w:w="918"/>
            <w:tcW w:type="dxa" w:w="91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31.6%</w:t>
            </w:r>
          </w:p>
        </w:tc>
        <w:tc>
          <w:tcPr>
            <w:tcW w:type="dxa" w:w="918"/>
            <w:tcW w:type="dxa" w:w="91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17.6%</w:t>
            </w:r>
          </w:p>
        </w:tc>
        <w:tc>
          <w:tcPr>
            <w:tcW w:type="dxa" w:w="918"/>
            <w:tcW w:type="dxa" w:w="91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2.4%</w:t>
            </w:r>
          </w:p>
        </w:tc>
        <w:tc>
          <w:tcPr>
            <w:tcW w:type="dxa" w:w="1575"/>
            <w:tcW w:type="dxa" w:w="157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6.8x</w:t>
            </w:r>
          </w:p>
        </w:tc>
        <w:tc>
          <w:tcPr>
            <w:tcW w:type="dxa" w:w="787"/>
            <w:tcW w:type="dxa" w:w="78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0.0%</w:t>
            </w:r>
          </w:p>
        </w:tc>
        <w:tc>
          <w:tcPr>
            <w:tcW w:type="dxa" w:w="918"/>
            <w:tcW w:type="dxa" w:w="91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10.4%</w:t>
            </w:r>
          </w:p>
        </w:tc>
      </w:tr>
      <w:tr>
        <w:trPr>
          <w:cantSplit/>
        </w:trPr>
        <w:tc>
          <w:tcPr>
            <w:tcW w:type="dxa" w:w="2292"/>
            <w:tcW w:type="dxa" w:w="229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Boyd Gaming</w:t>
            </w:r>
          </w:p>
        </w:tc>
        <w:tc>
          <w:tcPr>
            <w:tcW w:type="dxa" w:w="1575"/>
            <w:tcW w:type="dxa" w:w="157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USA</w:t>
            </w:r>
          </w:p>
        </w:tc>
        <w:tc>
          <w:tcPr>
            <w:tcW w:type="dxa" w:w="918"/>
            <w:tcW w:type="dxa" w:w="91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32.6%</w:t>
            </w:r>
          </w:p>
        </w:tc>
        <w:tc>
          <w:tcPr>
            <w:tcW w:type="dxa" w:w="918"/>
            <w:tcW w:type="dxa" w:w="91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20.3%</w:t>
            </w:r>
          </w:p>
        </w:tc>
        <w:tc>
          <w:tcPr>
            <w:tcW w:type="dxa" w:w="918"/>
            <w:tcW w:type="dxa" w:w="91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1.8%</w:t>
            </w:r>
          </w:p>
        </w:tc>
        <w:tc>
          <w:tcPr>
            <w:tcW w:type="dxa" w:w="1575"/>
            <w:tcW w:type="dxa" w:w="157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2.2x</w:t>
            </w:r>
          </w:p>
        </w:tc>
        <w:tc>
          <w:tcPr>
            <w:tcW w:type="dxa" w:w="787"/>
            <w:tcW w:type="dxa" w:w="78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1.1%</w:t>
            </w:r>
          </w:p>
        </w:tc>
        <w:tc>
          <w:tcPr>
            <w:tcW w:type="dxa" w:w="918"/>
            <w:tcW w:type="dxa" w:w="91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0.7%</w:t>
            </w:r>
          </w:p>
        </w:tc>
      </w:tr>
      <w:tr>
        <w:trPr>
          <w:cantSplit/>
        </w:trPr>
        <w:tc>
          <w:tcPr>
            <w:tcW w:type="dxa" w:w="2292"/>
            <w:tcW w:type="dxa" w:w="2292"/>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b/>
                <w:sz w:val="15"/>
              </w:rPr>
              <w:t>Peer median (ex-Kangwon Land)</w:t>
            </w:r>
          </w:p>
        </w:tc>
        <w:tc>
          <w:tcPr>
            <w:tcW w:type="dxa" w:w="1575"/>
            <w:tcW w:type="dxa" w:w="1575"/>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p>
        </w:tc>
        <w:tc>
          <w:tcPr>
            <w:tcW w:type="dxa" w:w="918"/>
            <w:tcW w:type="dxa" w:w="918"/>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right"/>
            </w:pPr>
            <w:r>
              <w:rPr>
                <w:rFonts w:ascii="Arial" w:hAnsi="Arial"/>
                <w:b/>
                <w:sz w:val="15"/>
              </w:rPr>
              <w:t>24.6%</w:t>
            </w:r>
          </w:p>
        </w:tc>
        <w:tc>
          <w:tcPr>
            <w:tcW w:type="dxa" w:w="918"/>
            <w:tcW w:type="dxa" w:w="918"/>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right"/>
            </w:pPr>
            <w:r>
              <w:rPr>
                <w:rFonts w:ascii="Arial" w:hAnsi="Arial"/>
                <w:b/>
                <w:sz w:val="15"/>
              </w:rPr>
              <w:t>12.6%</w:t>
            </w:r>
          </w:p>
        </w:tc>
        <w:tc>
          <w:tcPr>
            <w:tcW w:type="dxa" w:w="918"/>
            <w:tcW w:type="dxa" w:w="918"/>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right"/>
            </w:pPr>
            <w:r>
              <w:rPr>
                <w:rFonts w:ascii="Arial" w:hAnsi="Arial"/>
                <w:b/>
                <w:sz w:val="15"/>
              </w:rPr>
              <w:t>6.0%</w:t>
            </w:r>
          </w:p>
        </w:tc>
        <w:tc>
          <w:tcPr>
            <w:tcW w:type="dxa" w:w="1575"/>
            <w:tcW w:type="dxa" w:w="1575"/>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right"/>
            </w:pPr>
            <w:r>
              <w:rPr>
                <w:rFonts w:ascii="Arial" w:hAnsi="Arial"/>
                <w:b/>
                <w:sz w:val="15"/>
              </w:rPr>
              <w:t>4.4x</w:t>
            </w:r>
          </w:p>
        </w:tc>
        <w:tc>
          <w:tcPr>
            <w:tcW w:type="dxa" w:w="787"/>
            <w:tcW w:type="dxa" w:w="787"/>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right"/>
            </w:pPr>
            <w:r>
              <w:rPr>
                <w:rFonts w:ascii="Arial" w:hAnsi="Arial"/>
                <w:b/>
                <w:sz w:val="15"/>
              </w:rPr>
              <w:t>1.1%</w:t>
            </w:r>
          </w:p>
        </w:tc>
        <w:tc>
          <w:tcPr>
            <w:tcW w:type="dxa" w:w="918"/>
            <w:tcW w:type="dxa" w:w="918"/>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right"/>
            </w:pPr>
            <w:r>
              <w:rPr>
                <w:rFonts w:ascii="Arial" w:hAnsi="Arial"/>
                <w:b/>
                <w:sz w:val="15"/>
              </w:rPr>
              <w:t>10.0%</w:t>
            </w:r>
          </w:p>
        </w:tc>
      </w:tr>
    </w:tbl>
    <w:p>
      <w:pPr>
        <w:spacing w:before="0" w:after="40" w:line="240" w:lineRule="auto"/>
      </w:pPr>
    </w:p>
    <w:p>
      <w:pPr>
        <w:spacing w:before="0" w:after="100" w:line="288" w:lineRule="auto"/>
      </w:pPr>
      <w:r>
        <w:rPr>
          <w:rFonts w:ascii="Arial" w:hAnsi="Arial"/>
          <w:i/>
          <w:color w:val="5A6270"/>
          <w:sz w:val="15"/>
        </w:rPr>
        <w:t>Source: S&amp;P Capital IQ (16-Oct-2026). FCF yield = (LTM CFO − capex) / market cap. Kangwon Land's EBIT margin is above the median despite the 42% government take, because the levies sit above EBITDA.</w:t>
      </w:r>
    </w:p>
    <w:p>
      <w:pPr>
        <w:pStyle w:val="Heading2"/>
        <w:keepNext/>
        <w:spacing w:before="160" w:after="80" w:line="264" w:lineRule="auto"/>
      </w:pPr>
      <w:r>
        <w:rPr>
          <w:rFonts w:ascii="Arial" w:hAnsi="Arial"/>
        </w:rPr>
        <w:t>14.4 Private and unlisted competitors</w:t>
      </w:r>
    </w:p>
    <w:tbl>
      <w:tblPr>
        <w:tblW w:type="auto" w:w="0"/>
        <w:jc w:val="center"/>
        <w:tblLook w:firstColumn="1" w:firstRow="1" w:lastColumn="0" w:lastRow="0" w:noHBand="0" w:noVBand="1" w:val="04A0"/>
        <w:tblLayout w:type="fixed"/>
        <w:tblW w:type="dxa" w:w="9906"/>
      </w:tblPr>
      <w:tblGrid>
        <w:gridCol w:w="3034"/>
        <w:gridCol w:w="2446"/>
        <w:gridCol w:w="956"/>
        <w:gridCol w:w="3468"/>
      </w:tblGrid>
      <w:tr>
        <w:trPr>
          <w:tblHeader/>
        </w:trPr>
        <w:tc>
          <w:tcPr>
            <w:tcW w:type="dxa" w:w="3034"/>
            <w:tcW w:type="dxa" w:w="3034"/>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Competitor</w:t>
            </w:r>
          </w:p>
        </w:tc>
        <w:tc>
          <w:tcPr>
            <w:tcW w:type="dxa" w:w="2446"/>
            <w:tcW w:type="dxa" w:w="2446"/>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Owner</w:t>
            </w:r>
          </w:p>
        </w:tc>
        <w:tc>
          <w:tcPr>
            <w:tcW w:type="dxa" w:w="956"/>
            <w:tcW w:type="dxa" w:w="956"/>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Listed?</w:t>
            </w:r>
          </w:p>
        </w:tc>
        <w:tc>
          <w:tcPr>
            <w:tcW w:type="dxa" w:w="3468"/>
            <w:tcW w:type="dxa" w:w="3468"/>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Where it competes</w:t>
            </w:r>
          </w:p>
        </w:tc>
      </w:tr>
      <w:tr>
        <w:trPr>
          <w:cantSplit/>
        </w:trPr>
        <w:tc>
          <w:tcPr>
            <w:tcW w:type="dxa" w:w="3034"/>
            <w:tcW w:type="dxa" w:w="303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Illegal online casinos and sports betting</w:t>
            </w:r>
          </w:p>
        </w:tc>
        <w:tc>
          <w:tcPr>
            <w:tcW w:type="dxa" w:w="2446"/>
            <w:tcW w:type="dxa" w:w="244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Offshore operators</w:t>
            </w:r>
          </w:p>
        </w:tc>
        <w:tc>
          <w:tcPr>
            <w:tcW w:type="dxa" w:w="956"/>
            <w:tcW w:type="dxa" w:w="95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No</w:t>
            </w:r>
          </w:p>
        </w:tc>
        <w:tc>
          <w:tcPr>
            <w:tcW w:type="dxa" w:w="3468"/>
            <w:tcW w:type="dxa" w:w="346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The main substitute for Korean nationals (KRW95.9tn illegal market in 2025; online casino KRW21.5tn)</w:t>
            </w:r>
          </w:p>
        </w:tc>
      </w:tr>
      <w:tr>
        <w:trPr>
          <w:cantSplit/>
        </w:trPr>
        <w:tc>
          <w:tcPr>
            <w:tcW w:type="dxa" w:w="3034"/>
            <w:tcW w:type="dxa" w:w="303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Korea Racing Authority, cycle and motorboat racing, Sports Toto, Lotto</w:t>
            </w:r>
          </w:p>
        </w:tc>
        <w:tc>
          <w:tcPr>
            <w:tcW w:type="dxa" w:w="2446"/>
            <w:tcW w:type="dxa" w:w="244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State</w:t>
            </w:r>
          </w:p>
        </w:tc>
        <w:tc>
          <w:tcPr>
            <w:tcW w:type="dxa" w:w="956"/>
            <w:tcW w:type="dxa" w:w="95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No</w:t>
            </w:r>
          </w:p>
        </w:tc>
        <w:tc>
          <w:tcPr>
            <w:tcW w:type="dxa" w:w="3468"/>
            <w:tcW w:type="dxa" w:w="346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Legal gambling wallet share</w:t>
            </w:r>
          </w:p>
        </w:tc>
      </w:tr>
      <w:tr>
        <w:trPr>
          <w:cantSplit/>
        </w:trPr>
        <w:tc>
          <w:tcPr>
            <w:tcW w:type="dxa" w:w="3034"/>
            <w:tcW w:type="dxa" w:w="303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Inspire Entertainment Resort (Incheon)</w:t>
            </w:r>
          </w:p>
        </w:tc>
        <w:tc>
          <w:tcPr>
            <w:tcW w:type="dxa" w:w="2446"/>
            <w:tcW w:type="dxa" w:w="244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Bain Capital (after the Mohegan default, Feb-2025); for sale</w:t>
            </w:r>
          </w:p>
        </w:tc>
        <w:tc>
          <w:tcPr>
            <w:tcW w:type="dxa" w:w="956"/>
            <w:tcW w:type="dxa" w:w="95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No</w:t>
            </w:r>
          </w:p>
        </w:tc>
        <w:tc>
          <w:tcPr>
            <w:tcW w:type="dxa" w:w="3468"/>
            <w:tcW w:type="dxa" w:w="346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Foreigner-only; regional IR supply</w:t>
            </w:r>
          </w:p>
        </w:tc>
      </w:tr>
      <w:tr>
        <w:trPr>
          <w:cantSplit/>
        </w:trPr>
        <w:tc>
          <w:tcPr>
            <w:tcW w:type="dxa" w:w="3034"/>
            <w:tcW w:type="dxa" w:w="303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Jeju casinos (other than Dream Tower)</w:t>
            </w:r>
          </w:p>
        </w:tc>
        <w:tc>
          <w:tcPr>
            <w:tcW w:type="dxa" w:w="2446"/>
            <w:tcW w:type="dxa" w:w="244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Various</w:t>
            </w:r>
          </w:p>
        </w:tc>
        <w:tc>
          <w:tcPr>
            <w:tcW w:type="dxa" w:w="956"/>
            <w:tcW w:type="dxa" w:w="95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Mostly no</w:t>
            </w:r>
          </w:p>
        </w:tc>
        <w:tc>
          <w:tcPr>
            <w:tcW w:type="dxa" w:w="3468"/>
            <w:tcW w:type="dxa" w:w="346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Foreigner-only</w:t>
            </w:r>
          </w:p>
        </w:tc>
      </w:tr>
      <w:tr>
        <w:trPr>
          <w:cantSplit/>
        </w:trPr>
        <w:tc>
          <w:tcPr>
            <w:tcW w:type="dxa" w:w="3034"/>
            <w:tcW w:type="dxa" w:w="303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Macau, Philippine and Cambodian IRs</w:t>
            </w:r>
          </w:p>
        </w:tc>
        <w:tc>
          <w:tcPr>
            <w:tcW w:type="dxa" w:w="2446"/>
            <w:tcW w:type="dxa" w:w="244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LVS, Galaxy, Melco, Bloomberry, NagaCorp</w:t>
            </w:r>
          </w:p>
        </w:tc>
        <w:tc>
          <w:tcPr>
            <w:tcW w:type="dxa" w:w="956"/>
            <w:tcW w:type="dxa" w:w="95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Via parents</w:t>
            </w:r>
          </w:p>
        </w:tc>
        <w:tc>
          <w:tcPr>
            <w:tcW w:type="dxa" w:w="3468"/>
            <w:tcW w:type="dxa" w:w="346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Korean outbound players</w:t>
            </w:r>
          </w:p>
        </w:tc>
      </w:tr>
      <w:tr>
        <w:trPr>
          <w:cantSplit/>
        </w:trPr>
        <w:tc>
          <w:tcPr>
            <w:tcW w:type="dxa" w:w="3034"/>
            <w:tcW w:type="dxa" w:w="303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MGM Osaka IR (autumn-2030)</w:t>
            </w:r>
          </w:p>
        </w:tc>
        <w:tc>
          <w:tcPr>
            <w:tcW w:type="dxa" w:w="2446"/>
            <w:tcW w:type="dxa" w:w="244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MGM/ORIX JV</w:t>
            </w:r>
          </w:p>
        </w:tc>
        <w:tc>
          <w:tcPr>
            <w:tcW w:type="dxa" w:w="956"/>
            <w:tcW w:type="dxa" w:w="95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Via parents</w:t>
            </w:r>
          </w:p>
        </w:tc>
        <w:tc>
          <w:tcPr>
            <w:tcW w:type="dxa" w:w="3468"/>
            <w:tcW w:type="dxa" w:w="346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Future regional supply</w:t>
            </w:r>
          </w:p>
        </w:tc>
      </w:tr>
      <w:tr>
        <w:trPr>
          <w:cantSplit/>
        </w:trPr>
        <w:tc>
          <w:tcPr>
            <w:tcW w:type="dxa" w:w="3034"/>
            <w:tcW w:type="dxa" w:w="303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Saemangeum IR (proposed)</w:t>
            </w:r>
          </w:p>
        </w:tc>
        <w:tc>
          <w:tcPr>
            <w:tcW w:type="dxa" w:w="2446"/>
            <w:tcW w:type="dxa" w:w="244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Jeonbuk Province proposal</w:t>
            </w:r>
          </w:p>
        </w:tc>
        <w:tc>
          <w:tcPr>
            <w:tcW w:type="dxa" w:w="956"/>
            <w:tcW w:type="dxa" w:w="95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No</w:t>
            </w:r>
          </w:p>
        </w:tc>
        <w:tc>
          <w:tcPr>
            <w:tcW w:type="dxa" w:w="3468"/>
            <w:tcW w:type="dxa" w:w="346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Potential Korean-access rival (needs a special act)</w:t>
            </w:r>
          </w:p>
        </w:tc>
      </w:tr>
    </w:tbl>
    <w:p>
      <w:pPr>
        <w:spacing w:before="0" w:after="40" w:line="240" w:lineRule="auto"/>
      </w:pPr>
    </w:p>
    <w:p>
      <w:pPr>
        <w:pStyle w:val="Heading2"/>
        <w:keepNext/>
        <w:spacing w:before="160" w:after="80" w:line="264" w:lineRule="auto"/>
      </w:pPr>
      <w:r>
        <w:rPr>
          <w:rFonts w:ascii="Arial" w:hAnsi="Arial"/>
        </w:rPr>
        <w:t>14.5 Regression: TEV/Sales vs EBIT margin</w:t>
      </w:r>
    </w:p>
    <w:p>
      <w:pPr>
        <w:keepNext/>
        <w:spacing w:before="80" w:after="40" w:line="240" w:lineRule="auto"/>
        <w:jc w:val="center"/>
      </w:pPr>
      <w:r>
        <w:drawing>
          <wp:inline xmlns:a="http://schemas.openxmlformats.org/drawingml/2006/main" xmlns:pic="http://schemas.openxmlformats.org/drawingml/2006/picture">
            <wp:extent cx="6400800" cy="3925824"/>
            <wp:docPr id="5" name="Picture 5"/>
            <wp:cNvGraphicFramePr>
              <a:graphicFrameLocks noChangeAspect="1"/>
            </wp:cNvGraphicFramePr>
            <a:graphic>
              <a:graphicData uri="http://schemas.openxmlformats.org/drawingml/2006/picture">
                <pic:pic>
                  <pic:nvPicPr>
                    <pic:cNvPr id="0" name="regression.png"/>
                    <pic:cNvPicPr/>
                  </pic:nvPicPr>
                  <pic:blipFill>
                    <a:blip r:embed="rId15"/>
                    <a:stretch>
                      <a:fillRect/>
                    </a:stretch>
                  </pic:blipFill>
                  <pic:spPr>
                    <a:xfrm>
                      <a:off x="0" y="0"/>
                      <a:ext cx="6400800" cy="3925824"/>
                    </a:xfrm>
                    <a:prstGeom prst="rect"/>
                  </pic:spPr>
                </pic:pic>
              </a:graphicData>
            </a:graphic>
          </wp:inline>
        </w:drawing>
      </w:r>
    </w:p>
    <w:p>
      <w:pPr>
        <w:spacing w:before="0" w:after="120" w:line="240" w:lineRule="auto"/>
      </w:pPr>
      <w:r>
        <w:rPr>
          <w:rFonts w:ascii="Arial" w:hAnsi="Arial"/>
          <w:i/>
          <w:color w:val="5A6270"/>
          <w:sz w:val="15"/>
        </w:rPr>
        <w:t>Figure: TEV/Sales (x-axis) vs LTM EBIT margin (y-axis) for Kangwon Land and 23 core listed peers.</w:t>
      </w:r>
    </w:p>
    <w:tbl>
      <w:tblPr>
        <w:tblW w:type="auto" w:w="0"/>
        <w:jc w:val="center"/>
        <w:tblLook w:firstColumn="1" w:firstRow="1" w:lastColumn="0" w:lastRow="0" w:noHBand="0" w:noVBand="1" w:val="04A0"/>
        <w:tblLayout w:type="fixed"/>
        <w:tblW w:type="dxa" w:w="9906"/>
      </w:tblPr>
      <w:tblGrid>
        <w:gridCol w:w="5401"/>
        <w:gridCol w:w="1453"/>
        <w:gridCol w:w="1017"/>
        <w:gridCol w:w="871"/>
        <w:gridCol w:w="1162"/>
      </w:tblGrid>
      <w:tr>
        <w:trPr>
          <w:tblHeader/>
        </w:trPr>
        <w:tc>
          <w:tcPr>
            <w:tcW w:type="dxa" w:w="5401"/>
            <w:tcW w:type="dxa" w:w="5401"/>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Regression (core sample, n = 23)</w:t>
            </w:r>
          </w:p>
        </w:tc>
        <w:tc>
          <w:tcPr>
            <w:tcW w:type="dxa" w:w="1453"/>
            <w:tcW w:type="dxa" w:w="1453"/>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right"/>
            </w:pPr>
            <w:r>
              <w:rPr>
                <w:rFonts w:ascii="Arial" w:hAnsi="Arial"/>
                <w:b/>
                <w:color w:val="FFFFFF"/>
                <w:sz w:val="15"/>
              </w:rPr>
              <w:t>Intercept</w:t>
            </w:r>
          </w:p>
        </w:tc>
        <w:tc>
          <w:tcPr>
            <w:tcW w:type="dxa" w:w="1017"/>
            <w:tcW w:type="dxa" w:w="1017"/>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right"/>
            </w:pPr>
            <w:r>
              <w:rPr>
                <w:rFonts w:ascii="Arial" w:hAnsi="Arial"/>
                <w:b/>
                <w:color w:val="FFFFFF"/>
                <w:sz w:val="15"/>
              </w:rPr>
              <w:t>Slope</w:t>
            </w:r>
          </w:p>
        </w:tc>
        <w:tc>
          <w:tcPr>
            <w:tcW w:type="dxa" w:w="871"/>
            <w:tcW w:type="dxa" w:w="871"/>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right"/>
            </w:pPr>
            <w:r>
              <w:rPr>
                <w:rFonts w:ascii="Arial" w:hAnsi="Arial"/>
                <w:b/>
                <w:color w:val="FFFFFF"/>
                <w:sz w:val="15"/>
              </w:rPr>
              <w:t>R²</w:t>
            </w:r>
          </w:p>
        </w:tc>
        <w:tc>
          <w:tcPr>
            <w:tcW w:type="dxa" w:w="1162"/>
            <w:tcW w:type="dxa" w:w="1162"/>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right"/>
            </w:pPr>
            <w:r>
              <w:rPr>
                <w:rFonts w:ascii="Arial" w:hAnsi="Arial"/>
                <w:b/>
                <w:color w:val="FFFFFF"/>
                <w:sz w:val="15"/>
              </w:rPr>
              <w:t>t-stat (slope)</w:t>
            </w:r>
          </w:p>
        </w:tc>
      </w:tr>
      <w:tr>
        <w:trPr>
          <w:cantSplit/>
        </w:trPr>
        <w:tc>
          <w:tcPr>
            <w:tcW w:type="dxa" w:w="5401"/>
            <w:tcW w:type="dxa" w:w="540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TEV/Sales = a + b × EBIT margin (%)</w:t>
            </w:r>
          </w:p>
        </w:tc>
        <w:tc>
          <w:tcPr>
            <w:tcW w:type="dxa" w:w="1453"/>
            <w:tcW w:type="dxa" w:w="145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1.030</w:t>
            </w:r>
          </w:p>
        </w:tc>
        <w:tc>
          <w:tcPr>
            <w:tcW w:type="dxa" w:w="1017"/>
            <w:tcW w:type="dxa" w:w="101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0.0706</w:t>
            </w:r>
          </w:p>
        </w:tc>
        <w:tc>
          <w:tcPr>
            <w:tcW w:type="dxa" w:w="871"/>
            <w:tcW w:type="dxa" w:w="87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b/>
                <w:sz w:val="15"/>
              </w:rPr>
              <w:t>0.64</w:t>
            </w:r>
          </w:p>
        </w:tc>
        <w:tc>
          <w:tcPr>
            <w:tcW w:type="dxa" w:w="1162"/>
            <w:tcW w:type="dxa" w:w="116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6.13</w:t>
            </w:r>
          </w:p>
        </w:tc>
      </w:tr>
      <w:tr>
        <w:trPr>
          <w:cantSplit/>
        </w:trPr>
        <w:tc>
          <w:tcPr>
            <w:tcW w:type="dxa" w:w="5401"/>
            <w:tcW w:type="dxa" w:w="540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TEV/Sales = a + b × EBITDA margin (%) (cross-check)</w:t>
            </w:r>
          </w:p>
        </w:tc>
        <w:tc>
          <w:tcPr>
            <w:tcW w:type="dxa" w:w="1453"/>
            <w:tcW w:type="dxa" w:w="145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0.198</w:t>
            </w:r>
          </w:p>
        </w:tc>
        <w:tc>
          <w:tcPr>
            <w:tcW w:type="dxa" w:w="1017"/>
            <w:tcW w:type="dxa" w:w="101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0.0724</w:t>
            </w:r>
          </w:p>
        </w:tc>
        <w:tc>
          <w:tcPr>
            <w:tcW w:type="dxa" w:w="871"/>
            <w:tcW w:type="dxa" w:w="87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0.67</w:t>
            </w:r>
          </w:p>
        </w:tc>
        <w:tc>
          <w:tcPr>
            <w:tcW w:type="dxa" w:w="1162"/>
            <w:tcW w:type="dxa" w:w="116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6.56</w:t>
            </w:r>
          </w:p>
        </w:tc>
      </w:tr>
    </w:tbl>
    <w:p>
      <w:pPr>
        <w:spacing w:before="0" w:after="40" w:line="240" w:lineRule="auto"/>
      </w:pPr>
    </w:p>
    <w:p>
      <w:pPr>
        <w:spacing w:before="0" w:after="100" w:line="288" w:lineRule="auto"/>
      </w:pPr>
      <w:r>
        <w:rPr>
          <w:rFonts w:ascii="Arial" w:hAnsi="Arial"/>
          <w:sz w:val="19"/>
        </w:rPr>
        <w:t>The core sample is the same as in our Genting Malaysia report, with Genting Malaysia added as a peer and Kangwon Land excluded. Exclusions:</w:t>
      </w:r>
    </w:p>
    <w:p>
      <w:pPr>
        <w:spacing w:before="0" w:after="50" w:line="276" w:lineRule="auto"/>
        <w:ind w:left="360" w:hanging="245"/>
      </w:pPr>
      <w:r>
        <w:rPr>
          <w:rFonts w:ascii="Arial" w:hAnsi="Arial"/>
          <w:color w:val="2E74B5"/>
          <w:sz w:val="16"/>
        </w:rPr>
        <w:t xml:space="preserve">▪  </w:t>
      </w:r>
      <w:r>
        <w:rPr>
          <w:rFonts w:ascii="Arial" w:hAnsi="Arial"/>
          <w:sz w:val="19"/>
        </w:rPr>
        <w:t>Kangwon Land (negative TEV);</w:t>
      </w:r>
    </w:p>
    <w:p>
      <w:pPr>
        <w:spacing w:before="0" w:after="50" w:line="276" w:lineRule="auto"/>
        <w:ind w:left="360" w:hanging="245"/>
      </w:pPr>
      <w:r>
        <w:rPr>
          <w:rFonts w:ascii="Arial" w:hAnsi="Arial"/>
          <w:color w:val="2E74B5"/>
          <w:sz w:val="16"/>
        </w:rPr>
        <w:t xml:space="preserve">▪  </w:t>
      </w:r>
      <w:r>
        <w:rPr>
          <w:rFonts w:ascii="Arial" w:hAnsi="Arial"/>
          <w:sz w:val="19"/>
        </w:rPr>
        <w:t>Star Entertainment and Bally's (negative EBIT);</w:t>
      </w:r>
    </w:p>
    <w:p>
      <w:pPr>
        <w:spacing w:before="0" w:after="50" w:line="276" w:lineRule="auto"/>
        <w:ind w:left="360" w:hanging="245"/>
      </w:pPr>
      <w:r>
        <w:rPr>
          <w:rFonts w:ascii="Arial" w:hAnsi="Arial"/>
          <w:color w:val="2E74B5"/>
          <w:sz w:val="16"/>
        </w:rPr>
        <w:t xml:space="preserve">▪  </w:t>
      </w:r>
      <w:r>
        <w:rPr>
          <w:rFonts w:ascii="Arial" w:hAnsi="Arial"/>
          <w:sz w:val="19"/>
        </w:rPr>
        <w:t>NagaCorp (margin outlier);</w:t>
      </w:r>
    </w:p>
    <w:p>
      <w:pPr>
        <w:spacing w:before="0" w:after="50" w:line="276" w:lineRule="auto"/>
        <w:ind w:left="360" w:hanging="245"/>
      </w:pPr>
      <w:r>
        <w:rPr>
          <w:rFonts w:ascii="Arial" w:hAnsi="Arial"/>
          <w:color w:val="2E74B5"/>
          <w:sz w:val="16"/>
        </w:rPr>
        <w:t xml:space="preserve">▪  </w:t>
      </w:r>
      <w:r>
        <w:rPr>
          <w:rFonts w:ascii="Arial" w:hAnsi="Arial"/>
          <w:sz w:val="19"/>
        </w:rPr>
        <w:t>GKL (net-cash outlier);</w:t>
      </w:r>
    </w:p>
    <w:p>
      <w:pPr>
        <w:spacing w:before="0" w:after="50" w:line="276" w:lineRule="auto"/>
        <w:ind w:left="360" w:hanging="245"/>
      </w:pPr>
      <w:r>
        <w:rPr>
          <w:rFonts w:ascii="Arial" w:hAnsi="Arial"/>
          <w:color w:val="2E74B5"/>
          <w:sz w:val="16"/>
        </w:rPr>
        <w:t xml:space="preserve">▪  </w:t>
      </w:r>
      <w:r>
        <w:rPr>
          <w:rFonts w:ascii="Arial" w:hAnsi="Arial"/>
          <w:sz w:val="19"/>
        </w:rPr>
        <w:t>Century and Full House (micro-caps);</w:t>
      </w:r>
    </w:p>
    <w:p>
      <w:pPr>
        <w:spacing w:before="0" w:after="50" w:line="276" w:lineRule="auto"/>
        <w:ind w:left="360" w:hanging="245"/>
      </w:pPr>
      <w:r>
        <w:rPr>
          <w:rFonts w:ascii="Arial" w:hAnsi="Arial"/>
          <w:color w:val="2E74B5"/>
          <w:sz w:val="16"/>
        </w:rPr>
        <w:t xml:space="preserve">▪  </w:t>
      </w:r>
      <w:r>
        <w:rPr>
          <w:rFonts w:ascii="Arial" w:hAnsi="Arial"/>
          <w:sz w:val="19"/>
        </w:rPr>
        <w:t>Melco International and Studio City (double counts of Melco).</w:t>
      </w:r>
    </w:p>
    <w:tbl>
      <w:tblPr>
        <w:tblW w:type="auto" w:w="0"/>
        <w:jc w:val="center"/>
        <w:tblLook w:firstColumn="1" w:firstRow="1" w:lastColumn="0" w:lastRow="0" w:noHBand="0" w:noVBand="1" w:val="04A0"/>
        <w:tblLayout w:type="fixed"/>
        <w:tblW w:type="dxa" w:w="9906"/>
      </w:tblPr>
      <w:tblGrid>
        <w:gridCol w:w="4387"/>
        <w:gridCol w:w="935"/>
        <w:gridCol w:w="1590"/>
        <w:gridCol w:w="1403"/>
        <w:gridCol w:w="1590"/>
      </w:tblGrid>
      <w:tr>
        <w:trPr>
          <w:tblHeader/>
        </w:trPr>
        <w:tc>
          <w:tcPr>
            <w:tcW w:type="dxa" w:w="4387"/>
            <w:tcW w:type="dxa" w:w="4387"/>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What the line implies for Kangwon Land</w:t>
            </w:r>
          </w:p>
        </w:tc>
        <w:tc>
          <w:tcPr>
            <w:tcW w:type="dxa" w:w="935"/>
            <w:tcW w:type="dxa" w:w="935"/>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right"/>
            </w:pPr>
            <w:r>
              <w:rPr>
                <w:rFonts w:ascii="Arial" w:hAnsi="Arial"/>
                <w:b/>
                <w:color w:val="FFFFFF"/>
                <w:sz w:val="15"/>
              </w:rPr>
              <w:t>Implied TEV/Sales</w:t>
            </w:r>
          </w:p>
        </w:tc>
        <w:tc>
          <w:tcPr>
            <w:tcW w:type="dxa" w:w="1590"/>
            <w:tcW w:type="dxa" w:w="1590"/>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right"/>
            </w:pPr>
            <w:r>
              <w:rPr>
                <w:rFonts w:ascii="Arial" w:hAnsi="Arial"/>
                <w:b/>
                <w:color w:val="FFFFFF"/>
                <w:sz w:val="15"/>
              </w:rPr>
              <w:t>Implied TEV of operations</w:t>
            </w:r>
          </w:p>
        </w:tc>
        <w:tc>
          <w:tcPr>
            <w:tcW w:type="dxa" w:w="1403"/>
            <w:tcW w:type="dxa" w:w="1403"/>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Equity value</w:t>
            </w:r>
          </w:p>
        </w:tc>
        <w:tc>
          <w:tcPr>
            <w:tcW w:type="dxa" w:w="1590"/>
            <w:tcW w:type="dxa" w:w="1590"/>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Per share</w:t>
            </w:r>
          </w:p>
        </w:tc>
      </w:tr>
      <w:tr>
        <w:trPr>
          <w:cantSplit/>
        </w:trPr>
        <w:tc>
          <w:tcPr>
            <w:tcW w:type="dxa" w:w="4387"/>
            <w:tcW w:type="dxa" w:w="438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Actual (16-Oct-2026, KRW14,260)</w:t>
            </w:r>
          </w:p>
        </w:tc>
        <w:tc>
          <w:tcPr>
            <w:tcW w:type="dxa" w:w="935"/>
            <w:tcW w:type="dxa" w:w="93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−0.07x</w:t>
            </w:r>
          </w:p>
        </w:tc>
        <w:tc>
          <w:tcPr>
            <w:tcW w:type="dxa" w:w="1590"/>
            <w:tcW w:type="dxa" w:w="159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about −KRW0.10tn</w:t>
            </w:r>
          </w:p>
        </w:tc>
        <w:tc>
          <w:tcPr>
            <w:tcW w:type="dxa" w:w="1403"/>
            <w:tcW w:type="dxa" w:w="140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KRW2.83tn</w:t>
            </w:r>
          </w:p>
        </w:tc>
        <w:tc>
          <w:tcPr>
            <w:tcW w:type="dxa" w:w="1590"/>
            <w:tcW w:type="dxa" w:w="159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KRW14,260</w:t>
            </w:r>
          </w:p>
        </w:tc>
      </w:tr>
      <w:tr>
        <w:trPr>
          <w:cantSplit/>
        </w:trPr>
        <w:tc>
          <w:tcPr>
            <w:tcW w:type="dxa" w:w="4387"/>
            <w:tcW w:type="dxa" w:w="438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LTM EBIT margin 14.6% (regression)</w:t>
            </w:r>
          </w:p>
        </w:tc>
        <w:tc>
          <w:tcPr>
            <w:tcW w:type="dxa" w:w="935"/>
            <w:tcW w:type="dxa" w:w="93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b/>
                <w:sz w:val="15"/>
              </w:rPr>
              <w:t>2.06x</w:t>
            </w:r>
          </w:p>
        </w:tc>
        <w:tc>
          <w:tcPr>
            <w:tcW w:type="dxa" w:w="1590"/>
            <w:tcW w:type="dxa" w:w="159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~KRW3.04tn</w:t>
            </w:r>
          </w:p>
        </w:tc>
        <w:tc>
          <w:tcPr>
            <w:tcW w:type="dxa" w:w="1403"/>
            <w:tcW w:type="dxa" w:w="140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KRW5.57-5.97tn</w:t>
            </w:r>
          </w:p>
        </w:tc>
        <w:tc>
          <w:tcPr>
            <w:tcW w:type="dxa" w:w="1590"/>
            <w:tcW w:type="dxa" w:w="159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KRW28,100-30,100</w:t>
            </w:r>
          </w:p>
        </w:tc>
      </w:tr>
      <w:tr>
        <w:trPr>
          <w:cantSplit/>
        </w:trPr>
        <w:tc>
          <w:tcPr>
            <w:tcW w:type="dxa" w:w="4387"/>
            <w:tcW w:type="dxa" w:w="438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At a 50% haircut to the implied TEV (state-control discount)</w:t>
            </w:r>
          </w:p>
        </w:tc>
        <w:tc>
          <w:tcPr>
            <w:tcW w:type="dxa" w:w="935"/>
            <w:tcW w:type="dxa" w:w="93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1.03x</w:t>
            </w:r>
          </w:p>
        </w:tc>
        <w:tc>
          <w:tcPr>
            <w:tcW w:type="dxa" w:w="1590"/>
            <w:tcW w:type="dxa" w:w="159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~KRW1.52tn</w:t>
            </w:r>
          </w:p>
        </w:tc>
        <w:tc>
          <w:tcPr>
            <w:tcW w:type="dxa" w:w="1403"/>
            <w:tcW w:type="dxa" w:w="140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KRW4.05-4.45tn</w:t>
            </w:r>
          </w:p>
        </w:tc>
        <w:tc>
          <w:tcPr>
            <w:tcW w:type="dxa" w:w="1590"/>
            <w:tcW w:type="dxa" w:w="159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KRW20,400-22,400</w:t>
            </w:r>
          </w:p>
        </w:tc>
      </w:tr>
      <w:tr>
        <w:trPr>
          <w:cantSplit/>
        </w:trPr>
        <w:tc>
          <w:tcPr>
            <w:tcW w:type="dxa" w:w="4387"/>
            <w:tcW w:type="dxa" w:w="438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At the bear-case EBIT margin of ~10% (levy and AML)</w:t>
            </w:r>
          </w:p>
        </w:tc>
        <w:tc>
          <w:tcPr>
            <w:tcW w:type="dxa" w:w="935"/>
            <w:tcW w:type="dxa" w:w="93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1.74x</w:t>
            </w:r>
          </w:p>
        </w:tc>
        <w:tc>
          <w:tcPr>
            <w:tcW w:type="dxa" w:w="1590"/>
            <w:tcW w:type="dxa" w:w="159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~KRW2.56tn</w:t>
            </w:r>
          </w:p>
        </w:tc>
        <w:tc>
          <w:tcPr>
            <w:tcW w:type="dxa" w:w="1403"/>
            <w:tcW w:type="dxa" w:w="140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KRW5.09-5.49tn</w:t>
            </w:r>
          </w:p>
        </w:tc>
        <w:tc>
          <w:tcPr>
            <w:tcW w:type="dxa" w:w="1590"/>
            <w:tcW w:type="dxa" w:w="159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KRW25,700-27,700</w:t>
            </w:r>
          </w:p>
        </w:tc>
      </w:tr>
    </w:tbl>
    <w:p>
      <w:pPr>
        <w:spacing w:before="0" w:after="40" w:line="240" w:lineRule="auto"/>
      </w:pPr>
    </w:p>
    <w:p>
      <w:pPr>
        <w:spacing w:before="0" w:after="100" w:line="288" w:lineRule="auto"/>
      </w:pPr>
      <w:r>
        <w:rPr>
          <w:rFonts w:ascii="Arial" w:hAnsi="Arial"/>
          <w:b/>
          <w:sz w:val="19"/>
        </w:rPr>
        <w:t>Interpretation.</w:t>
      </w:r>
    </w:p>
    <w:p>
      <w:pPr>
        <w:spacing w:before="0" w:after="50" w:line="276" w:lineRule="auto"/>
        <w:ind w:left="360" w:hanging="245"/>
      </w:pPr>
      <w:r>
        <w:rPr>
          <w:rFonts w:ascii="Arial" w:hAnsi="Arial"/>
          <w:color w:val="2E74B5"/>
          <w:sz w:val="16"/>
        </w:rPr>
        <w:t xml:space="preserve">▪  </w:t>
      </w:r>
      <w:r>
        <w:rPr>
          <w:rFonts w:ascii="Arial" w:hAnsi="Arial"/>
          <w:b/>
          <w:sz w:val="19"/>
        </w:rPr>
        <w:t>The regression is mechanical but makes the point.</w:t>
      </w:r>
      <w:r>
        <w:rPr>
          <w:rFonts w:ascii="Arial" w:hAnsi="Arial"/>
          <w:sz w:val="19"/>
        </w:rPr>
        <w:t xml:space="preserve"> Peers with Kangwon Land's 14.6% EBIT margin trade at ~2.1x sales. Kangwon Land's operating business trades at about zero.</w:t>
      </w:r>
    </w:p>
    <w:p>
      <w:pPr>
        <w:spacing w:before="0" w:after="50" w:line="276" w:lineRule="auto"/>
        <w:ind w:left="360" w:hanging="245"/>
      </w:pPr>
      <w:r>
        <w:rPr>
          <w:rFonts w:ascii="Arial" w:hAnsi="Arial"/>
          <w:color w:val="2E74B5"/>
          <w:sz w:val="16"/>
        </w:rPr>
        <w:t xml:space="preserve">▪  </w:t>
      </w:r>
      <w:r>
        <w:rPr>
          <w:rFonts w:ascii="Arial" w:hAnsi="Arial"/>
          <w:b/>
          <w:sz w:val="19"/>
        </w:rPr>
        <w:t>The range</w:t>
      </w:r>
      <w:r>
        <w:rPr>
          <w:rFonts w:ascii="Arial" w:hAnsi="Arial"/>
          <w:sz w:val="19"/>
        </w:rPr>
        <w:t xml:space="preserve"> comes from two cash bridges: excess cash after a KRW0.4tn reserve, or all net financial assets.</w:t>
      </w:r>
    </w:p>
    <w:p>
      <w:pPr>
        <w:spacing w:before="0" w:after="50" w:line="276" w:lineRule="auto"/>
        <w:ind w:left="360" w:hanging="245"/>
      </w:pPr>
      <w:r>
        <w:rPr>
          <w:rFonts w:ascii="Arial" w:hAnsi="Arial"/>
          <w:color w:val="2E74B5"/>
          <w:sz w:val="16"/>
        </w:rPr>
        <w:t xml:space="preserve">▪  </w:t>
      </w:r>
      <w:r>
        <w:rPr>
          <w:rFonts w:ascii="Arial" w:hAnsi="Arial"/>
          <w:b/>
          <w:sz w:val="19"/>
        </w:rPr>
        <w:t>We do not use the regression as a target.</w:t>
      </w:r>
      <w:r>
        <w:rPr>
          <w:rFonts w:ascii="Arial" w:hAnsi="Arial"/>
          <w:sz w:val="19"/>
        </w:rPr>
        <w:t xml:space="preserve"> Peers are not state-controlled, cash-trapped, single-site monopolies with a sunset clause. But even halving the implied operating value gives ~KRW20,000-22,000.</w:t>
      </w:r>
    </w:p>
    <w:p>
      <w:pPr>
        <w:pStyle w:val="Heading2"/>
        <w:keepNext/>
        <w:spacing w:before="160" w:after="80" w:line="264" w:lineRule="auto"/>
      </w:pPr>
      <w:r>
        <w:rPr>
          <w:rFonts w:ascii="Arial" w:hAnsi="Arial"/>
        </w:rPr>
        <w:t>14.6 Against its own history</w:t>
      </w:r>
    </w:p>
    <w:p>
      <w:pPr>
        <w:keepNext/>
        <w:spacing w:before="80" w:after="40" w:line="240" w:lineRule="auto"/>
        <w:jc w:val="center"/>
      </w:pPr>
      <w:r>
        <w:drawing>
          <wp:inline xmlns:a="http://schemas.openxmlformats.org/drawingml/2006/main" xmlns:pic="http://schemas.openxmlformats.org/drawingml/2006/picture">
            <wp:extent cx="6400800" cy="2811702"/>
            <wp:docPr id="6" name="Picture 6"/>
            <wp:cNvGraphicFramePr>
              <a:graphicFrameLocks noChangeAspect="1"/>
            </wp:cNvGraphicFramePr>
            <a:graphic>
              <a:graphicData uri="http://schemas.openxmlformats.org/drawingml/2006/picture">
                <pic:pic>
                  <pic:nvPicPr>
                    <pic:cNvPr id="0" name="pb_history.png"/>
                    <pic:cNvPicPr/>
                  </pic:nvPicPr>
                  <pic:blipFill>
                    <a:blip r:embed="rId16"/>
                    <a:stretch>
                      <a:fillRect/>
                    </a:stretch>
                  </pic:blipFill>
                  <pic:spPr>
                    <a:xfrm>
                      <a:off x="0" y="0"/>
                      <a:ext cx="6400800" cy="2811702"/>
                    </a:xfrm>
                    <a:prstGeom prst="rect"/>
                  </pic:spPr>
                </pic:pic>
              </a:graphicData>
            </a:graphic>
          </wp:inline>
        </w:drawing>
      </w:r>
    </w:p>
    <w:p>
      <w:pPr>
        <w:spacing w:before="0" w:after="120" w:line="240" w:lineRule="auto"/>
      </w:pPr>
      <w:r>
        <w:rPr>
          <w:rFonts w:ascii="Arial" w:hAnsi="Arial"/>
          <w:i/>
          <w:color w:val="5A6270"/>
          <w:sz w:val="15"/>
        </w:rPr>
        <w:t>Figure: Year-end price-to-book, 2015-2025 and current.</w:t>
      </w:r>
    </w:p>
    <w:tbl>
      <w:tblPr>
        <w:tblW w:type="auto" w:w="0"/>
        <w:jc w:val="center"/>
        <w:tblLook w:firstColumn="1" w:firstRow="1" w:lastColumn="0" w:lastRow="0" w:noHBand="0" w:noVBand="1" w:val="04A0"/>
        <w:tblLayout w:type="fixed"/>
        <w:tblW w:type="dxa" w:w="9906"/>
      </w:tblPr>
      <w:tblGrid>
        <w:gridCol w:w="2301"/>
        <w:gridCol w:w="931"/>
        <w:gridCol w:w="2478"/>
        <w:gridCol w:w="745"/>
        <w:gridCol w:w="3447"/>
      </w:tblGrid>
      <w:tr>
        <w:trPr>
          <w:tblHeader/>
        </w:trPr>
        <w:tc>
          <w:tcPr>
            <w:tcW w:type="dxa" w:w="2301"/>
            <w:tcW w:type="dxa" w:w="2301"/>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Series</w:t>
            </w:r>
          </w:p>
        </w:tc>
        <w:tc>
          <w:tcPr>
            <w:tcW w:type="dxa" w:w="931"/>
            <w:tcW w:type="dxa" w:w="931"/>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Window</w:t>
            </w:r>
          </w:p>
        </w:tc>
        <w:tc>
          <w:tcPr>
            <w:tcW w:type="dxa" w:w="2478"/>
            <w:tcW w:type="dxa" w:w="2478"/>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Range</w:t>
            </w:r>
          </w:p>
        </w:tc>
        <w:tc>
          <w:tcPr>
            <w:tcW w:type="dxa" w:w="745"/>
            <w:tcW w:type="dxa" w:w="745"/>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right"/>
            </w:pPr>
            <w:r>
              <w:rPr>
                <w:rFonts w:ascii="Arial" w:hAnsi="Arial"/>
                <w:b/>
                <w:color w:val="FFFFFF"/>
                <w:sz w:val="15"/>
              </w:rPr>
              <w:t>Current</w:t>
            </w:r>
          </w:p>
        </w:tc>
        <w:tc>
          <w:tcPr>
            <w:tcW w:type="dxa" w:w="3447"/>
            <w:tcW w:type="dxa" w:w="3447"/>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Comment</w:t>
            </w:r>
          </w:p>
        </w:tc>
      </w:tr>
      <w:tr>
        <w:trPr>
          <w:cantSplit/>
        </w:trPr>
        <w:tc>
          <w:tcPr>
            <w:tcW w:type="dxa" w:w="2301"/>
            <w:tcW w:type="dxa" w:w="230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P/B (year-end)</w:t>
            </w:r>
          </w:p>
        </w:tc>
        <w:tc>
          <w:tcPr>
            <w:tcW w:type="dxa" w:w="931"/>
            <w:tcW w:type="dxa" w:w="93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2015-2025</w:t>
            </w:r>
          </w:p>
        </w:tc>
        <w:tc>
          <w:tcPr>
            <w:tcW w:type="dxa" w:w="2478"/>
            <w:tcW w:type="dxa" w:w="247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0.83x (2024) to 2.60x (2015)</w:t>
            </w:r>
          </w:p>
        </w:tc>
        <w:tc>
          <w:tcPr>
            <w:tcW w:type="dxa" w:w="745"/>
            <w:tcW w:type="dxa" w:w="74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~0.74x</w:t>
            </w:r>
          </w:p>
        </w:tc>
        <w:tc>
          <w:tcPr>
            <w:tcW w:type="dxa" w:w="3447"/>
            <w:tcW w:type="dxa" w:w="344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Lowest in our data; below the Value-Up target of 1.2x</w:t>
            </w:r>
          </w:p>
        </w:tc>
      </w:tr>
      <w:tr>
        <w:trPr>
          <w:cantSplit/>
        </w:trPr>
        <w:tc>
          <w:tcPr>
            <w:tcW w:type="dxa" w:w="2301"/>
            <w:tcW w:type="dxa" w:w="230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Dividend yield (prior FY DPS)</w:t>
            </w:r>
          </w:p>
        </w:tc>
        <w:tc>
          <w:tcPr>
            <w:tcW w:type="dxa" w:w="931"/>
            <w:tcW w:type="dxa" w:w="93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2016-2025</w:t>
            </w:r>
          </w:p>
        </w:tc>
        <w:tc>
          <w:tcPr>
            <w:tcW w:type="dxa" w:w="2478"/>
            <w:tcW w:type="dxa" w:w="247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~2.7% (2016) to ~7.3% (Feb-25)</w:t>
            </w:r>
          </w:p>
        </w:tc>
        <w:tc>
          <w:tcPr>
            <w:tcW w:type="dxa" w:w="745"/>
            <w:tcW w:type="dxa" w:w="74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6.7%</w:t>
            </w:r>
          </w:p>
        </w:tc>
        <w:tc>
          <w:tcPr>
            <w:tcW w:type="dxa" w:w="3447"/>
            <w:tcW w:type="dxa" w:w="344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Near the top of its range</w:t>
            </w:r>
          </w:p>
        </w:tc>
      </w:tr>
      <w:tr>
        <w:trPr>
          <w:cantSplit/>
        </w:trPr>
        <w:tc>
          <w:tcPr>
            <w:tcW w:type="dxa" w:w="2301"/>
            <w:tcW w:type="dxa" w:w="230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P/E (trailing)</w:t>
            </w:r>
          </w:p>
        </w:tc>
        <w:tc>
          <w:tcPr>
            <w:tcW w:type="dxa" w:w="931"/>
            <w:tcW w:type="dxa" w:w="93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2023-2026</w:t>
            </w:r>
          </w:p>
        </w:tc>
        <w:tc>
          <w:tcPr>
            <w:tcW w:type="dxa" w:w="2478"/>
            <w:tcW w:type="dxa" w:w="247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~8-11x [e]</w:t>
            </w:r>
          </w:p>
        </w:tc>
        <w:tc>
          <w:tcPr>
            <w:tcW w:type="dxa" w:w="745"/>
            <w:tcW w:type="dxa" w:w="74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8.8x</w:t>
            </w:r>
          </w:p>
        </w:tc>
        <w:tc>
          <w:tcPr>
            <w:tcW w:type="dxa" w:w="3447"/>
            <w:tcW w:type="dxa" w:w="344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Flattered by financial income and one-offs</w:t>
            </w:r>
          </w:p>
        </w:tc>
      </w:tr>
      <w:tr>
        <w:trPr>
          <w:cantSplit/>
        </w:trPr>
        <w:tc>
          <w:tcPr>
            <w:tcW w:type="dxa" w:w="2301"/>
            <w:tcW w:type="dxa" w:w="230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Price vs net financial assets per share</w:t>
            </w:r>
          </w:p>
        </w:tc>
        <w:tc>
          <w:tcPr>
            <w:tcW w:type="dxa" w:w="931"/>
            <w:tcW w:type="dxa" w:w="93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2016-2026</w:t>
            </w:r>
          </w:p>
        </w:tc>
        <w:tc>
          <w:tcPr>
            <w:tcW w:type="dxa" w:w="2478"/>
            <w:tcW w:type="dxa" w:w="247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n/f (well above 1.0x when P/B was 1.5-2.6x)</w:t>
            </w:r>
          </w:p>
        </w:tc>
        <w:tc>
          <w:tcPr>
            <w:tcW w:type="dxa" w:w="745"/>
            <w:tcW w:type="dxa" w:w="74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b/>
                <w:sz w:val="15"/>
              </w:rPr>
              <w:t>0.96x</w:t>
            </w:r>
          </w:p>
        </w:tc>
        <w:tc>
          <w:tcPr>
            <w:tcW w:type="dxa" w:w="3447"/>
            <w:tcW w:type="dxa" w:w="344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First time below 1.0x in our data</w:t>
            </w:r>
          </w:p>
        </w:tc>
      </w:tr>
    </w:tbl>
    <w:p>
      <w:pPr>
        <w:spacing w:before="0" w:after="40" w:line="240" w:lineRule="auto"/>
      </w:pPr>
    </w:p>
    <w:p>
      <w:pPr>
        <w:spacing w:before="0" w:after="100" w:line="288" w:lineRule="auto"/>
      </w:pPr>
      <w:r>
        <w:rPr>
          <w:rFonts w:ascii="Arial" w:hAnsi="Arial"/>
          <w:b/>
          <w:sz w:val="19"/>
        </w:rPr>
        <w:t>Relative to peers over time.</w:t>
      </w:r>
      <w:r>
        <w:rPr>
          <w:rFonts w:ascii="Arial" w:hAnsi="Arial"/>
          <w:sz w:val="19"/>
        </w:rPr>
        <w:t xml:space="preserve"> Kangwon Land used to trade at a premium to the foreigner-only casinos for its domestic monopoly and net cash. In 2016 it had a ~36% operating margin [u] and traded at 2.2x book. That premium has gone as the State lifted its take (2021) and the company committed to K-HIT. The October 2026 sell-off was driven by China and the won and hit the foreigner-only casinos harder. Kangwon Land, which has neither exposure, was dragged into it.</w:t>
      </w:r>
    </w:p>
    <w:p>
      <w:pPr>
        <w:pStyle w:val="Heading2"/>
        <w:keepNext/>
        <w:spacing w:before="160" w:after="80" w:line="264" w:lineRule="auto"/>
      </w:pPr>
      <w:r>
        <w:rPr>
          <w:rFonts w:ascii="Arial" w:hAnsi="Arial"/>
        </w:rPr>
        <w:t>14.7 Verdict: cheap, fair or expensive?</w:t>
      </w:r>
    </w:p>
    <w:tbl>
      <w:tblPr>
        <w:tblW w:type="auto" w:w="0"/>
        <w:jc w:val="center"/>
        <w:tblLook w:firstColumn="1" w:firstRow="1" w:lastColumn="0" w:lastRow="0" w:noHBand="0" w:noVBand="1" w:val="04A0"/>
        <w:tblLayout w:type="fixed"/>
        <w:tblW w:type="dxa" w:w="9906"/>
      </w:tblPr>
      <w:tblGrid>
        <w:gridCol w:w="2645"/>
        <w:gridCol w:w="7260"/>
      </w:tblGrid>
      <w:tr>
        <w:trPr>
          <w:tblHeader/>
        </w:trPr>
        <w:tc>
          <w:tcPr>
            <w:tcW w:type="dxa" w:w="2645"/>
            <w:tcW w:type="dxa" w:w="2645"/>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Lens</w:t>
            </w:r>
          </w:p>
        </w:tc>
        <w:tc>
          <w:tcPr>
            <w:tcW w:type="dxa" w:w="7260"/>
            <w:tcW w:type="dxa" w:w="7260"/>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Verdict</w:t>
            </w:r>
          </w:p>
        </w:tc>
      </w:tr>
      <w:tr>
        <w:trPr>
          <w:cantSplit/>
        </w:trPr>
        <w:tc>
          <w:tcPr>
            <w:tcW w:type="dxa" w:w="2645"/>
            <w:tcW w:type="dxa" w:w="264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EV/EBITDA and EV/Sales vs peers</w:t>
            </w:r>
          </w:p>
        </w:tc>
        <w:tc>
          <w:tcPr>
            <w:tcW w:type="dxa" w:w="7260"/>
            <w:tcW w:type="dxa" w:w="726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Extremely cheap</w:t>
            </w:r>
            <w:r>
              <w:rPr>
                <w:rFonts w:ascii="Arial" w:hAnsi="Arial"/>
                <w:sz w:val="15"/>
              </w:rPr>
              <w:t xml:space="preserve"> (negative EV)</w:t>
            </w:r>
          </w:p>
        </w:tc>
      </w:tr>
      <w:tr>
        <w:trPr>
          <w:cantSplit/>
        </w:trPr>
        <w:tc>
          <w:tcPr>
            <w:tcW w:type="dxa" w:w="2645"/>
            <w:tcW w:type="dxa" w:w="264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Regression</w:t>
            </w:r>
          </w:p>
        </w:tc>
        <w:tc>
          <w:tcPr>
            <w:tcW w:type="dxa" w:w="7260"/>
            <w:tcW w:type="dxa" w:w="726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Extremely cheap</w:t>
            </w:r>
            <w:r>
              <w:rPr>
                <w:rFonts w:ascii="Arial" w:hAnsi="Arial"/>
                <w:sz w:val="15"/>
              </w:rPr>
              <w:t xml:space="preserve"> (implied KRW28,000-30,000 mechanically; KRW20,000-22,000 at a 50% haircut)</w:t>
            </w:r>
          </w:p>
        </w:tc>
      </w:tr>
      <w:tr>
        <w:trPr>
          <w:cantSplit/>
        </w:trPr>
        <w:tc>
          <w:tcPr>
            <w:tcW w:type="dxa" w:w="2645"/>
            <w:tcW w:type="dxa" w:w="264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P/E (LTM / forward)</w:t>
            </w:r>
          </w:p>
        </w:tc>
        <w:tc>
          <w:tcPr>
            <w:tcW w:type="dxa" w:w="7260"/>
            <w:tcW w:type="dxa" w:w="726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Cheap / fair: 8.8x / 11.3x, but these include ~45% financial income</w:t>
            </w:r>
          </w:p>
        </w:tc>
      </w:tr>
      <w:tr>
        <w:trPr>
          <w:cantSplit/>
        </w:trPr>
        <w:tc>
          <w:tcPr>
            <w:tcW w:type="dxa" w:w="2645"/>
            <w:tcW w:type="dxa" w:w="264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P/B and dividend yield vs history</w:t>
            </w:r>
          </w:p>
        </w:tc>
        <w:tc>
          <w:tcPr>
            <w:tcW w:type="dxa" w:w="7260"/>
            <w:tcW w:type="dxa" w:w="726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Cheap</w:t>
            </w:r>
            <w:r>
              <w:rPr>
                <w:rFonts w:ascii="Arial" w:hAnsi="Arial"/>
                <w:sz w:val="15"/>
              </w:rPr>
              <w:t>: lowest P/B in our data, 6.7% yield</w:t>
            </w:r>
          </w:p>
        </w:tc>
      </w:tr>
      <w:tr>
        <w:trPr>
          <w:cantSplit/>
        </w:trPr>
        <w:tc>
          <w:tcPr>
            <w:tcW w:type="dxa" w:w="2645"/>
            <w:tcW w:type="dxa" w:w="264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Sum-of-the-parts (Section 24)</w:t>
            </w:r>
          </w:p>
        </w:tc>
        <w:tc>
          <w:tcPr>
            <w:tcW w:type="dxa" w:w="7260"/>
            <w:tcW w:type="dxa" w:w="726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Cheap</w:t>
            </w:r>
            <w:r>
              <w:rPr>
                <w:rFonts w:ascii="Arial" w:hAnsi="Arial"/>
                <w:sz w:val="15"/>
              </w:rPr>
              <w:t>: base KRW17,000 (+20%) after charging KRW0.8tn of K-HIT value destruction and a 10% discount</w:t>
            </w:r>
          </w:p>
        </w:tc>
      </w:tr>
      <w:tr>
        <w:trPr>
          <w:cantSplit/>
        </w:trPr>
        <w:tc>
          <w:tcPr>
            <w:tcW w:type="dxa" w:w="2645"/>
            <w:tcW w:type="dxa" w:w="264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Market-implied</w:t>
            </w:r>
          </w:p>
        </w:tc>
        <w:tc>
          <w:tcPr>
            <w:tcW w:type="dxa" w:w="7260"/>
            <w:tcW w:type="dxa" w:w="726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 xml:space="preserve">At KRW14,180, if net financial assets are taken at face value, the market charges </w:t>
            </w:r>
            <w:r>
              <w:rPr>
                <w:rFonts w:ascii="Arial" w:hAnsi="Arial"/>
                <w:b/>
                <w:sz w:val="15"/>
              </w:rPr>
              <w:t>~KRW2.6tn (the whole excess cash pile) to future value destruction</w:t>
            </w:r>
            <w:r>
              <w:rPr>
                <w:rFonts w:ascii="Arial" w:hAnsi="Arial"/>
                <w:sz w:val="15"/>
              </w:rPr>
              <w:t xml:space="preserve"> (K-HIT, levies, political leakage). We think KRW0.8-1.3tn is a fairer charge</w:t>
            </w:r>
          </w:p>
        </w:tc>
      </w:tr>
    </w:tbl>
    <w:p>
      <w:pPr>
        <w:spacing w:before="0" w:after="40" w:line="240" w:lineRule="auto"/>
      </w:pPr>
    </w:p>
    <w:p>
      <w:pPr>
        <w:pStyle w:val="Heading1"/>
        <w:pageBreakBefore/>
        <w:spacing w:before="0" w:after="120" w:line="264" w:lineRule="auto"/>
      </w:pPr>
      <w:r>
        <w:rPr>
          <w:rFonts w:ascii="Arial" w:hAnsi="Arial"/>
        </w:rPr>
        <w:t>15. M&amp;A: Industry Transactions, Takeover Potential and Takeout Multiples</w:t>
      </w:r>
    </w:p>
    <w:p>
      <w:pPr>
        <w:pStyle w:val="Heading2"/>
        <w:keepNext/>
        <w:spacing w:before="160" w:after="80" w:line="264" w:lineRule="auto"/>
      </w:pPr>
      <w:r>
        <w:rPr>
          <w:rFonts w:ascii="Arial" w:hAnsi="Arial"/>
        </w:rPr>
        <w:t>15.1 Recent industry M&amp;A themes (2021-2026)</w:t>
      </w:r>
    </w:p>
    <w:p>
      <w:pPr>
        <w:spacing w:before="0" w:after="50" w:line="276" w:lineRule="auto"/>
        <w:ind w:left="360" w:hanging="245"/>
      </w:pPr>
      <w:r>
        <w:rPr>
          <w:rFonts w:ascii="Arial" w:hAnsi="Arial"/>
          <w:sz w:val="19"/>
        </w:rPr>
        <w:t xml:space="preserve">1.  </w:t>
      </w:r>
      <w:r>
        <w:rPr>
          <w:rFonts w:ascii="Arial" w:hAnsi="Arial"/>
          <w:b/>
          <w:sz w:val="19"/>
        </w:rPr>
        <w:t>Take-privates of listed casino operators at 9-11x EBITDA:</w:t>
      </w:r>
    </w:p>
    <w:p>
      <w:pPr>
        <w:spacing w:before="0" w:after="50" w:line="276" w:lineRule="auto"/>
        <w:ind w:left="360" w:hanging="245"/>
      </w:pPr>
      <w:r>
        <w:rPr>
          <w:rFonts w:ascii="Arial" w:hAnsi="Arial"/>
          <w:color w:val="2E74B5"/>
          <w:sz w:val="16"/>
        </w:rPr>
        <w:t xml:space="preserve">▪  </w:t>
      </w:r>
      <w:r>
        <w:rPr>
          <w:rFonts w:ascii="Arial" w:hAnsi="Arial"/>
          <w:sz w:val="19"/>
        </w:rPr>
        <w:t>Crown/Blackstone (2022).</w:t>
      </w:r>
    </w:p>
    <w:p>
      <w:pPr>
        <w:spacing w:before="0" w:after="50" w:line="276" w:lineRule="auto"/>
        <w:ind w:left="360" w:hanging="245"/>
      </w:pPr>
      <w:r>
        <w:rPr>
          <w:rFonts w:ascii="Arial" w:hAnsi="Arial"/>
          <w:color w:val="2E74B5"/>
          <w:sz w:val="16"/>
        </w:rPr>
        <w:t xml:space="preserve">▪  </w:t>
      </w:r>
      <w:r>
        <w:rPr>
          <w:rFonts w:ascii="Arial" w:hAnsi="Arial"/>
          <w:sz w:val="19"/>
        </w:rPr>
        <w:t>Golden Entertainment/VICI-Sartini (2026).</w:t>
      </w:r>
    </w:p>
    <w:p>
      <w:pPr>
        <w:spacing w:before="0" w:after="50" w:line="276" w:lineRule="auto"/>
        <w:ind w:left="360" w:hanging="245"/>
      </w:pPr>
      <w:r>
        <w:rPr>
          <w:rFonts w:ascii="Arial" w:hAnsi="Arial"/>
          <w:color w:val="2E74B5"/>
          <w:sz w:val="16"/>
        </w:rPr>
        <w:t xml:space="preserve">▪  </w:t>
      </w:r>
      <w:r>
        <w:rPr>
          <w:rFonts w:ascii="Arial" w:hAnsi="Arial"/>
          <w:sz w:val="19"/>
        </w:rPr>
        <w:t>Caesars/Fertitta (pending, 9.1x).</w:t>
      </w:r>
    </w:p>
    <w:p>
      <w:pPr>
        <w:spacing w:before="0" w:after="50" w:line="276" w:lineRule="auto"/>
        <w:ind w:left="360" w:hanging="245"/>
      </w:pPr>
      <w:r>
        <w:rPr>
          <w:rFonts w:ascii="Arial" w:hAnsi="Arial"/>
          <w:color w:val="2E74B5"/>
          <w:sz w:val="16"/>
        </w:rPr>
        <w:t xml:space="preserve">▪  </w:t>
      </w:r>
      <w:r>
        <w:rPr>
          <w:rFonts w:ascii="Arial" w:hAnsi="Arial"/>
          <w:sz w:val="19"/>
        </w:rPr>
        <w:t>SkyCity/Oaktree (cancelled, ~10.8x).</w:t>
      </w:r>
    </w:p>
    <w:p>
      <w:pPr>
        <w:spacing w:before="0" w:after="50" w:line="276" w:lineRule="auto"/>
        <w:ind w:left="360" w:hanging="245"/>
      </w:pPr>
      <w:r>
        <w:rPr>
          <w:rFonts w:ascii="Arial" w:hAnsi="Arial"/>
          <w:sz w:val="19"/>
        </w:rPr>
        <w:t xml:space="preserve">2.  </w:t>
      </w:r>
      <w:r>
        <w:rPr>
          <w:rFonts w:ascii="Arial" w:hAnsi="Arial"/>
          <w:b/>
          <w:sz w:val="19"/>
        </w:rPr>
        <w:t>Distressed recapitalisations in Asia-Pacific:</w:t>
      </w:r>
    </w:p>
    <w:p>
      <w:pPr>
        <w:spacing w:before="0" w:after="50" w:line="276" w:lineRule="auto"/>
        <w:ind w:left="360" w:hanging="245"/>
      </w:pPr>
      <w:r>
        <w:rPr>
          <w:rFonts w:ascii="Arial" w:hAnsi="Arial"/>
          <w:color w:val="2E74B5"/>
          <w:sz w:val="16"/>
        </w:rPr>
        <w:t xml:space="preserve">▪  </w:t>
      </w:r>
      <w:r>
        <w:rPr>
          <w:rFonts w:ascii="Arial" w:hAnsi="Arial"/>
          <w:sz w:val="19"/>
        </w:rPr>
        <w:t>Inspire (Incheon) passed to Bain Capital after Mohegan's default (Feb-2025) and was put up for sale.</w:t>
      </w:r>
    </w:p>
    <w:p>
      <w:pPr>
        <w:spacing w:before="0" w:after="50" w:line="276" w:lineRule="auto"/>
        <w:ind w:left="360" w:hanging="245"/>
      </w:pPr>
      <w:r>
        <w:rPr>
          <w:rFonts w:ascii="Arial" w:hAnsi="Arial"/>
          <w:color w:val="2E74B5"/>
          <w:sz w:val="16"/>
        </w:rPr>
        <w:t xml:space="preserve">▪  </w:t>
      </w:r>
      <w:r>
        <w:rPr>
          <w:rFonts w:ascii="Arial" w:hAnsi="Arial"/>
          <w:sz w:val="19"/>
        </w:rPr>
        <w:t>Bally's took a stake in Star Entertainment (2025).</w:t>
      </w:r>
    </w:p>
    <w:p>
      <w:pPr>
        <w:spacing w:before="0" w:after="50" w:line="276" w:lineRule="auto"/>
        <w:ind w:left="360" w:hanging="245"/>
      </w:pPr>
      <w:r>
        <w:rPr>
          <w:rFonts w:ascii="Arial" w:hAnsi="Arial"/>
          <w:sz w:val="19"/>
        </w:rPr>
        <w:t xml:space="preserve">3.  </w:t>
      </w:r>
      <w:r>
        <w:rPr>
          <w:rFonts w:ascii="Arial" w:hAnsi="Arial"/>
          <w:b/>
          <w:sz w:val="19"/>
        </w:rPr>
        <w:t>Family-holdco minority squeeze-outs:</w:t>
      </w:r>
      <w:r>
        <w:rPr>
          <w:rFonts w:ascii="Arial" w:hAnsi="Arial"/>
          <w:sz w:val="19"/>
        </w:rPr>
        <w:t xml:space="preserve"> Genting Bhd's RM2.35 offer for Genting Malaysia (2025, 8.1x LTM EBITDA; lapsed at 73.13%).</w:t>
      </w:r>
    </w:p>
    <w:p>
      <w:pPr>
        <w:spacing w:before="0" w:after="50" w:line="276" w:lineRule="auto"/>
        <w:ind w:left="360" w:hanging="245"/>
      </w:pPr>
      <w:r>
        <w:rPr>
          <w:rFonts w:ascii="Arial" w:hAnsi="Arial"/>
          <w:sz w:val="19"/>
        </w:rPr>
        <w:t xml:space="preserve">4.  </w:t>
      </w:r>
      <w:r>
        <w:rPr>
          <w:rFonts w:ascii="Arial" w:hAnsi="Arial"/>
          <w:b/>
          <w:sz w:val="19"/>
        </w:rPr>
        <w:t>State-asset restructuring in Korea:</w:t>
      </w:r>
      <w:r>
        <w:rPr>
          <w:rFonts w:ascii="Arial" w:hAnsi="Arial"/>
          <w:sz w:val="19"/>
        </w:rPr>
        <w:t xml:space="preserve"> KOMIR's financial distress (negative equity of KRW3.16tn), and a ministry discussion of using casino revenue towards Korea Coal Corp's debt [u].</w:t>
      </w:r>
    </w:p>
    <w:p>
      <w:pPr>
        <w:pStyle w:val="Heading2"/>
        <w:keepNext/>
        <w:spacing w:before="160" w:after="80" w:line="264" w:lineRule="auto"/>
      </w:pPr>
      <w:r>
        <w:rPr>
          <w:rFonts w:ascii="Arial" w:hAnsi="Arial"/>
        </w:rPr>
        <w:t>15.2 Comparable transactions (last five years)</w:t>
      </w:r>
    </w:p>
    <w:tbl>
      <w:tblPr>
        <w:tblW w:type="auto" w:w="0"/>
        <w:jc w:val="center"/>
        <w:tblLook w:firstColumn="1" w:firstRow="1" w:lastColumn="0" w:lastRow="0" w:noHBand="0" w:noVBand="1" w:val="04A0"/>
        <w:tblLayout w:type="fixed"/>
        <w:tblW w:type="dxa" w:w="9906"/>
      </w:tblPr>
      <w:tblGrid>
        <w:gridCol w:w="1057"/>
        <w:gridCol w:w="2050"/>
        <w:gridCol w:w="1530"/>
        <w:gridCol w:w="1301"/>
        <w:gridCol w:w="1498"/>
        <w:gridCol w:w="1674"/>
        <w:gridCol w:w="793"/>
      </w:tblGrid>
      <w:tr>
        <w:trPr>
          <w:tblHeader/>
        </w:trPr>
        <w:tc>
          <w:tcPr>
            <w:tcW w:type="dxa" w:w="1057"/>
            <w:tcW w:type="dxa" w:w="1057"/>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Announced</w:t>
            </w:r>
          </w:p>
        </w:tc>
        <w:tc>
          <w:tcPr>
            <w:tcW w:type="dxa" w:w="2050"/>
            <w:tcW w:type="dxa" w:w="2050"/>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Target</w:t>
            </w:r>
          </w:p>
        </w:tc>
        <w:tc>
          <w:tcPr>
            <w:tcW w:type="dxa" w:w="1530"/>
            <w:tcW w:type="dxa" w:w="1530"/>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Acquirer</w:t>
            </w:r>
          </w:p>
        </w:tc>
        <w:tc>
          <w:tcPr>
            <w:tcW w:type="dxa" w:w="1301"/>
            <w:tcW w:type="dxa" w:w="1301"/>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Status</w:t>
            </w:r>
          </w:p>
        </w:tc>
        <w:tc>
          <w:tcPr>
            <w:tcW w:type="dxa" w:w="1498"/>
            <w:tcW w:type="dxa" w:w="1498"/>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right"/>
            </w:pPr>
            <w:r>
              <w:rPr>
                <w:rFonts w:ascii="Arial" w:hAnsi="Arial"/>
                <w:b/>
                <w:color w:val="FFFFFF"/>
                <w:sz w:val="15"/>
              </w:rPr>
              <w:t>EV</w:t>
            </w:r>
          </w:p>
        </w:tc>
        <w:tc>
          <w:tcPr>
            <w:tcW w:type="dxa" w:w="1674"/>
            <w:tcW w:type="dxa" w:w="1674"/>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right"/>
            </w:pPr>
            <w:r>
              <w:rPr>
                <w:rFonts w:ascii="Arial" w:hAnsi="Arial"/>
                <w:b/>
                <w:color w:val="FFFFFF"/>
                <w:sz w:val="15"/>
              </w:rPr>
              <w:t>EV/EBITDA</w:t>
            </w:r>
          </w:p>
        </w:tc>
        <w:tc>
          <w:tcPr>
            <w:tcW w:type="dxa" w:w="793"/>
            <w:tcW w:type="dxa" w:w="793"/>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right"/>
            </w:pPr>
            <w:r>
              <w:rPr>
                <w:rFonts w:ascii="Arial" w:hAnsi="Arial"/>
                <w:b/>
                <w:color w:val="FFFFFF"/>
                <w:sz w:val="15"/>
              </w:rPr>
              <w:t>EV/Sales</w:t>
            </w:r>
          </w:p>
        </w:tc>
      </w:tr>
      <w:tr>
        <w:trPr>
          <w:cantSplit/>
        </w:trPr>
        <w:tc>
          <w:tcPr>
            <w:tcW w:type="dxa" w:w="1057"/>
            <w:tcW w:type="dxa" w:w="105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13-Oct-2025</w:t>
            </w:r>
          </w:p>
        </w:tc>
        <w:tc>
          <w:tcPr>
            <w:tcW w:type="dxa" w:w="2050"/>
            <w:tcW w:type="dxa" w:w="205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Genting Malaysia (minority)</w:t>
            </w:r>
          </w:p>
        </w:tc>
        <w:tc>
          <w:tcPr>
            <w:tcW w:type="dxa" w:w="1530"/>
            <w:tcW w:type="dxa" w:w="153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Genting Bhd</w:t>
            </w:r>
          </w:p>
        </w:tc>
        <w:tc>
          <w:tcPr>
            <w:tcW w:type="dxa" w:w="1301"/>
            <w:tcW w:type="dxa" w:w="130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Lapsed at 73.13%</w:t>
            </w:r>
          </w:p>
        </w:tc>
        <w:tc>
          <w:tcPr>
            <w:tcW w:type="dxa" w:w="1498"/>
            <w:tcW w:type="dxa" w:w="149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RM22.9bn</w:t>
            </w:r>
          </w:p>
        </w:tc>
        <w:tc>
          <w:tcPr>
            <w:tcW w:type="dxa" w:w="1674"/>
            <w:tcW w:type="dxa" w:w="167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8.1x LTM</w:t>
            </w:r>
          </w:p>
        </w:tc>
        <w:tc>
          <w:tcPr>
            <w:tcW w:type="dxa" w:w="793"/>
            <w:tcW w:type="dxa" w:w="79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2.08x</w:t>
            </w:r>
          </w:p>
        </w:tc>
      </w:tr>
      <w:tr>
        <w:trPr>
          <w:cantSplit/>
        </w:trPr>
        <w:tc>
          <w:tcPr>
            <w:tcW w:type="dxa" w:w="1057"/>
            <w:tcW w:type="dxa" w:w="105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28-May-2026</w:t>
            </w:r>
          </w:p>
        </w:tc>
        <w:tc>
          <w:tcPr>
            <w:tcW w:type="dxa" w:w="2050"/>
            <w:tcW w:type="dxa" w:w="205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Caesars Entertainment</w:t>
            </w:r>
          </w:p>
        </w:tc>
        <w:tc>
          <w:tcPr>
            <w:tcW w:type="dxa" w:w="1530"/>
            <w:tcW w:type="dxa" w:w="153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Fertitta Entertainment</w:t>
            </w:r>
          </w:p>
        </w:tc>
        <w:tc>
          <w:tcPr>
            <w:tcW w:type="dxa" w:w="1301"/>
            <w:tcW w:type="dxa" w:w="130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Pending</w:t>
            </w:r>
          </w:p>
        </w:tc>
        <w:tc>
          <w:tcPr>
            <w:tcW w:type="dxa" w:w="1498"/>
            <w:tcW w:type="dxa" w:w="149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US$31.7bn</w:t>
            </w:r>
          </w:p>
        </w:tc>
        <w:tc>
          <w:tcPr>
            <w:tcW w:type="dxa" w:w="1674"/>
            <w:tcW w:type="dxa" w:w="167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9.1x</w:t>
            </w:r>
          </w:p>
        </w:tc>
        <w:tc>
          <w:tcPr>
            <w:tcW w:type="dxa" w:w="793"/>
            <w:tcW w:type="dxa" w:w="79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2.76x</w:t>
            </w:r>
          </w:p>
        </w:tc>
      </w:tr>
      <w:tr>
        <w:trPr>
          <w:cantSplit/>
        </w:trPr>
        <w:tc>
          <w:tcPr>
            <w:tcW w:type="dxa" w:w="1057"/>
            <w:tcW w:type="dxa" w:w="105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2-Sep-2026</w:t>
            </w:r>
          </w:p>
        </w:tc>
        <w:tc>
          <w:tcPr>
            <w:tcW w:type="dxa" w:w="2050"/>
            <w:tcW w:type="dxa" w:w="205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Cirsa Enterprises</w:t>
            </w:r>
          </w:p>
        </w:tc>
        <w:tc>
          <w:tcPr>
            <w:tcW w:type="dxa" w:w="1530"/>
            <w:tcW w:type="dxa" w:w="153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Lottomatica</w:t>
            </w:r>
          </w:p>
        </w:tc>
        <w:tc>
          <w:tcPr>
            <w:tcW w:type="dxa" w:w="1301"/>
            <w:tcW w:type="dxa" w:w="130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Announced</w:t>
            </w:r>
          </w:p>
        </w:tc>
        <w:tc>
          <w:tcPr>
            <w:tcW w:type="dxa" w:w="1498"/>
            <w:tcW w:type="dxa" w:w="149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€4.7bn</w:t>
            </w:r>
          </w:p>
        </w:tc>
        <w:tc>
          <w:tcPr>
            <w:tcW w:type="dxa" w:w="1674"/>
            <w:tcW w:type="dxa" w:w="167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7.1x</w:t>
            </w:r>
          </w:p>
        </w:tc>
        <w:tc>
          <w:tcPr>
            <w:tcW w:type="dxa" w:w="793"/>
            <w:tcW w:type="dxa" w:w="79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2.00x</w:t>
            </w:r>
          </w:p>
        </w:tc>
      </w:tr>
      <w:tr>
        <w:trPr>
          <w:cantSplit/>
        </w:trPr>
        <w:tc>
          <w:tcPr>
            <w:tcW w:type="dxa" w:w="1057"/>
            <w:tcW w:type="dxa" w:w="105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18-May-2026</w:t>
            </w:r>
          </w:p>
        </w:tc>
        <w:tc>
          <w:tcPr>
            <w:tcW w:type="dxa" w:w="2050"/>
            <w:tcW w:type="dxa" w:w="205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Evoke plc</w:t>
            </w:r>
          </w:p>
        </w:tc>
        <w:tc>
          <w:tcPr>
            <w:tcW w:type="dxa" w:w="1530"/>
            <w:tcW w:type="dxa" w:w="153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Bally's Intralot</w:t>
            </w:r>
          </w:p>
        </w:tc>
        <w:tc>
          <w:tcPr>
            <w:tcW w:type="dxa" w:w="1301"/>
            <w:tcW w:type="dxa" w:w="130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Announced</w:t>
            </w:r>
          </w:p>
        </w:tc>
        <w:tc>
          <w:tcPr>
            <w:tcW w:type="dxa" w:w="1498"/>
            <w:tcW w:type="dxa" w:w="149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£2.2bn</w:t>
            </w:r>
          </w:p>
        </w:tc>
        <w:tc>
          <w:tcPr>
            <w:tcW w:type="dxa" w:w="1674"/>
            <w:tcW w:type="dxa" w:w="167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9.3x</w:t>
            </w:r>
          </w:p>
        </w:tc>
        <w:tc>
          <w:tcPr>
            <w:tcW w:type="dxa" w:w="793"/>
            <w:tcW w:type="dxa" w:w="79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1.22x</w:t>
            </w:r>
          </w:p>
        </w:tc>
      </w:tr>
      <w:tr>
        <w:trPr>
          <w:cantSplit/>
        </w:trPr>
        <w:tc>
          <w:tcPr>
            <w:tcW w:type="dxa" w:w="1057"/>
            <w:tcW w:type="dxa" w:w="105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25-Aug-2026</w:t>
            </w:r>
          </w:p>
        </w:tc>
        <w:tc>
          <w:tcPr>
            <w:tcW w:type="dxa" w:w="2050"/>
            <w:tcW w:type="dxa" w:w="205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SkyCity Entertainment</w:t>
            </w:r>
          </w:p>
        </w:tc>
        <w:tc>
          <w:tcPr>
            <w:tcW w:type="dxa" w:w="1530"/>
            <w:tcW w:type="dxa" w:w="153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Oaktree</w:t>
            </w:r>
          </w:p>
        </w:tc>
        <w:tc>
          <w:tcPr>
            <w:tcW w:type="dxa" w:w="1301"/>
            <w:tcW w:type="dxa" w:w="130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Cancelled</w:t>
            </w:r>
          </w:p>
        </w:tc>
        <w:tc>
          <w:tcPr>
            <w:tcW w:type="dxa" w:w="1498"/>
            <w:tcW w:type="dxa" w:w="149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NZ$1.5bn</w:t>
            </w:r>
          </w:p>
        </w:tc>
        <w:tc>
          <w:tcPr>
            <w:tcW w:type="dxa" w:w="1674"/>
            <w:tcW w:type="dxa" w:w="167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~10.8x [e]</w:t>
            </w:r>
          </w:p>
        </w:tc>
        <w:tc>
          <w:tcPr>
            <w:tcW w:type="dxa" w:w="793"/>
            <w:tcW w:type="dxa" w:w="79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~1.84x</w:t>
            </w:r>
          </w:p>
        </w:tc>
      </w:tr>
      <w:tr>
        <w:trPr>
          <w:cantSplit/>
        </w:trPr>
        <w:tc>
          <w:tcPr>
            <w:tcW w:type="dxa" w:w="1057"/>
            <w:tcW w:type="dxa" w:w="105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6-Nov-2025</w:t>
            </w:r>
          </w:p>
        </w:tc>
        <w:tc>
          <w:tcPr>
            <w:tcW w:type="dxa" w:w="2050"/>
            <w:tcW w:type="dxa" w:w="205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Golden Entertainment</w:t>
            </w:r>
          </w:p>
        </w:tc>
        <w:tc>
          <w:tcPr>
            <w:tcW w:type="dxa" w:w="1530"/>
            <w:tcW w:type="dxa" w:w="153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VICI / Sartini</w:t>
            </w:r>
          </w:p>
        </w:tc>
        <w:tc>
          <w:tcPr>
            <w:tcW w:type="dxa" w:w="1301"/>
            <w:tcW w:type="dxa" w:w="130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Closed Apr-2026</w:t>
            </w:r>
          </w:p>
        </w:tc>
        <w:tc>
          <w:tcPr>
            <w:tcW w:type="dxa" w:w="1498"/>
            <w:tcW w:type="dxa" w:w="149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US$1.2bn</w:t>
            </w:r>
          </w:p>
        </w:tc>
        <w:tc>
          <w:tcPr>
            <w:tcW w:type="dxa" w:w="1674"/>
            <w:tcW w:type="dxa" w:w="167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9.8x</w:t>
            </w:r>
          </w:p>
        </w:tc>
        <w:tc>
          <w:tcPr>
            <w:tcW w:type="dxa" w:w="793"/>
            <w:tcW w:type="dxa" w:w="79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1.88x</w:t>
            </w:r>
          </w:p>
        </w:tc>
      </w:tr>
      <w:tr>
        <w:trPr>
          <w:cantSplit/>
        </w:trPr>
        <w:tc>
          <w:tcPr>
            <w:tcW w:type="dxa" w:w="1057"/>
            <w:tcW w:type="dxa" w:w="105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13-Oct-2025</w:t>
            </w:r>
          </w:p>
        </w:tc>
        <w:tc>
          <w:tcPr>
            <w:tcW w:type="dxa" w:w="2050"/>
            <w:tcW w:type="dxa" w:w="205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OPAP</w:t>
            </w:r>
          </w:p>
        </w:tc>
        <w:tc>
          <w:tcPr>
            <w:tcW w:type="dxa" w:w="1530"/>
            <w:tcW w:type="dxa" w:w="153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Allwyn</w:t>
            </w:r>
          </w:p>
        </w:tc>
        <w:tc>
          <w:tcPr>
            <w:tcW w:type="dxa" w:w="1301"/>
            <w:tcW w:type="dxa" w:w="130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Closed Mar-2026</w:t>
            </w:r>
          </w:p>
        </w:tc>
        <w:tc>
          <w:tcPr>
            <w:tcW w:type="dxa" w:w="1498"/>
            <w:tcW w:type="dxa" w:w="149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€6.6bn</w:t>
            </w:r>
          </w:p>
        </w:tc>
        <w:tc>
          <w:tcPr>
            <w:tcW w:type="dxa" w:w="1674"/>
            <w:tcW w:type="dxa" w:w="167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8.4x</w:t>
            </w:r>
          </w:p>
        </w:tc>
        <w:tc>
          <w:tcPr>
            <w:tcW w:type="dxa" w:w="793"/>
            <w:tcW w:type="dxa" w:w="79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4.02x</w:t>
            </w:r>
          </w:p>
        </w:tc>
      </w:tr>
      <w:tr>
        <w:trPr>
          <w:cantSplit/>
        </w:trPr>
        <w:tc>
          <w:tcPr>
            <w:tcW w:type="dxa" w:w="1057"/>
            <w:tcW w:type="dxa" w:w="105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26-Jul-2024</w:t>
            </w:r>
          </w:p>
        </w:tc>
        <w:tc>
          <w:tcPr>
            <w:tcW w:type="dxa" w:w="2050"/>
            <w:tcW w:type="dxa" w:w="205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Everi + IGT Gaming &amp; Digital</w:t>
            </w:r>
          </w:p>
        </w:tc>
        <w:tc>
          <w:tcPr>
            <w:tcW w:type="dxa" w:w="1530"/>
            <w:tcW w:type="dxa" w:w="153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Apollo</w:t>
            </w:r>
          </w:p>
        </w:tc>
        <w:tc>
          <w:tcPr>
            <w:tcW w:type="dxa" w:w="1301"/>
            <w:tcW w:type="dxa" w:w="130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Closed Jul-2025</w:t>
            </w:r>
          </w:p>
        </w:tc>
        <w:tc>
          <w:tcPr>
            <w:tcW w:type="dxa" w:w="1498"/>
            <w:tcW w:type="dxa" w:w="149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US$2.2bn (Everi)</w:t>
            </w:r>
          </w:p>
        </w:tc>
        <w:tc>
          <w:tcPr>
            <w:tcW w:type="dxa" w:w="1674"/>
            <w:tcW w:type="dxa" w:w="167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6.7x</w:t>
            </w:r>
          </w:p>
        </w:tc>
        <w:tc>
          <w:tcPr>
            <w:tcW w:type="dxa" w:w="793"/>
            <w:tcW w:type="dxa" w:w="79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2.77x</w:t>
            </w:r>
          </w:p>
        </w:tc>
      </w:tr>
      <w:tr>
        <w:trPr>
          <w:cantSplit/>
        </w:trPr>
        <w:tc>
          <w:tcPr>
            <w:tcW w:type="dxa" w:w="1057"/>
            <w:tcW w:type="dxa" w:w="105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Feb-2022</w:t>
            </w:r>
          </w:p>
        </w:tc>
        <w:tc>
          <w:tcPr>
            <w:tcW w:type="dxa" w:w="2050"/>
            <w:tcW w:type="dxa" w:w="205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Crown Resorts</w:t>
            </w:r>
          </w:p>
        </w:tc>
        <w:tc>
          <w:tcPr>
            <w:tcW w:type="dxa" w:w="1530"/>
            <w:tcW w:type="dxa" w:w="153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Blackstone</w:t>
            </w:r>
          </w:p>
        </w:tc>
        <w:tc>
          <w:tcPr>
            <w:tcW w:type="dxa" w:w="1301"/>
            <w:tcW w:type="dxa" w:w="130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Closed Jun-2022</w:t>
            </w:r>
          </w:p>
        </w:tc>
        <w:tc>
          <w:tcPr>
            <w:tcW w:type="dxa" w:w="1498"/>
            <w:tcW w:type="dxa" w:w="149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A$9.8bn</w:t>
            </w:r>
          </w:p>
        </w:tc>
        <w:tc>
          <w:tcPr>
            <w:tcW w:type="dxa" w:w="1674"/>
            <w:tcW w:type="dxa" w:w="167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11.2x (FY19)</w:t>
            </w:r>
          </w:p>
        </w:tc>
        <w:tc>
          <w:tcPr>
            <w:tcW w:type="dxa" w:w="793"/>
            <w:tcW w:type="dxa" w:w="79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3.35x</w:t>
            </w:r>
          </w:p>
        </w:tc>
      </w:tr>
      <w:tr>
        <w:trPr>
          <w:cantSplit/>
        </w:trPr>
        <w:tc>
          <w:tcPr>
            <w:tcW w:type="dxa" w:w="1057"/>
            <w:tcW w:type="dxa" w:w="105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Feb-2025</w:t>
            </w:r>
          </w:p>
        </w:tc>
        <w:tc>
          <w:tcPr>
            <w:tcW w:type="dxa" w:w="2050"/>
            <w:tcW w:type="dxa" w:w="205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Inspire Entertainment Resort (Incheon)</w:t>
            </w:r>
          </w:p>
        </w:tc>
        <w:tc>
          <w:tcPr>
            <w:tcW w:type="dxa" w:w="1530"/>
            <w:tcW w:type="dxa" w:w="153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Bain Capital (lender step-in)</w:t>
            </w:r>
          </w:p>
        </w:tc>
        <w:tc>
          <w:tcPr>
            <w:tcW w:type="dxa" w:w="1301"/>
            <w:tcW w:type="dxa" w:w="130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Control transferred; sale process</w:t>
            </w:r>
          </w:p>
        </w:tc>
        <w:tc>
          <w:tcPr>
            <w:tcW w:type="dxa" w:w="1498"/>
            <w:tcW w:type="dxa" w:w="149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n/a</w:t>
            </w:r>
          </w:p>
        </w:tc>
        <w:tc>
          <w:tcPr>
            <w:tcW w:type="dxa" w:w="1674"/>
            <w:tcW w:type="dxa" w:w="167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n.m. (loss-making)</w:t>
            </w:r>
          </w:p>
        </w:tc>
        <w:tc>
          <w:tcPr>
            <w:tcW w:type="dxa" w:w="793"/>
            <w:tcW w:type="dxa" w:w="79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n/a</w:t>
            </w:r>
          </w:p>
        </w:tc>
      </w:tr>
    </w:tbl>
    <w:p>
      <w:pPr>
        <w:spacing w:before="0" w:after="40" w:line="240" w:lineRule="auto"/>
      </w:pPr>
    </w:p>
    <w:p>
      <w:pPr>
        <w:spacing w:before="0" w:after="100" w:line="288" w:lineRule="auto"/>
      </w:pPr>
      <w:r>
        <w:rPr>
          <w:rFonts w:ascii="Arial" w:hAnsi="Arial"/>
          <w:i/>
          <w:color w:val="5A6270"/>
          <w:sz w:val="15"/>
        </w:rPr>
        <w:t xml:space="preserve">Source: S&amp;P Capital IQ Transactions (as compiled in our Genting Malaysia report); Yogonet and Asia Gaming Brief (Inspire). </w:t>
      </w:r>
      <w:r>
        <w:rPr>
          <w:rFonts w:ascii="Arial" w:hAnsi="Arial"/>
          <w:b/>
          <w:i/>
          <w:color w:val="5A6270"/>
          <w:sz w:val="15"/>
        </w:rPr>
        <w:t>Median EV/EBITDA 9.2x (n=10); land-based casino control deals cluster at 9-11x.</w:t>
      </w:r>
    </w:p>
    <w:p>
      <w:pPr>
        <w:pStyle w:val="Heading2"/>
        <w:keepNext/>
        <w:spacing w:before="160" w:after="80" w:line="264" w:lineRule="auto"/>
      </w:pPr>
      <w:r>
        <w:rPr>
          <w:rFonts w:ascii="Arial" w:hAnsi="Arial"/>
        </w:rPr>
        <w:t>15.3 Is Kangwon Land a takeover target?</w:t>
      </w:r>
    </w:p>
    <w:p>
      <w:pPr>
        <w:spacing w:before="0" w:after="100" w:line="288" w:lineRule="auto"/>
      </w:pPr>
      <w:r>
        <w:rPr>
          <w:rFonts w:ascii="Arial" w:hAnsi="Arial"/>
          <w:b/>
          <w:sz w:val="19"/>
        </w:rPr>
        <w:t>No.</w:t>
      </w:r>
      <w:r>
        <w:rPr>
          <w:rFonts w:ascii="Arial" w:hAnsi="Arial"/>
          <w:sz w:val="19"/>
        </w:rPr>
        <w:t xml:space="preserve"> The Special Act requires public bodies to hold ≥51%, and they hold 51.01%. No private buyer can gain control, and the public holders cannot sell down. The realistic "corporate events" are different:</w:t>
      </w:r>
    </w:p>
    <w:tbl>
      <w:tblPr>
        <w:tblW w:type="auto" w:w="0"/>
        <w:jc w:val="center"/>
        <w:tblLook w:firstColumn="1" w:firstRow="1" w:lastColumn="0" w:lastRow="0" w:noHBand="0" w:noVBand="1" w:val="04A0"/>
        <w:tblLayout w:type="fixed"/>
        <w:tblW w:type="dxa" w:w="9906"/>
      </w:tblPr>
      <w:tblGrid>
        <w:gridCol w:w="5354"/>
        <w:gridCol w:w="1644"/>
        <w:gridCol w:w="2906"/>
      </w:tblGrid>
      <w:tr>
        <w:trPr>
          <w:tblHeader/>
        </w:trPr>
        <w:tc>
          <w:tcPr>
            <w:tcW w:type="dxa" w:w="5354"/>
            <w:tcW w:type="dxa" w:w="5354"/>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Possible event</w:t>
            </w:r>
          </w:p>
        </w:tc>
        <w:tc>
          <w:tcPr>
            <w:tcW w:type="dxa" w:w="1644"/>
            <w:tcW w:type="dxa" w:w="1644"/>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Likelihood (12-24 months)</w:t>
            </w:r>
          </w:p>
        </w:tc>
        <w:tc>
          <w:tcPr>
            <w:tcW w:type="dxa" w:w="2906"/>
            <w:tcW w:type="dxa" w:w="2906"/>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Effect on minorities</w:t>
            </w:r>
          </w:p>
        </w:tc>
      </w:tr>
      <w:tr>
        <w:trPr>
          <w:cantSplit/>
        </w:trPr>
        <w:tc>
          <w:tcPr>
            <w:tcW w:type="dxa" w:w="5354"/>
            <w:tcW w:type="dxa" w:w="535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Higher payout or special dividend under the FY27-29 Value-Up plan, encouraged by KOMIR's cash needs and dividend tax reform</w:t>
            </w:r>
          </w:p>
        </w:tc>
        <w:tc>
          <w:tcPr>
            <w:tcW w:type="dxa" w:w="1644"/>
            <w:tcW w:type="dxa" w:w="164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Medium-high</w:t>
            </w:r>
          </w:p>
        </w:tc>
        <w:tc>
          <w:tcPr>
            <w:tcW w:type="dxa" w:w="2906"/>
            <w:tcW w:type="dxa" w:w="290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Positive: returns excess cash</w:t>
            </w:r>
          </w:p>
        </w:tc>
      </w:tr>
      <w:tr>
        <w:trPr>
          <w:cantSplit/>
        </w:trPr>
        <w:tc>
          <w:tcPr>
            <w:tcW w:type="dxa" w:w="5354"/>
            <w:tcW w:type="dxa" w:w="535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Treasury-share cancellation (7.36%) by the Commercial Act deadline (~Sep-2027)</w:t>
            </w:r>
          </w:p>
        </w:tc>
        <w:tc>
          <w:tcPr>
            <w:tcW w:type="dxa" w:w="1644"/>
            <w:tcW w:type="dxa" w:w="164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Medium</w:t>
            </w:r>
            <w:r>
              <w:rPr>
                <w:rFonts w:ascii="Arial" w:hAnsi="Arial"/>
                <w:sz w:val="15"/>
              </w:rPr>
              <w:t xml:space="preserve"> (the Aug-26 EGM allowed retention)</w:t>
            </w:r>
          </w:p>
        </w:tc>
        <w:tc>
          <w:tcPr>
            <w:tcW w:type="dxa" w:w="2906"/>
            <w:tcW w:type="dxa" w:w="290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Positive signal; neutral to per-share value at today's price</w:t>
            </w:r>
          </w:p>
        </w:tc>
      </w:tr>
      <w:tr>
        <w:trPr>
          <w:cantSplit/>
        </w:trPr>
        <w:tc>
          <w:tcPr>
            <w:tcW w:type="dxa" w:w="5354"/>
            <w:tcW w:type="dxa" w:w="535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K-HIT rescoped or phased after the Organisational Diagnosis and Innovation Committee</w:t>
            </w:r>
          </w:p>
        </w:tc>
        <w:tc>
          <w:tcPr>
            <w:tcW w:type="dxa" w:w="1644"/>
            <w:tcW w:type="dxa" w:w="164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Medium</w:t>
            </w:r>
          </w:p>
        </w:tc>
        <w:tc>
          <w:tcPr>
            <w:tcW w:type="dxa" w:w="2906"/>
            <w:tcW w:type="dxa" w:w="290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Positive: protects cash</w:t>
            </w:r>
          </w:p>
        </w:tc>
      </w:tr>
      <w:tr>
        <w:trPr>
          <w:cantSplit/>
        </w:trPr>
        <w:tc>
          <w:tcPr>
            <w:tcW w:type="dxa" w:w="5354"/>
            <w:tcW w:type="dxa" w:w="535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Transfer of the KOMIR stake to another state entity or ministry, or use of Kangwon Land cash to support Korea Coal Corp debt [u]</w:t>
            </w:r>
          </w:p>
        </w:tc>
        <w:tc>
          <w:tcPr>
            <w:tcW w:type="dxa" w:w="1644"/>
            <w:tcW w:type="dxa" w:w="164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Low-medium</w:t>
            </w:r>
          </w:p>
        </w:tc>
        <w:tc>
          <w:tcPr>
            <w:tcW w:type="dxa" w:w="2906"/>
            <w:tcW w:type="dxa" w:w="290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Negative if cash is diverted outside dividends</w:t>
            </w:r>
          </w:p>
        </w:tc>
      </w:tr>
      <w:tr>
        <w:trPr>
          <w:cantSplit/>
        </w:trPr>
        <w:tc>
          <w:tcPr>
            <w:tcW w:type="dxa" w:w="5354"/>
            <w:tcW w:type="dxa" w:w="535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A legislated second Korean-access casino (Saemangeum)</w:t>
            </w:r>
          </w:p>
        </w:tc>
        <w:tc>
          <w:tcPr>
            <w:tcW w:type="dxa" w:w="1644"/>
            <w:tcW w:type="dxa" w:w="164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Low (needs a special act)</w:t>
            </w:r>
          </w:p>
        </w:tc>
        <w:tc>
          <w:tcPr>
            <w:tcW w:type="dxa" w:w="2906"/>
            <w:tcW w:type="dxa" w:w="290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Negative for the monopoly</w:t>
            </w:r>
          </w:p>
        </w:tc>
      </w:tr>
      <w:tr>
        <w:trPr>
          <w:cantSplit/>
        </w:trPr>
        <w:tc>
          <w:tcPr>
            <w:tcW w:type="dxa" w:w="5354"/>
            <w:tcW w:type="dxa" w:w="535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Listing or spin-off of non-casino assets</w:t>
            </w:r>
          </w:p>
        </w:tc>
        <w:tc>
          <w:tcPr>
            <w:tcW w:type="dxa" w:w="1644"/>
            <w:tcW w:type="dxa" w:w="164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Very low</w:t>
            </w:r>
          </w:p>
        </w:tc>
        <w:tc>
          <w:tcPr>
            <w:tcW w:type="dxa" w:w="2906"/>
            <w:tcW w:type="dxa" w:w="290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Neutral</w:t>
            </w:r>
          </w:p>
        </w:tc>
      </w:tr>
    </w:tbl>
    <w:p>
      <w:pPr>
        <w:spacing w:before="0" w:after="40" w:line="240" w:lineRule="auto"/>
      </w:pPr>
    </w:p>
    <w:p>
      <w:pPr>
        <w:pStyle w:val="Heading2"/>
        <w:keepNext/>
        <w:spacing w:before="160" w:after="80" w:line="264" w:lineRule="auto"/>
      </w:pPr>
      <w:r>
        <w:rPr>
          <w:rFonts w:ascii="Arial" w:hAnsi="Arial"/>
        </w:rPr>
        <w:t>15.4 Potential takeout multiples and values (theoretical)</w:t>
      </w:r>
    </w:p>
    <w:p>
      <w:pPr>
        <w:spacing w:before="0" w:after="100" w:line="288" w:lineRule="auto"/>
      </w:pPr>
      <w:r>
        <w:rPr>
          <w:rFonts w:ascii="Arial" w:hAnsi="Arial"/>
          <w:sz w:val="19"/>
        </w:rPr>
        <w:t>A takeover is not possible, but deal multiples are a useful yardstick for the value of the operating business. It must be added to excess cash, because buyers pay for EBITDA and receive the cash.</w:t>
      </w:r>
    </w:p>
    <w:tbl>
      <w:tblPr>
        <w:tblW w:type="auto" w:w="0"/>
        <w:jc w:val="center"/>
        <w:tblLook w:firstColumn="1" w:firstRow="1" w:lastColumn="0" w:lastRow="0" w:noHBand="0" w:noVBand="1" w:val="04A0"/>
        <w:tblLayout w:type="fixed"/>
        <w:tblW w:type="dxa" w:w="9906"/>
      </w:tblPr>
      <w:tblGrid>
        <w:gridCol w:w="3948"/>
        <w:gridCol w:w="969"/>
        <w:gridCol w:w="969"/>
        <w:gridCol w:w="969"/>
        <w:gridCol w:w="969"/>
        <w:gridCol w:w="1108"/>
        <w:gridCol w:w="969"/>
      </w:tblGrid>
      <w:tr>
        <w:trPr>
          <w:tblHeader/>
        </w:trPr>
        <w:tc>
          <w:tcPr>
            <w:tcW w:type="dxa" w:w="3948"/>
            <w:tcW w:type="dxa" w:w="3948"/>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TEV / FY26E EBITDA (KRW293bn)</w:t>
            </w:r>
          </w:p>
        </w:tc>
        <w:tc>
          <w:tcPr>
            <w:tcW w:type="dxa" w:w="969"/>
            <w:tcW w:type="dxa" w:w="969"/>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right"/>
            </w:pPr>
            <w:r>
              <w:rPr>
                <w:rFonts w:ascii="Arial" w:hAnsi="Arial"/>
                <w:b/>
                <w:color w:val="FFFFFF"/>
                <w:sz w:val="15"/>
              </w:rPr>
              <w:t>5.0x</w:t>
            </w:r>
          </w:p>
        </w:tc>
        <w:tc>
          <w:tcPr>
            <w:tcW w:type="dxa" w:w="969"/>
            <w:tcW w:type="dxa" w:w="969"/>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right"/>
            </w:pPr>
            <w:r>
              <w:rPr>
                <w:rFonts w:ascii="Arial" w:hAnsi="Arial"/>
                <w:b/>
                <w:color w:val="FFFFFF"/>
                <w:sz w:val="15"/>
              </w:rPr>
              <w:t>6.0x</w:t>
            </w:r>
          </w:p>
        </w:tc>
        <w:tc>
          <w:tcPr>
            <w:tcW w:type="dxa" w:w="969"/>
            <w:tcW w:type="dxa" w:w="969"/>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right"/>
            </w:pPr>
            <w:r>
              <w:rPr>
                <w:rFonts w:ascii="Arial" w:hAnsi="Arial"/>
                <w:b/>
                <w:color w:val="FFFFFF"/>
                <w:sz w:val="15"/>
              </w:rPr>
              <w:t>7.0x</w:t>
            </w:r>
          </w:p>
        </w:tc>
        <w:tc>
          <w:tcPr>
            <w:tcW w:type="dxa" w:w="969"/>
            <w:tcW w:type="dxa" w:w="969"/>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right"/>
            </w:pPr>
            <w:r>
              <w:rPr>
                <w:rFonts w:ascii="Arial" w:hAnsi="Arial"/>
                <w:b/>
                <w:color w:val="FFFFFF"/>
                <w:sz w:val="15"/>
              </w:rPr>
              <w:t>8.0x</w:t>
            </w:r>
          </w:p>
        </w:tc>
        <w:tc>
          <w:tcPr>
            <w:tcW w:type="dxa" w:w="1108"/>
            <w:tcW w:type="dxa" w:w="1108"/>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right"/>
            </w:pPr>
            <w:r>
              <w:rPr>
                <w:rFonts w:ascii="Arial" w:hAnsi="Arial"/>
                <w:b/>
                <w:color w:val="FFFFFF"/>
                <w:sz w:val="15"/>
              </w:rPr>
              <w:t>9.2x (deal median)</w:t>
            </w:r>
          </w:p>
        </w:tc>
        <w:tc>
          <w:tcPr>
            <w:tcW w:type="dxa" w:w="969"/>
            <w:tcW w:type="dxa" w:w="969"/>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right"/>
            </w:pPr>
            <w:r>
              <w:rPr>
                <w:rFonts w:ascii="Arial" w:hAnsi="Arial"/>
                <w:b/>
                <w:color w:val="FFFFFF"/>
                <w:sz w:val="15"/>
              </w:rPr>
              <w:t>10.0x</w:t>
            </w:r>
          </w:p>
        </w:tc>
      </w:tr>
      <w:tr>
        <w:trPr>
          <w:cantSplit/>
        </w:trPr>
        <w:tc>
          <w:tcPr>
            <w:tcW w:type="dxa" w:w="3948"/>
            <w:tcW w:type="dxa" w:w="394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Operating value (KRW tn)</w:t>
            </w:r>
          </w:p>
        </w:tc>
        <w:tc>
          <w:tcPr>
            <w:tcW w:type="dxa" w:w="969"/>
            <w:tcW w:type="dxa" w:w="96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1.47</w:t>
            </w:r>
          </w:p>
        </w:tc>
        <w:tc>
          <w:tcPr>
            <w:tcW w:type="dxa" w:w="969"/>
            <w:tcW w:type="dxa" w:w="96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1.76</w:t>
            </w:r>
          </w:p>
        </w:tc>
        <w:tc>
          <w:tcPr>
            <w:tcW w:type="dxa" w:w="969"/>
            <w:tcW w:type="dxa" w:w="96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2.05</w:t>
            </w:r>
          </w:p>
        </w:tc>
        <w:tc>
          <w:tcPr>
            <w:tcW w:type="dxa" w:w="969"/>
            <w:tcW w:type="dxa" w:w="96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2.34</w:t>
            </w:r>
          </w:p>
        </w:tc>
        <w:tc>
          <w:tcPr>
            <w:tcW w:type="dxa" w:w="1108"/>
            <w:tcW w:type="dxa" w:w="110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2.70</w:t>
            </w:r>
          </w:p>
        </w:tc>
        <w:tc>
          <w:tcPr>
            <w:tcW w:type="dxa" w:w="969"/>
            <w:tcW w:type="dxa" w:w="96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2.93</w:t>
            </w:r>
          </w:p>
        </w:tc>
      </w:tr>
      <w:tr>
        <w:trPr>
          <w:cantSplit/>
        </w:trPr>
        <w:tc>
          <w:tcPr>
            <w:tcW w:type="dxa" w:w="3948"/>
            <w:tcW w:type="dxa" w:w="394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Plus excess cash (KRW2.53tn) = equity (KRW tn)</w:t>
            </w:r>
          </w:p>
        </w:tc>
        <w:tc>
          <w:tcPr>
            <w:tcW w:type="dxa" w:w="969"/>
            <w:tcW w:type="dxa" w:w="96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3.99</w:t>
            </w:r>
          </w:p>
        </w:tc>
        <w:tc>
          <w:tcPr>
            <w:tcW w:type="dxa" w:w="969"/>
            <w:tcW w:type="dxa" w:w="96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4.29</w:t>
            </w:r>
          </w:p>
        </w:tc>
        <w:tc>
          <w:tcPr>
            <w:tcW w:type="dxa" w:w="969"/>
            <w:tcW w:type="dxa" w:w="96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4.58</w:t>
            </w:r>
          </w:p>
        </w:tc>
        <w:tc>
          <w:tcPr>
            <w:tcW w:type="dxa" w:w="969"/>
            <w:tcW w:type="dxa" w:w="96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4.87</w:t>
            </w:r>
          </w:p>
        </w:tc>
        <w:tc>
          <w:tcPr>
            <w:tcW w:type="dxa" w:w="1108"/>
            <w:tcW w:type="dxa" w:w="110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5.23</w:t>
            </w:r>
          </w:p>
        </w:tc>
        <w:tc>
          <w:tcPr>
            <w:tcW w:type="dxa" w:w="969"/>
            <w:tcW w:type="dxa" w:w="96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5.46</w:t>
            </w:r>
          </w:p>
        </w:tc>
      </w:tr>
      <w:tr>
        <w:trPr>
          <w:cantSplit/>
        </w:trPr>
        <w:tc>
          <w:tcPr>
            <w:tcW w:type="dxa" w:w="3948"/>
            <w:tcW w:type="dxa" w:w="394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Value per share (KRW)</w:t>
            </w:r>
          </w:p>
        </w:tc>
        <w:tc>
          <w:tcPr>
            <w:tcW w:type="dxa" w:w="969"/>
            <w:tcW w:type="dxa" w:w="96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20,150</w:t>
            </w:r>
          </w:p>
        </w:tc>
        <w:tc>
          <w:tcPr>
            <w:tcW w:type="dxa" w:w="969"/>
            <w:tcW w:type="dxa" w:w="96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21,630</w:t>
            </w:r>
          </w:p>
        </w:tc>
        <w:tc>
          <w:tcPr>
            <w:tcW w:type="dxa" w:w="969"/>
            <w:tcW w:type="dxa" w:w="96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23,110</w:t>
            </w:r>
          </w:p>
        </w:tc>
        <w:tc>
          <w:tcPr>
            <w:tcW w:type="dxa" w:w="969"/>
            <w:tcW w:type="dxa" w:w="96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24,590</w:t>
            </w:r>
          </w:p>
        </w:tc>
        <w:tc>
          <w:tcPr>
            <w:tcW w:type="dxa" w:w="1108"/>
            <w:tcW w:type="dxa" w:w="110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26,360</w:t>
            </w:r>
          </w:p>
        </w:tc>
        <w:tc>
          <w:tcPr>
            <w:tcW w:type="dxa" w:w="969"/>
            <w:tcW w:type="dxa" w:w="96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27,540</w:t>
            </w:r>
          </w:p>
        </w:tc>
      </w:tr>
      <w:tr>
        <w:trPr>
          <w:cantSplit/>
        </w:trPr>
        <w:tc>
          <w:tcPr>
            <w:tcW w:type="dxa" w:w="3948"/>
            <w:tcW w:type="dxa" w:w="394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Premium to KRW14,180</w:t>
            </w:r>
          </w:p>
        </w:tc>
        <w:tc>
          <w:tcPr>
            <w:tcW w:type="dxa" w:w="969"/>
            <w:tcW w:type="dxa" w:w="96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+42%</w:t>
            </w:r>
          </w:p>
        </w:tc>
        <w:tc>
          <w:tcPr>
            <w:tcW w:type="dxa" w:w="969"/>
            <w:tcW w:type="dxa" w:w="96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+53%</w:t>
            </w:r>
          </w:p>
        </w:tc>
        <w:tc>
          <w:tcPr>
            <w:tcW w:type="dxa" w:w="969"/>
            <w:tcW w:type="dxa" w:w="96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+63%</w:t>
            </w:r>
          </w:p>
        </w:tc>
        <w:tc>
          <w:tcPr>
            <w:tcW w:type="dxa" w:w="969"/>
            <w:tcW w:type="dxa" w:w="96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+73%</w:t>
            </w:r>
          </w:p>
        </w:tc>
        <w:tc>
          <w:tcPr>
            <w:tcW w:type="dxa" w:w="1108"/>
            <w:tcW w:type="dxa" w:w="110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+86%</w:t>
            </w:r>
          </w:p>
        </w:tc>
        <w:tc>
          <w:tcPr>
            <w:tcW w:type="dxa" w:w="969"/>
            <w:tcW w:type="dxa" w:w="96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+94%</w:t>
            </w:r>
          </w:p>
        </w:tc>
      </w:tr>
    </w:tbl>
    <w:p>
      <w:pPr>
        <w:spacing w:before="0" w:after="40" w:line="240" w:lineRule="auto"/>
      </w:pPr>
    </w:p>
    <w:p>
      <w:pPr>
        <w:spacing w:before="0" w:after="100" w:line="288" w:lineRule="auto"/>
      </w:pPr>
      <w:r>
        <w:rPr>
          <w:rFonts w:ascii="Arial" w:hAnsi="Arial"/>
          <w:sz w:val="19"/>
        </w:rPr>
        <w:t>Equity = multiple × FY26E EBITDA + net financial assets less a KRW0.4tn reserve; 198.2m shares. These values ignore K-HIT value destruction and any state-control discount, which our SOTP charges explicitly (Section 24).</w:t>
      </w:r>
    </w:p>
    <w:p>
      <w:pPr>
        <w:pStyle w:val="Heading2"/>
        <w:keepNext/>
        <w:spacing w:before="160" w:after="80" w:line="264" w:lineRule="auto"/>
      </w:pPr>
      <w:r>
        <w:rPr>
          <w:rFonts w:ascii="Arial" w:hAnsi="Arial"/>
        </w:rPr>
        <w:t>15.5 Acquisitions and disposals by Kangwon Land (last 10 years)</w:t>
      </w:r>
    </w:p>
    <w:tbl>
      <w:tblPr>
        <w:tblW w:type="auto" w:w="0"/>
        <w:jc w:val="center"/>
        <w:tblLook w:firstColumn="1" w:firstRow="1" w:lastColumn="0" w:lastRow="0" w:noHBand="0" w:noVBand="1" w:val="04A0"/>
        <w:tblLayout w:type="fixed"/>
        <w:tblW w:type="dxa" w:w="9906"/>
      </w:tblPr>
      <w:tblGrid>
        <w:gridCol w:w="780"/>
        <w:gridCol w:w="4159"/>
        <w:gridCol w:w="4966"/>
      </w:tblGrid>
      <w:tr>
        <w:trPr>
          <w:tblHeader/>
        </w:trPr>
        <w:tc>
          <w:tcPr>
            <w:tcW w:type="dxa" w:w="780"/>
            <w:tcW w:type="dxa" w:w="780"/>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Year</w:t>
            </w:r>
          </w:p>
        </w:tc>
        <w:tc>
          <w:tcPr>
            <w:tcW w:type="dxa" w:w="4159"/>
            <w:tcW w:type="dxa" w:w="4159"/>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Transaction</w:t>
            </w:r>
          </w:p>
        </w:tc>
        <w:tc>
          <w:tcPr>
            <w:tcW w:type="dxa" w:w="4966"/>
            <w:tcW w:type="dxa" w:w="4966"/>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Outcome</w:t>
            </w:r>
          </w:p>
        </w:tc>
      </w:tr>
      <w:tr>
        <w:trPr>
          <w:cantSplit/>
        </w:trPr>
        <w:tc>
          <w:tcPr>
            <w:tcW w:type="dxa" w:w="780"/>
            <w:tcW w:type="dxa" w:w="78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2010s</w:t>
            </w:r>
          </w:p>
        </w:tc>
        <w:tc>
          <w:tcPr>
            <w:tcW w:type="dxa" w:w="4159"/>
            <w:tcW w:type="dxa" w:w="415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Subsidiaries set up for regional development: High1 Choo Choo Park (99.6%), High1 Entertainment (100%), High1 Sangdong Theme Park (100%)</w:t>
            </w:r>
          </w:p>
        </w:tc>
        <w:tc>
          <w:tcPr>
            <w:tcW w:type="dxa" w:w="4966"/>
            <w:tcW w:type="dxa" w:w="496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Persistent losses: High1 Entertainment KRW64.7bn invested, 83% impaired; Sangdong KRW42.5bn invested, 82% impaired and liquidated without opening [u]; Choo Choo Park ~KRW75bn invested, never profitable</w:t>
            </w:r>
          </w:p>
        </w:tc>
      </w:tr>
      <w:tr>
        <w:trPr>
          <w:cantSplit/>
        </w:trPr>
        <w:tc>
          <w:tcPr>
            <w:tcW w:type="dxa" w:w="780"/>
            <w:tcW w:type="dxa" w:w="78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2012</w:t>
            </w:r>
          </w:p>
        </w:tc>
        <w:tc>
          <w:tcPr>
            <w:tcW w:type="dxa" w:w="4159"/>
            <w:tcW w:type="dxa" w:w="415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KRW15bn donation to Taebaek's O2 Resort (board-approved)</w:t>
            </w:r>
          </w:p>
        </w:tc>
        <w:tc>
          <w:tcPr>
            <w:tcW w:type="dxa" w:w="4966"/>
            <w:tcW w:type="dxa" w:w="496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The company sued its own directors; in 2019 the Supreme Court upheld ~KRW3bn of liability for seven outside directors</w:t>
            </w:r>
          </w:p>
        </w:tc>
      </w:tr>
      <w:tr>
        <w:trPr>
          <w:cantSplit/>
        </w:trPr>
        <w:tc>
          <w:tcPr>
            <w:tcW w:type="dxa" w:w="780"/>
            <w:tcW w:type="dxa" w:w="78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2016-2026</w:t>
            </w:r>
          </w:p>
        </w:tc>
        <w:tc>
          <w:tcPr>
            <w:tcW w:type="dxa" w:w="4159"/>
            <w:tcW w:type="dxa" w:w="415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No acquisitions or disposals of note found</w:t>
            </w:r>
          </w:p>
        </w:tc>
        <w:tc>
          <w:tcPr>
            <w:tcW w:type="dxa" w:w="4966"/>
            <w:tcW w:type="dxa" w:w="496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w:t>
            </w:r>
          </w:p>
        </w:tc>
      </w:tr>
    </w:tbl>
    <w:p>
      <w:pPr>
        <w:spacing w:before="0" w:after="40" w:line="240" w:lineRule="auto"/>
      </w:pPr>
    </w:p>
    <w:p>
      <w:pPr>
        <w:spacing w:before="0" w:after="100" w:line="288" w:lineRule="auto"/>
      </w:pPr>
      <w:r>
        <w:rPr>
          <w:rFonts w:ascii="Arial" w:hAnsi="Arial"/>
          <w:b/>
          <w:sz w:val="19"/>
        </w:rPr>
        <w:t>Read-across:</w:t>
      </w:r>
      <w:r>
        <w:rPr>
          <w:rFonts w:ascii="Arial" w:hAnsi="Arial"/>
          <w:sz w:val="19"/>
        </w:rPr>
        <w:t xml:space="preserve"> past "investments" outside the core casino were regional-policy projects that destroyed value. This is the reason the market haircuts K-HIT.</w:t>
      </w:r>
    </w:p>
    <w:p>
      <w:pPr>
        <w:pStyle w:val="Heading1"/>
        <w:pageBreakBefore/>
        <w:spacing w:before="0" w:after="120" w:line="264" w:lineRule="auto"/>
      </w:pPr>
      <w:r>
        <w:rPr>
          <w:rFonts w:ascii="Arial" w:hAnsi="Arial"/>
        </w:rPr>
        <w:t>16. Management Assessment</w:t>
      </w:r>
    </w:p>
    <w:p>
      <w:pPr>
        <w:pStyle w:val="Heading2"/>
        <w:keepNext/>
        <w:spacing w:before="160" w:after="80" w:line="264" w:lineRule="auto"/>
      </w:pPr>
      <w:r>
        <w:rPr>
          <w:rFonts w:ascii="Arial" w:hAnsi="Arial"/>
        </w:rPr>
        <w:t>16.1 Archetype</w:t>
      </w:r>
    </w:p>
    <w:p>
      <w:pPr>
        <w:spacing w:before="0" w:after="100" w:line="288" w:lineRule="auto"/>
      </w:pPr>
      <w:r>
        <w:rPr>
          <w:rFonts w:ascii="Arial" w:hAnsi="Arial"/>
          <w:b/>
          <w:sz w:val="19"/>
        </w:rPr>
        <w:t>A political-appointee public enterprise.</w:t>
      </w:r>
    </w:p>
    <w:p>
      <w:pPr>
        <w:spacing w:before="0" w:after="50" w:line="276" w:lineRule="auto"/>
        <w:ind w:left="360" w:hanging="245"/>
      </w:pPr>
      <w:r>
        <w:rPr>
          <w:rFonts w:ascii="Arial" w:hAnsi="Arial"/>
          <w:color w:val="2E74B5"/>
          <w:sz w:val="16"/>
        </w:rPr>
        <w:t xml:space="preserve">▪  </w:t>
      </w:r>
      <w:r>
        <w:rPr>
          <w:rFonts w:ascii="Arial" w:hAnsi="Arial"/>
          <w:sz w:val="19"/>
        </w:rPr>
        <w:t>The CEO is recommended by the industry ministry (MOTIE) through an executive recommendation committee. The appointment is approved by the Public Institutions Management Committee and shareholders, then made by the President, for a three-year term.</w:t>
      </w:r>
    </w:p>
    <w:p>
      <w:pPr>
        <w:spacing w:before="0" w:after="50" w:line="276" w:lineRule="auto"/>
        <w:ind w:left="360" w:hanging="245"/>
      </w:pPr>
      <w:r>
        <w:rPr>
          <w:rFonts w:ascii="Arial" w:hAnsi="Arial"/>
          <w:color w:val="2E74B5"/>
          <w:sz w:val="16"/>
        </w:rPr>
        <w:t xml:space="preserve">▪  </w:t>
      </w:r>
      <w:r>
        <w:rPr>
          <w:rFonts w:ascii="Arial" w:hAnsi="Arial"/>
          <w:sz w:val="19"/>
        </w:rPr>
        <w:t>CEOs have mostly been politicians or former officials. Tenures were cut short by scandal or politics, and the post was filled by acting CEOs for ~32 months (Dec-2023 to Sep-2026).</w:t>
      </w:r>
    </w:p>
    <w:p>
      <w:pPr>
        <w:spacing w:before="0" w:after="50" w:line="276" w:lineRule="auto"/>
        <w:ind w:left="360" w:hanging="245"/>
      </w:pPr>
      <w:r>
        <w:rPr>
          <w:rFonts w:ascii="Arial" w:hAnsi="Arial"/>
          <w:color w:val="2E74B5"/>
          <w:sz w:val="16"/>
        </w:rPr>
        <w:t xml:space="preserve">▪  </w:t>
      </w:r>
      <w:r>
        <w:rPr>
          <w:rFonts w:ascii="Arial" w:hAnsi="Arial"/>
          <w:sz w:val="19"/>
        </w:rPr>
        <w:t>Management is evaluated on government KPIs (social value, safety, addiction prevention, regional contribution) as much as on profit. Pay is limited by public-sector norms.</w:t>
      </w:r>
    </w:p>
    <w:p>
      <w:pPr>
        <w:pStyle w:val="Heading2"/>
        <w:keepNext/>
        <w:spacing w:before="160" w:after="80" w:line="264" w:lineRule="auto"/>
      </w:pPr>
      <w:r>
        <w:rPr>
          <w:rFonts w:ascii="Arial" w:hAnsi="Arial"/>
        </w:rPr>
        <w:t>16.2 Key executives</w:t>
      </w:r>
    </w:p>
    <w:tbl>
      <w:tblPr>
        <w:tblW w:type="auto" w:w="0"/>
        <w:jc w:val="center"/>
        <w:tblLook w:firstColumn="1" w:firstRow="1" w:lastColumn="0" w:lastRow="0" w:noHBand="0" w:noVBand="1" w:val="04A0"/>
        <w:tblLayout w:type="fixed"/>
        <w:tblW w:type="dxa" w:w="9906"/>
      </w:tblPr>
      <w:tblGrid>
        <w:gridCol w:w="1217"/>
        <w:gridCol w:w="2440"/>
        <w:gridCol w:w="978"/>
        <w:gridCol w:w="5269"/>
      </w:tblGrid>
      <w:tr>
        <w:trPr>
          <w:tblHeader/>
        </w:trPr>
        <w:tc>
          <w:tcPr>
            <w:tcW w:type="dxa" w:w="1217"/>
            <w:tcW w:type="dxa" w:w="1217"/>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Name</w:t>
            </w:r>
          </w:p>
        </w:tc>
        <w:tc>
          <w:tcPr>
            <w:tcW w:type="dxa" w:w="2440"/>
            <w:tcW w:type="dxa" w:w="2440"/>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Role</w:t>
            </w:r>
          </w:p>
        </w:tc>
        <w:tc>
          <w:tcPr>
            <w:tcW w:type="dxa" w:w="978"/>
            <w:tcW w:type="dxa" w:w="978"/>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Since</w:t>
            </w:r>
          </w:p>
        </w:tc>
        <w:tc>
          <w:tcPr>
            <w:tcW w:type="dxa" w:w="5269"/>
            <w:tcW w:type="dxa" w:w="5269"/>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Background</w:t>
            </w:r>
          </w:p>
        </w:tc>
      </w:tr>
      <w:tr>
        <w:trPr>
          <w:cantSplit/>
        </w:trPr>
        <w:tc>
          <w:tcPr>
            <w:tcW w:type="dxa" w:w="1217"/>
            <w:tcW w:type="dxa" w:w="1217"/>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b/>
                <w:sz w:val="15"/>
              </w:rPr>
              <w:t>Kim Do-kyun (김도균)</w:t>
            </w:r>
          </w:p>
        </w:tc>
        <w:tc>
          <w:tcPr>
            <w:tcW w:type="dxa" w:w="2440"/>
            <w:tcW w:type="dxa" w:w="2440"/>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sz w:val="15"/>
              </w:rPr>
              <w:t>CEO (11th)</w:t>
            </w:r>
          </w:p>
        </w:tc>
        <w:tc>
          <w:tcPr>
            <w:tcW w:type="dxa" w:w="978"/>
            <w:tcW w:type="dxa" w:w="978"/>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sz w:val="15"/>
              </w:rPr>
              <w:t>2-Sep-2026 (elected at EGM 26-Aug-2026; three-year term)</w:t>
            </w:r>
          </w:p>
        </w:tc>
        <w:tc>
          <w:tcPr>
            <w:tcW w:type="dxa" w:w="5269"/>
            <w:tcW w:type="dxa" w:w="5269"/>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sz w:val="15"/>
              </w:rPr>
              <w:t>Age 61; retired army general (Korea Military Academy class 44; former Capital Defense Command commander; Ministry of National Defense North Korea policy director; Blue House defence-reform secretary). Joined the Democratic Party in Jun-2023 (defence spokesperson, Gangwon chapter chair). No casino or business experience; criticised as a "parachute" appointment</w:t>
            </w:r>
          </w:p>
        </w:tc>
      </w:tr>
      <w:tr>
        <w:trPr>
          <w:cantSplit/>
        </w:trPr>
        <w:tc>
          <w:tcPr>
            <w:tcW w:type="dxa" w:w="1217"/>
            <w:tcW w:type="dxa" w:w="121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Yoo Jeong-bae (유정배)</w:t>
            </w:r>
          </w:p>
        </w:tc>
        <w:tc>
          <w:tcPr>
            <w:tcW w:type="dxa" w:w="2440"/>
            <w:tcW w:type="dxa" w:w="244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Vice president</w:t>
            </w:r>
          </w:p>
        </w:tc>
        <w:tc>
          <w:tcPr>
            <w:tcW w:type="dxa" w:w="978"/>
            <w:tcW w:type="dxa" w:w="97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Aug/Sep-2026</w:t>
            </w:r>
          </w:p>
        </w:tc>
        <w:tc>
          <w:tcPr>
            <w:tcW w:type="dxa" w:w="5269"/>
            <w:tcW w:type="dxa" w:w="526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Former president of Korea Coal Corp</w:t>
            </w:r>
          </w:p>
        </w:tc>
      </w:tr>
      <w:tr>
        <w:trPr>
          <w:cantSplit/>
        </w:trPr>
        <w:tc>
          <w:tcPr>
            <w:tcW w:type="dxa" w:w="1217"/>
            <w:tcW w:type="dxa" w:w="121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Nam Han-gyu (남한규)</w:t>
            </w:r>
          </w:p>
        </w:tc>
        <w:tc>
          <w:tcPr>
            <w:tcW w:type="dxa" w:w="2440"/>
            <w:tcW w:type="dxa" w:w="244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Executive director, management support (acting CEO 5-Mar to 1-Sep-2026)</w:t>
            </w:r>
          </w:p>
        </w:tc>
        <w:tc>
          <w:tcPr>
            <w:tcW w:type="dxa" w:w="978"/>
            <w:tcW w:type="dxa" w:w="97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Mid-2024</w:t>
            </w:r>
          </w:p>
        </w:tc>
        <w:tc>
          <w:tcPr>
            <w:tcW w:type="dxa" w:w="5269"/>
            <w:tcW w:type="dxa" w:w="526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Former MOTIE regulatory-reform and legal director; director term to Jun-2026 [u: current status]</w:t>
            </w:r>
          </w:p>
        </w:tc>
      </w:tr>
      <w:tr>
        <w:trPr>
          <w:cantSplit/>
        </w:trPr>
        <w:tc>
          <w:tcPr>
            <w:tcW w:type="dxa" w:w="1217"/>
            <w:tcW w:type="dxa" w:w="121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Choi Cheol-gyu (최철규)</w:t>
            </w:r>
          </w:p>
        </w:tc>
        <w:tc>
          <w:tcPr>
            <w:tcW w:type="dxa" w:w="2440"/>
            <w:tcW w:type="dxa" w:w="244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VP and acting CEO, Dec-2023 to 4-Mar-2026</w:t>
            </w:r>
          </w:p>
        </w:tc>
        <w:tc>
          <w:tcPr>
            <w:tcW w:type="dxa" w:w="978"/>
            <w:tcW w:type="dxa" w:w="97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w:t>
            </w:r>
          </w:p>
        </w:tc>
        <w:tc>
          <w:tcPr>
            <w:tcW w:type="dxa" w:w="5269"/>
            <w:tcW w:type="dxa" w:w="526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Described as close to the previous government; resigned [reason not found]</w:t>
            </w:r>
          </w:p>
        </w:tc>
      </w:tr>
      <w:tr>
        <w:trPr>
          <w:cantSplit/>
        </w:trPr>
        <w:tc>
          <w:tcPr>
            <w:tcW w:type="dxa" w:w="1217"/>
            <w:tcW w:type="dxa" w:w="121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CFO</w:t>
            </w:r>
          </w:p>
        </w:tc>
        <w:tc>
          <w:tcPr>
            <w:tcW w:type="dxa" w:w="2440"/>
            <w:tcW w:type="dxa" w:w="244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n/f</w:t>
            </w:r>
          </w:p>
        </w:tc>
        <w:tc>
          <w:tcPr>
            <w:tcW w:type="dxa" w:w="978"/>
            <w:tcW w:type="dxa" w:w="97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p>
        </w:tc>
        <w:tc>
          <w:tcPr>
            <w:tcW w:type="dxa" w:w="5269"/>
            <w:tcW w:type="dxa" w:w="526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Not found</w:t>
            </w:r>
          </w:p>
        </w:tc>
      </w:tr>
    </w:tbl>
    <w:p>
      <w:pPr>
        <w:spacing w:before="0" w:after="40" w:line="240" w:lineRule="auto"/>
      </w:pPr>
    </w:p>
    <w:p>
      <w:pPr>
        <w:pStyle w:val="Heading2"/>
        <w:keepNext/>
        <w:spacing w:before="160" w:after="80" w:line="264" w:lineRule="auto"/>
      </w:pPr>
      <w:r>
        <w:rPr>
          <w:rFonts w:ascii="Arial" w:hAnsi="Arial"/>
        </w:rPr>
        <w:t>16.3 Capital allocation and returns under recent management</w:t>
      </w:r>
    </w:p>
    <w:tbl>
      <w:tblPr>
        <w:tblW w:type="auto" w:w="0"/>
        <w:jc w:val="center"/>
        <w:tblLook w:firstColumn="1" w:firstRow="1" w:lastColumn="0" w:lastRow="0" w:noHBand="0" w:noVBand="1" w:val="04A0"/>
        <w:tblLayout w:type="fixed"/>
        <w:tblW w:type="dxa" w:w="9906"/>
      </w:tblPr>
      <w:tblGrid>
        <w:gridCol w:w="4953"/>
        <w:gridCol w:w="4953"/>
      </w:tblGrid>
      <w:tr>
        <w:trPr>
          <w:tblHeader/>
        </w:trPr>
        <w:tc>
          <w:tcPr>
            <w:tcW w:type="dxa" w:w="4953"/>
            <w:tcW w:type="dxa" w:w="4953"/>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Decision</w:t>
            </w:r>
          </w:p>
        </w:tc>
        <w:tc>
          <w:tcPr>
            <w:tcW w:type="dxa" w:w="4953"/>
            <w:tcW w:type="dxa" w:w="4953"/>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Assessment</w:t>
            </w:r>
          </w:p>
        </w:tc>
      </w:tr>
      <w:tr>
        <w:trPr>
          <w:cantSplit/>
        </w:trPr>
        <w:tc>
          <w:tcPr>
            <w:tcW w:type="dxa" w:w="4953"/>
            <w:tcW w:type="dxa" w:w="4953"/>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b/>
                <w:sz w:val="15"/>
              </w:rPr>
              <w:t>Value-Up plan (Oct-2024):</w:t>
            </w:r>
            <w:r>
              <w:rPr>
                <w:rFonts w:ascii="Arial" w:hAnsi="Arial"/>
                <w:b/>
                <w:sz w:val="15"/>
              </w:rPr>
              <w:t xml:space="preserve"> payout ≥50%, total return ≥60%, KRW100bn of buybacks over FY24-26, P/B 1.2x target</w:t>
            </w:r>
          </w:p>
        </w:tc>
        <w:tc>
          <w:tcPr>
            <w:tcW w:type="dxa" w:w="4953"/>
            <w:tcW w:type="dxa" w:w="4953"/>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b/>
                <w:sz w:val="15"/>
              </w:rPr>
              <w:t>Good.</w:t>
            </w:r>
            <w:r>
              <w:rPr>
                <w:rFonts w:ascii="Arial" w:hAnsi="Arial"/>
                <w:sz w:val="15"/>
              </w:rPr>
              <w:t xml:space="preserve"> The first state-owned enterprise to file one; targets met for FY24 (total return 60.1%) and FY25 (62.6%)</w:t>
            </w:r>
          </w:p>
        </w:tc>
      </w:tr>
      <w:tr>
        <w:trPr>
          <w:cantSplit/>
        </w:trPr>
        <w:tc>
          <w:tcPr>
            <w:tcW w:type="dxa" w:w="4953"/>
            <w:tcW w:type="dxa" w:w="4953"/>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b/>
                <w:sz w:val="15"/>
              </w:rPr>
              <w:t>Expansion permit (Sep-2024)</w:t>
            </w:r>
            <w:r>
              <w:rPr>
                <w:rFonts w:ascii="Arial" w:hAnsi="Arial"/>
                <w:b/>
                <w:sz w:val="15"/>
              </w:rPr>
              <w:t xml:space="preserve"> and higher betting limits (May-2025)</w:t>
            </w:r>
          </w:p>
        </w:tc>
        <w:tc>
          <w:tcPr>
            <w:tcW w:type="dxa" w:w="4953"/>
            <w:tcW w:type="dxa" w:w="4953"/>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b/>
                <w:sz w:val="15"/>
              </w:rPr>
              <w:t>Good.</w:t>
            </w:r>
            <w:r>
              <w:rPr>
                <w:rFonts w:ascii="Arial" w:hAnsi="Arial"/>
                <w:sz w:val="15"/>
              </w:rPr>
              <w:t xml:space="preserve"> VIP drop +46%; capacity +25% from ~2028</w:t>
            </w:r>
          </w:p>
        </w:tc>
      </w:tr>
      <w:tr>
        <w:trPr>
          <w:cantSplit/>
        </w:trPr>
        <w:tc>
          <w:tcPr>
            <w:tcW w:type="dxa" w:w="4953"/>
            <w:tcW w:type="dxa" w:w="4953"/>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b/>
                <w:sz w:val="15"/>
              </w:rPr>
              <w:t>Room renovation (KRW200bn, from Mar-2026)</w:t>
            </w:r>
          </w:p>
        </w:tc>
        <w:tc>
          <w:tcPr>
            <w:tcW w:type="dxa" w:w="4953"/>
            <w:tcW w:type="dxa" w:w="4953"/>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sz w:val="15"/>
              </w:rPr>
              <w:t>Necessary maintenance, but poorly timed (41% of rooms offline)</w:t>
            </w:r>
          </w:p>
        </w:tc>
      </w:tr>
      <w:tr>
        <w:trPr>
          <w:cantSplit/>
        </w:trPr>
        <w:tc>
          <w:tcPr>
            <w:tcW w:type="dxa" w:w="4953"/>
            <w:tcW w:type="dxa" w:w="4953"/>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b/>
                <w:sz w:val="15"/>
              </w:rPr>
              <w:t>K-HIT (KRW2.5tn in Apr-2024, ~KRW3tn to 2035 in Nov-2025)</w:t>
            </w:r>
            <w:r>
              <w:rPr>
                <w:rFonts w:ascii="Arial" w:hAnsi="Arial"/>
                <w:b/>
                <w:sz w:val="15"/>
              </w:rPr>
              <w:t>; feasibility-study exemption sought</w:t>
            </w:r>
          </w:p>
        </w:tc>
        <w:tc>
          <w:tcPr>
            <w:tcW w:type="dxa" w:w="4953"/>
            <w:tcW w:type="dxa" w:w="4953"/>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b/>
                <w:sz w:val="15"/>
              </w:rPr>
              <w:t>Poor so far.</w:t>
            </w:r>
            <w:r>
              <w:rPr>
                <w:rFonts w:ascii="Arial" w:hAnsi="Arial"/>
                <w:sz w:val="15"/>
              </w:rPr>
              <w:t xml:space="preserve"> Targets (13m visitors, KRW3.5tn revenue) look unrealistic for a remote site; no IRR disclosed</w:t>
            </w:r>
          </w:p>
        </w:tc>
      </w:tr>
      <w:tr>
        <w:trPr>
          <w:cantSplit/>
        </w:trPr>
        <w:tc>
          <w:tcPr>
            <w:tcW w:type="dxa" w:w="4953"/>
            <w:tcW w:type="dxa" w:w="4953"/>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b/>
                <w:sz w:val="15"/>
              </w:rPr>
              <w:t>Treasury shares:</w:t>
            </w:r>
            <w:r>
              <w:rPr>
                <w:rFonts w:ascii="Arial" w:hAnsi="Arial"/>
                <w:b/>
                <w:sz w:val="15"/>
              </w:rPr>
              <w:t xml:space="preserve"> bought ~KRW77bn in 2024-Jan-2026 but not cancelled; Aug-2026 EGM allowed retention or sale</w:t>
            </w:r>
          </w:p>
        </w:tc>
        <w:tc>
          <w:tcPr>
            <w:tcW w:type="dxa" w:w="4953"/>
            <w:tcW w:type="dxa" w:w="4953"/>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b/>
                <w:sz w:val="15"/>
              </w:rPr>
              <w:t>Poor signal.</w:t>
            </w:r>
            <w:r>
              <w:rPr>
                <w:rFonts w:ascii="Arial" w:hAnsi="Arial"/>
                <w:sz w:val="15"/>
              </w:rPr>
              <w:t xml:space="preserve"> Contrary to the Commercial Act's intent</w:t>
            </w:r>
          </w:p>
        </w:tc>
      </w:tr>
      <w:tr>
        <w:trPr>
          <w:cantSplit/>
        </w:trPr>
        <w:tc>
          <w:tcPr>
            <w:tcW w:type="dxa" w:w="4953"/>
            <w:tcW w:type="dxa" w:w="4953"/>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b/>
                <w:sz w:val="15"/>
              </w:rPr>
              <w:t>Labour and bonus:</w:t>
            </w:r>
            <w:r>
              <w:rPr>
                <w:rFonts w:ascii="Arial" w:hAnsi="Arial"/>
                <w:b/>
                <w:sz w:val="15"/>
              </w:rPr>
              <w:t xml:space="preserve"> KRW24.5bn bonus and early retirement (2Q25); "195% bonus guaranteed despite OP plunge" (Oct-2026 audit headline [u])</w:t>
            </w:r>
          </w:p>
        </w:tc>
        <w:tc>
          <w:tcPr>
            <w:tcW w:type="dxa" w:w="4953"/>
            <w:tcW w:type="dxa" w:w="4953"/>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b/>
                <w:sz w:val="15"/>
              </w:rPr>
              <w:t>Poor.</w:t>
            </w:r>
            <w:r>
              <w:rPr>
                <w:rFonts w:ascii="Arial" w:hAnsi="Arial"/>
                <w:sz w:val="15"/>
              </w:rPr>
              <w:t xml:space="preserve"> Costs rise faster than revenue</w:t>
            </w:r>
          </w:p>
        </w:tc>
      </w:tr>
      <w:tr>
        <w:trPr>
          <w:cantSplit/>
        </w:trPr>
        <w:tc>
          <w:tcPr>
            <w:tcW w:type="dxa" w:w="4953"/>
            <w:tcW w:type="dxa" w:w="4953"/>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b/>
                <w:sz w:val="15"/>
              </w:rPr>
              <w:t>Return on equity</w:t>
            </w:r>
          </w:p>
        </w:tc>
        <w:tc>
          <w:tcPr>
            <w:tcW w:type="dxa" w:w="4953"/>
            <w:tcW w:type="dxa" w:w="4953"/>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sz w:val="15"/>
              </w:rPr>
              <w:t>ROE ~8% in FY25 (NP KRW316.5bn on ~KRW3.8tn equity [e]); the operating ROE ex-cash is much higher, but the cash drags it down</w:t>
            </w:r>
          </w:p>
        </w:tc>
      </w:tr>
    </w:tbl>
    <w:p>
      <w:pPr>
        <w:spacing w:before="0" w:after="40" w:line="240" w:lineRule="auto"/>
      </w:pPr>
    </w:p>
    <w:p>
      <w:pPr>
        <w:pStyle w:val="Heading2"/>
        <w:keepNext/>
        <w:spacing w:before="160" w:after="80" w:line="264" w:lineRule="auto"/>
      </w:pPr>
      <w:r>
        <w:rPr>
          <w:rFonts w:ascii="Arial" w:hAnsi="Arial"/>
        </w:rPr>
        <w:t>16.4 Red flags</w:t>
      </w:r>
    </w:p>
    <w:p>
      <w:pPr>
        <w:spacing w:before="0" w:after="50" w:line="276" w:lineRule="auto"/>
        <w:ind w:left="360" w:hanging="245"/>
      </w:pPr>
      <w:r>
        <w:rPr>
          <w:rFonts w:ascii="Arial" w:hAnsi="Arial"/>
          <w:sz w:val="19"/>
        </w:rPr>
        <w:t xml:space="preserve">1.  </w:t>
      </w:r>
      <w:r>
        <w:rPr>
          <w:rFonts w:ascii="Arial" w:hAnsi="Arial"/>
          <w:b/>
          <w:sz w:val="19"/>
        </w:rPr>
        <w:t>Political appointments:</w:t>
      </w:r>
    </w:p>
    <w:p>
      <w:pPr>
        <w:spacing w:before="0" w:after="50" w:line="276" w:lineRule="auto"/>
        <w:ind w:left="360" w:hanging="245"/>
      </w:pPr>
      <w:r>
        <w:rPr>
          <w:rFonts w:ascii="Arial" w:hAnsi="Arial"/>
          <w:color w:val="2E74B5"/>
          <w:sz w:val="16"/>
        </w:rPr>
        <w:t xml:space="preserve">▪  </w:t>
      </w:r>
      <w:r>
        <w:rPr>
          <w:rFonts w:ascii="Arial" w:hAnsi="Arial"/>
          <w:sz w:val="19"/>
        </w:rPr>
        <w:t>The current CEO is a ruling-party politician with no industry experience.</w:t>
      </w:r>
    </w:p>
    <w:p>
      <w:pPr>
        <w:spacing w:before="0" w:after="50" w:line="276" w:lineRule="auto"/>
        <w:ind w:left="360" w:hanging="245"/>
      </w:pPr>
      <w:r>
        <w:rPr>
          <w:rFonts w:ascii="Arial" w:hAnsi="Arial"/>
          <w:color w:val="2E74B5"/>
          <w:sz w:val="16"/>
        </w:rPr>
        <w:t xml:space="preserve">▪  </w:t>
      </w:r>
      <w:r>
        <w:rPr>
          <w:rFonts w:ascii="Arial" w:hAnsi="Arial"/>
          <w:sz w:val="19"/>
        </w:rPr>
        <w:t>The CEO post was vacant for ~32 months.</w:t>
      </w:r>
    </w:p>
    <w:p>
      <w:pPr>
        <w:spacing w:before="0" w:after="50" w:line="276" w:lineRule="auto"/>
        <w:ind w:left="360" w:hanging="245"/>
      </w:pPr>
      <w:r>
        <w:rPr>
          <w:rFonts w:ascii="Arial" w:hAnsi="Arial"/>
          <w:color w:val="2E74B5"/>
          <w:sz w:val="16"/>
        </w:rPr>
        <w:t xml:space="preserve">▪  </w:t>
      </w:r>
      <w:r>
        <w:rPr>
          <w:rFonts w:ascii="Arial" w:hAnsi="Arial"/>
          <w:sz w:val="19"/>
        </w:rPr>
        <w:t>Former CEOs were caught in scandal: Choi Heung-jip (2013 hiring), Ham Seung-hee (suite and free-stay allegations [u]).</w:t>
      </w:r>
    </w:p>
    <w:p>
      <w:pPr>
        <w:spacing w:before="0" w:after="50" w:line="276" w:lineRule="auto"/>
        <w:ind w:left="360" w:hanging="245"/>
      </w:pPr>
      <w:r>
        <w:rPr>
          <w:rFonts w:ascii="Arial" w:hAnsi="Arial"/>
          <w:sz w:val="19"/>
        </w:rPr>
        <w:t xml:space="preserve">2.  </w:t>
      </w:r>
      <w:r>
        <w:rPr>
          <w:rFonts w:ascii="Arial" w:hAnsi="Arial"/>
          <w:b/>
          <w:sz w:val="19"/>
        </w:rPr>
        <w:t>Hiring-corruption scandal (2012-13):</w:t>
      </w:r>
    </w:p>
    <w:p>
      <w:pPr>
        <w:spacing w:before="0" w:after="50" w:line="276" w:lineRule="auto"/>
        <w:ind w:left="360" w:hanging="245"/>
      </w:pPr>
      <w:r>
        <w:rPr>
          <w:rFonts w:ascii="Arial" w:hAnsi="Arial"/>
          <w:color w:val="2E74B5"/>
          <w:sz w:val="16"/>
        </w:rPr>
        <w:t xml:space="preserve">▪  </w:t>
      </w:r>
      <w:r>
        <w:rPr>
          <w:rFonts w:ascii="Arial" w:hAnsi="Arial"/>
          <w:sz w:val="19"/>
        </w:rPr>
        <w:t>226 irregular hires were dismissed in Mar-2018.</w:t>
      </w:r>
    </w:p>
    <w:p>
      <w:pPr>
        <w:spacing w:before="0" w:after="50" w:line="276" w:lineRule="auto"/>
        <w:ind w:left="360" w:hanging="245"/>
      </w:pPr>
      <w:r>
        <w:rPr>
          <w:rFonts w:ascii="Arial" w:hAnsi="Arial"/>
          <w:color w:val="2E74B5"/>
          <w:sz w:val="16"/>
        </w:rPr>
        <w:t xml:space="preserve">▪  </w:t>
      </w:r>
      <w:r>
        <w:rPr>
          <w:rFonts w:ascii="Arial" w:hAnsi="Arial"/>
          <w:sz w:val="19"/>
        </w:rPr>
        <w:t>Lawmakers were prosecuted. Yeom Dong-yeol received one year on appeal [final ruling n/f]; Kwon Seong-dong was acquitted (2022).</w:t>
      </w:r>
    </w:p>
    <w:p>
      <w:pPr>
        <w:spacing w:before="0" w:after="50" w:line="276" w:lineRule="auto"/>
        <w:ind w:left="360" w:hanging="245"/>
      </w:pPr>
      <w:r>
        <w:rPr>
          <w:rFonts w:ascii="Arial" w:hAnsi="Arial"/>
          <w:sz w:val="19"/>
        </w:rPr>
        <w:t xml:space="preserve">3.  </w:t>
      </w:r>
      <w:r>
        <w:rPr>
          <w:rFonts w:ascii="Arial" w:hAnsi="Arial"/>
          <w:b/>
          <w:sz w:val="19"/>
        </w:rPr>
        <w:t>Regional projects and donations that destroyed value:</w:t>
      </w:r>
      <w:r>
        <w:rPr>
          <w:rFonts w:ascii="Arial" w:hAnsi="Arial"/>
          <w:sz w:val="19"/>
        </w:rPr>
        <w:t xml:space="preserve"> O2 Resort (directors held liable), the Sangdong theme park, High1 Entertainment, Choo Choo Park.</w:t>
      </w:r>
    </w:p>
    <w:p>
      <w:pPr>
        <w:spacing w:before="0" w:after="50" w:line="276" w:lineRule="auto"/>
        <w:ind w:left="360" w:hanging="245"/>
      </w:pPr>
      <w:r>
        <w:rPr>
          <w:rFonts w:ascii="Arial" w:hAnsi="Arial"/>
          <w:sz w:val="19"/>
        </w:rPr>
        <w:t xml:space="preserve">4.  </w:t>
      </w:r>
      <w:r>
        <w:rPr>
          <w:rFonts w:ascii="Arial" w:hAnsi="Arial"/>
          <w:b/>
          <w:sz w:val="19"/>
        </w:rPr>
        <w:t>Public-enterprise evaluation grades:</w:t>
      </w:r>
    </w:p>
    <w:p>
      <w:pPr>
        <w:spacing w:before="0" w:after="50" w:line="276" w:lineRule="auto"/>
        <w:ind w:left="360" w:hanging="245"/>
      </w:pPr>
      <w:r>
        <w:rPr>
          <w:rFonts w:ascii="Arial" w:hAnsi="Arial"/>
          <w:color w:val="2E74B5"/>
          <w:sz w:val="16"/>
        </w:rPr>
        <w:t xml:space="preserve">▪  </w:t>
      </w:r>
      <w:r>
        <w:rPr>
          <w:rFonts w:ascii="Arial" w:hAnsi="Arial"/>
          <w:sz w:val="19"/>
        </w:rPr>
        <w:t>"D" for FY2022 (announced 2023);</w:t>
      </w:r>
    </w:p>
    <w:p>
      <w:pPr>
        <w:spacing w:before="0" w:after="50" w:line="276" w:lineRule="auto"/>
        <w:ind w:left="360" w:hanging="245"/>
      </w:pPr>
      <w:r>
        <w:rPr>
          <w:rFonts w:ascii="Arial" w:hAnsi="Arial"/>
          <w:color w:val="2E74B5"/>
          <w:sz w:val="16"/>
        </w:rPr>
        <w:t xml:space="preserve">▪  </w:t>
      </w:r>
      <w:r>
        <w:rPr>
          <w:rFonts w:ascii="Arial" w:hAnsi="Arial"/>
          <w:sz w:val="19"/>
        </w:rPr>
        <w:t>"C" for FY2024 and FY2025.</w:t>
      </w:r>
    </w:p>
    <w:p>
      <w:pPr>
        <w:spacing w:before="0" w:after="50" w:line="276" w:lineRule="auto"/>
        <w:ind w:left="360" w:hanging="245"/>
      </w:pPr>
      <w:r>
        <w:rPr>
          <w:rFonts w:ascii="Arial" w:hAnsi="Arial"/>
          <w:sz w:val="19"/>
        </w:rPr>
        <w:t xml:space="preserve">5.  </w:t>
      </w:r>
      <w:r>
        <w:rPr>
          <w:rFonts w:ascii="Arial" w:hAnsi="Arial"/>
          <w:b/>
          <w:sz w:val="19"/>
        </w:rPr>
        <w:t>Audit findings:</w:t>
      </w:r>
    </w:p>
    <w:p>
      <w:pPr>
        <w:spacing w:before="0" w:after="50" w:line="276" w:lineRule="auto"/>
        <w:ind w:left="360" w:hanging="245"/>
      </w:pPr>
      <w:r>
        <w:rPr>
          <w:rFonts w:ascii="Arial" w:hAnsi="Arial"/>
          <w:color w:val="2E74B5"/>
          <w:sz w:val="16"/>
        </w:rPr>
        <w:t xml:space="preserve">▪  </w:t>
      </w:r>
      <w:r>
        <w:rPr>
          <w:rFonts w:ascii="Arial" w:hAnsi="Arial"/>
          <w:sz w:val="19"/>
        </w:rPr>
        <w:t>lax access control and misuse of 95 official vehicles (Mar-2024 inspection);</w:t>
      </w:r>
    </w:p>
    <w:p>
      <w:pPr>
        <w:spacing w:before="0" w:after="50" w:line="276" w:lineRule="auto"/>
        <w:ind w:left="360" w:hanging="245"/>
      </w:pPr>
      <w:r>
        <w:rPr>
          <w:rFonts w:ascii="Arial" w:hAnsi="Arial"/>
          <w:color w:val="2E74B5"/>
          <w:sz w:val="16"/>
        </w:rPr>
        <w:t xml:space="preserve">▪  </w:t>
      </w:r>
      <w:r>
        <w:rPr>
          <w:rFonts w:ascii="Arial" w:hAnsi="Arial"/>
          <w:sz w:val="19"/>
        </w:rPr>
        <w:t>overseas-travel pre-screening skipped (Dec-2025).</w:t>
      </w:r>
    </w:p>
    <w:p>
      <w:pPr>
        <w:spacing w:before="0" w:after="50" w:line="276" w:lineRule="auto"/>
        <w:ind w:left="360" w:hanging="245"/>
      </w:pPr>
      <w:r>
        <w:rPr>
          <w:rFonts w:ascii="Arial" w:hAnsi="Arial"/>
          <w:color w:val="2E74B5"/>
          <w:sz w:val="16"/>
        </w:rPr>
        <w:t xml:space="preserve">▪  </w:t>
      </w:r>
      <w:r>
        <w:rPr>
          <w:rFonts w:ascii="Arial" w:hAnsi="Arial"/>
          <w:sz w:val="19"/>
        </w:rPr>
        <w:t>On the positive side, the internal audit was rated "A" by the Board of Audit and Inspection for four straight years (May-2026).</w:t>
      </w:r>
    </w:p>
    <w:p>
      <w:pPr>
        <w:spacing w:before="0" w:after="50" w:line="276" w:lineRule="auto"/>
        <w:ind w:left="360" w:hanging="245"/>
      </w:pPr>
      <w:r>
        <w:rPr>
          <w:rFonts w:ascii="Arial" w:hAnsi="Arial"/>
          <w:sz w:val="19"/>
        </w:rPr>
        <w:t xml:space="preserve">6.  </w:t>
      </w:r>
      <w:r>
        <w:rPr>
          <w:rFonts w:ascii="Arial" w:hAnsi="Arial"/>
          <w:b/>
          <w:sz w:val="19"/>
        </w:rPr>
        <w:t>Comps controversy:</w:t>
      </w:r>
      <w:r>
        <w:rPr>
          <w:rFonts w:ascii="Arial" w:hAnsi="Arial"/>
          <w:sz w:val="19"/>
        </w:rPr>
        <w:t xml:space="preserve"> more than KRW100bn of comps accrue a year, with &gt;70% spent at the company's own outlets (2025 National Assembly audit).</w:t>
      </w:r>
    </w:p>
    <w:p>
      <w:pPr>
        <w:pStyle w:val="Heading2"/>
        <w:keepNext/>
        <w:spacing w:before="160" w:after="80" w:line="264" w:lineRule="auto"/>
      </w:pPr>
      <w:r>
        <w:rPr>
          <w:rFonts w:ascii="Arial" w:hAnsi="Arial"/>
        </w:rPr>
        <w:t>16.5 Recent senior management changes</w:t>
      </w:r>
    </w:p>
    <w:tbl>
      <w:tblPr>
        <w:tblW w:type="auto" w:w="0"/>
        <w:jc w:val="center"/>
        <w:tblLook w:firstColumn="1" w:firstRow="1" w:lastColumn="0" w:lastRow="0" w:noHBand="0" w:noVBand="1" w:val="04A0"/>
        <w:tblLayout w:type="fixed"/>
        <w:tblW w:type="dxa" w:w="9906"/>
      </w:tblPr>
      <w:tblGrid>
        <w:gridCol w:w="1551"/>
        <w:gridCol w:w="8354"/>
      </w:tblGrid>
      <w:tr>
        <w:trPr>
          <w:tblHeader/>
        </w:trPr>
        <w:tc>
          <w:tcPr>
            <w:tcW w:type="dxa" w:w="1551"/>
            <w:tcW w:type="dxa" w:w="1551"/>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Date</w:t>
            </w:r>
          </w:p>
        </w:tc>
        <w:tc>
          <w:tcPr>
            <w:tcW w:type="dxa" w:w="8354"/>
            <w:tcW w:type="dxa" w:w="8354"/>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Change</w:t>
            </w:r>
          </w:p>
        </w:tc>
      </w:tr>
      <w:tr>
        <w:trPr>
          <w:cantSplit/>
        </w:trPr>
        <w:tc>
          <w:tcPr>
            <w:tcW w:type="dxa" w:w="1551"/>
            <w:tcW w:type="dxa" w:w="155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Apr-2021 [e]</w:t>
            </w:r>
          </w:p>
        </w:tc>
        <w:tc>
          <w:tcPr>
            <w:tcW w:type="dxa" w:w="8354"/>
            <w:tcW w:type="dxa" w:w="835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Lee Sam-geol (former vice-minister) appointed CEO</w:t>
            </w:r>
          </w:p>
        </w:tc>
      </w:tr>
      <w:tr>
        <w:trPr>
          <w:cantSplit/>
        </w:trPr>
        <w:tc>
          <w:tcPr>
            <w:tcW w:type="dxa" w:w="1551"/>
            <w:tcW w:type="dxa" w:w="155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Jun-2023</w:t>
            </w:r>
          </w:p>
        </w:tc>
        <w:tc>
          <w:tcPr>
            <w:tcW w:type="dxa" w:w="8354"/>
            <w:tcW w:type="dxa" w:w="835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First-ever "D" grade; calls for the CEO to resign</w:t>
            </w:r>
          </w:p>
        </w:tc>
      </w:tr>
      <w:tr>
        <w:trPr>
          <w:cantSplit/>
        </w:trPr>
        <w:tc>
          <w:tcPr>
            <w:tcW w:type="dxa" w:w="1551"/>
            <w:tcW w:type="dxa" w:w="155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Nov/Dec-2023</w:t>
            </w:r>
          </w:p>
        </w:tc>
        <w:tc>
          <w:tcPr>
            <w:tcW w:type="dxa" w:w="8354"/>
            <w:tcW w:type="dxa" w:w="835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Lee Sam-geol resigns; VP Choi Cheol-gyu becomes acting CEO</w:t>
            </w:r>
          </w:p>
        </w:tc>
      </w:tr>
      <w:tr>
        <w:trPr>
          <w:cantSplit/>
        </w:trPr>
        <w:tc>
          <w:tcPr>
            <w:tcW w:type="dxa" w:w="1551"/>
            <w:tcW w:type="dxa" w:w="155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4-Mar-2026</w:t>
            </w:r>
          </w:p>
        </w:tc>
        <w:tc>
          <w:tcPr>
            <w:tcW w:type="dxa" w:w="8354"/>
            <w:tcW w:type="dxa" w:w="835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Choi Cheol-gyu resigns; Nam Han-gyu becomes acting CEO (5-Mar)</w:t>
            </w:r>
          </w:p>
        </w:tc>
      </w:tr>
      <w:tr>
        <w:trPr>
          <w:cantSplit/>
        </w:trPr>
        <w:tc>
          <w:tcPr>
            <w:tcW w:type="dxa" w:w="1551"/>
            <w:tcW w:type="dxa" w:w="155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Jun-2026</w:t>
            </w:r>
          </w:p>
        </w:tc>
        <w:tc>
          <w:tcPr>
            <w:tcW w:type="dxa" w:w="8354"/>
            <w:tcW w:type="dxa" w:w="835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Local groups and the union protest reports that an army general will be appointed</w:t>
            </w:r>
          </w:p>
        </w:tc>
      </w:tr>
      <w:tr>
        <w:trPr>
          <w:cantSplit/>
        </w:trPr>
        <w:tc>
          <w:tcPr>
            <w:tcW w:type="dxa" w:w="1551"/>
            <w:tcW w:type="dxa" w:w="155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13-Aug-2026</w:t>
            </w:r>
          </w:p>
        </w:tc>
        <w:tc>
          <w:tcPr>
            <w:tcW w:type="dxa" w:w="8354"/>
            <w:tcW w:type="dxa" w:w="835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Kim Do-kyun nominated</w:t>
            </w:r>
          </w:p>
        </w:tc>
      </w:tr>
      <w:tr>
        <w:trPr>
          <w:cantSplit/>
        </w:trPr>
        <w:tc>
          <w:tcPr>
            <w:tcW w:type="dxa" w:w="1551"/>
            <w:tcW w:type="dxa" w:w="155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26-Aug-2026</w:t>
            </w:r>
          </w:p>
        </w:tc>
        <w:tc>
          <w:tcPr>
            <w:tcW w:type="dxa" w:w="8354"/>
            <w:tcW w:type="dxa" w:w="835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EGM elects Kim Do-kyun (CEO) and Yoo Jeong-bae (VP); articles amended to allow treasury shares to be retained or sold</w:t>
            </w:r>
          </w:p>
        </w:tc>
      </w:tr>
      <w:tr>
        <w:trPr>
          <w:cantSplit/>
        </w:trPr>
        <w:tc>
          <w:tcPr>
            <w:tcW w:type="dxa" w:w="1551"/>
            <w:tcW w:type="dxa" w:w="155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2-Sep-2026</w:t>
            </w:r>
          </w:p>
        </w:tc>
        <w:tc>
          <w:tcPr>
            <w:tcW w:type="dxa" w:w="8354"/>
            <w:tcW w:type="dxa" w:w="835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Kim Do-kyun appointed for a three-year term</w:t>
            </w:r>
          </w:p>
        </w:tc>
      </w:tr>
      <w:tr>
        <w:trPr>
          <w:cantSplit/>
        </w:trPr>
        <w:tc>
          <w:tcPr>
            <w:tcW w:type="dxa" w:w="1551"/>
            <w:tcW w:type="dxa" w:w="155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2-Oct-2026</w:t>
            </w:r>
          </w:p>
        </w:tc>
        <w:tc>
          <w:tcPr>
            <w:tcW w:type="dxa" w:w="8354"/>
            <w:tcW w:type="dxa" w:w="835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Organisational Diagnosis and Innovation Committee launched (to year-end; includes a K-HIT feasibility review)</w:t>
            </w:r>
          </w:p>
        </w:tc>
      </w:tr>
    </w:tbl>
    <w:p>
      <w:pPr>
        <w:spacing w:before="0" w:after="40" w:line="240" w:lineRule="auto"/>
      </w:pPr>
    </w:p>
    <w:p>
      <w:pPr>
        <w:pStyle w:val="Heading1"/>
        <w:pageBreakBefore/>
        <w:spacing w:before="0" w:after="120" w:line="264" w:lineRule="auto"/>
      </w:pPr>
      <w:r>
        <w:rPr>
          <w:rFonts w:ascii="Arial" w:hAnsi="Arial"/>
        </w:rPr>
        <w:t>17. Board of Directors</w:t>
      </w:r>
    </w:p>
    <w:p>
      <w:pPr>
        <w:spacing w:before="0" w:after="100" w:line="288" w:lineRule="auto"/>
      </w:pPr>
      <w:r>
        <w:rPr>
          <w:rFonts w:ascii="Arial" w:hAnsi="Arial"/>
          <w:b/>
          <w:sz w:val="19"/>
        </w:rPr>
        <w:t>How the board is chosen</w:t>
      </w:r>
      <w:r>
        <w:rPr>
          <w:rFonts w:ascii="Arial" w:hAnsi="Arial"/>
          <w:sz w:val="19"/>
        </w:rPr>
        <w:t xml:space="preserve"> (Public Institutions Act):</w:t>
      </w:r>
    </w:p>
    <w:p>
      <w:pPr>
        <w:spacing w:before="0" w:after="50" w:line="276" w:lineRule="auto"/>
        <w:ind w:left="360" w:hanging="245"/>
      </w:pPr>
      <w:r>
        <w:rPr>
          <w:rFonts w:ascii="Arial" w:hAnsi="Arial"/>
          <w:color w:val="2E74B5"/>
          <w:sz w:val="16"/>
        </w:rPr>
        <w:t xml:space="preserve">▪  </w:t>
      </w:r>
      <w:r>
        <w:rPr>
          <w:rFonts w:ascii="Arial" w:hAnsi="Arial"/>
          <w:sz w:val="19"/>
        </w:rPr>
        <w:t>The CEO is recommended by the executive recommendation committee, approved by the Public Institutions Management Committee and shareholders, and appointed by the President on MOTIE's proposal.</w:t>
      </w:r>
    </w:p>
    <w:p>
      <w:pPr>
        <w:spacing w:before="0" w:after="50" w:line="276" w:lineRule="auto"/>
        <w:ind w:left="360" w:hanging="245"/>
      </w:pPr>
      <w:r>
        <w:rPr>
          <w:rFonts w:ascii="Arial" w:hAnsi="Arial"/>
          <w:color w:val="2E74B5"/>
          <w:sz w:val="16"/>
        </w:rPr>
        <w:t xml:space="preserve">▪  </w:t>
      </w:r>
      <w:r>
        <w:rPr>
          <w:rFonts w:ascii="Arial" w:hAnsi="Arial"/>
          <w:sz w:val="19"/>
        </w:rPr>
        <w:t>The standing audit-committee member is appointed by the President on the MOEF minister's proposal.</w:t>
      </w:r>
    </w:p>
    <w:p>
      <w:pPr>
        <w:spacing w:before="0" w:after="50" w:line="276" w:lineRule="auto"/>
        <w:ind w:left="360" w:hanging="245"/>
      </w:pPr>
      <w:r>
        <w:rPr>
          <w:rFonts w:ascii="Arial" w:hAnsi="Arial"/>
          <w:color w:val="2E74B5"/>
          <w:sz w:val="16"/>
        </w:rPr>
        <w:t xml:space="preserve">▪  </w:t>
      </w:r>
      <w:r>
        <w:rPr>
          <w:rFonts w:ascii="Arial" w:hAnsi="Arial"/>
          <w:b/>
          <w:sz w:val="19"/>
        </w:rPr>
        <w:t>Non-standing (outside) directors are appointed by the MOEF minister</w:t>
      </w:r>
      <w:r>
        <w:rPr>
          <w:rFonts w:ascii="Arial" w:hAnsi="Arial"/>
          <w:sz w:val="19"/>
        </w:rPr>
        <w:t>, after shareholder election.</w:t>
      </w:r>
    </w:p>
    <w:p>
      <w:pPr>
        <w:spacing w:before="0" w:after="50" w:line="276" w:lineRule="auto"/>
        <w:ind w:left="360" w:hanging="245"/>
      </w:pPr>
      <w:r>
        <w:rPr>
          <w:rFonts w:ascii="Arial" w:hAnsi="Arial"/>
          <w:color w:val="2E74B5"/>
          <w:sz w:val="16"/>
        </w:rPr>
        <w:t xml:space="preserve">▪  </w:t>
      </w:r>
      <w:r>
        <w:rPr>
          <w:rFonts w:ascii="Arial" w:hAnsi="Arial"/>
          <w:sz w:val="19"/>
        </w:rPr>
        <w:t>Standing directors are appointed by the CEO.</w:t>
      </w:r>
    </w:p>
    <w:tbl>
      <w:tblPr>
        <w:tblW w:type="auto" w:w="0"/>
        <w:jc w:val="center"/>
        <w:tblLook w:firstColumn="1" w:firstRow="1" w:lastColumn="0" w:lastRow="0" w:noHBand="0" w:noVBand="1" w:val="04A0"/>
        <w:tblLayout w:type="fixed"/>
        <w:tblW w:type="dxa" w:w="9906"/>
      </w:tblPr>
      <w:tblGrid>
        <w:gridCol w:w="2290"/>
        <w:gridCol w:w="2722"/>
        <w:gridCol w:w="4893"/>
      </w:tblGrid>
      <w:tr>
        <w:trPr>
          <w:tblHeader/>
        </w:trPr>
        <w:tc>
          <w:tcPr>
            <w:tcW w:type="dxa" w:w="2290"/>
            <w:tcW w:type="dxa" w:w="2290"/>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Director / seat</w:t>
            </w:r>
          </w:p>
        </w:tc>
        <w:tc>
          <w:tcPr>
            <w:tcW w:type="dxa" w:w="2722"/>
            <w:tcW w:type="dxa" w:w="2722"/>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Role</w:t>
            </w:r>
          </w:p>
        </w:tc>
        <w:tc>
          <w:tcPr>
            <w:tcW w:type="dxa" w:w="4893"/>
            <w:tcW w:type="dxa" w:w="4893"/>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Notes</w:t>
            </w:r>
          </w:p>
        </w:tc>
      </w:tr>
      <w:tr>
        <w:trPr>
          <w:cantSplit/>
        </w:trPr>
        <w:tc>
          <w:tcPr>
            <w:tcW w:type="dxa" w:w="2290"/>
            <w:tcW w:type="dxa" w:w="229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Kim Do-kyun</w:t>
            </w:r>
          </w:p>
        </w:tc>
        <w:tc>
          <w:tcPr>
            <w:tcW w:type="dxa" w:w="2722"/>
            <w:tcW w:type="dxa" w:w="272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CEO, standing director</w:t>
            </w:r>
          </w:p>
        </w:tc>
        <w:tc>
          <w:tcPr>
            <w:tcW w:type="dxa" w:w="4893"/>
            <w:tcW w:type="dxa" w:w="489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Since Sep-2026</w:t>
            </w:r>
          </w:p>
        </w:tc>
      </w:tr>
      <w:tr>
        <w:trPr>
          <w:cantSplit/>
        </w:trPr>
        <w:tc>
          <w:tcPr>
            <w:tcW w:type="dxa" w:w="2290"/>
            <w:tcW w:type="dxa" w:w="229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Yoo Jeong-bae</w:t>
            </w:r>
          </w:p>
        </w:tc>
        <w:tc>
          <w:tcPr>
            <w:tcW w:type="dxa" w:w="2722"/>
            <w:tcW w:type="dxa" w:w="272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Vice president, standing director</w:t>
            </w:r>
          </w:p>
        </w:tc>
        <w:tc>
          <w:tcPr>
            <w:tcW w:type="dxa" w:w="4893"/>
            <w:tcW w:type="dxa" w:w="489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Since Aug/Sep-2026</w:t>
            </w:r>
          </w:p>
        </w:tc>
      </w:tr>
      <w:tr>
        <w:trPr>
          <w:cantSplit/>
        </w:trPr>
        <w:tc>
          <w:tcPr>
            <w:tcW w:type="dxa" w:w="2290"/>
            <w:tcW w:type="dxa" w:w="229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Standing audit-committee member</w:t>
            </w:r>
          </w:p>
        </w:tc>
        <w:tc>
          <w:tcPr>
            <w:tcW w:type="dxa" w:w="2722"/>
            <w:tcW w:type="dxa" w:w="272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Presidential appointee</w:t>
            </w:r>
          </w:p>
        </w:tc>
        <w:tc>
          <w:tcPr>
            <w:tcW w:type="dxa" w:w="4893"/>
            <w:tcW w:type="dxa" w:w="489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Name n/f</w:t>
            </w:r>
          </w:p>
        </w:tc>
      </w:tr>
      <w:tr>
        <w:trPr>
          <w:cantSplit/>
        </w:trPr>
        <w:tc>
          <w:tcPr>
            <w:tcW w:type="dxa" w:w="2290"/>
            <w:tcW w:type="dxa" w:w="229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Choi Woo-sik</w:t>
            </w:r>
          </w:p>
        </w:tc>
        <w:tc>
          <w:tcPr>
            <w:tcW w:type="dxa" w:w="2722"/>
            <w:tcW w:type="dxa" w:w="272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Non-standing director and audit-committee member (tabled 14-Apr-2026)</w:t>
            </w:r>
          </w:p>
        </w:tc>
        <w:tc>
          <w:tcPr>
            <w:tcW w:type="dxa" w:w="4893"/>
            <w:tcW w:type="dxa" w:w="489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Lawyer (Landmark law firm), Press Arbitration Commission [u: vote outcome]</w:t>
            </w:r>
          </w:p>
        </w:tc>
      </w:tr>
      <w:tr>
        <w:trPr>
          <w:cantSplit/>
        </w:trPr>
        <w:tc>
          <w:tcPr>
            <w:tcW w:type="dxa" w:w="2290"/>
            <w:tcW w:type="dxa" w:w="229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Other non-standing directors (~5-7 [u])</w:t>
            </w:r>
          </w:p>
        </w:tc>
        <w:tc>
          <w:tcPr>
            <w:tcW w:type="dxa" w:w="2722"/>
            <w:tcW w:type="dxa" w:w="272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Outside directors</w:t>
            </w:r>
          </w:p>
        </w:tc>
        <w:tc>
          <w:tcPr>
            <w:tcW w:type="dxa" w:w="4893"/>
            <w:tcW w:type="dxa" w:w="489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Full roster n/f; a recruitment notice sought an accounting and finance expert (two-year term)</w:t>
            </w:r>
          </w:p>
        </w:tc>
      </w:tr>
    </w:tbl>
    <w:p>
      <w:pPr>
        <w:spacing w:before="0" w:after="40" w:line="240" w:lineRule="auto"/>
      </w:pPr>
    </w:p>
    <w:p>
      <w:pPr>
        <w:spacing w:before="0" w:after="100" w:line="288" w:lineRule="auto"/>
      </w:pPr>
      <w:r>
        <w:rPr>
          <w:rFonts w:ascii="Arial" w:hAnsi="Arial"/>
          <w:b/>
          <w:sz w:val="19"/>
        </w:rPr>
        <w:t>Assessment.</w:t>
      </w:r>
    </w:p>
    <w:p>
      <w:pPr>
        <w:spacing w:before="0" w:after="50" w:line="276" w:lineRule="auto"/>
        <w:ind w:left="360" w:hanging="245"/>
      </w:pPr>
      <w:r>
        <w:rPr>
          <w:rFonts w:ascii="Arial" w:hAnsi="Arial"/>
          <w:color w:val="2E74B5"/>
          <w:sz w:val="16"/>
        </w:rPr>
        <w:t xml:space="preserve">▪  </w:t>
      </w:r>
      <w:r>
        <w:rPr>
          <w:rFonts w:ascii="Arial" w:hAnsi="Arial"/>
          <w:b/>
          <w:sz w:val="19"/>
        </w:rPr>
        <w:t>Independence:</w:t>
      </w:r>
      <w:r>
        <w:rPr>
          <w:rFonts w:ascii="Arial" w:hAnsi="Arial"/>
          <w:sz w:val="19"/>
        </w:rPr>
        <w:t xml:space="preserve"> the board is formally majority non-standing, but every seat is filled through government channels, so it is not independent of the controlling shareholder.</w:t>
      </w:r>
    </w:p>
    <w:p>
      <w:pPr>
        <w:spacing w:before="0" w:after="50" w:line="276" w:lineRule="auto"/>
        <w:ind w:left="360" w:hanging="245"/>
      </w:pPr>
      <w:r>
        <w:rPr>
          <w:rFonts w:ascii="Arial" w:hAnsi="Arial"/>
          <w:color w:val="2E74B5"/>
          <w:sz w:val="16"/>
        </w:rPr>
        <w:t xml:space="preserve">▪  </w:t>
      </w:r>
      <w:r>
        <w:rPr>
          <w:rFonts w:ascii="Arial" w:hAnsi="Arial"/>
          <w:b/>
          <w:sz w:val="19"/>
        </w:rPr>
        <w:t>Executive recommendation committee:</w:t>
      </w:r>
      <w:r>
        <w:rPr>
          <w:rFonts w:ascii="Arial" w:hAnsi="Arial"/>
          <w:sz w:val="19"/>
        </w:rPr>
        <w:t xml:space="preserve"> reportedly held no meetings for six months during the CEO vacancy [u].</w:t>
      </w:r>
    </w:p>
    <w:p>
      <w:pPr>
        <w:spacing w:before="0" w:after="50" w:line="276" w:lineRule="auto"/>
        <w:ind w:left="360" w:hanging="245"/>
      </w:pPr>
      <w:r>
        <w:rPr>
          <w:rFonts w:ascii="Arial" w:hAnsi="Arial"/>
          <w:color w:val="2E74B5"/>
          <w:sz w:val="16"/>
        </w:rPr>
        <w:t xml:space="preserve">▪  </w:t>
      </w:r>
      <w:r>
        <w:rPr>
          <w:rFonts w:ascii="Arial" w:hAnsi="Arial"/>
          <w:b/>
          <w:sz w:val="19"/>
        </w:rPr>
        <w:t>Director liability:</w:t>
      </w:r>
      <w:r>
        <w:rPr>
          <w:rFonts w:ascii="Arial" w:hAnsi="Arial"/>
          <w:sz w:val="19"/>
        </w:rPr>
        <w:t xml:space="preserve"> the O2 Resort judgement (2019) shows that outside directors can be held personally liable for value-destroying regional donations. That is a useful precedent for minorities.</w:t>
      </w:r>
    </w:p>
    <w:p>
      <w:pPr>
        <w:spacing w:before="0" w:after="50" w:line="276" w:lineRule="auto"/>
        <w:ind w:left="360" w:hanging="245"/>
      </w:pPr>
      <w:r>
        <w:rPr>
          <w:rFonts w:ascii="Arial" w:hAnsi="Arial"/>
          <w:color w:val="2E74B5"/>
          <w:sz w:val="16"/>
        </w:rPr>
        <w:t xml:space="preserve">▪  </w:t>
      </w:r>
      <w:r>
        <w:rPr>
          <w:rFonts w:ascii="Arial" w:hAnsi="Arial"/>
          <w:b/>
          <w:sz w:val="19"/>
        </w:rPr>
        <w:t>Commercial Act reforms:</w:t>
      </w:r>
    </w:p>
    <w:p>
      <w:pPr>
        <w:spacing w:before="0" w:after="50" w:line="276" w:lineRule="auto"/>
        <w:ind w:left="360" w:hanging="245"/>
      </w:pPr>
      <w:r>
        <w:rPr>
          <w:rFonts w:ascii="Arial" w:hAnsi="Arial"/>
          <w:color w:val="2E74B5"/>
          <w:sz w:val="16"/>
        </w:rPr>
        <w:t xml:space="preserve">▪  </w:t>
      </w:r>
      <w:r>
        <w:rPr>
          <w:rFonts w:ascii="Arial" w:hAnsi="Arial"/>
          <w:sz w:val="19"/>
        </w:rPr>
        <w:t>From 10-Sep-2026, companies with assets ≥KRW2tn cannot opt out of cumulative voting.</w:t>
      </w:r>
    </w:p>
    <w:p>
      <w:pPr>
        <w:spacing w:before="0" w:after="50" w:line="276" w:lineRule="auto"/>
        <w:ind w:left="360" w:hanging="245"/>
      </w:pPr>
      <w:r>
        <w:rPr>
          <w:rFonts w:ascii="Arial" w:hAnsi="Arial"/>
          <w:color w:val="2E74B5"/>
          <w:sz w:val="16"/>
        </w:rPr>
        <w:t xml:space="preserve">▪  </w:t>
      </w:r>
      <w:r>
        <w:rPr>
          <w:rFonts w:ascii="Arial" w:hAnsi="Arial"/>
          <w:sz w:val="19"/>
        </w:rPr>
        <w:t>Audit-committee members elected separately rise to two or more.</w:t>
      </w:r>
    </w:p>
    <w:p>
      <w:pPr>
        <w:spacing w:before="0" w:after="50" w:line="276" w:lineRule="auto"/>
        <w:ind w:left="360" w:hanging="245"/>
      </w:pPr>
      <w:r>
        <w:rPr>
          <w:rFonts w:ascii="Arial" w:hAnsi="Arial"/>
          <w:color w:val="2E74B5"/>
          <w:sz w:val="16"/>
        </w:rPr>
        <w:t xml:space="preserve">▪  </w:t>
      </w:r>
      <w:r>
        <w:rPr>
          <w:rFonts w:ascii="Arial" w:hAnsi="Arial"/>
          <w:sz w:val="19"/>
        </w:rPr>
        <w:t>In those elections the largest shareholder's votes are capped at 3%.</w:t>
      </w:r>
    </w:p>
    <w:p>
      <w:pPr>
        <w:spacing w:before="0" w:after="50" w:line="276" w:lineRule="auto"/>
        <w:ind w:left="360" w:hanging="245"/>
      </w:pPr>
      <w:r>
        <w:rPr>
          <w:rFonts w:ascii="Arial" w:hAnsi="Arial"/>
          <w:color w:val="2E74B5"/>
          <w:sz w:val="16"/>
        </w:rPr>
        <w:t xml:space="preserve">▪  </w:t>
      </w:r>
      <w:r>
        <w:rPr>
          <w:rFonts w:ascii="Arial" w:hAnsi="Arial"/>
          <w:b/>
          <w:sz w:val="19"/>
        </w:rPr>
        <w:t>Untested:</w:t>
      </w:r>
      <w:r>
        <w:rPr>
          <w:rFonts w:ascii="Arial" w:hAnsi="Arial"/>
          <w:sz w:val="19"/>
        </w:rPr>
        <w:t xml:space="preserve"> how these rules interact with the Public Institutions Act's appointment process is an open legal question [u].</w:t>
      </w:r>
    </w:p>
    <w:p>
      <w:pPr>
        <w:pStyle w:val="Heading2"/>
        <w:keepNext/>
        <w:spacing w:before="160" w:after="80" w:line="264" w:lineRule="auto"/>
      </w:pPr>
      <w:r>
        <w:rPr>
          <w:rFonts w:ascii="Arial" w:hAnsi="Arial"/>
        </w:rPr>
        <w:t>17.1 Board changes in the last five years</w:t>
      </w:r>
    </w:p>
    <w:tbl>
      <w:tblPr>
        <w:tblW w:type="auto" w:w="0"/>
        <w:jc w:val="center"/>
        <w:tblLook w:firstColumn="1" w:firstRow="1" w:lastColumn="0" w:lastRow="0" w:noHBand="0" w:noVBand="1" w:val="04A0"/>
        <w:tblLayout w:type="fixed"/>
        <w:tblW w:type="dxa" w:w="9906"/>
      </w:tblPr>
      <w:tblGrid>
        <w:gridCol w:w="1524"/>
        <w:gridCol w:w="8382"/>
      </w:tblGrid>
      <w:tr>
        <w:trPr>
          <w:tblHeader/>
        </w:trPr>
        <w:tc>
          <w:tcPr>
            <w:tcW w:type="dxa" w:w="1524"/>
            <w:tcW w:type="dxa" w:w="1524"/>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Date</w:t>
            </w:r>
          </w:p>
        </w:tc>
        <w:tc>
          <w:tcPr>
            <w:tcW w:type="dxa" w:w="8382"/>
            <w:tcW w:type="dxa" w:w="8382"/>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Change</w:t>
            </w:r>
          </w:p>
        </w:tc>
      </w:tr>
      <w:tr>
        <w:trPr>
          <w:cantSplit/>
        </w:trPr>
        <w:tc>
          <w:tcPr>
            <w:tcW w:type="dxa" w:w="1524"/>
            <w:tcW w:type="dxa" w:w="152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2021-2023</w:t>
            </w:r>
          </w:p>
        </w:tc>
        <w:tc>
          <w:tcPr>
            <w:tcW w:type="dxa" w:w="8382"/>
            <w:tcW w:type="dxa" w:w="838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Lee Sam-geol era; board composition n/f</w:t>
            </w:r>
          </w:p>
        </w:tc>
      </w:tr>
      <w:tr>
        <w:trPr>
          <w:cantSplit/>
        </w:trPr>
        <w:tc>
          <w:tcPr>
            <w:tcW w:type="dxa" w:w="1524"/>
            <w:tcW w:type="dxa" w:w="152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Dec-2023 to Sep-2026</w:t>
            </w:r>
          </w:p>
        </w:tc>
        <w:tc>
          <w:tcPr>
            <w:tcW w:type="dxa" w:w="8382"/>
            <w:tcW w:type="dxa" w:w="838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Acting CEOs; executive recommendation committee inactive for long periods [u]</w:t>
            </w:r>
          </w:p>
        </w:tc>
      </w:tr>
      <w:tr>
        <w:trPr>
          <w:cantSplit/>
        </w:trPr>
        <w:tc>
          <w:tcPr>
            <w:tcW w:type="dxa" w:w="1524"/>
            <w:tcW w:type="dxa" w:w="152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Apr-2026</w:t>
            </w:r>
          </w:p>
        </w:tc>
        <w:tc>
          <w:tcPr>
            <w:tcW w:type="dxa" w:w="8382"/>
            <w:tcW w:type="dxa" w:w="838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Choi Woo-sik tabled as non-standing director and audit-committee member [u]</w:t>
            </w:r>
          </w:p>
        </w:tc>
      </w:tr>
      <w:tr>
        <w:trPr>
          <w:cantSplit/>
        </w:trPr>
        <w:tc>
          <w:tcPr>
            <w:tcW w:type="dxa" w:w="1524"/>
            <w:tcW w:type="dxa" w:w="152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Aug-2026</w:t>
            </w:r>
          </w:p>
        </w:tc>
        <w:tc>
          <w:tcPr>
            <w:tcW w:type="dxa" w:w="8382"/>
            <w:tcW w:type="dxa" w:w="838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New CEO and VP elected at the EGM</w:t>
            </w:r>
          </w:p>
        </w:tc>
      </w:tr>
    </w:tbl>
    <w:p>
      <w:pPr>
        <w:spacing w:before="0" w:after="40" w:line="240" w:lineRule="auto"/>
      </w:pPr>
    </w:p>
    <w:p>
      <w:pPr>
        <w:pStyle w:val="Heading1"/>
        <w:pageBreakBefore/>
        <w:spacing w:before="0" w:after="120" w:line="264" w:lineRule="auto"/>
      </w:pPr>
      <w:r>
        <w:rPr>
          <w:rFonts w:ascii="Arial" w:hAnsi="Arial"/>
        </w:rPr>
        <w:t>18. Shareholders, Activism and Short Interest</w:t>
      </w:r>
    </w:p>
    <w:p>
      <w:pPr>
        <w:pStyle w:val="Heading2"/>
        <w:keepNext/>
        <w:spacing w:before="160" w:after="80" w:line="264" w:lineRule="auto"/>
      </w:pPr>
      <w:r>
        <w:rPr>
          <w:rFonts w:ascii="Arial" w:hAnsi="Arial"/>
        </w:rPr>
        <w:t>18.1 Shareholders (company IR, 30-Jun-2026)</w:t>
      </w:r>
    </w:p>
    <w:tbl>
      <w:tblPr>
        <w:tblW w:type="auto" w:w="0"/>
        <w:jc w:val="center"/>
        <w:tblLook w:firstColumn="1" w:firstRow="1" w:lastColumn="0" w:lastRow="0" w:noHBand="0" w:noVBand="1" w:val="04A0"/>
        <w:tblLayout w:type="fixed"/>
        <w:tblW w:type="dxa" w:w="9906"/>
      </w:tblPr>
      <w:tblGrid>
        <w:gridCol w:w="4264"/>
        <w:gridCol w:w="1734"/>
        <w:gridCol w:w="1650"/>
        <w:gridCol w:w="2256"/>
      </w:tblGrid>
      <w:tr>
        <w:trPr>
          <w:tblHeader/>
        </w:trPr>
        <w:tc>
          <w:tcPr>
            <w:tcW w:type="dxa" w:w="4264"/>
            <w:tcW w:type="dxa" w:w="4264"/>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Holder</w:t>
            </w:r>
          </w:p>
        </w:tc>
        <w:tc>
          <w:tcPr>
            <w:tcW w:type="dxa" w:w="1734"/>
            <w:tcW w:type="dxa" w:w="1734"/>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 of issued</w:t>
            </w:r>
          </w:p>
        </w:tc>
        <w:tc>
          <w:tcPr>
            <w:tcW w:type="dxa" w:w="1650"/>
            <w:tcW w:type="dxa" w:w="1650"/>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right"/>
            </w:pPr>
            <w:r>
              <w:rPr>
                <w:rFonts w:ascii="Arial" w:hAnsi="Arial"/>
                <w:b/>
                <w:color w:val="FFFFFF"/>
                <w:sz w:val="15"/>
              </w:rPr>
              <w:t>% of outstanding (ex-treasury) [e]</w:t>
            </w:r>
          </w:p>
        </w:tc>
        <w:tc>
          <w:tcPr>
            <w:tcW w:type="dxa" w:w="2256"/>
            <w:tcW w:type="dxa" w:w="2256"/>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Type</w:t>
            </w:r>
          </w:p>
        </w:tc>
      </w:tr>
      <w:tr>
        <w:trPr>
          <w:cantSplit/>
        </w:trPr>
        <w:tc>
          <w:tcPr>
            <w:tcW w:type="dxa" w:w="4264"/>
            <w:tcW w:type="dxa" w:w="426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KOMIR (Korea Mine Rehabilitation and Mineral Resources Corp)</w:t>
            </w:r>
          </w:p>
        </w:tc>
        <w:tc>
          <w:tcPr>
            <w:tcW w:type="dxa" w:w="1734"/>
            <w:tcW w:type="dxa" w:w="173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36.27% (77.59m shares)</w:t>
            </w:r>
          </w:p>
        </w:tc>
        <w:tc>
          <w:tcPr>
            <w:tcW w:type="dxa" w:w="1650"/>
            <w:tcW w:type="dxa" w:w="165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39.1%</w:t>
            </w:r>
          </w:p>
        </w:tc>
        <w:tc>
          <w:tcPr>
            <w:tcW w:type="dxa" w:w="2256"/>
            <w:tcW w:type="dxa" w:w="225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State agency; negative equity −KRW3.16tn</w:t>
            </w:r>
          </w:p>
        </w:tc>
      </w:tr>
      <w:tr>
        <w:trPr>
          <w:cantSplit/>
        </w:trPr>
        <w:tc>
          <w:tcPr>
            <w:tcW w:type="dxa" w:w="4264"/>
            <w:tcW w:type="dxa" w:w="426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Jeongseon County</w:t>
            </w:r>
          </w:p>
        </w:tc>
        <w:tc>
          <w:tcPr>
            <w:tcW w:type="dxa" w:w="1734"/>
            <w:tcW w:type="dxa" w:w="173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5.02%</w:t>
            </w:r>
          </w:p>
        </w:tc>
        <w:tc>
          <w:tcPr>
            <w:tcW w:type="dxa" w:w="1650"/>
            <w:tcW w:type="dxa" w:w="165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5.4%</w:t>
            </w:r>
          </w:p>
        </w:tc>
        <w:tc>
          <w:tcPr>
            <w:tcW w:type="dxa" w:w="2256"/>
            <w:tcW w:type="dxa" w:w="225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Local government</w:t>
            </w:r>
          </w:p>
        </w:tc>
      </w:tr>
      <w:tr>
        <w:trPr>
          <w:cantSplit/>
        </w:trPr>
        <w:tc>
          <w:tcPr>
            <w:tcW w:type="dxa" w:w="4264"/>
            <w:tcW w:type="dxa" w:w="426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Gangwon Development Corp (100% Gangwon Province)</w:t>
            </w:r>
          </w:p>
        </w:tc>
        <w:tc>
          <w:tcPr>
            <w:tcW w:type="dxa" w:w="1734"/>
            <w:tcW w:type="dxa" w:w="173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4.57%</w:t>
            </w:r>
          </w:p>
        </w:tc>
        <w:tc>
          <w:tcPr>
            <w:tcW w:type="dxa" w:w="1650"/>
            <w:tcW w:type="dxa" w:w="165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4.9%</w:t>
            </w:r>
          </w:p>
        </w:tc>
        <w:tc>
          <w:tcPr>
            <w:tcW w:type="dxa" w:w="2256"/>
            <w:tcW w:type="dxa" w:w="225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Provincial</w:t>
            </w:r>
          </w:p>
        </w:tc>
      </w:tr>
      <w:tr>
        <w:trPr>
          <w:cantSplit/>
        </w:trPr>
        <w:tc>
          <w:tcPr>
            <w:tcW w:type="dxa" w:w="4264"/>
            <w:tcW w:type="dxa" w:w="426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Gangwon Special Self-Governing Province (direct)</w:t>
            </w:r>
          </w:p>
        </w:tc>
        <w:tc>
          <w:tcPr>
            <w:tcW w:type="dxa" w:w="1734"/>
            <w:tcW w:type="dxa" w:w="173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1.45% [u]</w:t>
            </w:r>
          </w:p>
        </w:tc>
        <w:tc>
          <w:tcPr>
            <w:tcW w:type="dxa" w:w="1650"/>
            <w:tcW w:type="dxa" w:w="165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1.6%</w:t>
            </w:r>
          </w:p>
        </w:tc>
        <w:tc>
          <w:tcPr>
            <w:tcW w:type="dxa" w:w="2256"/>
            <w:tcW w:type="dxa" w:w="225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Provincial</w:t>
            </w:r>
          </w:p>
        </w:tc>
      </w:tr>
      <w:tr>
        <w:trPr>
          <w:cantSplit/>
        </w:trPr>
        <w:tc>
          <w:tcPr>
            <w:tcW w:type="dxa" w:w="4264"/>
            <w:tcW w:type="dxa" w:w="426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Samcheok City</w:t>
            </w:r>
          </w:p>
        </w:tc>
        <w:tc>
          <w:tcPr>
            <w:tcW w:type="dxa" w:w="1734"/>
            <w:tcW w:type="dxa" w:w="173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1.33%</w:t>
            </w:r>
          </w:p>
        </w:tc>
        <w:tc>
          <w:tcPr>
            <w:tcW w:type="dxa" w:w="1650"/>
            <w:tcW w:type="dxa" w:w="165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1.4%</w:t>
            </w:r>
          </w:p>
        </w:tc>
        <w:tc>
          <w:tcPr>
            <w:tcW w:type="dxa" w:w="2256"/>
            <w:tcW w:type="dxa" w:w="225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Local government</w:t>
            </w:r>
          </w:p>
        </w:tc>
      </w:tr>
      <w:tr>
        <w:trPr>
          <w:cantSplit/>
        </w:trPr>
        <w:tc>
          <w:tcPr>
            <w:tcW w:type="dxa" w:w="4264"/>
            <w:tcW w:type="dxa" w:w="426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Taebaek City</w:t>
            </w:r>
          </w:p>
        </w:tc>
        <w:tc>
          <w:tcPr>
            <w:tcW w:type="dxa" w:w="1734"/>
            <w:tcW w:type="dxa" w:w="173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1.30%</w:t>
            </w:r>
          </w:p>
        </w:tc>
        <w:tc>
          <w:tcPr>
            <w:tcW w:type="dxa" w:w="1650"/>
            <w:tcW w:type="dxa" w:w="165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1.4%</w:t>
            </w:r>
          </w:p>
        </w:tc>
        <w:tc>
          <w:tcPr>
            <w:tcW w:type="dxa" w:w="2256"/>
            <w:tcW w:type="dxa" w:w="225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Local government</w:t>
            </w:r>
          </w:p>
        </w:tc>
      </w:tr>
      <w:tr>
        <w:trPr>
          <w:cantSplit/>
        </w:trPr>
        <w:tc>
          <w:tcPr>
            <w:tcW w:type="dxa" w:w="4264"/>
            <w:tcW w:type="dxa" w:w="426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Yeongwol County</w:t>
            </w:r>
          </w:p>
        </w:tc>
        <w:tc>
          <w:tcPr>
            <w:tcW w:type="dxa" w:w="1734"/>
            <w:tcW w:type="dxa" w:w="173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1.08%</w:t>
            </w:r>
          </w:p>
        </w:tc>
        <w:tc>
          <w:tcPr>
            <w:tcW w:type="dxa" w:w="1650"/>
            <w:tcW w:type="dxa" w:w="165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1.2%</w:t>
            </w:r>
          </w:p>
        </w:tc>
        <w:tc>
          <w:tcPr>
            <w:tcW w:type="dxa" w:w="2256"/>
            <w:tcW w:type="dxa" w:w="225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Local government</w:t>
            </w:r>
          </w:p>
        </w:tc>
      </w:tr>
      <w:tr>
        <w:trPr>
          <w:cantSplit/>
        </w:trPr>
        <w:tc>
          <w:tcPr>
            <w:tcW w:type="dxa" w:w="4264"/>
            <w:tcW w:type="dxa" w:w="4264"/>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b/>
                <w:sz w:val="15"/>
              </w:rPr>
              <w:t>Public sector total</w:t>
            </w:r>
          </w:p>
        </w:tc>
        <w:tc>
          <w:tcPr>
            <w:tcW w:type="dxa" w:w="1734"/>
            <w:tcW w:type="dxa" w:w="1734"/>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b/>
                <w:sz w:val="15"/>
              </w:rPr>
              <w:t>51.01%</w:t>
            </w:r>
          </w:p>
        </w:tc>
        <w:tc>
          <w:tcPr>
            <w:tcW w:type="dxa" w:w="1650"/>
            <w:tcW w:type="dxa" w:w="1650"/>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right"/>
            </w:pPr>
            <w:r>
              <w:rPr>
                <w:rFonts w:ascii="Arial" w:hAnsi="Arial"/>
                <w:b/>
                <w:sz w:val="15"/>
              </w:rPr>
              <w:t>55.1%</w:t>
            </w:r>
          </w:p>
        </w:tc>
        <w:tc>
          <w:tcPr>
            <w:tcW w:type="dxa" w:w="2256"/>
            <w:tcW w:type="dxa" w:w="2256"/>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sz w:val="15"/>
              </w:rPr>
              <w:t>Legal floor of 51%</w:t>
            </w:r>
          </w:p>
        </w:tc>
      </w:tr>
      <w:tr>
        <w:trPr>
          <w:cantSplit/>
        </w:trPr>
        <w:tc>
          <w:tcPr>
            <w:tcW w:type="dxa" w:w="4264"/>
            <w:tcW w:type="dxa" w:w="426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Treasury shares</w:t>
            </w:r>
          </w:p>
        </w:tc>
        <w:tc>
          <w:tcPr>
            <w:tcW w:type="dxa" w:w="1734"/>
            <w:tcW w:type="dxa" w:w="173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7.36% (~15.75m)</w:t>
            </w:r>
          </w:p>
        </w:tc>
        <w:tc>
          <w:tcPr>
            <w:tcW w:type="dxa" w:w="1650"/>
            <w:tcW w:type="dxa" w:w="165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w:t>
            </w:r>
          </w:p>
        </w:tc>
        <w:tc>
          <w:tcPr>
            <w:tcW w:type="dxa" w:w="2256"/>
            <w:tcW w:type="dxa" w:w="225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Retention allowed by the Aug-26 EGM articles amendment</w:t>
            </w:r>
          </w:p>
        </w:tc>
      </w:tr>
      <w:tr>
        <w:trPr>
          <w:cantSplit/>
        </w:trPr>
        <w:tc>
          <w:tcPr>
            <w:tcW w:type="dxa" w:w="4264"/>
            <w:tcW w:type="dxa" w:w="426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National Pension Service</w:t>
            </w:r>
          </w:p>
        </w:tc>
        <w:tc>
          <w:tcPr>
            <w:tcW w:type="dxa" w:w="1734"/>
            <w:tcW w:type="dxa" w:w="173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~6.1% (Jan-26) [u]</w:t>
            </w:r>
          </w:p>
        </w:tc>
        <w:tc>
          <w:tcPr>
            <w:tcW w:type="dxa" w:w="1650"/>
            <w:tcW w:type="dxa" w:w="165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~6.6%</w:t>
            </w:r>
          </w:p>
        </w:tc>
        <w:tc>
          <w:tcPr>
            <w:tcW w:type="dxa" w:w="2256"/>
            <w:tcW w:type="dxa" w:w="225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Within the free float</w:t>
            </w:r>
          </w:p>
        </w:tc>
      </w:tr>
      <w:tr>
        <w:trPr>
          <w:cantSplit/>
        </w:trPr>
        <w:tc>
          <w:tcPr>
            <w:tcW w:type="dxa" w:w="4264"/>
            <w:tcW w:type="dxa" w:w="426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Foreign investors</w:t>
            </w:r>
          </w:p>
        </w:tc>
        <w:tc>
          <w:tcPr>
            <w:tcW w:type="dxa" w:w="1734"/>
            <w:tcW w:type="dxa" w:w="173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~12.3% (Jan-26) [u] (from 29.7% in 2020)</w:t>
            </w:r>
          </w:p>
        </w:tc>
        <w:tc>
          <w:tcPr>
            <w:tcW w:type="dxa" w:w="1650"/>
            <w:tcW w:type="dxa" w:w="165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~13%</w:t>
            </w:r>
          </w:p>
        </w:tc>
        <w:tc>
          <w:tcPr>
            <w:tcW w:type="dxa" w:w="2256"/>
            <w:tcW w:type="dxa" w:w="225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Within the free float</w:t>
            </w:r>
          </w:p>
        </w:tc>
      </w:tr>
      <w:tr>
        <w:trPr>
          <w:cantSplit/>
        </w:trPr>
        <w:tc>
          <w:tcPr>
            <w:tcW w:type="dxa" w:w="4264"/>
            <w:tcW w:type="dxa" w:w="426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Other domestic institutions and retail</w:t>
            </w:r>
          </w:p>
        </w:tc>
        <w:tc>
          <w:tcPr>
            <w:tcW w:type="dxa" w:w="1734"/>
            <w:tcW w:type="dxa" w:w="173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~23% [e]</w:t>
            </w:r>
          </w:p>
        </w:tc>
        <w:tc>
          <w:tcPr>
            <w:tcW w:type="dxa" w:w="1650"/>
            <w:tcW w:type="dxa" w:w="165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~25%</w:t>
            </w:r>
          </w:p>
        </w:tc>
        <w:tc>
          <w:tcPr>
            <w:tcW w:type="dxa" w:w="2256"/>
            <w:tcW w:type="dxa" w:w="225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p>
        </w:tc>
      </w:tr>
      <w:tr>
        <w:trPr>
          <w:cantSplit/>
        </w:trPr>
        <w:tc>
          <w:tcPr>
            <w:tcW w:type="dxa" w:w="4264"/>
            <w:tcW w:type="dxa" w:w="4264"/>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b/>
                <w:sz w:val="15"/>
              </w:rPr>
              <w:t>Free float</w:t>
            </w:r>
          </w:p>
        </w:tc>
        <w:tc>
          <w:tcPr>
            <w:tcW w:type="dxa" w:w="1734"/>
            <w:tcW w:type="dxa" w:w="1734"/>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b/>
                <w:sz w:val="15"/>
              </w:rPr>
              <w:t>41.63%</w:t>
            </w:r>
          </w:p>
        </w:tc>
        <w:tc>
          <w:tcPr>
            <w:tcW w:type="dxa" w:w="1650"/>
            <w:tcW w:type="dxa" w:w="1650"/>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right"/>
            </w:pPr>
            <w:r>
              <w:rPr>
                <w:rFonts w:ascii="Arial" w:hAnsi="Arial"/>
                <w:b/>
                <w:sz w:val="15"/>
              </w:rPr>
              <w:t>44.9%</w:t>
            </w:r>
          </w:p>
        </w:tc>
        <w:tc>
          <w:tcPr>
            <w:tcW w:type="dxa" w:w="2256"/>
            <w:tcW w:type="dxa" w:w="2256"/>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p>
        </w:tc>
      </w:tr>
    </w:tbl>
    <w:p>
      <w:pPr>
        <w:spacing w:before="0" w:after="40" w:line="240" w:lineRule="auto"/>
      </w:pPr>
    </w:p>
    <w:p>
      <w:pPr>
        <w:spacing w:before="0" w:after="100" w:line="288" w:lineRule="auto"/>
      </w:pPr>
      <w:r>
        <w:rPr>
          <w:rFonts w:ascii="Arial" w:hAnsi="Arial"/>
          <w:i/>
          <w:color w:val="5A6270"/>
          <w:sz w:val="15"/>
        </w:rPr>
        <w:t>Source: Kangwon Land IR page (contents key 2547), Simply Wall St, broker report (29-Jan-2026). Sources disagree on the KOMIR stake (35.27-38.7%) and the Gangwon Development Corp stake (4.57-5.34%) depending on basis and date.</w:t>
      </w:r>
    </w:p>
    <w:p>
      <w:pPr>
        <w:spacing w:before="0" w:after="100" w:line="288" w:lineRule="auto"/>
      </w:pPr>
      <w:r>
        <w:rPr>
          <w:rFonts w:ascii="Arial" w:hAnsi="Arial"/>
          <w:b/>
          <w:sz w:val="19"/>
        </w:rPr>
        <w:t>What the register means:</w:t>
      </w:r>
    </w:p>
    <w:p>
      <w:pPr>
        <w:spacing w:before="0" w:after="50" w:line="276" w:lineRule="auto"/>
        <w:ind w:left="360" w:hanging="245"/>
      </w:pPr>
      <w:r>
        <w:rPr>
          <w:rFonts w:ascii="Arial" w:hAnsi="Arial"/>
          <w:color w:val="2E74B5"/>
          <w:sz w:val="16"/>
        </w:rPr>
        <w:t xml:space="preserve">▪  </w:t>
      </w:r>
      <w:r>
        <w:rPr>
          <w:rFonts w:ascii="Arial" w:hAnsi="Arial"/>
          <w:sz w:val="19"/>
        </w:rPr>
        <w:t>The public sector receives ~55% of every dividend. This is the political case for payouts: cash paid as dividends goes straight to KOMIR (which needs it) and to the mine-region municipalities.</w:t>
      </w:r>
    </w:p>
    <w:p>
      <w:pPr>
        <w:spacing w:before="0" w:after="50" w:line="276" w:lineRule="auto"/>
        <w:ind w:left="360" w:hanging="245"/>
      </w:pPr>
      <w:r>
        <w:rPr>
          <w:rFonts w:ascii="Arial" w:hAnsi="Arial"/>
          <w:color w:val="2E74B5"/>
          <w:sz w:val="16"/>
        </w:rPr>
        <w:t xml:space="preserve">▪  </w:t>
      </w:r>
      <w:r>
        <w:rPr>
          <w:rFonts w:ascii="Arial" w:hAnsi="Arial"/>
          <w:b/>
          <w:sz w:val="19"/>
        </w:rPr>
        <w:t>Foreign ownership has collapsed</w:t>
      </w:r>
      <w:r>
        <w:rPr>
          <w:rFonts w:ascii="Arial" w:hAnsi="Arial"/>
          <w:sz w:val="19"/>
        </w:rPr>
        <w:t xml:space="preserve"> from ~30% to ~12%, so the stock lacks the foreign value and activist holders who have driven Korean re-ratings elsewhere.</w:t>
      </w:r>
    </w:p>
    <w:p>
      <w:pPr>
        <w:spacing w:before="0" w:after="50" w:line="276" w:lineRule="auto"/>
        <w:ind w:left="360" w:hanging="245"/>
      </w:pPr>
      <w:r>
        <w:rPr>
          <w:rFonts w:ascii="Arial" w:hAnsi="Arial"/>
          <w:color w:val="2E74B5"/>
          <w:sz w:val="16"/>
        </w:rPr>
        <w:t xml:space="preserve">▪  </w:t>
      </w:r>
      <w:r>
        <w:rPr>
          <w:rFonts w:ascii="Arial" w:hAnsi="Arial"/>
          <w:b/>
          <w:sz w:val="19"/>
        </w:rPr>
        <w:t>NPS (~6%)</w:t>
      </w:r>
      <w:r>
        <w:rPr>
          <w:rFonts w:ascii="Arial" w:hAnsi="Arial"/>
          <w:sz w:val="19"/>
        </w:rPr>
        <w:t xml:space="preserve"> is the largest independent holder and has a stewardship code. In 2026, Solidarity for Economic Reform urged NPS to vote against the treasury-share retention amendment.</w:t>
      </w:r>
    </w:p>
    <w:p>
      <w:pPr>
        <w:pStyle w:val="Heading2"/>
        <w:keepNext/>
        <w:spacing w:before="160" w:after="80" w:line="264" w:lineRule="auto"/>
      </w:pPr>
      <w:r>
        <w:rPr>
          <w:rFonts w:ascii="Arial" w:hAnsi="Arial"/>
        </w:rPr>
        <w:t>18.2 Activism</w:t>
      </w:r>
    </w:p>
    <w:tbl>
      <w:tblPr>
        <w:tblW w:type="auto" w:w="0"/>
        <w:jc w:val="center"/>
        <w:tblLook w:firstColumn="1" w:firstRow="1" w:lastColumn="0" w:lastRow="0" w:noHBand="0" w:noVBand="1" w:val="04A0"/>
        <w:tblLayout w:type="fixed"/>
        <w:tblW w:type="dxa" w:w="9906"/>
      </w:tblPr>
      <w:tblGrid>
        <w:gridCol w:w="1058"/>
        <w:gridCol w:w="2502"/>
        <w:gridCol w:w="3052"/>
        <w:gridCol w:w="3292"/>
      </w:tblGrid>
      <w:tr>
        <w:trPr>
          <w:tblHeader/>
        </w:trPr>
        <w:tc>
          <w:tcPr>
            <w:tcW w:type="dxa" w:w="1058"/>
            <w:tcW w:type="dxa" w:w="1058"/>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Episode</w:t>
            </w:r>
          </w:p>
        </w:tc>
        <w:tc>
          <w:tcPr>
            <w:tcW w:type="dxa" w:w="2502"/>
            <w:tcW w:type="dxa" w:w="2502"/>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Who</w:t>
            </w:r>
          </w:p>
        </w:tc>
        <w:tc>
          <w:tcPr>
            <w:tcW w:type="dxa" w:w="3052"/>
            <w:tcW w:type="dxa" w:w="3052"/>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Ask</w:t>
            </w:r>
          </w:p>
        </w:tc>
        <w:tc>
          <w:tcPr>
            <w:tcW w:type="dxa" w:w="3292"/>
            <w:tcW w:type="dxa" w:w="3292"/>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Outcome</w:t>
            </w:r>
          </w:p>
        </w:tc>
      </w:tr>
      <w:tr>
        <w:trPr>
          <w:cantSplit/>
        </w:trPr>
        <w:tc>
          <w:tcPr>
            <w:tcW w:type="dxa" w:w="1058"/>
            <w:tcW w:type="dxa" w:w="105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2012-2019</w:t>
            </w:r>
          </w:p>
        </w:tc>
        <w:tc>
          <w:tcPr>
            <w:tcW w:type="dxa" w:w="2502"/>
            <w:tcW w:type="dxa" w:w="250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Company vs its own former directors</w:t>
            </w:r>
          </w:p>
        </w:tc>
        <w:tc>
          <w:tcPr>
            <w:tcW w:type="dxa" w:w="3052"/>
            <w:tcW w:type="dxa" w:w="305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Recover the KRW15bn O2 Resort donation</w:t>
            </w:r>
          </w:p>
        </w:tc>
        <w:tc>
          <w:tcPr>
            <w:tcW w:type="dxa" w:w="3292"/>
            <w:tcW w:type="dxa" w:w="329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Supreme Court upheld ~KRW3bn of liability (2019)</w:t>
            </w:r>
          </w:p>
        </w:tc>
      </w:tr>
      <w:tr>
        <w:trPr>
          <w:cantSplit/>
        </w:trPr>
        <w:tc>
          <w:tcPr>
            <w:tcW w:type="dxa" w:w="1058"/>
            <w:tcW w:type="dxa" w:w="105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2022-2023</w:t>
            </w:r>
          </w:p>
        </w:tc>
        <w:tc>
          <w:tcPr>
            <w:tcW w:type="dxa" w:w="2502"/>
            <w:tcW w:type="dxa" w:w="250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Regional civic groups</w:t>
            </w:r>
          </w:p>
        </w:tc>
        <w:tc>
          <w:tcPr>
            <w:tcW w:type="dxa" w:w="3052"/>
            <w:tcW w:type="dxa" w:w="305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Removal of CEO Lee Sam-geol</w:t>
            </w:r>
          </w:p>
        </w:tc>
        <w:tc>
          <w:tcPr>
            <w:tcW w:type="dxa" w:w="3292"/>
            <w:tcW w:type="dxa" w:w="329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CEO resigned (late 2023)</w:t>
            </w:r>
          </w:p>
        </w:tc>
      </w:tr>
      <w:tr>
        <w:trPr>
          <w:cantSplit/>
        </w:trPr>
        <w:tc>
          <w:tcPr>
            <w:tcW w:type="dxa" w:w="1058"/>
            <w:tcW w:type="dxa" w:w="105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Aug-2026 EGM</w:t>
            </w:r>
          </w:p>
        </w:tc>
        <w:tc>
          <w:tcPr>
            <w:tcW w:type="dxa" w:w="2502"/>
            <w:tcW w:type="dxa" w:w="250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Solidarity for Economic Reform (civic group)</w:t>
            </w:r>
          </w:p>
        </w:tc>
        <w:tc>
          <w:tcPr>
            <w:tcW w:type="dxa" w:w="3052"/>
            <w:tcW w:type="dxa" w:w="305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NPS to vote against the treasury-share retention amendment; questioned the CEO's qualifications</w:t>
            </w:r>
          </w:p>
        </w:tc>
        <w:tc>
          <w:tcPr>
            <w:tcW w:type="dxa" w:w="3292"/>
            <w:tcW w:type="dxa" w:w="329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Amendment and CEO passed [vote details n/f]; the share price was flat</w:t>
            </w:r>
          </w:p>
        </w:tc>
      </w:tr>
      <w:tr>
        <w:trPr>
          <w:cantSplit/>
        </w:trPr>
        <w:tc>
          <w:tcPr>
            <w:tcW w:type="dxa" w:w="1058"/>
            <w:tcW w:type="dxa" w:w="105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Oct-2025 / Oct-2026 National Assembly audits</w:t>
            </w:r>
          </w:p>
        </w:tc>
        <w:tc>
          <w:tcPr>
            <w:tcW w:type="dxa" w:w="2502"/>
            <w:tcW w:type="dxa" w:w="250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Lawmakers</w:t>
            </w:r>
          </w:p>
        </w:tc>
        <w:tc>
          <w:tcPr>
            <w:tcW w:type="dxa" w:w="3052"/>
            <w:tcW w:type="dxa" w:w="305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Spend comps locally; scrutiny of bonuses</w:t>
            </w:r>
          </w:p>
        </w:tc>
        <w:tc>
          <w:tcPr>
            <w:tcW w:type="dxa" w:w="3292"/>
            <w:tcW w:type="dxa" w:w="329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Ongoing political pressure</w:t>
            </w:r>
          </w:p>
        </w:tc>
      </w:tr>
      <w:tr>
        <w:trPr>
          <w:cantSplit/>
        </w:trPr>
        <w:tc>
          <w:tcPr>
            <w:tcW w:type="dxa" w:w="1058"/>
            <w:tcW w:type="dxa" w:w="105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w:t>
            </w:r>
          </w:p>
        </w:tc>
        <w:tc>
          <w:tcPr>
            <w:tcW w:type="dxa" w:w="2502"/>
            <w:tcW w:type="dxa" w:w="250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Activist funds (domestic or foreign)</w:t>
            </w:r>
          </w:p>
        </w:tc>
        <w:tc>
          <w:tcPr>
            <w:tcW w:type="dxa" w:w="3052"/>
            <w:tcW w:type="dxa" w:w="305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w:t>
            </w:r>
          </w:p>
        </w:tc>
        <w:tc>
          <w:tcPr>
            <w:tcW w:type="dxa" w:w="3292"/>
            <w:tcW w:type="dxa" w:w="329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No campaign found</w:t>
            </w:r>
          </w:p>
        </w:tc>
      </w:tr>
    </w:tbl>
    <w:p>
      <w:pPr>
        <w:spacing w:before="0" w:after="40" w:line="240" w:lineRule="auto"/>
      </w:pPr>
    </w:p>
    <w:p>
      <w:pPr>
        <w:spacing w:before="0" w:after="100" w:line="288" w:lineRule="auto"/>
      </w:pPr>
      <w:r>
        <w:rPr>
          <w:rFonts w:ascii="Arial" w:hAnsi="Arial"/>
          <w:b/>
          <w:sz w:val="19"/>
        </w:rPr>
        <w:t>Why there has been no fund activism:</w:t>
      </w:r>
      <w:r>
        <w:rPr>
          <w:rFonts w:ascii="Arial" w:hAnsi="Arial"/>
          <w:sz w:val="19"/>
        </w:rPr>
        <w:t xml:space="preserve"> the 51% statutory public stake makes control impossible. Foreign ownership is low, and the "cash pile" problem looked unsolvable while KOMIR could rely on regional politics. The 2025-26 Commercial Act changes and KOMIR's balance sheet change that calculation (Section 26).</w:t>
      </w:r>
    </w:p>
    <w:p>
      <w:pPr>
        <w:pStyle w:val="Heading2"/>
        <w:keepNext/>
        <w:spacing w:before="160" w:after="80" w:line="264" w:lineRule="auto"/>
      </w:pPr>
      <w:r>
        <w:rPr>
          <w:rFonts w:ascii="Arial" w:hAnsi="Arial"/>
        </w:rPr>
        <w:t>18.3 Short interest</w:t>
      </w:r>
    </w:p>
    <w:p>
      <w:pPr>
        <w:spacing w:before="0" w:after="100" w:line="288" w:lineRule="auto"/>
      </w:pPr>
      <w:r>
        <w:rPr>
          <w:rFonts w:ascii="Arial" w:hAnsi="Arial"/>
          <w:sz w:val="19"/>
        </w:rPr>
        <w:t>Korea banned short selling on 6-Nov-2023 and fully resumed it on 31-Mar-2025 [u: background knowledge, not re-verified this session]. No short-balance data for Kangwon Land were found. With a 6-7% yield and net cash above market cap, borrowing to short is expensive and fundamentally unattractive. We would not expect a large short base.</w:t>
      </w:r>
    </w:p>
    <w:p>
      <w:pPr>
        <w:pStyle w:val="Heading1"/>
        <w:pageBreakBefore/>
        <w:spacing w:before="0" w:after="120" w:line="264" w:lineRule="auto"/>
      </w:pPr>
      <w:r>
        <w:rPr>
          <w:rFonts w:ascii="Arial" w:hAnsi="Arial"/>
        </w:rPr>
        <w:t>19. Strategic Initiatives (2016-2026)</w:t>
      </w:r>
    </w:p>
    <w:tbl>
      <w:tblPr>
        <w:tblW w:type="auto" w:w="0"/>
        <w:jc w:val="center"/>
        <w:tblLook w:firstColumn="1" w:firstRow="1" w:lastColumn="0" w:lastRow="0" w:noHBand="0" w:noVBand="1" w:val="04A0"/>
        <w:tblLayout w:type="fixed"/>
        <w:tblW w:type="dxa" w:w="9906"/>
      </w:tblPr>
      <w:tblGrid>
        <w:gridCol w:w="804"/>
        <w:gridCol w:w="4476"/>
        <w:gridCol w:w="804"/>
        <w:gridCol w:w="3819"/>
      </w:tblGrid>
      <w:tr>
        <w:trPr>
          <w:tblHeader/>
        </w:trPr>
        <w:tc>
          <w:tcPr>
            <w:tcW w:type="dxa" w:w="804"/>
            <w:tcW w:type="dxa" w:w="804"/>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Year</w:t>
            </w:r>
          </w:p>
        </w:tc>
        <w:tc>
          <w:tcPr>
            <w:tcW w:type="dxa" w:w="4476"/>
            <w:tcW w:type="dxa" w:w="4476"/>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Initiative</w:t>
            </w:r>
          </w:p>
        </w:tc>
        <w:tc>
          <w:tcPr>
            <w:tcW w:type="dxa" w:w="804"/>
            <w:tcW w:type="dxa" w:w="804"/>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Investment</w:t>
            </w:r>
          </w:p>
        </w:tc>
        <w:tc>
          <w:tcPr>
            <w:tcW w:type="dxa" w:w="3819"/>
            <w:tcW w:type="dxa" w:w="3819"/>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Outcome</w:t>
            </w:r>
          </w:p>
        </w:tc>
      </w:tr>
      <w:tr>
        <w:trPr>
          <w:cantSplit/>
        </w:trPr>
        <w:tc>
          <w:tcPr>
            <w:tcW w:type="dxa" w:w="804"/>
            <w:tcW w:type="dxa" w:w="80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2016-2018</w:t>
            </w:r>
          </w:p>
        </w:tc>
        <w:tc>
          <w:tcPr>
            <w:tcW w:type="dxa" w:w="4476"/>
            <w:tcW w:type="dxa" w:w="447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Licence renewal conditions</w:t>
            </w:r>
          </w:p>
        </w:tc>
        <w:tc>
          <w:tcPr>
            <w:tcW w:type="dxa" w:w="804"/>
            <w:tcW w:type="dxa" w:w="80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w:t>
            </w:r>
          </w:p>
        </w:tc>
        <w:tc>
          <w:tcPr>
            <w:tcW w:type="dxa" w:w="3819"/>
            <w:tcW w:type="dxa" w:w="381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Hours cut by two (Apr-2018); general tables 180 → 160</w:t>
            </w:r>
          </w:p>
        </w:tc>
      </w:tr>
      <w:tr>
        <w:trPr>
          <w:cantSplit/>
        </w:trPr>
        <w:tc>
          <w:tcPr>
            <w:tcW w:type="dxa" w:w="804"/>
            <w:tcW w:type="dxa" w:w="80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2018</w:t>
            </w:r>
          </w:p>
        </w:tc>
        <w:tc>
          <w:tcPr>
            <w:tcW w:type="dxa" w:w="4476"/>
            <w:tcW w:type="dxa" w:w="447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High1 Water World</w:t>
            </w:r>
          </w:p>
        </w:tc>
        <w:tc>
          <w:tcPr>
            <w:tcW w:type="dxa" w:w="804"/>
            <w:tcW w:type="dxa" w:w="80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KRW167.2bn</w:t>
            </w:r>
          </w:p>
        </w:tc>
        <w:tc>
          <w:tcPr>
            <w:tcW w:type="dxa" w:w="3819"/>
            <w:tcW w:type="dxa" w:w="381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Opened Jul-2018; profitability n/f; closed for ~1 month of repairs, reopened 24-Apr-2026</w:t>
            </w:r>
          </w:p>
        </w:tc>
      </w:tr>
      <w:tr>
        <w:trPr>
          <w:cantSplit/>
        </w:trPr>
        <w:tc>
          <w:tcPr>
            <w:tcW w:type="dxa" w:w="804"/>
            <w:tcW w:type="dxa" w:w="80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2020-2022</w:t>
            </w:r>
          </w:p>
        </w:tc>
        <w:tc>
          <w:tcPr>
            <w:tcW w:type="dxa" w:w="4476"/>
            <w:tcW w:type="dxa" w:w="447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COVID closures and reopening</w:t>
            </w:r>
          </w:p>
        </w:tc>
        <w:tc>
          <w:tcPr>
            <w:tcW w:type="dxa" w:w="804"/>
            <w:tcW w:type="dxa" w:w="80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w:t>
            </w:r>
          </w:p>
        </w:tc>
        <w:tc>
          <w:tcPr>
            <w:tcW w:type="dxa" w:w="3819"/>
            <w:tcW w:type="dxa" w:w="381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Closed 223 days in 2020; full normal operation from 16-May-2022</w:t>
            </w:r>
          </w:p>
        </w:tc>
      </w:tr>
      <w:tr>
        <w:trPr>
          <w:cantSplit/>
        </w:trPr>
        <w:tc>
          <w:tcPr>
            <w:tcW w:type="dxa" w:w="804"/>
            <w:tcW w:type="dxa" w:w="80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2021</w:t>
            </w:r>
          </w:p>
        </w:tc>
        <w:tc>
          <w:tcPr>
            <w:tcW w:type="dxa" w:w="4476"/>
            <w:tcW w:type="dxa" w:w="447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Special Act extended to 2045; mine-fund base changed</w:t>
            </w:r>
          </w:p>
        </w:tc>
        <w:tc>
          <w:tcPr>
            <w:tcW w:type="dxa" w:w="804"/>
            <w:tcW w:type="dxa" w:w="80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w:t>
            </w:r>
          </w:p>
        </w:tc>
        <w:tc>
          <w:tcPr>
            <w:tcW w:type="dxa" w:w="3819"/>
            <w:tcW w:type="dxa" w:w="381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Licence security bought with a ~KRW60bn a year higher levy [e]</w:t>
            </w:r>
          </w:p>
        </w:tc>
      </w:tr>
      <w:tr>
        <w:trPr>
          <w:cantSplit/>
        </w:trPr>
        <w:tc>
          <w:tcPr>
            <w:tcW w:type="dxa" w:w="804"/>
            <w:tcW w:type="dxa" w:w="80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Apr-2024</w:t>
            </w:r>
          </w:p>
        </w:tc>
        <w:tc>
          <w:tcPr>
            <w:tcW w:type="dxa" w:w="4476"/>
            <w:tcW w:type="dxa" w:w="447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K-HIT 1.0: global IR by 2032</w:t>
            </w:r>
          </w:p>
        </w:tc>
        <w:tc>
          <w:tcPr>
            <w:tcW w:type="dxa" w:w="804"/>
            <w:tcW w:type="dxa" w:w="80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KRW2.5tn</w:t>
            </w:r>
          </w:p>
        </w:tc>
        <w:tc>
          <w:tcPr>
            <w:tcW w:type="dxa" w:w="3819"/>
            <w:tcW w:type="dxa" w:w="381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Superseded</w:t>
            </w:r>
          </w:p>
        </w:tc>
      </w:tr>
      <w:tr>
        <w:trPr>
          <w:cantSplit/>
        </w:trPr>
        <w:tc>
          <w:tcPr>
            <w:tcW w:type="dxa" w:w="804"/>
            <w:tcW w:type="dxa" w:w="80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Sep-2024</w:t>
            </w:r>
          </w:p>
        </w:tc>
        <w:tc>
          <w:tcPr>
            <w:tcW w:type="dxa" w:w="4476"/>
            <w:tcW w:type="dxa" w:w="447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MCST expansion permit: Korean floor +40%; 250 tables, 1,610 machines; foreigner zone open to permanent residents</w:t>
            </w:r>
          </w:p>
        </w:tc>
        <w:tc>
          <w:tcPr>
            <w:tcW w:type="dxa" w:w="804"/>
            <w:tcW w:type="dxa" w:w="80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Second casino KRW179.6bn</w:t>
            </w:r>
          </w:p>
        </w:tc>
        <w:tc>
          <w:tcPr>
            <w:tcW w:type="dxa" w:w="3819"/>
            <w:tcW w:type="dxa" w:w="381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Completion Dec-2027; capacity effective ~2028</w:t>
            </w:r>
          </w:p>
        </w:tc>
      </w:tr>
      <w:tr>
        <w:trPr>
          <w:cantSplit/>
        </w:trPr>
        <w:tc>
          <w:tcPr>
            <w:tcW w:type="dxa" w:w="804"/>
            <w:tcW w:type="dxa" w:w="80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Oct-2024</w:t>
            </w:r>
          </w:p>
        </w:tc>
        <w:tc>
          <w:tcPr>
            <w:tcW w:type="dxa" w:w="4476"/>
            <w:tcW w:type="dxa" w:w="447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Value-Up plan</w:t>
            </w:r>
          </w:p>
        </w:tc>
        <w:tc>
          <w:tcPr>
            <w:tcW w:type="dxa" w:w="804"/>
            <w:tcW w:type="dxa" w:w="80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KRW100bn buybacks FY24-26</w:t>
            </w:r>
          </w:p>
        </w:tc>
        <w:tc>
          <w:tcPr>
            <w:tcW w:type="dxa" w:w="3819"/>
            <w:tcW w:type="dxa" w:w="381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Targets met FY24 and FY25</w:t>
            </w:r>
          </w:p>
        </w:tc>
      </w:tr>
      <w:tr>
        <w:trPr>
          <w:cantSplit/>
        </w:trPr>
        <w:tc>
          <w:tcPr>
            <w:tcW w:type="dxa" w:w="804"/>
            <w:tcW w:type="dxa" w:w="80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Feb-2025</w:t>
            </w:r>
          </w:p>
        </w:tc>
        <w:tc>
          <w:tcPr>
            <w:tcW w:type="dxa" w:w="4476"/>
            <w:tcW w:type="dxa" w:w="447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Foreigner-zone pilot</w:t>
            </w:r>
          </w:p>
        </w:tc>
        <w:tc>
          <w:tcPr>
            <w:tcW w:type="dxa" w:w="804"/>
            <w:tcW w:type="dxa" w:w="80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Small</w:t>
            </w:r>
          </w:p>
        </w:tc>
        <w:tc>
          <w:tcPr>
            <w:tcW w:type="dxa" w:w="3819"/>
            <w:tcW w:type="dxa" w:w="381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Under way</w:t>
            </w:r>
          </w:p>
        </w:tc>
      </w:tr>
      <w:tr>
        <w:trPr>
          <w:cantSplit/>
        </w:trPr>
        <w:tc>
          <w:tcPr>
            <w:tcW w:type="dxa" w:w="804"/>
            <w:tcW w:type="dxa" w:w="80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Mar-2025</w:t>
            </w:r>
          </w:p>
        </w:tc>
        <w:tc>
          <w:tcPr>
            <w:tcW w:type="dxa" w:w="4476"/>
            <w:tcW w:type="dxa" w:w="447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Grand Hotel infinity pool</w:t>
            </w:r>
          </w:p>
        </w:tc>
        <w:tc>
          <w:tcPr>
            <w:tcW w:type="dxa" w:w="804"/>
            <w:tcW w:type="dxa" w:w="80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KRW7.5bn</w:t>
            </w:r>
          </w:p>
        </w:tc>
        <w:tc>
          <w:tcPr>
            <w:tcW w:type="dxa" w:w="3819"/>
            <w:tcW w:type="dxa" w:w="381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Done</w:t>
            </w:r>
          </w:p>
        </w:tc>
      </w:tr>
      <w:tr>
        <w:trPr>
          <w:cantSplit/>
        </w:trPr>
        <w:tc>
          <w:tcPr>
            <w:tcW w:type="dxa" w:w="804"/>
            <w:tcW w:type="dxa" w:w="80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May-2025</w:t>
            </w:r>
          </w:p>
        </w:tc>
        <w:tc>
          <w:tcPr>
            <w:tcW w:type="dxa" w:w="4476"/>
            <w:tcW w:type="dxa" w:w="447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VIP baccarat limits raised 10x; blackjack and Hold'em limits tripled</w:t>
            </w:r>
          </w:p>
        </w:tc>
        <w:tc>
          <w:tcPr>
            <w:tcW w:type="dxa" w:w="804"/>
            <w:tcW w:type="dxa" w:w="80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w:t>
            </w:r>
          </w:p>
        </w:tc>
        <w:tc>
          <w:tcPr>
            <w:tcW w:type="dxa" w:w="3819"/>
            <w:tcW w:type="dxa" w:w="381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VIP drop +46%; 3Q25 VIP revenue +23.6%</w:t>
            </w:r>
          </w:p>
        </w:tc>
      </w:tr>
      <w:tr>
        <w:trPr>
          <w:cantSplit/>
        </w:trPr>
        <w:tc>
          <w:tcPr>
            <w:tcW w:type="dxa" w:w="804"/>
            <w:tcW w:type="dxa" w:w="80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Nov-2025</w:t>
            </w:r>
          </w:p>
        </w:tc>
        <w:tc>
          <w:tcPr>
            <w:tcW w:type="dxa" w:w="4476"/>
            <w:tcW w:type="dxa" w:w="447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K-HIT master plan: ~KRW3tn to 2035; 13m visitors; KRW3.5tn revenue; Grand Dome, ~600-room hotel, 3,000-seat arena; non-gaming 20% → 40%</w:t>
            </w:r>
          </w:p>
        </w:tc>
        <w:tc>
          <w:tcPr>
            <w:tcW w:type="dxa" w:w="804"/>
            <w:tcW w:type="dxa" w:w="80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~KRW3tn</w:t>
            </w:r>
          </w:p>
        </w:tc>
        <w:tc>
          <w:tcPr>
            <w:tcW w:type="dxa" w:w="3819"/>
            <w:tcW w:type="dxa" w:w="381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Feasibility-study exemption requested; under review by the new CEO's committee</w:t>
            </w:r>
          </w:p>
        </w:tc>
      </w:tr>
      <w:tr>
        <w:trPr>
          <w:cantSplit/>
        </w:trPr>
        <w:tc>
          <w:tcPr>
            <w:tcW w:type="dxa" w:w="804"/>
            <w:tcW w:type="dxa" w:w="80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Mar-2026</w:t>
            </w:r>
          </w:p>
        </w:tc>
        <w:tc>
          <w:tcPr>
            <w:tcW w:type="dxa" w:w="4476"/>
            <w:tcW w:type="dxa" w:w="447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Phase 1: 757-room renovation, cable car (846m), 1,880 parking spaces</w:t>
            </w:r>
          </w:p>
        </w:tc>
        <w:tc>
          <w:tcPr>
            <w:tcW w:type="dxa" w:w="804"/>
            <w:tcW w:type="dxa" w:w="80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~KRW200bn</w:t>
            </w:r>
          </w:p>
        </w:tc>
        <w:tc>
          <w:tcPr>
            <w:tcW w:type="dxa" w:w="3819"/>
            <w:tcW w:type="dxa" w:w="381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Condo ~Nov-2027; hotel ~Apr-2028</w:t>
            </w:r>
          </w:p>
        </w:tc>
      </w:tr>
      <w:tr>
        <w:trPr>
          <w:cantSplit/>
        </w:trPr>
        <w:tc>
          <w:tcPr>
            <w:tcW w:type="dxa" w:w="804"/>
            <w:tcW w:type="dxa" w:w="80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2026</w:t>
            </w:r>
          </w:p>
        </w:tc>
        <w:tc>
          <w:tcPr>
            <w:tcW w:type="dxa" w:w="4476"/>
            <w:tcW w:type="dxa" w:w="447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"Regulatory reform year": time-based entry, mass limit KRW300k → 1m, hours</w:t>
            </w:r>
          </w:p>
        </w:tc>
        <w:tc>
          <w:tcPr>
            <w:tcW w:type="dxa" w:w="804"/>
            <w:tcW w:type="dxa" w:w="80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w:t>
            </w:r>
          </w:p>
        </w:tc>
        <w:tc>
          <w:tcPr>
            <w:tcW w:type="dxa" w:w="3819"/>
            <w:tcW w:type="dxa" w:w="381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Pending; the President ordered a review in Dec-2025</w:t>
            </w:r>
          </w:p>
        </w:tc>
      </w:tr>
      <w:tr>
        <w:trPr>
          <w:cantSplit/>
        </w:trPr>
        <w:tc>
          <w:tcPr>
            <w:tcW w:type="dxa" w:w="804"/>
            <w:tcW w:type="dxa" w:w="80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Oct-2026</w:t>
            </w:r>
          </w:p>
        </w:tc>
        <w:tc>
          <w:tcPr>
            <w:tcW w:type="dxa" w:w="4476"/>
            <w:tcW w:type="dxa" w:w="447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Organisational Diagnosis and Innovation Committee</w:t>
            </w:r>
          </w:p>
        </w:tc>
        <w:tc>
          <w:tcPr>
            <w:tcW w:type="dxa" w:w="804"/>
            <w:tcW w:type="dxa" w:w="80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w:t>
            </w:r>
          </w:p>
        </w:tc>
        <w:tc>
          <w:tcPr>
            <w:tcW w:type="dxa" w:w="3819"/>
            <w:tcW w:type="dxa" w:w="381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Running to year-end; includes a K-HIT feasibility review</w:t>
            </w:r>
          </w:p>
        </w:tc>
      </w:tr>
    </w:tbl>
    <w:p>
      <w:pPr>
        <w:spacing w:before="0" w:after="40" w:line="240" w:lineRule="auto"/>
      </w:pPr>
    </w:p>
    <w:p>
      <w:pPr>
        <w:pStyle w:val="Heading1"/>
        <w:pageBreakBefore/>
        <w:spacing w:before="0" w:after="120" w:line="264" w:lineRule="auto"/>
      </w:pPr>
      <w:r>
        <w:rPr>
          <w:rFonts w:ascii="Arial" w:hAnsi="Arial"/>
        </w:rPr>
        <w:t>20. Stakes in Other Companies</w:t>
      </w:r>
    </w:p>
    <w:tbl>
      <w:tblPr>
        <w:tblW w:type="auto" w:w="0"/>
        <w:jc w:val="center"/>
        <w:tblLook w:firstColumn="1" w:firstRow="1" w:lastColumn="0" w:lastRow="0" w:noHBand="0" w:noVBand="1" w:val="04A0"/>
        <w:tblLayout w:type="fixed"/>
        <w:tblW w:type="dxa" w:w="9906"/>
      </w:tblPr>
      <w:tblGrid>
        <w:gridCol w:w="1634"/>
        <w:gridCol w:w="802"/>
        <w:gridCol w:w="2364"/>
        <w:gridCol w:w="5104"/>
      </w:tblGrid>
      <w:tr>
        <w:trPr>
          <w:tblHeader/>
        </w:trPr>
        <w:tc>
          <w:tcPr>
            <w:tcW w:type="dxa" w:w="1634"/>
            <w:tcW w:type="dxa" w:w="1634"/>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Company</w:t>
            </w:r>
          </w:p>
        </w:tc>
        <w:tc>
          <w:tcPr>
            <w:tcW w:type="dxa" w:w="802"/>
            <w:tcW w:type="dxa" w:w="802"/>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Stake</w:t>
            </w:r>
          </w:p>
        </w:tc>
        <w:tc>
          <w:tcPr>
            <w:tcW w:type="dxa" w:w="2364"/>
            <w:tcW w:type="dxa" w:w="2364"/>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Activity</w:t>
            </w:r>
          </w:p>
        </w:tc>
        <w:tc>
          <w:tcPr>
            <w:tcW w:type="dxa" w:w="5104"/>
            <w:tcW w:type="dxa" w:w="5104"/>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Book value / P&amp;L</w:t>
            </w:r>
          </w:p>
        </w:tc>
      </w:tr>
      <w:tr>
        <w:trPr>
          <w:cantSplit/>
        </w:trPr>
        <w:tc>
          <w:tcPr>
            <w:tcW w:type="dxa" w:w="1634"/>
            <w:tcW w:type="dxa" w:w="163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High1 Choo Choo Park</w:t>
            </w:r>
          </w:p>
        </w:tc>
        <w:tc>
          <w:tcPr>
            <w:tcW w:type="dxa" w:w="802"/>
            <w:tcW w:type="dxa" w:w="80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99.6% (0.4% Korea Rail Network Authority)</w:t>
            </w:r>
          </w:p>
        </w:tc>
        <w:tc>
          <w:tcPr>
            <w:tcW w:type="dxa" w:w="2364"/>
            <w:tcW w:type="dxa" w:w="236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Rail-themed park in Samcheok</w:t>
            </w:r>
          </w:p>
        </w:tc>
        <w:tc>
          <w:tcPr>
            <w:tcW w:type="dxa" w:w="5104"/>
            <w:tcW w:type="dxa" w:w="510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~KRW75bn invested; never profitable; FY2016 net loss KRW14bn; rail bike suspended in 2024 (tunnel leaks)</w:t>
            </w:r>
          </w:p>
        </w:tc>
      </w:tr>
      <w:tr>
        <w:trPr>
          <w:cantSplit/>
        </w:trPr>
        <w:tc>
          <w:tcPr>
            <w:tcW w:type="dxa" w:w="1634"/>
            <w:tcW w:type="dxa" w:w="163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High1 Entertainment</w:t>
            </w:r>
          </w:p>
        </w:tc>
        <w:tc>
          <w:tcPr>
            <w:tcW w:type="dxa" w:w="802"/>
            <w:tcW w:type="dxa" w:w="80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100%</w:t>
            </w:r>
          </w:p>
        </w:tc>
        <w:tc>
          <w:tcPr>
            <w:tcW w:type="dxa" w:w="2364"/>
            <w:tcW w:type="dxa" w:w="236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Regional entertainment and IT</w:t>
            </w:r>
          </w:p>
        </w:tc>
        <w:tc>
          <w:tcPr>
            <w:tcW w:type="dxa" w:w="5104"/>
            <w:tcW w:type="dxa" w:w="510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KRW64.7bn invested, KRW53.8bn (83%) impaired; FY2016 net loss KRW1.9bn</w:t>
            </w:r>
          </w:p>
        </w:tc>
      </w:tr>
      <w:tr>
        <w:trPr>
          <w:cantSplit/>
        </w:trPr>
        <w:tc>
          <w:tcPr>
            <w:tcW w:type="dxa" w:w="1634"/>
            <w:tcW w:type="dxa" w:w="163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High1 Sangdong Theme Park</w:t>
            </w:r>
          </w:p>
        </w:tc>
        <w:tc>
          <w:tcPr>
            <w:tcW w:type="dxa" w:w="802"/>
            <w:tcW w:type="dxa" w:w="80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100%</w:t>
            </w:r>
          </w:p>
        </w:tc>
        <w:tc>
          <w:tcPr>
            <w:tcW w:type="dxa" w:w="2364"/>
            <w:tcW w:type="dxa" w:w="236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Theme park in Yeongwol (never opened)</w:t>
            </w:r>
          </w:p>
        </w:tc>
        <w:tc>
          <w:tcPr>
            <w:tcW w:type="dxa" w:w="5104"/>
            <w:tcW w:type="dxa" w:w="510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KRW42.5bn invested, KRW34.7bn (82%) impaired; FY2016 loss KRW28bn; liquidated [u]; ex-CEO sued for breach of trust</w:t>
            </w:r>
          </w:p>
        </w:tc>
      </w:tr>
      <w:tr>
        <w:trPr>
          <w:cantSplit/>
        </w:trPr>
        <w:tc>
          <w:tcPr>
            <w:tcW w:type="dxa" w:w="1634"/>
            <w:tcW w:type="dxa" w:w="163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Financial investments</w:t>
            </w:r>
          </w:p>
        </w:tc>
        <w:tc>
          <w:tcPr>
            <w:tcW w:type="dxa" w:w="802"/>
            <w:tcW w:type="dxa" w:w="80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w:t>
            </w:r>
          </w:p>
        </w:tc>
        <w:tc>
          <w:tcPr>
            <w:tcW w:type="dxa" w:w="2364"/>
            <w:tcW w:type="dxa" w:w="236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~KRW2.8tn in short-term financial instruments, funds and deposits</w:t>
            </w:r>
          </w:p>
        </w:tc>
        <w:tc>
          <w:tcPr>
            <w:tcW w:type="dxa" w:w="5104"/>
            <w:tcW w:type="dxa" w:w="510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Generate ~KRW140-180bn a year of financial income and fair-value gains [e]</w:t>
            </w:r>
          </w:p>
        </w:tc>
      </w:tr>
      <w:tr>
        <w:trPr>
          <w:cantSplit/>
        </w:trPr>
        <w:tc>
          <w:tcPr>
            <w:tcW w:type="dxa" w:w="1634"/>
            <w:tcW w:type="dxa" w:w="163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Other (High1 Partners etc.)</w:t>
            </w:r>
          </w:p>
        </w:tc>
        <w:tc>
          <w:tcPr>
            <w:tcW w:type="dxa" w:w="802"/>
            <w:tcW w:type="dxa" w:w="80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n/f</w:t>
            </w:r>
          </w:p>
        </w:tc>
        <w:tc>
          <w:tcPr>
            <w:tcW w:type="dxa" w:w="2364"/>
            <w:tcW w:type="dxa" w:w="236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p>
        </w:tc>
        <w:tc>
          <w:tcPr>
            <w:tcW w:type="dxa" w:w="5104"/>
            <w:tcW w:type="dxa" w:w="510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Not found</w:t>
            </w:r>
          </w:p>
        </w:tc>
      </w:tr>
    </w:tbl>
    <w:p>
      <w:pPr>
        <w:spacing w:before="0" w:after="40" w:line="240" w:lineRule="auto"/>
      </w:pPr>
    </w:p>
    <w:p>
      <w:pPr>
        <w:spacing w:before="0" w:after="100" w:line="288" w:lineRule="auto"/>
      </w:pPr>
      <w:r>
        <w:rPr>
          <w:rFonts w:ascii="Arial" w:hAnsi="Arial"/>
          <w:i/>
          <w:color w:val="5A6270"/>
          <w:sz w:val="15"/>
        </w:rPr>
        <w:t xml:space="preserve">Source: Pressian, Money Today (2017), NewDaily, Kukinews, IB Tomato. Current book values and 2025 P&amp;L for the subsidiaries were not found (the DART 2025 business report would have them). </w:t>
      </w:r>
      <w:r>
        <w:rPr>
          <w:rFonts w:ascii="Arial" w:hAnsi="Arial"/>
          <w:b/>
          <w:i/>
          <w:color w:val="5A6270"/>
          <w:sz w:val="15"/>
        </w:rPr>
        <w:t>They are immaterial to value today, but they are a warning on how a regional-development mandate allocates capital.</w:t>
      </w:r>
    </w:p>
    <w:p>
      <w:pPr>
        <w:pStyle w:val="Heading1"/>
        <w:pageBreakBefore/>
        <w:spacing w:before="0" w:after="120" w:line="264" w:lineRule="auto"/>
      </w:pPr>
      <w:r>
        <w:rPr>
          <w:rFonts w:ascii="Arial" w:hAnsi="Arial"/>
        </w:rPr>
        <w:t>21. Dividends, Buybacks and Treasury Shares (Five-Year Timeline)</w:t>
      </w:r>
    </w:p>
    <w:p>
      <w:pPr>
        <w:keepNext/>
        <w:spacing w:before="80" w:after="40" w:line="240" w:lineRule="auto"/>
        <w:jc w:val="center"/>
      </w:pPr>
      <w:r>
        <w:drawing>
          <wp:inline xmlns:a="http://schemas.openxmlformats.org/drawingml/2006/main" xmlns:pic="http://schemas.openxmlformats.org/drawingml/2006/picture">
            <wp:extent cx="6400800" cy="2659270"/>
            <wp:docPr id="7" name="Picture 7"/>
            <wp:cNvGraphicFramePr>
              <a:graphicFrameLocks noChangeAspect="1"/>
            </wp:cNvGraphicFramePr>
            <a:graphic>
              <a:graphicData uri="http://schemas.openxmlformats.org/drawingml/2006/picture">
                <pic:pic>
                  <pic:nvPicPr>
                    <pic:cNvPr id="0" name="dps.png"/>
                    <pic:cNvPicPr/>
                  </pic:nvPicPr>
                  <pic:blipFill>
                    <a:blip r:embed="rId17"/>
                    <a:stretch>
                      <a:fillRect/>
                    </a:stretch>
                  </pic:blipFill>
                  <pic:spPr>
                    <a:xfrm>
                      <a:off x="0" y="0"/>
                      <a:ext cx="6400800" cy="2659270"/>
                    </a:xfrm>
                    <a:prstGeom prst="rect"/>
                  </pic:spPr>
                </pic:pic>
              </a:graphicData>
            </a:graphic>
          </wp:inline>
        </w:drawing>
      </w:r>
    </w:p>
    <w:p>
      <w:pPr>
        <w:spacing w:before="0" w:after="120" w:line="240" w:lineRule="auto"/>
      </w:pPr>
      <w:r>
        <w:rPr>
          <w:rFonts w:ascii="Arial" w:hAnsi="Arial"/>
          <w:i/>
          <w:color w:val="5A6270"/>
          <w:sz w:val="15"/>
        </w:rPr>
        <w:t>Figure: Dividend per share by fiscal year, FY2016-FY2028E.</w:t>
      </w:r>
    </w:p>
    <w:tbl>
      <w:tblPr>
        <w:tblW w:type="auto" w:w="0"/>
        <w:jc w:val="center"/>
        <w:tblLook w:firstColumn="1" w:firstRow="1" w:lastColumn="0" w:lastRow="0" w:noHBand="0" w:noVBand="1" w:val="04A0"/>
        <w:tblLayout w:type="fixed"/>
        <w:tblW w:type="dxa" w:w="9906"/>
      </w:tblPr>
      <w:tblGrid>
        <w:gridCol w:w="857"/>
        <w:gridCol w:w="1871"/>
        <w:gridCol w:w="701"/>
        <w:gridCol w:w="701"/>
        <w:gridCol w:w="1708"/>
        <w:gridCol w:w="935"/>
        <w:gridCol w:w="3129"/>
      </w:tblGrid>
      <w:tr>
        <w:trPr>
          <w:tblHeader/>
        </w:trPr>
        <w:tc>
          <w:tcPr>
            <w:tcW w:type="dxa" w:w="857"/>
            <w:tcW w:type="dxa" w:w="857"/>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FY</w:t>
            </w:r>
          </w:p>
        </w:tc>
        <w:tc>
          <w:tcPr>
            <w:tcW w:type="dxa" w:w="1871"/>
            <w:tcW w:type="dxa" w:w="1871"/>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right"/>
            </w:pPr>
            <w:r>
              <w:rPr>
                <w:rFonts w:ascii="Arial" w:hAnsi="Arial"/>
                <w:b/>
                <w:color w:val="FFFFFF"/>
                <w:sz w:val="15"/>
              </w:rPr>
              <w:t>DPS (KRW)</w:t>
            </w:r>
          </w:p>
        </w:tc>
        <w:tc>
          <w:tcPr>
            <w:tcW w:type="dxa" w:w="701"/>
            <w:tcW w:type="dxa" w:w="701"/>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right"/>
            </w:pPr>
            <w:r>
              <w:rPr>
                <w:rFonts w:ascii="Arial" w:hAnsi="Arial"/>
                <w:b/>
                <w:color w:val="FFFFFF"/>
                <w:sz w:val="15"/>
              </w:rPr>
              <w:t>Total dividend (KRW bn)</w:t>
            </w:r>
          </w:p>
        </w:tc>
        <w:tc>
          <w:tcPr>
            <w:tcW w:type="dxa" w:w="701"/>
            <w:tcW w:type="dxa" w:w="701"/>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Payout</w:t>
            </w:r>
          </w:p>
        </w:tc>
        <w:tc>
          <w:tcPr>
            <w:tcW w:type="dxa" w:w="1708"/>
            <w:tcW w:type="dxa" w:w="1708"/>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Buybacks</w:t>
            </w:r>
          </w:p>
        </w:tc>
        <w:tc>
          <w:tcPr>
            <w:tcW w:type="dxa" w:w="935"/>
            <w:tcW w:type="dxa" w:w="935"/>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right"/>
            </w:pPr>
            <w:r>
              <w:rPr>
                <w:rFonts w:ascii="Arial" w:hAnsi="Arial"/>
                <w:b/>
                <w:color w:val="FFFFFF"/>
                <w:sz w:val="15"/>
              </w:rPr>
              <w:t>Total return</w:t>
            </w:r>
          </w:p>
        </w:tc>
        <w:tc>
          <w:tcPr>
            <w:tcW w:type="dxa" w:w="3129"/>
            <w:tcW w:type="dxa" w:w="3129"/>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Notes</w:t>
            </w:r>
          </w:p>
        </w:tc>
      </w:tr>
      <w:tr>
        <w:trPr>
          <w:cantSplit/>
        </w:trPr>
        <w:tc>
          <w:tcPr>
            <w:tcW w:type="dxa" w:w="857"/>
            <w:tcW w:type="dxa" w:w="85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2016</w:t>
            </w:r>
          </w:p>
        </w:tc>
        <w:tc>
          <w:tcPr>
            <w:tcW w:type="dxa" w:w="1871"/>
            <w:tcW w:type="dxa" w:w="187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990</w:t>
            </w:r>
          </w:p>
        </w:tc>
        <w:tc>
          <w:tcPr>
            <w:tcW w:type="dxa" w:w="701"/>
            <w:tcW w:type="dxa" w:w="70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~200</w:t>
            </w:r>
          </w:p>
        </w:tc>
        <w:tc>
          <w:tcPr>
            <w:tcW w:type="dxa" w:w="701"/>
            <w:tcW w:type="dxa" w:w="70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~44%</w:t>
            </w:r>
          </w:p>
        </w:tc>
        <w:tc>
          <w:tcPr>
            <w:tcW w:type="dxa" w:w="1708"/>
            <w:tcW w:type="dxa" w:w="170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w:t>
            </w:r>
          </w:p>
        </w:tc>
        <w:tc>
          <w:tcPr>
            <w:tcW w:type="dxa" w:w="935"/>
            <w:tcW w:type="dxa" w:w="93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p>
        </w:tc>
        <w:tc>
          <w:tcPr>
            <w:tcW w:type="dxa" w:w="3129"/>
            <w:tcW w:type="dxa" w:w="312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Yield 2.7%; NP KRW454.5bn</w:t>
            </w:r>
          </w:p>
        </w:tc>
      </w:tr>
      <w:tr>
        <w:trPr>
          <w:cantSplit/>
        </w:trPr>
        <w:tc>
          <w:tcPr>
            <w:tcW w:type="dxa" w:w="857"/>
            <w:tcW w:type="dxa" w:w="85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2017</w:t>
            </w:r>
          </w:p>
        </w:tc>
        <w:tc>
          <w:tcPr>
            <w:tcW w:type="dxa" w:w="1871"/>
            <w:tcW w:type="dxa" w:w="187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990</w:t>
            </w:r>
          </w:p>
        </w:tc>
        <w:tc>
          <w:tcPr>
            <w:tcW w:type="dxa" w:w="701"/>
            <w:tcW w:type="dxa" w:w="70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200.7</w:t>
            </w:r>
          </w:p>
        </w:tc>
        <w:tc>
          <w:tcPr>
            <w:tcW w:type="dxa" w:w="701"/>
            <w:tcW w:type="dxa" w:w="70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n/f</w:t>
            </w:r>
          </w:p>
        </w:tc>
        <w:tc>
          <w:tcPr>
            <w:tcW w:type="dxa" w:w="1708"/>
            <w:tcW w:type="dxa" w:w="170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w:t>
            </w:r>
          </w:p>
        </w:tc>
        <w:tc>
          <w:tcPr>
            <w:tcW w:type="dxa" w:w="935"/>
            <w:tcW w:type="dxa" w:w="93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p>
        </w:tc>
        <w:tc>
          <w:tcPr>
            <w:tcW w:type="dxa" w:w="3129"/>
            <w:tcW w:type="dxa" w:w="312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Yield 2.8%</w:t>
            </w:r>
          </w:p>
        </w:tc>
      </w:tr>
      <w:tr>
        <w:trPr>
          <w:cantSplit/>
        </w:trPr>
        <w:tc>
          <w:tcPr>
            <w:tcW w:type="dxa" w:w="857"/>
            <w:tcW w:type="dxa" w:w="85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2018-2019</w:t>
            </w:r>
          </w:p>
        </w:tc>
        <w:tc>
          <w:tcPr>
            <w:tcW w:type="dxa" w:w="1871"/>
            <w:tcW w:type="dxa" w:w="187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n/f</w:t>
            </w:r>
          </w:p>
        </w:tc>
        <w:tc>
          <w:tcPr>
            <w:tcW w:type="dxa" w:w="701"/>
            <w:tcW w:type="dxa" w:w="70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n/f</w:t>
            </w:r>
          </w:p>
        </w:tc>
        <w:tc>
          <w:tcPr>
            <w:tcW w:type="dxa" w:w="701"/>
            <w:tcW w:type="dxa" w:w="70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p>
        </w:tc>
        <w:tc>
          <w:tcPr>
            <w:tcW w:type="dxa" w:w="1708"/>
            <w:tcW w:type="dxa" w:w="170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w:t>
            </w:r>
          </w:p>
        </w:tc>
        <w:tc>
          <w:tcPr>
            <w:tcW w:type="dxa" w:w="935"/>
            <w:tcW w:type="dxa" w:w="93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p>
        </w:tc>
        <w:tc>
          <w:tcPr>
            <w:tcW w:type="dxa" w:w="3129"/>
            <w:tcW w:type="dxa" w:w="312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Not found</w:t>
            </w:r>
          </w:p>
        </w:tc>
      </w:tr>
      <w:tr>
        <w:trPr>
          <w:cantSplit/>
        </w:trPr>
        <w:tc>
          <w:tcPr>
            <w:tcW w:type="dxa" w:w="857"/>
            <w:tcW w:type="dxa" w:w="85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2020</w:t>
            </w:r>
          </w:p>
        </w:tc>
        <w:tc>
          <w:tcPr>
            <w:tcW w:type="dxa" w:w="1871"/>
            <w:tcW w:type="dxa" w:w="187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0</w:t>
            </w:r>
          </w:p>
        </w:tc>
        <w:tc>
          <w:tcPr>
            <w:tcW w:type="dxa" w:w="701"/>
            <w:tcW w:type="dxa" w:w="70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0</w:t>
            </w:r>
          </w:p>
        </w:tc>
        <w:tc>
          <w:tcPr>
            <w:tcW w:type="dxa" w:w="701"/>
            <w:tcW w:type="dxa" w:w="70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w:t>
            </w:r>
          </w:p>
        </w:tc>
        <w:tc>
          <w:tcPr>
            <w:tcW w:type="dxa" w:w="1708"/>
            <w:tcW w:type="dxa" w:w="170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w:t>
            </w:r>
          </w:p>
        </w:tc>
        <w:tc>
          <w:tcPr>
            <w:tcW w:type="dxa" w:w="935"/>
            <w:tcW w:type="dxa" w:w="93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p>
        </w:tc>
        <w:tc>
          <w:tcPr>
            <w:tcW w:type="dxa" w:w="3129"/>
            <w:tcW w:type="dxa" w:w="312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COVID loss (OP −KRW431.5bn)</w:t>
            </w:r>
          </w:p>
        </w:tc>
      </w:tr>
      <w:tr>
        <w:trPr>
          <w:cantSplit/>
        </w:trPr>
        <w:tc>
          <w:tcPr>
            <w:tcW w:type="dxa" w:w="857"/>
            <w:tcW w:type="dxa" w:w="85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2021</w:t>
            </w:r>
          </w:p>
        </w:tc>
        <w:tc>
          <w:tcPr>
            <w:tcW w:type="dxa" w:w="1871"/>
            <w:tcW w:type="dxa" w:w="187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0</w:t>
            </w:r>
          </w:p>
        </w:tc>
        <w:tc>
          <w:tcPr>
            <w:tcW w:type="dxa" w:w="701"/>
            <w:tcW w:type="dxa" w:w="70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0</w:t>
            </w:r>
          </w:p>
        </w:tc>
        <w:tc>
          <w:tcPr>
            <w:tcW w:type="dxa" w:w="701"/>
            <w:tcW w:type="dxa" w:w="70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w:t>
            </w:r>
          </w:p>
        </w:tc>
        <w:tc>
          <w:tcPr>
            <w:tcW w:type="dxa" w:w="1708"/>
            <w:tcW w:type="dxa" w:w="170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w:t>
            </w:r>
          </w:p>
        </w:tc>
        <w:tc>
          <w:tcPr>
            <w:tcW w:type="dxa" w:w="935"/>
            <w:tcW w:type="dxa" w:w="93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p>
        </w:tc>
        <w:tc>
          <w:tcPr>
            <w:tcW w:type="dxa" w:w="3129"/>
            <w:tcW w:type="dxa" w:w="312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COVID; first two years in a row without a dividend</w:t>
            </w:r>
          </w:p>
        </w:tc>
      </w:tr>
      <w:tr>
        <w:trPr>
          <w:cantSplit/>
        </w:trPr>
        <w:tc>
          <w:tcPr>
            <w:tcW w:type="dxa" w:w="857"/>
            <w:tcW w:type="dxa" w:w="85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2022</w:t>
            </w:r>
          </w:p>
        </w:tc>
        <w:tc>
          <w:tcPr>
            <w:tcW w:type="dxa" w:w="1871"/>
            <w:tcW w:type="dxa" w:w="187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350 [u]</w:t>
            </w:r>
          </w:p>
        </w:tc>
        <w:tc>
          <w:tcPr>
            <w:tcW w:type="dxa" w:w="701"/>
            <w:tcW w:type="dxa" w:w="70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~70 [e]</w:t>
            </w:r>
          </w:p>
        </w:tc>
        <w:tc>
          <w:tcPr>
            <w:tcW w:type="dxa" w:w="701"/>
            <w:tcW w:type="dxa" w:w="70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~61% [e]</w:t>
            </w:r>
          </w:p>
        </w:tc>
        <w:tc>
          <w:tcPr>
            <w:tcW w:type="dxa" w:w="1708"/>
            <w:tcW w:type="dxa" w:w="170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w:t>
            </w:r>
          </w:p>
        </w:tc>
        <w:tc>
          <w:tcPr>
            <w:tcW w:type="dxa" w:w="935"/>
            <w:tcW w:type="dxa" w:w="93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p>
        </w:tc>
        <w:tc>
          <w:tcPr>
            <w:tcW w:type="dxa" w:w="3129"/>
            <w:tcW w:type="dxa" w:w="312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One source says no dividend was budgeted (conflict)</w:t>
            </w:r>
          </w:p>
        </w:tc>
      </w:tr>
      <w:tr>
        <w:trPr>
          <w:cantSplit/>
        </w:trPr>
        <w:tc>
          <w:tcPr>
            <w:tcW w:type="dxa" w:w="857"/>
            <w:tcW w:type="dxa" w:w="85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2023</w:t>
            </w:r>
          </w:p>
        </w:tc>
        <w:tc>
          <w:tcPr>
            <w:tcW w:type="dxa" w:w="1871"/>
            <w:tcW w:type="dxa" w:w="187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930</w:t>
            </w:r>
          </w:p>
        </w:tc>
        <w:tc>
          <w:tcPr>
            <w:tcW w:type="dxa" w:w="701"/>
            <w:tcW w:type="dxa" w:w="70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~188 [e]</w:t>
            </w:r>
          </w:p>
        </w:tc>
        <w:tc>
          <w:tcPr>
            <w:tcW w:type="dxa" w:w="701"/>
            <w:tcW w:type="dxa" w:w="70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55.3%</w:t>
            </w:r>
          </w:p>
        </w:tc>
        <w:tc>
          <w:tcPr>
            <w:tcW w:type="dxa" w:w="1708"/>
            <w:tcW w:type="dxa" w:w="170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w:t>
            </w:r>
          </w:p>
        </w:tc>
        <w:tc>
          <w:tcPr>
            <w:tcW w:type="dxa" w:w="935"/>
            <w:tcW w:type="dxa" w:w="93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p>
        </w:tc>
        <w:tc>
          <w:tcPr>
            <w:tcW w:type="dxa" w:w="3129"/>
            <w:tcW w:type="dxa" w:w="312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Approved 8-Mar-2024</w:t>
            </w:r>
          </w:p>
        </w:tc>
      </w:tr>
      <w:tr>
        <w:trPr>
          <w:cantSplit/>
        </w:trPr>
        <w:tc>
          <w:tcPr>
            <w:tcW w:type="dxa" w:w="857"/>
            <w:tcW w:type="dxa" w:w="85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2024</w:t>
            </w:r>
          </w:p>
        </w:tc>
        <w:tc>
          <w:tcPr>
            <w:tcW w:type="dxa" w:w="1871"/>
            <w:tcW w:type="dxa" w:w="187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1,170</w:t>
            </w:r>
          </w:p>
        </w:tc>
        <w:tc>
          <w:tcPr>
            <w:tcW w:type="dxa" w:w="701"/>
            <w:tcW w:type="dxa" w:w="70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234.5</w:t>
            </w:r>
          </w:p>
        </w:tc>
        <w:tc>
          <w:tcPr>
            <w:tcW w:type="dxa" w:w="701"/>
            <w:tcW w:type="dxa" w:w="70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~51%</w:t>
            </w:r>
          </w:p>
        </w:tc>
        <w:tc>
          <w:tcPr>
            <w:tcW w:type="dxa" w:w="1708"/>
            <w:tcW w:type="dxa" w:w="170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KRW40bn</w:t>
            </w:r>
          </w:p>
        </w:tc>
        <w:tc>
          <w:tcPr>
            <w:tcW w:type="dxa" w:w="935"/>
            <w:tcW w:type="dxa" w:w="93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b/>
                <w:sz w:val="15"/>
              </w:rPr>
              <w:t>60.1%</w:t>
            </w:r>
          </w:p>
        </w:tc>
        <w:tc>
          <w:tcPr>
            <w:tcW w:type="dxa" w:w="3129"/>
            <w:tcW w:type="dxa" w:w="312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Record DPS; 7.3% yield at the time</w:t>
            </w:r>
          </w:p>
        </w:tc>
      </w:tr>
      <w:tr>
        <w:trPr>
          <w:cantSplit/>
        </w:trPr>
        <w:tc>
          <w:tcPr>
            <w:tcW w:type="dxa" w:w="857"/>
            <w:tcW w:type="dxa" w:w="85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2025</w:t>
            </w:r>
          </w:p>
        </w:tc>
        <w:tc>
          <w:tcPr>
            <w:tcW w:type="dxa" w:w="1871"/>
            <w:tcW w:type="dxa" w:w="187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950</w:t>
            </w:r>
          </w:p>
        </w:tc>
        <w:tc>
          <w:tcPr>
            <w:tcW w:type="dxa" w:w="701"/>
            <w:tcW w:type="dxa" w:w="70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188.3</w:t>
            </w:r>
          </w:p>
        </w:tc>
        <w:tc>
          <w:tcPr>
            <w:tcW w:type="dxa" w:w="701"/>
            <w:tcW w:type="dxa" w:w="70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59.2%</w:t>
            </w:r>
          </w:p>
        </w:tc>
        <w:tc>
          <w:tcPr>
            <w:tcW w:type="dxa" w:w="1708"/>
            <w:tcW w:type="dxa" w:w="170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KRW7.7bn (2025) [u] + KRW29bn (Jan-2026)</w:t>
            </w:r>
          </w:p>
        </w:tc>
        <w:tc>
          <w:tcPr>
            <w:tcW w:type="dxa" w:w="935"/>
            <w:tcW w:type="dxa" w:w="93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b/>
                <w:sz w:val="15"/>
              </w:rPr>
              <w:t>62.6%</w:t>
            </w:r>
          </w:p>
        </w:tc>
        <w:tc>
          <w:tcPr>
            <w:tcW w:type="dxa" w:w="3129"/>
            <w:tcW w:type="dxa" w:w="312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Board 27-Feb-2026; AGM 31-Mar-2026; paid 24-Apr-2026</w:t>
            </w:r>
          </w:p>
        </w:tc>
      </w:tr>
      <w:tr>
        <w:trPr>
          <w:cantSplit/>
        </w:trPr>
        <w:tc>
          <w:tcPr>
            <w:tcW w:type="dxa" w:w="857"/>
            <w:tcW w:type="dxa" w:w="85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2026E</w:t>
            </w:r>
          </w:p>
        </w:tc>
        <w:tc>
          <w:tcPr>
            <w:tcW w:type="dxa" w:w="1871"/>
            <w:tcW w:type="dxa" w:w="187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850 (ours) / 970 (Hana)</w:t>
            </w:r>
          </w:p>
        </w:tc>
        <w:tc>
          <w:tcPr>
            <w:tcW w:type="dxa" w:w="701"/>
            <w:tcW w:type="dxa" w:w="70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~168</w:t>
            </w:r>
          </w:p>
        </w:tc>
        <w:tc>
          <w:tcPr>
            <w:tcW w:type="dxa" w:w="701"/>
            <w:tcW w:type="dxa" w:w="701"/>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~68%</w:t>
            </w:r>
          </w:p>
        </w:tc>
        <w:tc>
          <w:tcPr>
            <w:tcW w:type="dxa" w:w="1708"/>
            <w:tcW w:type="dxa" w:w="1708"/>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KRW49bn plan (KRW20bn more in 2H26)</w:t>
            </w:r>
          </w:p>
        </w:tc>
        <w:tc>
          <w:tcPr>
            <w:tcW w:type="dxa" w:w="935"/>
            <w:tcW w:type="dxa" w:w="93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≥60% target</w:t>
            </w:r>
          </w:p>
        </w:tc>
        <w:tc>
          <w:tcPr>
            <w:tcW w:type="dxa" w:w="3129"/>
            <w:tcW w:type="dxa" w:w="312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First year of separate dividend taxation</w:t>
            </w:r>
          </w:p>
        </w:tc>
      </w:tr>
    </w:tbl>
    <w:p>
      <w:pPr>
        <w:spacing w:before="0" w:after="40" w:line="240" w:lineRule="auto"/>
      </w:pPr>
    </w:p>
    <w:p>
      <w:pPr>
        <w:spacing w:before="0" w:after="100" w:line="288" w:lineRule="auto"/>
      </w:pPr>
      <w:r>
        <w:rPr>
          <w:rFonts w:ascii="Arial" w:hAnsi="Arial"/>
          <w:b/>
          <w:sz w:val="19"/>
        </w:rPr>
        <w:t>Treasury shares:</w:t>
      </w:r>
    </w:p>
    <w:p>
      <w:pPr>
        <w:spacing w:before="0" w:after="50" w:line="276" w:lineRule="auto"/>
        <w:ind w:left="360" w:hanging="245"/>
      </w:pPr>
      <w:r>
        <w:rPr>
          <w:rFonts w:ascii="Arial" w:hAnsi="Arial"/>
          <w:color w:val="2E74B5"/>
          <w:sz w:val="16"/>
        </w:rPr>
        <w:t xml:space="preserve">▪  </w:t>
      </w:r>
      <w:r>
        <w:rPr>
          <w:rFonts w:ascii="Arial" w:hAnsi="Arial"/>
          <w:sz w:val="19"/>
        </w:rPr>
        <w:t xml:space="preserve">Holdings rose from ~5.2% (early 2025) to </w:t>
      </w:r>
      <w:r>
        <w:rPr>
          <w:rFonts w:ascii="Arial" w:hAnsi="Arial"/>
          <w:b/>
          <w:sz w:val="19"/>
        </w:rPr>
        <w:t>7.36%</w:t>
      </w:r>
      <w:r>
        <w:rPr>
          <w:rFonts w:ascii="Arial" w:hAnsi="Arial"/>
          <w:sz w:val="19"/>
        </w:rPr>
        <w:t xml:space="preserve"> (~15.75m shares; Aug-2026) after the buybacks.</w:t>
      </w:r>
    </w:p>
    <w:p>
      <w:pPr>
        <w:spacing w:before="0" w:after="50" w:line="276" w:lineRule="auto"/>
        <w:ind w:left="360" w:hanging="245"/>
      </w:pPr>
      <w:r>
        <w:rPr>
          <w:rFonts w:ascii="Arial" w:hAnsi="Arial"/>
          <w:color w:val="2E74B5"/>
          <w:sz w:val="16"/>
        </w:rPr>
        <w:t xml:space="preserve">▪  </w:t>
      </w:r>
      <w:r>
        <w:rPr>
          <w:rFonts w:ascii="Arial" w:hAnsi="Arial"/>
          <w:sz w:val="19"/>
        </w:rPr>
        <w:t>None have been cancelled.</w:t>
      </w:r>
    </w:p>
    <w:p>
      <w:pPr>
        <w:spacing w:before="0" w:after="50" w:line="276" w:lineRule="auto"/>
        <w:ind w:left="360" w:hanging="245"/>
      </w:pPr>
      <w:r>
        <w:rPr>
          <w:rFonts w:ascii="Arial" w:hAnsi="Arial"/>
          <w:color w:val="2E74B5"/>
          <w:sz w:val="16"/>
        </w:rPr>
        <w:t xml:space="preserve">▪  </w:t>
      </w:r>
      <w:r>
        <w:rPr>
          <w:rFonts w:ascii="Arial" w:hAnsi="Arial"/>
          <w:b/>
          <w:sz w:val="19"/>
        </w:rPr>
        <w:t>Commercial Act (third amendment, passed 25-Feb-2026):</w:t>
      </w:r>
      <w:r>
        <w:rPr>
          <w:rFonts w:ascii="Arial" w:hAnsi="Arial"/>
          <w:sz w:val="19"/>
        </w:rPr>
        <w:t xml:space="preserve"> newly acquired treasury shares must be cancelled within one year. Existing holdings get an extra six months, a deadline of about Sep-2027 [e]. Shares may be retained only for employee schemes with annual shareholder approval.</w:t>
      </w:r>
    </w:p>
    <w:p>
      <w:pPr>
        <w:spacing w:before="0" w:after="50" w:line="276" w:lineRule="auto"/>
        <w:ind w:left="360" w:hanging="245"/>
      </w:pPr>
      <w:r>
        <w:rPr>
          <w:rFonts w:ascii="Arial" w:hAnsi="Arial"/>
          <w:color w:val="2E74B5"/>
          <w:sz w:val="16"/>
        </w:rPr>
        <w:t xml:space="preserve">▪  </w:t>
      </w:r>
      <w:r>
        <w:rPr>
          <w:rFonts w:ascii="Arial" w:hAnsi="Arial"/>
          <w:b/>
          <w:sz w:val="19"/>
        </w:rPr>
        <w:t>Kangwon Land's Aug-2026 EGM</w:t>
      </w:r>
      <w:r>
        <w:rPr>
          <w:rFonts w:ascii="Arial" w:hAnsi="Arial"/>
          <w:sz w:val="19"/>
        </w:rPr>
        <w:t xml:space="preserve"> amended the articles to allow treasury shares to be retained or sold "for management purposes". The company said it had "no specific plan" to sell or cancel.</w:t>
      </w:r>
    </w:p>
    <w:p>
      <w:pPr>
        <w:spacing w:before="0" w:after="50" w:line="276" w:lineRule="auto"/>
        <w:ind w:left="360" w:hanging="245"/>
      </w:pPr>
      <w:r>
        <w:rPr>
          <w:rFonts w:ascii="Arial" w:hAnsi="Arial"/>
          <w:color w:val="2E74B5"/>
          <w:sz w:val="16"/>
        </w:rPr>
        <w:t xml:space="preserve">▪  </w:t>
      </w:r>
      <w:r>
        <w:rPr>
          <w:rFonts w:ascii="Arial" w:hAnsi="Arial"/>
          <w:b/>
          <w:sz w:val="19"/>
        </w:rPr>
        <w:t>Conflicting signals:</w:t>
      </w:r>
    </w:p>
    <w:p>
      <w:pPr>
        <w:spacing w:before="0" w:after="50" w:line="276" w:lineRule="auto"/>
        <w:ind w:left="360" w:hanging="245"/>
      </w:pPr>
      <w:r>
        <w:rPr>
          <w:rFonts w:ascii="Arial" w:hAnsi="Arial"/>
          <w:color w:val="2E74B5"/>
          <w:sz w:val="16"/>
        </w:rPr>
        <w:t xml:space="preserve">▪  </w:t>
      </w:r>
      <w:r>
        <w:rPr>
          <w:rFonts w:ascii="Arial" w:hAnsi="Arial"/>
          <w:sz w:val="19"/>
        </w:rPr>
        <w:t>A broker report says the company is "considering cancelling 7.4% by Aug-2027".</w:t>
      </w:r>
    </w:p>
    <w:p>
      <w:pPr>
        <w:spacing w:before="0" w:after="50" w:line="276" w:lineRule="auto"/>
        <w:ind w:left="360" w:hanging="245"/>
      </w:pPr>
      <w:r>
        <w:rPr>
          <w:rFonts w:ascii="Arial" w:hAnsi="Arial"/>
          <w:color w:val="2E74B5"/>
          <w:sz w:val="16"/>
        </w:rPr>
        <w:t xml:space="preserve">▪  </w:t>
      </w:r>
      <w:r>
        <w:rPr>
          <w:rFonts w:ascii="Arial" w:hAnsi="Arial"/>
          <w:sz w:val="19"/>
        </w:rPr>
        <w:t>A KIND filing (Jun-2026) refers to a treasury-share cancellation, with an average acquisition cost of KRW24,321 [u].</w:t>
      </w:r>
    </w:p>
    <w:p>
      <w:pPr>
        <w:spacing w:before="0" w:after="100" w:line="288" w:lineRule="auto"/>
      </w:pPr>
      <w:r>
        <w:rPr>
          <w:rFonts w:ascii="Arial" w:hAnsi="Arial"/>
          <w:b/>
          <w:sz w:val="19"/>
        </w:rPr>
        <w:t>Dividend tax:</w:t>
      </w:r>
    </w:p>
    <w:p>
      <w:pPr>
        <w:spacing w:before="0" w:after="50" w:line="276" w:lineRule="auto"/>
        <w:ind w:left="360" w:hanging="245"/>
      </w:pPr>
      <w:r>
        <w:rPr>
          <w:rFonts w:ascii="Arial" w:hAnsi="Arial"/>
          <w:color w:val="2E74B5"/>
          <w:sz w:val="16"/>
        </w:rPr>
        <w:t xml:space="preserve">▪  </w:t>
      </w:r>
      <w:r>
        <w:rPr>
          <w:rFonts w:ascii="Arial" w:hAnsi="Arial"/>
          <w:sz w:val="19"/>
        </w:rPr>
        <w:t>Separate taxation applies to dividends paid from 1-Jan-2026 to end-2028 by "high-dividend" companies.</w:t>
      </w:r>
    </w:p>
    <w:p>
      <w:pPr>
        <w:spacing w:before="0" w:after="50" w:line="276" w:lineRule="auto"/>
        <w:ind w:left="360" w:hanging="245"/>
      </w:pPr>
      <w:r>
        <w:rPr>
          <w:rFonts w:ascii="Arial" w:hAnsi="Arial"/>
          <w:color w:val="2E74B5"/>
          <w:sz w:val="16"/>
        </w:rPr>
        <w:t xml:space="preserve">▪  </w:t>
      </w:r>
      <w:r>
        <w:rPr>
          <w:rFonts w:ascii="Arial" w:hAnsi="Arial"/>
          <w:sz w:val="19"/>
        </w:rPr>
        <w:t>Rates: 14% up to KRW20m, 20% to KRW300m, 25% to KRW5bn, 30% above.</w:t>
      </w:r>
    </w:p>
    <w:p>
      <w:pPr>
        <w:spacing w:before="0" w:after="50" w:line="276" w:lineRule="auto"/>
        <w:ind w:left="360" w:hanging="245"/>
      </w:pPr>
      <w:r>
        <w:rPr>
          <w:rFonts w:ascii="Arial" w:hAnsi="Arial"/>
          <w:color w:val="2E74B5"/>
          <w:sz w:val="16"/>
        </w:rPr>
        <w:t xml:space="preserve">▪  </w:t>
      </w:r>
      <w:r>
        <w:rPr>
          <w:rFonts w:ascii="Arial" w:hAnsi="Arial"/>
          <w:sz w:val="19"/>
        </w:rPr>
        <w:t>Qualification: payout ≥40%, or ≥25% with ≥10% dividend growth, plus a Value-Up disclosure. Some versions also require no cut in dividends [u: exact condition].</w:t>
      </w:r>
    </w:p>
    <w:p>
      <w:pPr>
        <w:spacing w:before="0" w:after="50" w:line="276" w:lineRule="auto"/>
        <w:ind w:left="360" w:hanging="245"/>
      </w:pPr>
      <w:r>
        <w:rPr>
          <w:rFonts w:ascii="Arial" w:hAnsi="Arial"/>
          <w:color w:val="2E74B5"/>
          <w:sz w:val="16"/>
        </w:rPr>
        <w:t xml:space="preserve">▪  </w:t>
      </w:r>
      <w:r>
        <w:rPr>
          <w:rFonts w:ascii="Arial" w:hAnsi="Arial"/>
          <w:sz w:val="19"/>
        </w:rPr>
        <w:t xml:space="preserve">Kangwon Land qualified on its FY2025 payout. </w:t>
      </w:r>
      <w:r>
        <w:rPr>
          <w:rFonts w:ascii="Arial" w:hAnsi="Arial"/>
          <w:b/>
          <w:sz w:val="19"/>
        </w:rPr>
        <w:t>A DPS cut in FY2026 could put qualification at risk</w:t>
      </w:r>
      <w:r>
        <w:rPr>
          <w:rFonts w:ascii="Arial" w:hAnsi="Arial"/>
          <w:sz w:val="19"/>
        </w:rPr>
        <w:t xml:space="preserve"> [u]. That is one reason we think management will defend a DPS of ≥KRW850.</w:t>
      </w:r>
    </w:p>
    <w:p>
      <w:pPr>
        <w:pStyle w:val="Heading1"/>
        <w:pageBreakBefore/>
        <w:spacing w:before="0" w:after="120" w:line="264" w:lineRule="auto"/>
      </w:pPr>
      <w:r>
        <w:rPr>
          <w:rFonts w:ascii="Arial" w:hAnsi="Arial"/>
        </w:rPr>
        <w:t>22. Adversarial Analysis I: The Bull Case</w:t>
      </w:r>
    </w:p>
    <w:p>
      <w:pPr>
        <w:spacing w:before="0" w:after="50" w:line="276" w:lineRule="auto"/>
        <w:ind w:left="360" w:hanging="245"/>
      </w:pPr>
      <w:r>
        <w:rPr>
          <w:rFonts w:ascii="Arial" w:hAnsi="Arial"/>
          <w:sz w:val="19"/>
        </w:rPr>
        <w:t xml:space="preserve">1.  </w:t>
      </w:r>
      <w:r>
        <w:rPr>
          <w:rFonts w:ascii="Arial" w:hAnsi="Arial"/>
          <w:b/>
          <w:sz w:val="19"/>
        </w:rPr>
        <w:t>You get the casino for free.</w:t>
      </w:r>
      <w:r>
        <w:rPr>
          <w:rFonts w:ascii="Arial" w:hAnsi="Arial"/>
          <w:sz w:val="19"/>
        </w:rPr>
        <w:t xml:space="preserve"> Net financial assets (~KRW2.93tn [e]) exceed the market cap (KRW2.81tn). A statutory monopoly earning ~KRW305bn of EBITDA, with a licence to 2045, is priced at ~0.9x EBITDA after a generous cash reserve. Peers trade at 7.4x; casino deals at 9.2x.</w:t>
      </w:r>
    </w:p>
    <w:p>
      <w:pPr>
        <w:spacing w:before="0" w:after="50" w:line="276" w:lineRule="auto"/>
        <w:ind w:left="360" w:hanging="245"/>
      </w:pPr>
      <w:r>
        <w:rPr>
          <w:rFonts w:ascii="Arial" w:hAnsi="Arial"/>
          <w:sz w:val="19"/>
        </w:rPr>
        <w:t xml:space="preserve">2.  </w:t>
      </w:r>
      <w:r>
        <w:rPr>
          <w:rFonts w:ascii="Arial" w:hAnsi="Arial"/>
          <w:b/>
          <w:sz w:val="19"/>
        </w:rPr>
        <w:t>The controlling shareholder needs dividends.</w:t>
      </w:r>
    </w:p>
    <w:p>
      <w:pPr>
        <w:spacing w:before="0" w:after="50" w:line="276" w:lineRule="auto"/>
        <w:ind w:left="360" w:hanging="245"/>
      </w:pPr>
      <w:r>
        <w:rPr>
          <w:rFonts w:ascii="Arial" w:hAnsi="Arial"/>
          <w:color w:val="2E74B5"/>
          <w:sz w:val="16"/>
        </w:rPr>
        <w:t xml:space="preserve">▪  </w:t>
      </w:r>
      <w:r>
        <w:rPr>
          <w:rFonts w:ascii="Arial" w:hAnsi="Arial"/>
          <w:sz w:val="19"/>
        </w:rPr>
        <w:t>KOMIR has negative equity of KRW3.16tn and KRW8.06tn of liabilities.</w:t>
      </w:r>
    </w:p>
    <w:p>
      <w:pPr>
        <w:spacing w:before="0" w:after="50" w:line="276" w:lineRule="auto"/>
        <w:ind w:left="360" w:hanging="245"/>
      </w:pPr>
      <w:r>
        <w:rPr>
          <w:rFonts w:ascii="Arial" w:hAnsi="Arial"/>
          <w:color w:val="2E74B5"/>
          <w:sz w:val="16"/>
        </w:rPr>
        <w:t xml:space="preserve">▪  </w:t>
      </w:r>
      <w:r>
        <w:rPr>
          <w:rFonts w:ascii="Arial" w:hAnsi="Arial"/>
          <w:sz w:val="19"/>
        </w:rPr>
        <w:t>Public bodies receive ~55% of all dividends, so a higher payout is a transfer from the mountain (K-HIT) to the State and the mine-region municipalities. That is politically easier to defend than a KRW3tn resort on a remote site.</w:t>
      </w:r>
    </w:p>
    <w:p>
      <w:pPr>
        <w:spacing w:before="0" w:after="50" w:line="276" w:lineRule="auto"/>
        <w:ind w:left="360" w:hanging="245"/>
      </w:pPr>
      <w:r>
        <w:rPr>
          <w:rFonts w:ascii="Arial" w:hAnsi="Arial"/>
          <w:color w:val="2E74B5"/>
          <w:sz w:val="16"/>
        </w:rPr>
        <w:t xml:space="preserve">▪  </w:t>
      </w:r>
      <w:r>
        <w:rPr>
          <w:rFonts w:ascii="Arial" w:hAnsi="Arial"/>
          <w:sz w:val="19"/>
        </w:rPr>
        <w:t>Separate dividend taxation (2026-28) adds a personal-tax reason for minorities to demand payouts.</w:t>
      </w:r>
    </w:p>
    <w:p>
      <w:pPr>
        <w:spacing w:before="0" w:after="50" w:line="276" w:lineRule="auto"/>
        <w:ind w:left="360" w:hanging="245"/>
      </w:pPr>
      <w:r>
        <w:rPr>
          <w:rFonts w:ascii="Arial" w:hAnsi="Arial"/>
          <w:sz w:val="19"/>
        </w:rPr>
        <w:t xml:space="preserve">3.  </w:t>
      </w:r>
      <w:r>
        <w:rPr>
          <w:rFonts w:ascii="Arial" w:hAnsi="Arial"/>
          <w:b/>
          <w:sz w:val="19"/>
        </w:rPr>
        <w:t>The legal toolkit has changed.</w:t>
      </w:r>
    </w:p>
    <w:p>
      <w:pPr>
        <w:spacing w:before="0" w:after="50" w:line="276" w:lineRule="auto"/>
        <w:ind w:left="360" w:hanging="245"/>
      </w:pPr>
      <w:r>
        <w:rPr>
          <w:rFonts w:ascii="Arial" w:hAnsi="Arial"/>
          <w:color w:val="2E74B5"/>
          <w:sz w:val="16"/>
        </w:rPr>
        <w:t xml:space="preserve">▪  </w:t>
      </w:r>
      <w:r>
        <w:rPr>
          <w:rFonts w:ascii="Arial" w:hAnsi="Arial"/>
          <w:sz w:val="19"/>
        </w:rPr>
        <w:t>Cumulative voting (from 10-Sep-2026), the 3% controller cap in audit-committee elections, and mandatory treasury cancellation (deadline ~Sep-2027 for the 7.36% stake) give organised minorities real influence at the Mar-2027 AGM. This is the first time that has been true.</w:t>
      </w:r>
    </w:p>
    <w:p>
      <w:pPr>
        <w:spacing w:before="0" w:after="50" w:line="276" w:lineRule="auto"/>
        <w:ind w:left="360" w:hanging="245"/>
      </w:pPr>
      <w:r>
        <w:rPr>
          <w:rFonts w:ascii="Arial" w:hAnsi="Arial"/>
          <w:sz w:val="19"/>
        </w:rPr>
        <w:t xml:space="preserve">4.  </w:t>
      </w:r>
      <w:r>
        <w:rPr>
          <w:rFonts w:ascii="Arial" w:hAnsi="Arial"/>
          <w:b/>
          <w:sz w:val="19"/>
        </w:rPr>
        <w:t>The levy fear is misdirected.</w:t>
      </w:r>
      <w:r>
        <w:rPr>
          <w:rFonts w:ascii="Arial" w:hAnsi="Arial"/>
          <w:sz w:val="19"/>
        </w:rPr>
        <w:t xml:space="preserve"> The 15% bracket is aimed at foreigner-only casinos. An MCST official said Kangwon Land should be excluded because it already pays 13% to the mine fund [u]. The market partly sees this (Kangwon Land −3% vs Paradise −23% in the levy week), but the stock is still priced as if risk is shared.</w:t>
      </w:r>
    </w:p>
    <w:p>
      <w:pPr>
        <w:spacing w:before="0" w:after="50" w:line="276" w:lineRule="auto"/>
        <w:ind w:left="360" w:hanging="245"/>
      </w:pPr>
      <w:r>
        <w:rPr>
          <w:rFonts w:ascii="Arial" w:hAnsi="Arial"/>
          <w:sz w:val="19"/>
        </w:rPr>
        <w:t xml:space="preserve">5.  </w:t>
      </w:r>
      <w:r>
        <w:rPr>
          <w:rFonts w:ascii="Arial" w:hAnsi="Arial"/>
          <w:b/>
          <w:sz w:val="19"/>
        </w:rPr>
        <w:t>Earnings trough in 2026-27, recovery in 2028.</w:t>
      </w:r>
    </w:p>
    <w:p>
      <w:pPr>
        <w:spacing w:before="0" w:after="50" w:line="276" w:lineRule="auto"/>
        <w:ind w:left="360" w:hanging="245"/>
      </w:pPr>
      <w:r>
        <w:rPr>
          <w:rFonts w:ascii="Arial" w:hAnsi="Arial"/>
          <w:color w:val="2E74B5"/>
          <w:sz w:val="16"/>
        </w:rPr>
        <w:t xml:space="preserve">▪  </w:t>
      </w:r>
      <w:r>
        <w:rPr>
          <w:rFonts w:ascii="Arial" w:hAnsi="Arial"/>
          <w:sz w:val="19"/>
        </w:rPr>
        <w:t>The renovation ends in Nov-27 (condo) and Apr-28 (hotel).</w:t>
      </w:r>
    </w:p>
    <w:p>
      <w:pPr>
        <w:spacing w:before="0" w:after="50" w:line="276" w:lineRule="auto"/>
        <w:ind w:left="360" w:hanging="245"/>
      </w:pPr>
      <w:r>
        <w:rPr>
          <w:rFonts w:ascii="Arial" w:hAnsi="Arial"/>
          <w:color w:val="2E74B5"/>
          <w:sz w:val="16"/>
        </w:rPr>
        <w:t xml:space="preserve">▪  </w:t>
      </w:r>
      <w:r>
        <w:rPr>
          <w:rFonts w:ascii="Arial" w:hAnsi="Arial"/>
          <w:sz w:val="19"/>
        </w:rPr>
        <w:t>The second casino adds ~25% table capacity from 2028.</w:t>
      </w:r>
    </w:p>
    <w:p>
      <w:pPr>
        <w:spacing w:before="0" w:after="50" w:line="276" w:lineRule="auto"/>
        <w:ind w:left="360" w:hanging="245"/>
      </w:pPr>
      <w:r>
        <w:rPr>
          <w:rFonts w:ascii="Arial" w:hAnsi="Arial"/>
          <w:color w:val="2E74B5"/>
          <w:sz w:val="16"/>
        </w:rPr>
        <w:t xml:space="preserve">▪  </w:t>
      </w:r>
      <w:r>
        <w:rPr>
          <w:rFonts w:ascii="Arial" w:hAnsi="Arial"/>
          <w:sz w:val="19"/>
        </w:rPr>
        <w:t>The higher VIP limits are already lifting drop.</w:t>
      </w:r>
    </w:p>
    <w:p>
      <w:pPr>
        <w:spacing w:before="0" w:after="50" w:line="276" w:lineRule="auto"/>
        <w:ind w:left="360" w:hanging="245"/>
      </w:pPr>
      <w:r>
        <w:rPr>
          <w:rFonts w:ascii="Arial" w:hAnsi="Arial"/>
          <w:color w:val="2E74B5"/>
          <w:sz w:val="16"/>
        </w:rPr>
        <w:t xml:space="preserve">▪  </w:t>
      </w:r>
      <w:r>
        <w:rPr>
          <w:rFonts w:ascii="Arial" w:hAnsi="Arial"/>
          <w:sz w:val="19"/>
        </w:rPr>
        <w:t>FY28E OP of KRW245bn (+22% vs FY26E) with a 15.7% margin.</w:t>
      </w:r>
    </w:p>
    <w:p>
      <w:pPr>
        <w:spacing w:before="0" w:after="50" w:line="276" w:lineRule="auto"/>
        <w:ind w:left="360" w:hanging="245"/>
      </w:pPr>
      <w:r>
        <w:rPr>
          <w:rFonts w:ascii="Arial" w:hAnsi="Arial"/>
          <w:sz w:val="19"/>
        </w:rPr>
        <w:t xml:space="preserve">6.  </w:t>
      </w:r>
      <w:r>
        <w:rPr>
          <w:rFonts w:ascii="Arial" w:hAnsi="Arial"/>
          <w:b/>
          <w:sz w:val="19"/>
        </w:rPr>
        <w:t>A new CEO is a reset.</w:t>
      </w:r>
      <w:r>
        <w:rPr>
          <w:rFonts w:ascii="Arial" w:hAnsi="Arial"/>
          <w:sz w:val="19"/>
        </w:rPr>
        <w:t xml:space="preserve"> The Organisational Diagnosis and Innovation Committee could rescope K-HIT. A ruling-party CEO may win regulatory concessions (hours, mass bet limits, levy exemption) that a technocrat could not.</w:t>
      </w:r>
    </w:p>
    <w:p>
      <w:pPr>
        <w:spacing w:before="0" w:after="50" w:line="276" w:lineRule="auto"/>
        <w:ind w:left="360" w:hanging="245"/>
      </w:pPr>
      <w:r>
        <w:rPr>
          <w:rFonts w:ascii="Arial" w:hAnsi="Arial"/>
          <w:sz w:val="19"/>
        </w:rPr>
        <w:t xml:space="preserve">7.  </w:t>
      </w:r>
      <w:r>
        <w:rPr>
          <w:rFonts w:ascii="Arial" w:hAnsi="Arial"/>
          <w:b/>
          <w:sz w:val="19"/>
        </w:rPr>
        <w:t>Paid to wait.</w:t>
      </w:r>
      <w:r>
        <w:rPr>
          <w:rFonts w:ascii="Arial" w:hAnsi="Arial"/>
          <w:sz w:val="19"/>
        </w:rPr>
        <w:t xml:space="preserve"> A ~6% yield, Value-Up total return ≥60%, and a balance sheet that protects the downside (net financial assets of ~KRW11,000 a share even in 2030 under our capex path).</w:t>
      </w:r>
    </w:p>
    <w:p>
      <w:pPr>
        <w:pStyle w:val="Heading1"/>
        <w:pageBreakBefore/>
        <w:spacing w:before="0" w:after="120" w:line="264" w:lineRule="auto"/>
      </w:pPr>
      <w:r>
        <w:rPr>
          <w:rFonts w:ascii="Arial" w:hAnsi="Arial"/>
        </w:rPr>
        <w:t>23. Adversarial Analysis II: The Bear Case, Pre-Mortem and Contrarian View</w:t>
      </w:r>
    </w:p>
    <w:p>
      <w:pPr>
        <w:pStyle w:val="Heading2"/>
        <w:keepNext/>
        <w:spacing w:before="160" w:after="80" w:line="264" w:lineRule="auto"/>
      </w:pPr>
      <w:r>
        <w:rPr>
          <w:rFonts w:ascii="Arial" w:hAnsi="Arial"/>
        </w:rPr>
        <w:t>23.1 Two to three risks that could permanently impair the business</w:t>
      </w:r>
    </w:p>
    <w:p>
      <w:pPr>
        <w:spacing w:before="0" w:after="50" w:line="276" w:lineRule="auto"/>
        <w:ind w:left="360" w:hanging="245"/>
      </w:pPr>
      <w:r>
        <w:rPr>
          <w:rFonts w:ascii="Arial" w:hAnsi="Arial"/>
          <w:sz w:val="19"/>
        </w:rPr>
        <w:t xml:space="preserve">1.  </w:t>
      </w:r>
      <w:r>
        <w:rPr>
          <w:rFonts w:ascii="Arial" w:hAnsi="Arial"/>
          <w:b/>
          <w:sz w:val="19"/>
        </w:rPr>
        <w:t>AML customer due diligence on every chip purchase.</w:t>
      </w:r>
      <w:r>
        <w:rPr>
          <w:rFonts w:ascii="Arial" w:hAnsi="Arial"/>
          <w:sz w:val="19"/>
        </w:rPr>
        <w:t xml:space="preserve"> Management's own estimate is a 25.8% revenue loss (~KRW330bn), pushing players to illegal online sites. If enacted unmodified, EBITDA could fall by ~KRW200bn [e], about KRW5,900 a share of value.</w:t>
      </w:r>
    </w:p>
    <w:p>
      <w:pPr>
        <w:spacing w:before="0" w:after="50" w:line="276" w:lineRule="auto"/>
        <w:ind w:left="360" w:hanging="245"/>
      </w:pPr>
      <w:r>
        <w:rPr>
          <w:rFonts w:ascii="Arial" w:hAnsi="Arial"/>
          <w:sz w:val="19"/>
        </w:rPr>
        <w:t xml:space="preserve">2.  </w:t>
      </w:r>
      <w:r>
        <w:rPr>
          <w:rFonts w:ascii="Arial" w:hAnsi="Arial"/>
          <w:b/>
          <w:sz w:val="19"/>
        </w:rPr>
        <w:t>Loss of exclusivity.</w:t>
      </w:r>
      <w:r>
        <w:rPr>
          <w:rFonts w:ascii="Arial" w:hAnsi="Arial"/>
          <w:sz w:val="19"/>
        </w:rPr>
        <w:t xml:space="preserve"> President Lee floated a "public casino" (Dec-2025); Jeonbuk is pursuing a Saemangeum IR with Korean access (Jul-2026); the Special Act sunsets in 2045. Any second Korean-access casino nearer Seoul would break the monopoly.</w:t>
      </w:r>
    </w:p>
    <w:p>
      <w:pPr>
        <w:spacing w:before="0" w:after="50" w:line="276" w:lineRule="auto"/>
        <w:ind w:left="360" w:hanging="245"/>
      </w:pPr>
      <w:r>
        <w:rPr>
          <w:rFonts w:ascii="Arial" w:hAnsi="Arial"/>
          <w:sz w:val="19"/>
        </w:rPr>
        <w:t xml:space="preserve">3.  </w:t>
      </w:r>
      <w:r>
        <w:rPr>
          <w:rFonts w:ascii="Arial" w:hAnsi="Arial"/>
          <w:b/>
          <w:sz w:val="19"/>
        </w:rPr>
        <w:t>The cash is spent, not returned.</w:t>
      </w:r>
      <w:r>
        <w:rPr>
          <w:rFonts w:ascii="Arial" w:hAnsi="Arial"/>
          <w:sz w:val="19"/>
        </w:rPr>
        <w:t xml:space="preserve"> K-HIT (~KRW3tn to 2035) consumes the cash pile at returns below the cost of capital. The market already prices much of this, but a feasibility-study exemption plus a free-spending political CEO would confirm it.</w:t>
      </w:r>
    </w:p>
    <w:p>
      <w:pPr>
        <w:pStyle w:val="Heading2"/>
        <w:keepNext/>
        <w:spacing w:before="160" w:after="80" w:line="264" w:lineRule="auto"/>
      </w:pPr>
      <w:r>
        <w:rPr>
          <w:rFonts w:ascii="Arial" w:hAnsi="Arial"/>
        </w:rPr>
        <w:t>23.2 Margin compression and revenue deceleration risks</w:t>
      </w:r>
    </w:p>
    <w:p>
      <w:pPr>
        <w:spacing w:before="0" w:after="50" w:line="276" w:lineRule="auto"/>
        <w:ind w:left="360" w:hanging="245"/>
      </w:pPr>
      <w:r>
        <w:rPr>
          <w:rFonts w:ascii="Arial" w:hAnsi="Arial"/>
          <w:color w:val="2E74B5"/>
          <w:sz w:val="16"/>
        </w:rPr>
        <w:t xml:space="preserve">▪  </w:t>
      </w:r>
      <w:r>
        <w:rPr>
          <w:rFonts w:ascii="Arial" w:hAnsi="Arial"/>
          <w:b/>
          <w:sz w:val="19"/>
        </w:rPr>
        <w:t>Fixed costs</w:t>
      </w:r>
      <w:r>
        <w:rPr>
          <w:rFonts w:ascii="Arial" w:hAnsi="Arial"/>
          <w:sz w:val="19"/>
        </w:rPr>
        <w:t xml:space="preserve"> (labour, D&amp;A) are rising faster than revenue; OP margin fell from 20% (FY23-24) to 14.6% (LTM).</w:t>
      </w:r>
    </w:p>
    <w:p>
      <w:pPr>
        <w:spacing w:before="0" w:after="50" w:line="276" w:lineRule="auto"/>
        <w:ind w:left="360" w:hanging="245"/>
      </w:pPr>
      <w:r>
        <w:rPr>
          <w:rFonts w:ascii="Arial" w:hAnsi="Arial"/>
          <w:color w:val="2E74B5"/>
          <w:sz w:val="16"/>
        </w:rPr>
        <w:t xml:space="preserve">▪  </w:t>
      </w:r>
      <w:r>
        <w:rPr>
          <w:rFonts w:ascii="Arial" w:hAnsi="Arial"/>
          <w:b/>
          <w:sz w:val="19"/>
        </w:rPr>
        <w:t>Levies are a high, sales-linked cost:</w:t>
      </w:r>
      <w:r>
        <w:rPr>
          <w:rFonts w:ascii="Arial" w:hAnsi="Arial"/>
          <w:sz w:val="19"/>
        </w:rPr>
        <w:t xml:space="preserve"> 23% of casino sales. Any increase (a 15% tourism bracket, or a higher mine-fund rate) falls straight through to profit.</w:t>
      </w:r>
    </w:p>
    <w:p>
      <w:pPr>
        <w:spacing w:before="0" w:after="50" w:line="276" w:lineRule="auto"/>
        <w:ind w:left="360" w:hanging="245"/>
      </w:pPr>
      <w:r>
        <w:rPr>
          <w:rFonts w:ascii="Arial" w:hAnsi="Arial"/>
          <w:color w:val="2E74B5"/>
          <w:sz w:val="16"/>
        </w:rPr>
        <w:t xml:space="preserve">▪  </w:t>
      </w:r>
      <w:r>
        <w:rPr>
          <w:rFonts w:ascii="Arial" w:hAnsi="Arial"/>
          <w:b/>
          <w:sz w:val="19"/>
        </w:rPr>
        <w:t>Mass visitation is flat to down</w:t>
      </w:r>
      <w:r>
        <w:rPr>
          <w:rFonts w:ascii="Arial" w:hAnsi="Arial"/>
          <w:sz w:val="19"/>
        </w:rPr>
        <w:t xml:space="preserve"> (2Q26 −3.3%), and the core customer base is ageing.</w:t>
      </w:r>
    </w:p>
    <w:p>
      <w:pPr>
        <w:spacing w:before="0" w:after="50" w:line="276" w:lineRule="auto"/>
        <w:ind w:left="360" w:hanging="245"/>
      </w:pPr>
      <w:r>
        <w:rPr>
          <w:rFonts w:ascii="Arial" w:hAnsi="Arial"/>
          <w:color w:val="2E74B5"/>
          <w:sz w:val="16"/>
        </w:rPr>
        <w:t xml:space="preserve">▪  </w:t>
      </w:r>
      <w:r>
        <w:rPr>
          <w:rFonts w:ascii="Arial" w:hAnsi="Arial"/>
          <w:b/>
          <w:sz w:val="19"/>
        </w:rPr>
        <w:t>Non-casino revenue</w:t>
      </w:r>
      <w:r>
        <w:rPr>
          <w:rFonts w:ascii="Arial" w:hAnsi="Arial"/>
          <w:sz w:val="19"/>
        </w:rPr>
        <w:t xml:space="preserve"> will fall 20-30% a quarter until 2028.</w:t>
      </w:r>
    </w:p>
    <w:p>
      <w:pPr>
        <w:pStyle w:val="Heading2"/>
        <w:keepNext/>
        <w:spacing w:before="160" w:after="80" w:line="264" w:lineRule="auto"/>
      </w:pPr>
      <w:r>
        <w:rPr>
          <w:rFonts w:ascii="Arial" w:hAnsi="Arial"/>
        </w:rPr>
        <w:t>23.3 Are expectations too high?</w:t>
      </w:r>
    </w:p>
    <w:p>
      <w:pPr>
        <w:spacing w:before="0" w:after="50" w:line="276" w:lineRule="auto"/>
        <w:ind w:left="360" w:hanging="245"/>
      </w:pPr>
      <w:r>
        <w:rPr>
          <w:rFonts w:ascii="Arial" w:hAnsi="Arial"/>
          <w:color w:val="2E74B5"/>
          <w:sz w:val="16"/>
        </w:rPr>
        <w:t xml:space="preserve">▪  </w:t>
      </w:r>
      <w:r>
        <w:rPr>
          <w:rFonts w:ascii="Arial" w:hAnsi="Arial"/>
          <w:b/>
          <w:sz w:val="19"/>
        </w:rPr>
        <w:t>Consensus:</w:t>
      </w:r>
      <w:r>
        <w:rPr>
          <w:rFonts w:ascii="Arial" w:hAnsi="Arial"/>
          <w:sz w:val="19"/>
        </w:rPr>
        <w:t xml:space="preserve"> FY26E OP of KRW246.5bn (May) looks ~18% too high; post-August cuts have narrowed the gap.</w:t>
      </w:r>
    </w:p>
    <w:p>
      <w:pPr>
        <w:spacing w:before="0" w:after="50" w:line="276" w:lineRule="auto"/>
        <w:ind w:left="360" w:hanging="245"/>
      </w:pPr>
      <w:r>
        <w:rPr>
          <w:rFonts w:ascii="Arial" w:hAnsi="Arial"/>
          <w:color w:val="2E74B5"/>
          <w:sz w:val="16"/>
        </w:rPr>
        <w:t xml:space="preserve">▪  </w:t>
      </w:r>
      <w:r>
        <w:rPr>
          <w:rFonts w:ascii="Arial" w:hAnsi="Arial"/>
          <w:b/>
          <w:sz w:val="19"/>
        </w:rPr>
        <w:t>Value-Up:</w:t>
      </w:r>
      <w:r>
        <w:rPr>
          <w:rFonts w:ascii="Arial" w:hAnsi="Arial"/>
          <w:sz w:val="19"/>
        </w:rPr>
        <w:t xml:space="preserve"> the target of P/B 1.2x by 2026 will be missed (0.74x).</w:t>
      </w:r>
    </w:p>
    <w:p>
      <w:pPr>
        <w:spacing w:before="0" w:after="50" w:line="276" w:lineRule="auto"/>
        <w:ind w:left="360" w:hanging="245"/>
      </w:pPr>
      <w:r>
        <w:rPr>
          <w:rFonts w:ascii="Arial" w:hAnsi="Arial"/>
          <w:color w:val="2E74B5"/>
          <w:sz w:val="16"/>
        </w:rPr>
        <w:t xml:space="preserve">▪  </w:t>
      </w:r>
      <w:r>
        <w:rPr>
          <w:rFonts w:ascii="Arial" w:hAnsi="Arial"/>
          <w:b/>
          <w:sz w:val="19"/>
        </w:rPr>
        <w:t>K-HIT:</w:t>
      </w:r>
      <w:r>
        <w:rPr>
          <w:rFonts w:ascii="Arial" w:hAnsi="Arial"/>
          <w:sz w:val="19"/>
        </w:rPr>
        <w:t xml:space="preserve"> targets of 13m visitors and KRW3.5tn of revenue by 2035 are not credible, but they are not in our numbers.</w:t>
      </w:r>
    </w:p>
    <w:p>
      <w:pPr>
        <w:pStyle w:val="Heading2"/>
        <w:keepNext/>
        <w:spacing w:before="160" w:after="80" w:line="264" w:lineRule="auto"/>
      </w:pPr>
      <w:r>
        <w:rPr>
          <w:rFonts w:ascii="Arial" w:hAnsi="Arial"/>
        </w:rPr>
        <w:t>23.4 Are valuation multiples too high?</w:t>
      </w:r>
    </w:p>
    <w:p>
      <w:pPr>
        <w:spacing w:before="0" w:after="100" w:line="288" w:lineRule="auto"/>
      </w:pPr>
      <w:r>
        <w:rPr>
          <w:rFonts w:ascii="Arial" w:hAnsi="Arial"/>
          <w:sz w:val="19"/>
        </w:rPr>
        <w:t xml:space="preserve">No. At ~0.74x book and below net cash, multiples are not the risk. The risk is that cash is not worth face value to minorities: in a state enterprise it can be redirected by levy, mandate or capex. </w:t>
      </w:r>
      <w:r>
        <w:rPr>
          <w:rFonts w:ascii="Arial" w:hAnsi="Arial"/>
          <w:b/>
          <w:sz w:val="19"/>
        </w:rPr>
        <w:t>Our SOTP charges KRW0.8tn (base) to KRW1.3tn (bear) for this, plus a 10-15% state-control discount.</w:t>
      </w:r>
    </w:p>
    <w:p>
      <w:pPr>
        <w:pStyle w:val="Heading2"/>
        <w:keepNext/>
        <w:spacing w:before="160" w:after="80" w:line="264" w:lineRule="auto"/>
      </w:pPr>
      <w:r>
        <w:rPr>
          <w:rFonts w:ascii="Arial" w:hAnsi="Arial"/>
        </w:rPr>
        <w:t>23.5 Pre-mortem: "It is October 2027 and the position lost 30%. What happened?"</w:t>
      </w:r>
    </w:p>
    <w:p>
      <w:pPr>
        <w:spacing w:before="0" w:after="50" w:line="276" w:lineRule="auto"/>
        <w:ind w:left="360" w:hanging="245"/>
      </w:pPr>
      <w:r>
        <w:rPr>
          <w:rFonts w:ascii="Arial" w:hAnsi="Arial"/>
          <w:sz w:val="19"/>
        </w:rPr>
        <w:t xml:space="preserve">1.  </w:t>
      </w:r>
      <w:r>
        <w:rPr>
          <w:rFonts w:ascii="Arial" w:hAnsi="Arial"/>
          <w:sz w:val="19"/>
        </w:rPr>
        <w:t>The FIU enacted full customer due diligence on chip purchases from mid-2027. Casino visits fell ~15% and FY27 OP fell to ~KRW120bn.</w:t>
      </w:r>
    </w:p>
    <w:p>
      <w:pPr>
        <w:spacing w:before="0" w:after="50" w:line="276" w:lineRule="auto"/>
        <w:ind w:left="360" w:hanging="245"/>
      </w:pPr>
      <w:r>
        <w:rPr>
          <w:rFonts w:ascii="Arial" w:hAnsi="Arial"/>
          <w:sz w:val="19"/>
        </w:rPr>
        <w:t xml:space="preserve">2.  </w:t>
      </w:r>
      <w:r>
        <w:rPr>
          <w:rFonts w:ascii="Arial" w:hAnsi="Arial"/>
          <w:sz w:val="19"/>
        </w:rPr>
        <w:t>The Tourism Promotion Act amendment set the 15% bracket per venue on sales above KRW300bn, with no carve-out for Kangwon Land: ~KRW56bn a year.</w:t>
      </w:r>
    </w:p>
    <w:p>
      <w:pPr>
        <w:spacing w:before="0" w:after="50" w:line="276" w:lineRule="auto"/>
        <w:ind w:left="360" w:hanging="245"/>
      </w:pPr>
      <w:r>
        <w:rPr>
          <w:rFonts w:ascii="Arial" w:hAnsi="Arial"/>
          <w:sz w:val="19"/>
        </w:rPr>
        <w:t xml:space="preserve">3.  </w:t>
      </w:r>
      <w:r>
        <w:rPr>
          <w:rFonts w:ascii="Arial" w:hAnsi="Arial"/>
          <w:sz w:val="19"/>
        </w:rPr>
        <w:t>The government granted K-HIT a feasibility-study exemption as a "national strategic project". The new CEO launched the Grand Dome phase early, and the board cut the payout to the 50% minimum: DPS ~KRW600.</w:t>
      </w:r>
    </w:p>
    <w:p>
      <w:pPr>
        <w:spacing w:before="0" w:after="50" w:line="276" w:lineRule="auto"/>
        <w:ind w:left="360" w:hanging="245"/>
      </w:pPr>
      <w:r>
        <w:rPr>
          <w:rFonts w:ascii="Arial" w:hAnsi="Arial"/>
          <w:sz w:val="19"/>
        </w:rPr>
        <w:t xml:space="preserve">4.  </w:t>
      </w:r>
      <w:r>
        <w:rPr>
          <w:rFonts w:ascii="Arial" w:hAnsi="Arial"/>
          <w:sz w:val="19"/>
        </w:rPr>
        <w:t>Treasury shares were placed with a public employee scheme instead of being cancelled. NPS abstained at the AGM.</w:t>
      </w:r>
    </w:p>
    <w:p>
      <w:pPr>
        <w:spacing w:before="0" w:after="50" w:line="276" w:lineRule="auto"/>
        <w:ind w:left="360" w:hanging="245"/>
      </w:pPr>
      <w:r>
        <w:rPr>
          <w:rFonts w:ascii="Arial" w:hAnsi="Arial"/>
          <w:sz w:val="19"/>
        </w:rPr>
        <w:t xml:space="preserve">5.  </w:t>
      </w:r>
      <w:r>
        <w:rPr>
          <w:rFonts w:ascii="Arial" w:hAnsi="Arial"/>
          <w:sz w:val="19"/>
        </w:rPr>
        <w:t>A Saemangeum special act passed committee, and the market began to discount the 2045 sunset.</w:t>
      </w:r>
    </w:p>
    <w:p>
      <w:pPr>
        <w:spacing w:before="0" w:after="50" w:line="276" w:lineRule="auto"/>
        <w:ind w:left="360" w:hanging="245"/>
      </w:pPr>
      <w:r>
        <w:rPr>
          <w:rFonts w:ascii="Arial" w:hAnsi="Arial"/>
          <w:sz w:val="19"/>
        </w:rPr>
        <w:t xml:space="preserve">6.  </w:t>
      </w:r>
      <w:r>
        <w:rPr>
          <w:rFonts w:ascii="Arial" w:hAnsi="Arial"/>
          <w:sz w:val="19"/>
        </w:rPr>
        <w:t>Dividend tax qualification was lost after the DPS cut, and retail holders sold.</w:t>
      </w:r>
    </w:p>
    <w:p>
      <w:pPr>
        <w:spacing w:before="0" w:after="50" w:line="276" w:lineRule="auto"/>
        <w:ind w:left="360" w:hanging="245"/>
      </w:pPr>
      <w:r>
        <w:rPr>
          <w:rFonts w:ascii="Arial" w:hAnsi="Arial"/>
          <w:sz w:val="19"/>
        </w:rPr>
        <w:t xml:space="preserve">7.  </w:t>
      </w:r>
      <w:r>
        <w:rPr>
          <w:rFonts w:ascii="Arial" w:hAnsi="Arial"/>
          <w:b/>
          <w:sz w:val="19"/>
        </w:rPr>
        <w:t>Warning signs to watch:</w:t>
      </w:r>
      <w:r>
        <w:rPr>
          <w:rFonts w:ascii="Arial" w:hAnsi="Arial"/>
          <w:sz w:val="19"/>
        </w:rPr>
        <w:t xml:space="preserve"> the FIU rule text; the levy decree thresholds; any K-HIT exemption announcement; FY26 DPS (Feb-2027); the treasury vote at the Mar-2027 AGM; Saemangeum bill progress.</w:t>
      </w:r>
    </w:p>
    <w:p>
      <w:pPr>
        <w:pStyle w:val="Heading2"/>
        <w:keepNext/>
        <w:spacing w:before="160" w:after="80" w:line="264" w:lineRule="auto"/>
      </w:pPr>
      <w:r>
        <w:rPr>
          <w:rFonts w:ascii="Arial" w:hAnsi="Arial"/>
        </w:rPr>
        <w:t>23.6 Contrarian view: what the market refuses to see</w:t>
      </w:r>
    </w:p>
    <w:p>
      <w:pPr>
        <w:spacing w:before="0" w:after="100" w:line="288" w:lineRule="auto"/>
      </w:pPr>
      <w:r>
        <w:rPr>
          <w:rFonts w:ascii="Arial" w:hAnsi="Arial"/>
          <w:sz w:val="19"/>
        </w:rPr>
        <w:t>The market treats Kangwon Land as a "cash-trapped SOE with casino beta" and sold it with China-exposed foreigner-only casinos. Three things contradict that framing:</w:t>
      </w:r>
    </w:p>
    <w:p>
      <w:pPr>
        <w:spacing w:before="0" w:after="50" w:line="276" w:lineRule="auto"/>
        <w:ind w:left="360" w:hanging="245"/>
      </w:pPr>
      <w:r>
        <w:rPr>
          <w:rFonts w:ascii="Arial" w:hAnsi="Arial"/>
          <w:sz w:val="19"/>
        </w:rPr>
        <w:t xml:space="preserve">1.  </w:t>
      </w:r>
      <w:r>
        <w:rPr>
          <w:rFonts w:ascii="Arial" w:hAnsi="Arial"/>
          <w:b/>
          <w:sz w:val="19"/>
        </w:rPr>
        <w:t>The State is the shareholder that most needs dividends.</w:t>
      </w:r>
      <w:r>
        <w:rPr>
          <w:rFonts w:ascii="Arial" w:hAnsi="Arial"/>
          <w:sz w:val="19"/>
        </w:rPr>
        <w:t xml:space="preserve"> KOMIR's balance sheet makes the controller an ally of higher payouts. This is unusual among state-controlled companies, and it strengthens as KOMIR's debt burden grows.</w:t>
      </w:r>
    </w:p>
    <w:p>
      <w:pPr>
        <w:spacing w:before="0" w:after="50" w:line="276" w:lineRule="auto"/>
        <w:ind w:left="360" w:hanging="245"/>
      </w:pPr>
      <w:r>
        <w:rPr>
          <w:rFonts w:ascii="Arial" w:hAnsi="Arial"/>
          <w:sz w:val="19"/>
        </w:rPr>
        <w:t xml:space="preserve">2.  </w:t>
      </w:r>
      <w:r>
        <w:rPr>
          <w:rFonts w:ascii="Arial" w:hAnsi="Arial"/>
          <w:b/>
          <w:sz w:val="19"/>
        </w:rPr>
        <w:t>The new governance rules apply here.</w:t>
      </w:r>
      <w:r>
        <w:rPr>
          <w:rFonts w:ascii="Arial" w:hAnsi="Arial"/>
          <w:sz w:val="19"/>
        </w:rPr>
        <w:t xml:space="preserve"> Assets exceed KRW2tn, so cumulative voting and the 3% audit cap apply. With a 41.6% free float, organised minorities could out-vote non-KOMIR public holders in audit-committee elections [e].</w:t>
      </w:r>
    </w:p>
    <w:p>
      <w:pPr>
        <w:spacing w:before="0" w:after="50" w:line="276" w:lineRule="auto"/>
        <w:ind w:left="360" w:hanging="245"/>
      </w:pPr>
      <w:r>
        <w:rPr>
          <w:rFonts w:ascii="Arial" w:hAnsi="Arial"/>
          <w:sz w:val="19"/>
        </w:rPr>
        <w:t xml:space="preserve">3.  </w:t>
      </w:r>
      <w:r>
        <w:rPr>
          <w:rFonts w:ascii="Arial" w:hAnsi="Arial"/>
          <w:b/>
          <w:sz w:val="19"/>
        </w:rPr>
        <w:t>Political connections cut both ways.</w:t>
      </w:r>
      <w:r>
        <w:rPr>
          <w:rFonts w:ascii="Arial" w:hAnsi="Arial"/>
          <w:sz w:val="19"/>
        </w:rPr>
        <w:t xml:space="preserve"> A ruling-party CEO increases capex risk, but also the odds of deregulation (hours, mass bet limits) and of a levy carve-out. Both would lift earnings power in 2027-28.</w:t>
      </w:r>
    </w:p>
    <w:p>
      <w:pPr>
        <w:spacing w:before="0" w:after="100" w:line="288" w:lineRule="auto"/>
      </w:pPr>
      <w:r>
        <w:rPr>
          <w:rFonts w:ascii="Arial" w:hAnsi="Arial"/>
          <w:sz w:val="19"/>
        </w:rPr>
        <w:t>At KRW14,180 the market charges the entire excess cash pile to future value destruction. We think the fair charge is KRW0.8-1.3tn.</w:t>
      </w:r>
    </w:p>
    <w:p>
      <w:pPr>
        <w:pStyle w:val="Heading1"/>
        <w:pageBreakBefore/>
        <w:spacing w:before="0" w:after="120" w:line="264" w:lineRule="auto"/>
      </w:pPr>
      <w:r>
        <w:rPr>
          <w:rFonts w:ascii="Arial" w:hAnsi="Arial"/>
        </w:rPr>
        <w:t>24. Scenario Analysis (12-Month View)</w:t>
      </w:r>
    </w:p>
    <w:p>
      <w:pPr>
        <w:keepNext/>
        <w:spacing w:before="80" w:after="40" w:line="240" w:lineRule="auto"/>
        <w:jc w:val="center"/>
      </w:pPr>
      <w:r>
        <w:drawing>
          <wp:inline xmlns:a="http://schemas.openxmlformats.org/drawingml/2006/main" xmlns:pic="http://schemas.openxmlformats.org/drawingml/2006/picture">
            <wp:extent cx="6400800" cy="3177091"/>
            <wp:docPr id="8" name="Picture 8"/>
            <wp:cNvGraphicFramePr>
              <a:graphicFrameLocks noChangeAspect="1"/>
            </wp:cNvGraphicFramePr>
            <a:graphic>
              <a:graphicData uri="http://schemas.openxmlformats.org/drawingml/2006/picture">
                <pic:pic>
                  <pic:nvPicPr>
                    <pic:cNvPr id="0" name="sotp.png"/>
                    <pic:cNvPicPr/>
                  </pic:nvPicPr>
                  <pic:blipFill>
                    <a:blip r:embed="rId18"/>
                    <a:stretch>
                      <a:fillRect/>
                    </a:stretch>
                  </pic:blipFill>
                  <pic:spPr>
                    <a:xfrm>
                      <a:off x="0" y="0"/>
                      <a:ext cx="6400800" cy="3177091"/>
                    </a:xfrm>
                    <a:prstGeom prst="rect"/>
                  </pic:spPr>
                </pic:pic>
              </a:graphicData>
            </a:graphic>
          </wp:inline>
        </w:drawing>
      </w:r>
    </w:p>
    <w:p>
      <w:pPr>
        <w:spacing w:before="0" w:after="120" w:line="240" w:lineRule="auto"/>
      </w:pPr>
      <w:r>
        <w:rPr>
          <w:rFonts w:ascii="Arial" w:hAnsi="Arial"/>
          <w:i/>
          <w:color w:val="5A6270"/>
          <w:sz w:val="15"/>
        </w:rPr>
        <w:t>Figure: Base-case sum-of-the-parts (FY27E).</w:t>
      </w:r>
    </w:p>
    <w:tbl>
      <w:tblPr>
        <w:tblW w:type="auto" w:w="0"/>
        <w:jc w:val="center"/>
        <w:tblLook w:firstColumn="1" w:firstRow="1" w:lastColumn="0" w:lastRow="0" w:noHBand="0" w:noVBand="1" w:val="04A0"/>
        <w:tblLayout w:type="fixed"/>
        <w:tblW w:type="dxa" w:w="9906"/>
      </w:tblPr>
      <w:tblGrid>
        <w:gridCol w:w="2023"/>
        <w:gridCol w:w="3684"/>
        <w:gridCol w:w="3007"/>
        <w:gridCol w:w="1190"/>
      </w:tblGrid>
      <w:tr>
        <w:trPr>
          <w:tblHeader/>
        </w:trPr>
        <w:tc>
          <w:tcPr>
            <w:tcW w:type="dxa" w:w="2023"/>
            <w:tcW w:type="dxa" w:w="2023"/>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Assumption</w:t>
            </w:r>
          </w:p>
        </w:tc>
        <w:tc>
          <w:tcPr>
            <w:tcW w:type="dxa" w:w="3684"/>
            <w:tcW w:type="dxa" w:w="3684"/>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right"/>
            </w:pPr>
            <w:r>
              <w:rPr>
                <w:rFonts w:ascii="Arial" w:hAnsi="Arial"/>
                <w:b/>
                <w:color w:val="FFFFFF"/>
                <w:sz w:val="15"/>
              </w:rPr>
              <w:t>Bear (25%)</w:t>
            </w:r>
          </w:p>
        </w:tc>
        <w:tc>
          <w:tcPr>
            <w:tcW w:type="dxa" w:w="3007"/>
            <w:tcW w:type="dxa" w:w="3007"/>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right"/>
            </w:pPr>
            <w:r>
              <w:rPr>
                <w:rFonts w:ascii="Arial" w:hAnsi="Arial"/>
                <w:b/>
                <w:color w:val="FFFFFF"/>
                <w:sz w:val="15"/>
              </w:rPr>
              <w:t>Base (50%)</w:t>
            </w:r>
          </w:p>
        </w:tc>
        <w:tc>
          <w:tcPr>
            <w:tcW w:type="dxa" w:w="1190"/>
            <w:tcW w:type="dxa" w:w="1190"/>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Bull (25%)</w:t>
            </w:r>
          </w:p>
        </w:tc>
      </w:tr>
      <w:tr>
        <w:trPr>
          <w:cantSplit/>
        </w:trPr>
        <w:tc>
          <w:tcPr>
            <w:tcW w:type="dxa" w:w="2023"/>
            <w:tcW w:type="dxa" w:w="202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Regulatory outcome</w:t>
            </w:r>
          </w:p>
        </w:tc>
        <w:tc>
          <w:tcPr>
            <w:tcW w:type="dxa" w:w="3684"/>
            <w:tcW w:type="dxa" w:w="368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15% levy applies (~KRW56bn); AML partly enforced</w:t>
            </w:r>
          </w:p>
        </w:tc>
        <w:tc>
          <w:tcPr>
            <w:tcW w:type="dxa" w:w="3007"/>
            <w:tcW w:type="dxa" w:w="300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Levy carve-out or diluted; AML modified</w:t>
            </w:r>
          </w:p>
        </w:tc>
        <w:tc>
          <w:tcPr>
            <w:tcW w:type="dxa" w:w="1190"/>
            <w:tcW w:type="dxa" w:w="119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Carve-out; deregulation (hours, mass limits); second casino on time</w:t>
            </w:r>
          </w:p>
        </w:tc>
      </w:tr>
      <w:tr>
        <w:trPr>
          <w:cantSplit/>
        </w:trPr>
        <w:tc>
          <w:tcPr>
            <w:tcW w:type="dxa" w:w="2023"/>
            <w:tcW w:type="dxa" w:w="202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EBITDA basis</w:t>
            </w:r>
          </w:p>
        </w:tc>
        <w:tc>
          <w:tcPr>
            <w:tcW w:type="dxa" w:w="3684"/>
            <w:tcW w:type="dxa" w:w="368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KRW240bn (stressed FY27E)</w:t>
            </w:r>
          </w:p>
        </w:tc>
        <w:tc>
          <w:tcPr>
            <w:tcW w:type="dxa" w:w="3007"/>
            <w:tcW w:type="dxa" w:w="300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KRW310bn (FY27E)</w:t>
            </w:r>
          </w:p>
        </w:tc>
        <w:tc>
          <w:tcPr>
            <w:tcW w:type="dxa" w:w="1190"/>
            <w:tcW w:type="dxa" w:w="119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KRW345bn (FY28E)</w:t>
            </w:r>
          </w:p>
        </w:tc>
      </w:tr>
      <w:tr>
        <w:trPr>
          <w:cantSplit/>
        </w:trPr>
        <w:tc>
          <w:tcPr>
            <w:tcW w:type="dxa" w:w="2023"/>
            <w:tcW w:type="dxa" w:w="202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EV/EBITDA on operations</w:t>
            </w:r>
          </w:p>
        </w:tc>
        <w:tc>
          <w:tcPr>
            <w:tcW w:type="dxa" w:w="3684"/>
            <w:tcW w:type="dxa" w:w="368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5.0x</w:t>
            </w:r>
          </w:p>
        </w:tc>
        <w:tc>
          <w:tcPr>
            <w:tcW w:type="dxa" w:w="3007"/>
            <w:tcW w:type="dxa" w:w="300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6.5x</w:t>
            </w:r>
          </w:p>
        </w:tc>
        <w:tc>
          <w:tcPr>
            <w:tcW w:type="dxa" w:w="1190"/>
            <w:tcW w:type="dxa" w:w="119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8.0x</w:t>
            </w:r>
          </w:p>
        </w:tc>
      </w:tr>
      <w:tr>
        <w:trPr>
          <w:cantSplit/>
        </w:trPr>
        <w:tc>
          <w:tcPr>
            <w:tcW w:type="dxa" w:w="2023"/>
            <w:tcW w:type="dxa" w:w="202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Operating value</w:t>
            </w:r>
          </w:p>
        </w:tc>
        <w:tc>
          <w:tcPr>
            <w:tcW w:type="dxa" w:w="3684"/>
            <w:tcW w:type="dxa" w:w="368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KRW1.20tn</w:t>
            </w:r>
          </w:p>
        </w:tc>
        <w:tc>
          <w:tcPr>
            <w:tcW w:type="dxa" w:w="3007"/>
            <w:tcW w:type="dxa" w:w="300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KRW2.02tn</w:t>
            </w:r>
          </w:p>
        </w:tc>
        <w:tc>
          <w:tcPr>
            <w:tcW w:type="dxa" w:w="1190"/>
            <w:tcW w:type="dxa" w:w="119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KRW2.76tn</w:t>
            </w:r>
          </w:p>
        </w:tc>
      </w:tr>
      <w:tr>
        <w:trPr>
          <w:cantSplit/>
        </w:trPr>
        <w:tc>
          <w:tcPr>
            <w:tcW w:type="dxa" w:w="2023"/>
            <w:tcW w:type="dxa" w:w="202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Excess cash (net financial assets less KRW0.4tn)</w:t>
            </w:r>
          </w:p>
        </w:tc>
        <w:tc>
          <w:tcPr>
            <w:tcW w:type="dxa" w:w="3684"/>
            <w:tcW w:type="dxa" w:w="368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KRW2.53tn</w:t>
            </w:r>
          </w:p>
        </w:tc>
        <w:tc>
          <w:tcPr>
            <w:tcW w:type="dxa" w:w="3007"/>
            <w:tcW w:type="dxa" w:w="300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KRW2.53tn</w:t>
            </w:r>
          </w:p>
        </w:tc>
        <w:tc>
          <w:tcPr>
            <w:tcW w:type="dxa" w:w="1190"/>
            <w:tcW w:type="dxa" w:w="119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KRW2.63tn</w:t>
            </w:r>
          </w:p>
        </w:tc>
      </w:tr>
      <w:tr>
        <w:trPr>
          <w:cantSplit/>
        </w:trPr>
        <w:tc>
          <w:tcPr>
            <w:tcW w:type="dxa" w:w="2023"/>
            <w:tcW w:type="dxa" w:w="202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K-HIT NPV (value destruction) [e]</w:t>
            </w:r>
          </w:p>
        </w:tc>
        <w:tc>
          <w:tcPr>
            <w:tcW w:type="dxa" w:w="3684"/>
            <w:tcW w:type="dxa" w:w="368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−KRW1.3tn</w:t>
            </w:r>
          </w:p>
        </w:tc>
        <w:tc>
          <w:tcPr>
            <w:tcW w:type="dxa" w:w="3007"/>
            <w:tcW w:type="dxa" w:w="300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−KRW0.8tn</w:t>
            </w:r>
          </w:p>
        </w:tc>
        <w:tc>
          <w:tcPr>
            <w:tcW w:type="dxa" w:w="1190"/>
            <w:tcW w:type="dxa" w:w="119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−KRW0.2tn (phased, IRR-gated)</w:t>
            </w:r>
          </w:p>
        </w:tc>
      </w:tr>
      <w:tr>
        <w:trPr>
          <w:cantSplit/>
        </w:trPr>
        <w:tc>
          <w:tcPr>
            <w:tcW w:type="dxa" w:w="2023"/>
            <w:tcW w:type="dxa" w:w="202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State-control discount</w:t>
            </w:r>
          </w:p>
        </w:tc>
        <w:tc>
          <w:tcPr>
            <w:tcW w:type="dxa" w:w="3684"/>
            <w:tcW w:type="dxa" w:w="368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15%</w:t>
            </w:r>
          </w:p>
        </w:tc>
        <w:tc>
          <w:tcPr>
            <w:tcW w:type="dxa" w:w="3007"/>
            <w:tcW w:type="dxa" w:w="300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10%</w:t>
            </w:r>
          </w:p>
        </w:tc>
        <w:tc>
          <w:tcPr>
            <w:tcW w:type="dxa" w:w="1190"/>
            <w:tcW w:type="dxa" w:w="119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5%</w:t>
            </w:r>
          </w:p>
        </w:tc>
      </w:tr>
      <w:tr>
        <w:trPr>
          <w:cantSplit/>
        </w:trPr>
        <w:tc>
          <w:tcPr>
            <w:tcW w:type="dxa" w:w="2023"/>
            <w:tcW w:type="dxa" w:w="202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FY26E DPS</w:t>
            </w:r>
          </w:p>
        </w:tc>
        <w:tc>
          <w:tcPr>
            <w:tcW w:type="dxa" w:w="3684"/>
            <w:tcW w:type="dxa" w:w="368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KRW650-700</w:t>
            </w:r>
          </w:p>
        </w:tc>
        <w:tc>
          <w:tcPr>
            <w:tcW w:type="dxa" w:w="3007"/>
            <w:tcW w:type="dxa" w:w="300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KRW850</w:t>
            </w:r>
          </w:p>
        </w:tc>
        <w:tc>
          <w:tcPr>
            <w:tcW w:type="dxa" w:w="1190"/>
            <w:tcW w:type="dxa" w:w="119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KRW950-1,000</w:t>
            </w:r>
          </w:p>
        </w:tc>
      </w:tr>
      <w:tr>
        <w:trPr>
          <w:cantSplit/>
        </w:trPr>
        <w:tc>
          <w:tcPr>
            <w:tcW w:type="dxa" w:w="2023"/>
            <w:tcW w:type="dxa" w:w="2023"/>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b/>
                <w:sz w:val="15"/>
              </w:rPr>
              <w:t>Equity value</w:t>
            </w:r>
          </w:p>
        </w:tc>
        <w:tc>
          <w:tcPr>
            <w:tcW w:type="dxa" w:w="3684"/>
            <w:tcW w:type="dxa" w:w="3684"/>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right"/>
            </w:pPr>
            <w:r>
              <w:rPr>
                <w:rFonts w:ascii="Arial" w:hAnsi="Arial"/>
                <w:b/>
                <w:sz w:val="15"/>
              </w:rPr>
              <w:t>KRW2.07tn</w:t>
            </w:r>
          </w:p>
        </w:tc>
        <w:tc>
          <w:tcPr>
            <w:tcW w:type="dxa" w:w="3007"/>
            <w:tcW w:type="dxa" w:w="3007"/>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right"/>
            </w:pPr>
            <w:r>
              <w:rPr>
                <w:rFonts w:ascii="Arial" w:hAnsi="Arial"/>
                <w:b/>
                <w:sz w:val="15"/>
              </w:rPr>
              <w:t>KRW3.37tn</w:t>
            </w:r>
          </w:p>
        </w:tc>
        <w:tc>
          <w:tcPr>
            <w:tcW w:type="dxa" w:w="1190"/>
            <w:tcW w:type="dxa" w:w="1190"/>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b/>
                <w:sz w:val="15"/>
              </w:rPr>
              <w:t>KRW4.93tn</w:t>
            </w:r>
          </w:p>
        </w:tc>
      </w:tr>
      <w:tr>
        <w:trPr>
          <w:cantSplit/>
        </w:trPr>
        <w:tc>
          <w:tcPr>
            <w:tcW w:type="dxa" w:w="2023"/>
            <w:tcW w:type="dxa" w:w="2023"/>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b/>
                <w:sz w:val="15"/>
              </w:rPr>
              <w:t>Value per share</w:t>
            </w:r>
          </w:p>
        </w:tc>
        <w:tc>
          <w:tcPr>
            <w:tcW w:type="dxa" w:w="3684"/>
            <w:tcW w:type="dxa" w:w="3684"/>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right"/>
            </w:pPr>
            <w:r>
              <w:rPr>
                <w:rFonts w:ascii="Arial" w:hAnsi="Arial"/>
                <w:b/>
                <w:sz w:val="15"/>
              </w:rPr>
              <w:t>KRW10,400 (−27%)</w:t>
            </w:r>
          </w:p>
        </w:tc>
        <w:tc>
          <w:tcPr>
            <w:tcW w:type="dxa" w:w="3007"/>
            <w:tcW w:type="dxa" w:w="3007"/>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right"/>
            </w:pPr>
            <w:r>
              <w:rPr>
                <w:rFonts w:ascii="Arial" w:hAnsi="Arial"/>
                <w:b/>
                <w:sz w:val="15"/>
              </w:rPr>
              <w:t>KRW17,000 (+20%)</w:t>
            </w:r>
          </w:p>
        </w:tc>
        <w:tc>
          <w:tcPr>
            <w:tcW w:type="dxa" w:w="1190"/>
            <w:tcW w:type="dxa" w:w="1190"/>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b/>
                <w:sz w:val="15"/>
              </w:rPr>
              <w:t>KRW24,900 (+75%)</w:t>
            </w:r>
          </w:p>
        </w:tc>
      </w:tr>
      <w:tr>
        <w:trPr>
          <w:cantSplit/>
        </w:trPr>
        <w:tc>
          <w:tcPr>
            <w:tcW w:type="dxa" w:w="2023"/>
            <w:tcW w:type="dxa" w:w="202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Implied P/B (BVPS ~KRW19,300 [e])</w:t>
            </w:r>
          </w:p>
        </w:tc>
        <w:tc>
          <w:tcPr>
            <w:tcW w:type="dxa" w:w="3684"/>
            <w:tcW w:type="dxa" w:w="3684"/>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0.54x</w:t>
            </w:r>
          </w:p>
        </w:tc>
        <w:tc>
          <w:tcPr>
            <w:tcW w:type="dxa" w:w="3007"/>
            <w:tcW w:type="dxa" w:w="3007"/>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0.88x</w:t>
            </w:r>
          </w:p>
        </w:tc>
        <w:tc>
          <w:tcPr>
            <w:tcW w:type="dxa" w:w="1190"/>
            <w:tcW w:type="dxa" w:w="119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1.29x</w:t>
            </w:r>
          </w:p>
        </w:tc>
      </w:tr>
    </w:tbl>
    <w:p>
      <w:pPr>
        <w:spacing w:before="0" w:after="40" w:line="240" w:lineRule="auto"/>
      </w:pPr>
    </w:p>
    <w:p>
      <w:pPr>
        <w:keepNext/>
        <w:spacing w:before="80" w:after="40" w:line="240" w:lineRule="auto"/>
        <w:jc w:val="center"/>
      </w:pPr>
      <w:r>
        <w:drawing>
          <wp:inline xmlns:a="http://schemas.openxmlformats.org/drawingml/2006/main" xmlns:pic="http://schemas.openxmlformats.org/drawingml/2006/picture">
            <wp:extent cx="6400800" cy="2844375"/>
            <wp:docPr id="9" name="Picture 9"/>
            <wp:cNvGraphicFramePr>
              <a:graphicFrameLocks noChangeAspect="1"/>
            </wp:cNvGraphicFramePr>
            <a:graphic>
              <a:graphicData uri="http://schemas.openxmlformats.org/drawingml/2006/picture">
                <pic:pic>
                  <pic:nvPicPr>
                    <pic:cNvPr id="0" name="scenarios.png"/>
                    <pic:cNvPicPr/>
                  </pic:nvPicPr>
                  <pic:blipFill>
                    <a:blip r:embed="rId19"/>
                    <a:stretch>
                      <a:fillRect/>
                    </a:stretch>
                  </pic:blipFill>
                  <pic:spPr>
                    <a:xfrm>
                      <a:off x="0" y="0"/>
                      <a:ext cx="6400800" cy="2844375"/>
                    </a:xfrm>
                    <a:prstGeom prst="rect"/>
                  </pic:spPr>
                </pic:pic>
              </a:graphicData>
            </a:graphic>
          </wp:inline>
        </w:drawing>
      </w:r>
    </w:p>
    <w:p>
      <w:pPr>
        <w:spacing w:before="0" w:after="120" w:line="240" w:lineRule="auto"/>
      </w:pPr>
      <w:r>
        <w:rPr>
          <w:rFonts w:ascii="Arial" w:hAnsi="Arial"/>
          <w:i/>
          <w:color w:val="5A6270"/>
          <w:sz w:val="15"/>
        </w:rPr>
        <w:t>Figure: 12-month scenario values per share.</w:t>
      </w:r>
    </w:p>
    <w:p>
      <w:pPr>
        <w:spacing w:before="0" w:after="100" w:line="288" w:lineRule="auto"/>
      </w:pPr>
      <w:r>
        <w:rPr>
          <w:rFonts w:ascii="Arial" w:hAnsi="Arial"/>
          <w:b/>
          <w:sz w:val="19"/>
        </w:rPr>
        <w:t>Probability-weighted value: KRW17,300 (+22%)</w:t>
      </w:r>
      <w:r>
        <w:rPr>
          <w:rFonts w:ascii="Arial" w:hAnsi="Arial"/>
          <w:sz w:val="19"/>
        </w:rPr>
        <w:t xml:space="preserve">, plus a ~6% dividend yield. Expected total return is ~28%. </w:t>
      </w:r>
      <w:r>
        <w:rPr>
          <w:rFonts w:ascii="Arial" w:hAnsi="Arial"/>
          <w:b/>
          <w:sz w:val="19"/>
        </w:rPr>
        <w:t>12-month target: KRW17,000 (+20%).</w:t>
      </w:r>
    </w:p>
    <w:p>
      <w:pPr>
        <w:spacing w:before="0" w:after="50" w:line="276" w:lineRule="auto"/>
        <w:ind w:left="360" w:hanging="245"/>
      </w:pPr>
      <w:r>
        <w:rPr>
          <w:rFonts w:ascii="Arial" w:hAnsi="Arial"/>
          <w:color w:val="2E74B5"/>
          <w:sz w:val="16"/>
        </w:rPr>
        <w:t xml:space="preserve">▪  </w:t>
      </w:r>
      <w:r>
        <w:rPr>
          <w:rFonts w:ascii="Arial" w:hAnsi="Arial"/>
          <w:b/>
          <w:sz w:val="19"/>
        </w:rPr>
        <w:t>Valuation range:</w:t>
      </w:r>
      <w:r>
        <w:rPr>
          <w:rFonts w:ascii="Arial" w:hAnsi="Arial"/>
          <w:sz w:val="19"/>
        </w:rPr>
        <w:t xml:space="preserve"> KRW10,400-24,900.</w:t>
      </w:r>
    </w:p>
    <w:p>
      <w:pPr>
        <w:spacing w:before="0" w:after="50" w:line="276" w:lineRule="auto"/>
        <w:ind w:left="360" w:hanging="245"/>
      </w:pPr>
      <w:r>
        <w:rPr>
          <w:rFonts w:ascii="Arial" w:hAnsi="Arial"/>
          <w:color w:val="2E74B5"/>
          <w:sz w:val="16"/>
        </w:rPr>
        <w:t xml:space="preserve">▪  </w:t>
      </w:r>
      <w:r>
        <w:rPr>
          <w:rFonts w:ascii="Arial" w:hAnsi="Arial"/>
          <w:b/>
          <w:sz w:val="19"/>
        </w:rPr>
        <w:t>Shape:</w:t>
      </w:r>
      <w:r>
        <w:rPr>
          <w:rFonts w:ascii="Arial" w:hAnsi="Arial"/>
          <w:sz w:val="19"/>
        </w:rPr>
        <w:t xml:space="preserve"> the distribution is </w:t>
      </w:r>
      <w:r>
        <w:rPr>
          <w:rFonts w:ascii="Arial" w:hAnsi="Arial"/>
          <w:b/>
          <w:sz w:val="19"/>
        </w:rPr>
        <w:t>asymmetric (−27% / +75%)</w:t>
      </w:r>
      <w:r>
        <w:rPr>
          <w:rFonts w:ascii="Arial" w:hAnsi="Arial"/>
          <w:sz w:val="19"/>
        </w:rPr>
        <w:t xml:space="preserve"> because the balance sheet supports the downside: even the bear case keeps ~KRW1.2tn of cash after K-HIT losses.</w:t>
      </w:r>
    </w:p>
    <w:p>
      <w:pPr>
        <w:spacing w:before="0" w:after="50" w:line="276" w:lineRule="auto"/>
        <w:ind w:left="360" w:hanging="245"/>
      </w:pPr>
      <w:r>
        <w:rPr>
          <w:rFonts w:ascii="Arial" w:hAnsi="Arial"/>
          <w:color w:val="2E74B5"/>
          <w:sz w:val="16"/>
        </w:rPr>
        <w:t xml:space="preserve">▪  </w:t>
      </w:r>
      <w:r>
        <w:rPr>
          <w:rFonts w:ascii="Arial" w:hAnsi="Arial"/>
          <w:b/>
          <w:sz w:val="19"/>
        </w:rPr>
        <w:t>Key swing factors:</w:t>
      </w:r>
      <w:r>
        <w:rPr>
          <w:rFonts w:ascii="Arial" w:hAnsi="Arial"/>
          <w:sz w:val="19"/>
        </w:rPr>
        <w:t xml:space="preserve"> the K-HIT charge and the AML outcome.</w:t>
      </w:r>
    </w:p>
    <w:p>
      <w:pPr>
        <w:spacing w:before="0" w:after="100" w:line="288" w:lineRule="auto"/>
      </w:pPr>
      <w:r>
        <w:rPr>
          <w:rFonts w:ascii="Arial" w:hAnsi="Arial"/>
          <w:b/>
          <w:sz w:val="19"/>
        </w:rPr>
        <w:t>Sensitivity of the base case (KRW/share, after the 10% discount):</w:t>
      </w:r>
    </w:p>
    <w:tbl>
      <w:tblPr>
        <w:tblW w:type="auto" w:w="0"/>
        <w:jc w:val="center"/>
        <w:tblLook w:firstColumn="1" w:firstRow="1" w:lastColumn="0" w:lastRow="0" w:noHBand="0" w:noVBand="1" w:val="04A0"/>
        <w:tblLayout w:type="fixed"/>
        <w:tblW w:type="dxa" w:w="9906"/>
      </w:tblPr>
      <w:tblGrid>
        <w:gridCol w:w="3405"/>
        <w:gridCol w:w="2166"/>
        <w:gridCol w:w="2166"/>
        <w:gridCol w:w="2166"/>
      </w:tblGrid>
      <w:tr>
        <w:trPr>
          <w:tblHeader/>
        </w:trPr>
        <w:tc>
          <w:tcPr>
            <w:tcW w:type="dxa" w:w="3405"/>
            <w:tcW w:type="dxa" w:w="3405"/>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K-HIT NPV ↓ / operating multiple →</w:t>
            </w:r>
          </w:p>
        </w:tc>
        <w:tc>
          <w:tcPr>
            <w:tcW w:type="dxa" w:w="2166"/>
            <w:tcW w:type="dxa" w:w="2166"/>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right"/>
            </w:pPr>
            <w:r>
              <w:rPr>
                <w:rFonts w:ascii="Arial" w:hAnsi="Arial"/>
                <w:b/>
                <w:color w:val="FFFFFF"/>
                <w:sz w:val="15"/>
              </w:rPr>
              <w:t>5.5x</w:t>
            </w:r>
          </w:p>
        </w:tc>
        <w:tc>
          <w:tcPr>
            <w:tcW w:type="dxa" w:w="2166"/>
            <w:tcW w:type="dxa" w:w="2166"/>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right"/>
            </w:pPr>
            <w:r>
              <w:rPr>
                <w:rFonts w:ascii="Arial" w:hAnsi="Arial"/>
                <w:b/>
                <w:color w:val="FFFFFF"/>
                <w:sz w:val="15"/>
              </w:rPr>
              <w:t>6.5x</w:t>
            </w:r>
          </w:p>
        </w:tc>
        <w:tc>
          <w:tcPr>
            <w:tcW w:type="dxa" w:w="2166"/>
            <w:tcW w:type="dxa" w:w="2166"/>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right"/>
            </w:pPr>
            <w:r>
              <w:rPr>
                <w:rFonts w:ascii="Arial" w:hAnsi="Arial"/>
                <w:b/>
                <w:color w:val="FFFFFF"/>
                <w:sz w:val="15"/>
              </w:rPr>
              <w:t>7.5x</w:t>
            </w:r>
          </w:p>
        </w:tc>
      </w:tr>
      <w:tr>
        <w:trPr>
          <w:cantSplit/>
        </w:trPr>
        <w:tc>
          <w:tcPr>
            <w:tcW w:type="dxa" w:w="3405"/>
            <w:tcW w:type="dxa" w:w="340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−KRW1.3tn</w:t>
            </w:r>
          </w:p>
        </w:tc>
        <w:tc>
          <w:tcPr>
            <w:tcW w:type="dxa" w:w="2166"/>
            <w:tcW w:type="dxa" w:w="216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13,320</w:t>
            </w:r>
          </w:p>
        </w:tc>
        <w:tc>
          <w:tcPr>
            <w:tcW w:type="dxa" w:w="2166"/>
            <w:tcW w:type="dxa" w:w="216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14,730</w:t>
            </w:r>
          </w:p>
        </w:tc>
        <w:tc>
          <w:tcPr>
            <w:tcW w:type="dxa" w:w="2166"/>
            <w:tcW w:type="dxa" w:w="216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16,140</w:t>
            </w:r>
          </w:p>
        </w:tc>
      </w:tr>
      <w:tr>
        <w:trPr>
          <w:cantSplit/>
        </w:trPr>
        <w:tc>
          <w:tcPr>
            <w:tcW w:type="dxa" w:w="3405"/>
            <w:tcW w:type="dxa" w:w="340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−KRW0.8tn</w:t>
            </w:r>
          </w:p>
        </w:tc>
        <w:tc>
          <w:tcPr>
            <w:tcW w:type="dxa" w:w="2166"/>
            <w:tcW w:type="dxa" w:w="216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15,590</w:t>
            </w:r>
          </w:p>
        </w:tc>
        <w:tc>
          <w:tcPr>
            <w:tcW w:type="dxa" w:w="2166"/>
            <w:tcW w:type="dxa" w:w="216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b/>
                <w:sz w:val="15"/>
              </w:rPr>
              <w:t>17,000</w:t>
            </w:r>
          </w:p>
        </w:tc>
        <w:tc>
          <w:tcPr>
            <w:tcW w:type="dxa" w:w="2166"/>
            <w:tcW w:type="dxa" w:w="216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18,410</w:t>
            </w:r>
          </w:p>
        </w:tc>
      </w:tr>
      <w:tr>
        <w:trPr>
          <w:cantSplit/>
        </w:trPr>
        <w:tc>
          <w:tcPr>
            <w:tcW w:type="dxa" w:w="3405"/>
            <w:tcW w:type="dxa" w:w="340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−KRW0.3tn</w:t>
            </w:r>
          </w:p>
        </w:tc>
        <w:tc>
          <w:tcPr>
            <w:tcW w:type="dxa" w:w="2166"/>
            <w:tcW w:type="dxa" w:w="216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17,870</w:t>
            </w:r>
          </w:p>
        </w:tc>
        <w:tc>
          <w:tcPr>
            <w:tcW w:type="dxa" w:w="2166"/>
            <w:tcW w:type="dxa" w:w="216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19,270</w:t>
            </w:r>
          </w:p>
        </w:tc>
        <w:tc>
          <w:tcPr>
            <w:tcW w:type="dxa" w:w="2166"/>
            <w:tcW w:type="dxa" w:w="216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20,680</w:t>
            </w:r>
          </w:p>
        </w:tc>
      </w:tr>
    </w:tbl>
    <w:p>
      <w:pPr>
        <w:spacing w:before="0" w:after="40" w:line="240" w:lineRule="auto"/>
      </w:pPr>
    </w:p>
    <w:tbl>
      <w:tblPr>
        <w:tblW w:type="auto" w:w="0"/>
        <w:jc w:val="center"/>
        <w:tblLook w:firstColumn="1" w:firstRow="1" w:lastColumn="0" w:lastRow="0" w:noHBand="0" w:noVBand="1" w:val="04A0"/>
        <w:tblLayout w:type="fixed"/>
        <w:tblW w:type="dxa" w:w="9906"/>
      </w:tblPr>
      <w:tblGrid>
        <w:gridCol w:w="6446"/>
        <w:gridCol w:w="3459"/>
      </w:tblGrid>
      <w:tr>
        <w:trPr>
          <w:tblHeader/>
        </w:trPr>
        <w:tc>
          <w:tcPr>
            <w:tcW w:type="dxa" w:w="6446"/>
            <w:tcW w:type="dxa" w:w="6446"/>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Other sensitivities (base case)</w:t>
            </w:r>
          </w:p>
        </w:tc>
        <w:tc>
          <w:tcPr>
            <w:tcW w:type="dxa" w:w="3459"/>
            <w:tcW w:type="dxa" w:w="3459"/>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right"/>
            </w:pPr>
            <w:r>
              <w:rPr>
                <w:rFonts w:ascii="Arial" w:hAnsi="Arial"/>
                <w:b/>
                <w:color w:val="FFFFFF"/>
                <w:sz w:val="15"/>
              </w:rPr>
              <w:t>Impact per share</w:t>
            </w:r>
          </w:p>
        </w:tc>
      </w:tr>
      <w:tr>
        <w:trPr>
          <w:cantSplit/>
        </w:trPr>
        <w:tc>
          <w:tcPr>
            <w:tcW w:type="dxa" w:w="6446"/>
            <w:tcW w:type="dxa" w:w="644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Excess cash KRW2.0tn / KRW2.93tn (no reserve)</w:t>
            </w:r>
          </w:p>
        </w:tc>
        <w:tc>
          <w:tcPr>
            <w:tcW w:type="dxa" w:w="3459"/>
            <w:tcW w:type="dxa" w:w="345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KRW14,600 / KRW18,820</w:t>
            </w:r>
          </w:p>
        </w:tc>
      </w:tr>
      <w:tr>
        <w:trPr>
          <w:cantSplit/>
        </w:trPr>
        <w:tc>
          <w:tcPr>
            <w:tcW w:type="dxa" w:w="6446"/>
            <w:tcW w:type="dxa" w:w="644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15% tourism levy applied (−KRW56bn EBITDA)</w:t>
            </w:r>
          </w:p>
        </w:tc>
        <w:tc>
          <w:tcPr>
            <w:tcW w:type="dxa" w:w="3459"/>
            <w:tcW w:type="dxa" w:w="345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−KRW1,650</w:t>
            </w:r>
          </w:p>
        </w:tc>
      </w:tr>
      <w:tr>
        <w:trPr>
          <w:cantSplit/>
        </w:trPr>
        <w:tc>
          <w:tcPr>
            <w:tcW w:type="dxa" w:w="6446"/>
            <w:tcW w:type="dxa" w:w="644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Full AML due diligence (−KRW200bn EBITDA) [e]</w:t>
            </w:r>
          </w:p>
        </w:tc>
        <w:tc>
          <w:tcPr>
            <w:tcW w:type="dxa" w:w="3459"/>
            <w:tcW w:type="dxa" w:w="345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−KRW5,900</w:t>
            </w:r>
          </w:p>
        </w:tc>
      </w:tr>
      <w:tr>
        <w:trPr>
          <w:cantSplit/>
        </w:trPr>
        <w:tc>
          <w:tcPr>
            <w:tcW w:type="dxa" w:w="6446"/>
            <w:tcW w:type="dxa" w:w="6446"/>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+1x operating multiple</w:t>
            </w:r>
          </w:p>
        </w:tc>
        <w:tc>
          <w:tcPr>
            <w:tcW w:type="dxa" w:w="3459"/>
            <w:tcW w:type="dxa" w:w="345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right"/>
            </w:pPr>
            <w:r>
              <w:rPr>
                <w:rFonts w:ascii="Arial" w:hAnsi="Arial"/>
                <w:sz w:val="15"/>
              </w:rPr>
              <w:t>+KRW1,410</w:t>
            </w:r>
          </w:p>
        </w:tc>
      </w:tr>
    </w:tbl>
    <w:p>
      <w:pPr>
        <w:spacing w:before="0" w:after="40" w:line="240" w:lineRule="auto"/>
      </w:pPr>
    </w:p>
    <w:p>
      <w:pPr>
        <w:pStyle w:val="Heading1"/>
        <w:pageBreakBefore/>
        <w:spacing w:before="0" w:after="120" w:line="264" w:lineRule="auto"/>
      </w:pPr>
      <w:r>
        <w:rPr>
          <w:rFonts w:ascii="Arial" w:hAnsi="Arial"/>
        </w:rPr>
        <w:t>25. The Short-Seller's Case and Forensic Accounting Review</w:t>
      </w:r>
    </w:p>
    <w:p>
      <w:pPr>
        <w:spacing w:before="0" w:after="100" w:line="288" w:lineRule="auto"/>
      </w:pPr>
      <w:r>
        <w:rPr>
          <w:rFonts w:ascii="Arial" w:hAnsi="Arial"/>
          <w:b/>
          <w:sz w:val="19"/>
        </w:rPr>
        <w:t>The short thesis in one line:</w:t>
      </w:r>
      <w:r>
        <w:rPr>
          <w:rFonts w:ascii="Arial" w:hAnsi="Arial"/>
          <w:sz w:val="19"/>
        </w:rPr>
        <w:t xml:space="preserve"> "A state-run casino in a dying mining region, whose cash belongs to politicians, whose monopoly is leaking to illegal online gambling, and whose regulators are about to impose AML checks that would gut it."</w:t>
      </w:r>
    </w:p>
    <w:p>
      <w:pPr>
        <w:pStyle w:val="Heading2"/>
        <w:keepNext/>
        <w:spacing w:before="160" w:after="80" w:line="264" w:lineRule="auto"/>
      </w:pPr>
      <w:r>
        <w:rPr>
          <w:rFonts w:ascii="Arial" w:hAnsi="Arial"/>
        </w:rPr>
        <w:t>25.1 What could structurally break how Kangwon Land makes money?</w:t>
      </w:r>
    </w:p>
    <w:p>
      <w:pPr>
        <w:spacing w:before="0" w:after="50" w:line="276" w:lineRule="auto"/>
        <w:ind w:left="360" w:hanging="245"/>
      </w:pPr>
      <w:r>
        <w:rPr>
          <w:rFonts w:ascii="Arial" w:hAnsi="Arial"/>
          <w:color w:val="2E74B5"/>
          <w:sz w:val="16"/>
        </w:rPr>
        <w:t xml:space="preserve">▪  </w:t>
      </w:r>
      <w:r>
        <w:rPr>
          <w:rFonts w:ascii="Arial" w:hAnsi="Arial"/>
          <w:b/>
          <w:sz w:val="19"/>
        </w:rPr>
        <w:t>AML due diligence:</w:t>
      </w:r>
      <w:r>
        <w:rPr>
          <w:rFonts w:ascii="Arial" w:hAnsi="Arial"/>
          <w:sz w:val="19"/>
        </w:rPr>
        <w:t xml:space="preserve"> a 25.8% revenue hit on management's own numbers.</w:t>
      </w:r>
    </w:p>
    <w:p>
      <w:pPr>
        <w:spacing w:before="0" w:after="50" w:line="276" w:lineRule="auto"/>
        <w:ind w:left="360" w:hanging="245"/>
      </w:pPr>
      <w:r>
        <w:rPr>
          <w:rFonts w:ascii="Arial" w:hAnsi="Arial"/>
          <w:color w:val="2E74B5"/>
          <w:sz w:val="16"/>
        </w:rPr>
        <w:t xml:space="preserve">▪  </w:t>
      </w:r>
      <w:r>
        <w:rPr>
          <w:rFonts w:ascii="Arial" w:hAnsi="Arial"/>
          <w:b/>
          <w:sz w:val="19"/>
        </w:rPr>
        <w:t>A second Korean-access casino:</w:t>
      </w:r>
      <w:r>
        <w:rPr>
          <w:rFonts w:ascii="Arial" w:hAnsi="Arial"/>
          <w:sz w:val="19"/>
        </w:rPr>
        <w:t xml:space="preserve"> Saemangeum or another "public casino".</w:t>
      </w:r>
    </w:p>
    <w:p>
      <w:pPr>
        <w:spacing w:before="0" w:after="50" w:line="276" w:lineRule="auto"/>
        <w:ind w:left="360" w:hanging="245"/>
      </w:pPr>
      <w:r>
        <w:rPr>
          <w:rFonts w:ascii="Arial" w:hAnsi="Arial"/>
          <w:color w:val="2E74B5"/>
          <w:sz w:val="16"/>
        </w:rPr>
        <w:t xml:space="preserve">▪  </w:t>
      </w:r>
      <w:r>
        <w:rPr>
          <w:rFonts w:ascii="Arial" w:hAnsi="Arial"/>
          <w:b/>
          <w:sz w:val="19"/>
        </w:rPr>
        <w:t>The 2045 sunset:</w:t>
      </w:r>
      <w:r>
        <w:rPr>
          <w:rFonts w:ascii="Arial" w:hAnsi="Arial"/>
          <w:sz w:val="19"/>
        </w:rPr>
        <w:t xml:space="preserve"> the licence has ~19 years left, so terminal value is contingent on another extension.</w:t>
      </w:r>
    </w:p>
    <w:p>
      <w:pPr>
        <w:spacing w:before="0" w:after="50" w:line="276" w:lineRule="auto"/>
        <w:ind w:left="360" w:hanging="245"/>
      </w:pPr>
      <w:r>
        <w:rPr>
          <w:rFonts w:ascii="Arial" w:hAnsi="Arial"/>
          <w:color w:val="2E74B5"/>
          <w:sz w:val="16"/>
        </w:rPr>
        <w:t xml:space="preserve">▪  </w:t>
      </w:r>
      <w:r>
        <w:rPr>
          <w:rFonts w:ascii="Arial" w:hAnsi="Arial"/>
          <w:b/>
          <w:sz w:val="19"/>
        </w:rPr>
        <w:t>Illegal online gambling:</w:t>
      </w:r>
      <w:r>
        <w:rPr>
          <w:rFonts w:ascii="Arial" w:hAnsi="Arial"/>
          <w:sz w:val="19"/>
        </w:rPr>
        <w:t xml:space="preserve"> a KRW95.9tn market, 3.7x the legal one, with online casinos at KRW21.5tn. It captures younger players.</w:t>
      </w:r>
    </w:p>
    <w:p>
      <w:pPr>
        <w:pStyle w:val="Heading2"/>
        <w:keepNext/>
        <w:spacing w:before="160" w:after="80" w:line="264" w:lineRule="auto"/>
      </w:pPr>
      <w:r>
        <w:rPr>
          <w:rFonts w:ascii="Arial" w:hAnsi="Arial"/>
        </w:rPr>
        <w:t>25.2 Where is revenue concentrated, and what if that shifts?</w:t>
      </w:r>
    </w:p>
    <w:p>
      <w:pPr>
        <w:spacing w:before="0" w:after="50" w:line="276" w:lineRule="auto"/>
        <w:ind w:left="360" w:hanging="245"/>
      </w:pPr>
      <w:r>
        <w:rPr>
          <w:rFonts w:ascii="Arial" w:hAnsi="Arial"/>
          <w:color w:val="2E74B5"/>
          <w:sz w:val="16"/>
        </w:rPr>
        <w:t xml:space="preserve">▪  </w:t>
      </w:r>
      <w:r>
        <w:rPr>
          <w:rFonts w:ascii="Arial" w:hAnsi="Arial"/>
          <w:b/>
          <w:sz w:val="19"/>
        </w:rPr>
        <w:t>Concentration:</w:t>
      </w:r>
      <w:r>
        <w:rPr>
          <w:rFonts w:ascii="Arial" w:hAnsi="Arial"/>
          <w:sz w:val="19"/>
        </w:rPr>
        <w:t xml:space="preserve"> one site, about 87% casino and mostly mass-market Koreans.</w:t>
      </w:r>
    </w:p>
    <w:p>
      <w:pPr>
        <w:spacing w:before="0" w:after="50" w:line="276" w:lineRule="auto"/>
        <w:ind w:left="360" w:hanging="245"/>
      </w:pPr>
      <w:r>
        <w:rPr>
          <w:rFonts w:ascii="Arial" w:hAnsi="Arial"/>
          <w:color w:val="2E74B5"/>
          <w:sz w:val="16"/>
        </w:rPr>
        <w:t xml:space="preserve">▪  </w:t>
      </w:r>
      <w:r>
        <w:rPr>
          <w:rFonts w:ascii="Arial" w:hAnsi="Arial"/>
          <w:b/>
          <w:sz w:val="19"/>
        </w:rPr>
        <w:t>VIP volatility:</w:t>
      </w:r>
      <w:r>
        <w:rPr>
          <w:rFonts w:ascii="Arial" w:hAnsi="Arial"/>
          <w:sz w:val="19"/>
        </w:rPr>
        <w:t xml:space="preserve"> the member segment adds hold volatility (2Q26 VIP revenue −7.6% on +7.2% wagers).</w:t>
      </w:r>
    </w:p>
    <w:p>
      <w:pPr>
        <w:spacing w:before="0" w:after="50" w:line="276" w:lineRule="auto"/>
        <w:ind w:left="360" w:hanging="245"/>
      </w:pPr>
      <w:r>
        <w:rPr>
          <w:rFonts w:ascii="Arial" w:hAnsi="Arial"/>
          <w:color w:val="2E74B5"/>
          <w:sz w:val="16"/>
        </w:rPr>
        <w:t xml:space="preserve">▪  </w:t>
      </w:r>
      <w:r>
        <w:rPr>
          <w:rFonts w:ascii="Arial" w:hAnsi="Arial"/>
          <w:b/>
          <w:sz w:val="19"/>
        </w:rPr>
        <w:t>Exposure to policy and demographics:</w:t>
      </w:r>
      <w:r>
        <w:rPr>
          <w:rFonts w:ascii="Arial" w:hAnsi="Arial"/>
          <w:sz w:val="19"/>
        </w:rPr>
        <w:t xml:space="preserve"> traffic weakened from Jun-2026 and the core player base is ageing.</w:t>
      </w:r>
    </w:p>
    <w:p>
      <w:pPr>
        <w:spacing w:before="0" w:after="50" w:line="276" w:lineRule="auto"/>
        <w:ind w:left="360" w:hanging="245"/>
      </w:pPr>
      <w:r>
        <w:rPr>
          <w:rFonts w:ascii="Arial" w:hAnsi="Arial"/>
          <w:color w:val="2E74B5"/>
          <w:sz w:val="16"/>
        </w:rPr>
        <w:t xml:space="preserve">▪  </w:t>
      </w:r>
      <w:r>
        <w:rPr>
          <w:rFonts w:ascii="Arial" w:hAnsi="Arial"/>
          <w:b/>
          <w:sz w:val="19"/>
        </w:rPr>
        <w:t>No diversification:</w:t>
      </w:r>
      <w:r>
        <w:rPr>
          <w:rFonts w:ascii="Arial" w:hAnsi="Arial"/>
          <w:sz w:val="19"/>
        </w:rPr>
        <w:t xml:space="preserve"> no overseas assets and non-casino revenue in decline.</w:t>
      </w:r>
    </w:p>
    <w:p>
      <w:pPr>
        <w:pStyle w:val="Heading2"/>
        <w:keepNext/>
        <w:spacing w:before="160" w:after="80" w:line="264" w:lineRule="auto"/>
      </w:pPr>
      <w:r>
        <w:rPr>
          <w:rFonts w:ascii="Arial" w:hAnsi="Arial"/>
        </w:rPr>
        <w:t>25.3 Why the moat is weaker than bulls think</w:t>
      </w:r>
    </w:p>
    <w:p>
      <w:pPr>
        <w:spacing w:before="0" w:after="50" w:line="276" w:lineRule="auto"/>
        <w:ind w:left="360" w:hanging="245"/>
      </w:pPr>
      <w:r>
        <w:rPr>
          <w:rFonts w:ascii="Arial" w:hAnsi="Arial"/>
          <w:color w:val="2E74B5"/>
          <w:sz w:val="16"/>
        </w:rPr>
        <w:t xml:space="preserve">▪  </w:t>
      </w:r>
      <w:r>
        <w:rPr>
          <w:rFonts w:ascii="Arial" w:hAnsi="Arial"/>
          <w:b/>
          <w:sz w:val="19"/>
        </w:rPr>
        <w:t>The State owns the moat and taxes it at 42%.</w:t>
      </w:r>
      <w:r>
        <w:rPr>
          <w:rFonts w:ascii="Arial" w:hAnsi="Arial"/>
          <w:sz w:val="19"/>
        </w:rPr>
        <w:t xml:space="preserve"> It can change the toll at any time (2018 hours, 2021 mine fund, 2026 levy and AML proposals).</w:t>
      </w:r>
    </w:p>
    <w:p>
      <w:pPr>
        <w:spacing w:before="0" w:after="50" w:line="276" w:lineRule="auto"/>
        <w:ind w:left="360" w:hanging="245"/>
      </w:pPr>
      <w:r>
        <w:rPr>
          <w:rFonts w:ascii="Arial" w:hAnsi="Arial"/>
          <w:color w:val="2E74B5"/>
          <w:sz w:val="16"/>
        </w:rPr>
        <w:t xml:space="preserve">▪  </w:t>
      </w:r>
      <w:r>
        <w:rPr>
          <w:rFonts w:ascii="Arial" w:hAnsi="Arial"/>
          <w:b/>
          <w:sz w:val="19"/>
        </w:rPr>
        <w:t>Capacity is capped by rule:</w:t>
      </w:r>
      <w:r>
        <w:rPr>
          <w:rFonts w:ascii="Arial" w:hAnsi="Arial"/>
          <w:sz w:val="19"/>
        </w:rPr>
        <w:t xml:space="preserve"> tables, hours, entry days, the sales cap.</w:t>
      </w:r>
    </w:p>
    <w:p>
      <w:pPr>
        <w:spacing w:before="0" w:after="50" w:line="276" w:lineRule="auto"/>
        <w:ind w:left="360" w:hanging="245"/>
      </w:pPr>
      <w:r>
        <w:rPr>
          <w:rFonts w:ascii="Arial" w:hAnsi="Arial"/>
          <w:color w:val="2E74B5"/>
          <w:sz w:val="16"/>
        </w:rPr>
        <w:t xml:space="preserve">▪  </w:t>
      </w:r>
      <w:r>
        <w:rPr>
          <w:rFonts w:ascii="Arial" w:hAnsi="Arial"/>
          <w:b/>
          <w:sz w:val="19"/>
        </w:rPr>
        <w:t>Customers have exits:</w:t>
      </w:r>
      <w:r>
        <w:rPr>
          <w:rFonts w:ascii="Arial" w:hAnsi="Arial"/>
          <w:sz w:val="19"/>
        </w:rPr>
        <w:t xml:space="preserve"> the moat does not stop them moving to illegal online or overseas casinos.</w:t>
      </w:r>
    </w:p>
    <w:p>
      <w:pPr>
        <w:pStyle w:val="Heading2"/>
        <w:keepNext/>
        <w:spacing w:before="160" w:after="80" w:line="264" w:lineRule="auto"/>
      </w:pPr>
      <w:r>
        <w:rPr>
          <w:rFonts w:ascii="Arial" w:hAnsi="Arial"/>
        </w:rPr>
        <w:t>25.4 The most dangerous competitor bulls underestimate</w:t>
      </w:r>
    </w:p>
    <w:p>
      <w:pPr>
        <w:spacing w:before="0" w:after="100" w:line="288" w:lineRule="auto"/>
      </w:pPr>
      <w:r>
        <w:rPr>
          <w:rFonts w:ascii="Arial" w:hAnsi="Arial"/>
          <w:b/>
          <w:sz w:val="19"/>
        </w:rPr>
        <w:t>Illegal online casinos.</w:t>
      </w:r>
      <w:r>
        <w:rPr>
          <w:rFonts w:ascii="Arial" w:hAnsi="Arial"/>
          <w:sz w:val="19"/>
        </w:rPr>
        <w:t xml:space="preserve"> They operate 24 hours a day, need no ID or travel, offer higher limits, and the AML proposal would widen their advantage. Every regulatory tightening at Kangwon Land is a subsidy to them. That is the industry's own argument against the AML rule.</w:t>
      </w:r>
    </w:p>
    <w:p>
      <w:pPr>
        <w:pStyle w:val="Heading2"/>
        <w:keepNext/>
        <w:spacing w:before="160" w:after="80" w:line="264" w:lineRule="auto"/>
      </w:pPr>
      <w:r>
        <w:rPr>
          <w:rFonts w:ascii="Arial" w:hAnsi="Arial"/>
        </w:rPr>
        <w:t>25.5 The worst capital-allocation decisions</w:t>
      </w:r>
    </w:p>
    <w:p>
      <w:pPr>
        <w:spacing w:before="0" w:after="50" w:line="276" w:lineRule="auto"/>
        <w:ind w:left="360" w:hanging="245"/>
      </w:pPr>
      <w:r>
        <w:rPr>
          <w:rFonts w:ascii="Arial" w:hAnsi="Arial"/>
          <w:sz w:val="19"/>
        </w:rPr>
        <w:t xml:space="preserve">1.  </w:t>
      </w:r>
      <w:r>
        <w:rPr>
          <w:rFonts w:ascii="Arial" w:hAnsi="Arial"/>
          <w:b/>
          <w:sz w:val="19"/>
        </w:rPr>
        <w:t>Regional subsidiaries:</w:t>
      </w:r>
      <w:r>
        <w:rPr>
          <w:rFonts w:ascii="Arial" w:hAnsi="Arial"/>
          <w:sz w:val="19"/>
        </w:rPr>
        <w:t xml:space="preserve"> Sangdong theme park (82% impaired; never opened), High1 Entertainment (83% impaired), Choo Choo Park (never profitable).</w:t>
      </w:r>
    </w:p>
    <w:p>
      <w:pPr>
        <w:spacing w:before="0" w:after="50" w:line="276" w:lineRule="auto"/>
        <w:ind w:left="360" w:hanging="245"/>
      </w:pPr>
      <w:r>
        <w:rPr>
          <w:rFonts w:ascii="Arial" w:hAnsi="Arial"/>
          <w:sz w:val="19"/>
        </w:rPr>
        <w:t xml:space="preserve">2.  </w:t>
      </w:r>
      <w:r>
        <w:rPr>
          <w:rFonts w:ascii="Arial" w:hAnsi="Arial"/>
          <w:b/>
          <w:sz w:val="19"/>
        </w:rPr>
        <w:t>O2 Resort:</w:t>
      </w:r>
      <w:r>
        <w:rPr>
          <w:rFonts w:ascii="Arial" w:hAnsi="Arial"/>
          <w:sz w:val="19"/>
        </w:rPr>
        <w:t xml:space="preserve"> a KRW15bn donation, for which the directors were held liable.</w:t>
      </w:r>
    </w:p>
    <w:p>
      <w:pPr>
        <w:spacing w:before="0" w:after="50" w:line="276" w:lineRule="auto"/>
        <w:ind w:left="360" w:hanging="245"/>
      </w:pPr>
      <w:r>
        <w:rPr>
          <w:rFonts w:ascii="Arial" w:hAnsi="Arial"/>
          <w:sz w:val="19"/>
        </w:rPr>
        <w:t xml:space="preserve">3.  </w:t>
      </w:r>
      <w:r>
        <w:rPr>
          <w:rFonts w:ascii="Arial" w:hAnsi="Arial"/>
          <w:b/>
          <w:sz w:val="19"/>
        </w:rPr>
        <w:t>K-HIT's escalation</w:t>
      </w:r>
      <w:r>
        <w:rPr>
          <w:rFonts w:ascii="Arial" w:hAnsi="Arial"/>
          <w:sz w:val="19"/>
        </w:rPr>
        <w:t xml:space="preserve"> from KRW2.5tn to ~KRW3tn with no IRR disclosed, plus a request to bypass the feasibility study.</w:t>
      </w:r>
    </w:p>
    <w:p>
      <w:pPr>
        <w:spacing w:before="0" w:after="50" w:line="276" w:lineRule="auto"/>
        <w:ind w:left="360" w:hanging="245"/>
      </w:pPr>
      <w:r>
        <w:rPr>
          <w:rFonts w:ascii="Arial" w:hAnsi="Arial"/>
          <w:sz w:val="19"/>
        </w:rPr>
        <w:t xml:space="preserve">4.  </w:t>
      </w:r>
      <w:r>
        <w:rPr>
          <w:rFonts w:ascii="Arial" w:hAnsi="Arial"/>
          <w:b/>
          <w:sz w:val="19"/>
        </w:rPr>
        <w:t>Treasury shares:</w:t>
      </w:r>
      <w:r>
        <w:rPr>
          <w:rFonts w:ascii="Arial" w:hAnsi="Arial"/>
          <w:sz w:val="19"/>
        </w:rPr>
        <w:t xml:space="preserve"> bought (KRW77bn, 2024-26) but not cancelled, with the articles amended to allow sale.</w:t>
      </w:r>
    </w:p>
    <w:p>
      <w:pPr>
        <w:spacing w:before="0" w:after="50" w:line="276" w:lineRule="auto"/>
        <w:ind w:left="360" w:hanging="245"/>
      </w:pPr>
      <w:r>
        <w:rPr>
          <w:rFonts w:ascii="Arial" w:hAnsi="Arial"/>
          <w:sz w:val="19"/>
        </w:rPr>
        <w:t xml:space="preserve">5.  </w:t>
      </w:r>
      <w:r>
        <w:rPr>
          <w:rFonts w:ascii="Arial" w:hAnsi="Arial"/>
          <w:b/>
          <w:sz w:val="19"/>
        </w:rPr>
        <w:t>Labour costs:</w:t>
      </w:r>
      <w:r>
        <w:rPr>
          <w:rFonts w:ascii="Arial" w:hAnsi="Arial"/>
          <w:sz w:val="19"/>
        </w:rPr>
        <w:t xml:space="preserve"> a bonus culture tied to public-enterprise grades rather than returns.</w:t>
      </w:r>
    </w:p>
    <w:p>
      <w:pPr>
        <w:pStyle w:val="Heading2"/>
        <w:keepNext/>
        <w:spacing w:before="160" w:after="80" w:line="264" w:lineRule="auto"/>
      </w:pPr>
      <w:r>
        <w:rPr>
          <w:rFonts w:ascii="Arial" w:hAnsi="Arial"/>
        </w:rPr>
        <w:t>25.6 Related-party transactions, accounting and incentives</w:t>
      </w:r>
    </w:p>
    <w:p>
      <w:pPr>
        <w:spacing w:before="0" w:after="50" w:line="276" w:lineRule="auto"/>
        <w:ind w:left="360" w:hanging="245"/>
      </w:pPr>
      <w:r>
        <w:rPr>
          <w:rFonts w:ascii="Arial" w:hAnsi="Arial"/>
          <w:color w:val="2E74B5"/>
          <w:sz w:val="16"/>
        </w:rPr>
        <w:t xml:space="preserve">▪  </w:t>
      </w:r>
      <w:r>
        <w:rPr>
          <w:rFonts w:ascii="Arial" w:hAnsi="Arial"/>
          <w:b/>
          <w:sz w:val="19"/>
        </w:rPr>
        <w:t>Public shareholders:</w:t>
      </w:r>
      <w:r>
        <w:rPr>
          <w:rFonts w:ascii="Arial" w:hAnsi="Arial"/>
          <w:sz w:val="19"/>
        </w:rPr>
        <w:t xml:space="preserve"> KOMIR and the municipalities benefit from dividends but also from regional spending, donations and local procurement.</w:t>
      </w:r>
    </w:p>
    <w:p>
      <w:pPr>
        <w:spacing w:before="0" w:after="50" w:line="276" w:lineRule="auto"/>
        <w:ind w:left="360" w:hanging="245"/>
      </w:pPr>
      <w:r>
        <w:rPr>
          <w:rFonts w:ascii="Arial" w:hAnsi="Arial"/>
          <w:color w:val="2E74B5"/>
          <w:sz w:val="16"/>
        </w:rPr>
        <w:t xml:space="preserve">▪  </w:t>
      </w:r>
      <w:r>
        <w:rPr>
          <w:rFonts w:ascii="Arial" w:hAnsi="Arial"/>
          <w:b/>
          <w:sz w:val="19"/>
        </w:rPr>
        <w:t>Board:</w:t>
      </w:r>
      <w:r>
        <w:rPr>
          <w:rFonts w:ascii="Arial" w:hAnsi="Arial"/>
          <w:sz w:val="19"/>
        </w:rPr>
        <w:t xml:space="preserve"> directors are appointed through government channels.</w:t>
      </w:r>
    </w:p>
    <w:p>
      <w:pPr>
        <w:spacing w:before="0" w:after="50" w:line="276" w:lineRule="auto"/>
        <w:ind w:left="360" w:hanging="245"/>
      </w:pPr>
      <w:r>
        <w:rPr>
          <w:rFonts w:ascii="Arial" w:hAnsi="Arial"/>
          <w:color w:val="2E74B5"/>
          <w:sz w:val="16"/>
        </w:rPr>
        <w:t xml:space="preserve">▪  </w:t>
      </w:r>
      <w:r>
        <w:rPr>
          <w:rFonts w:ascii="Arial" w:hAnsi="Arial"/>
          <w:b/>
          <w:sz w:val="19"/>
        </w:rPr>
        <w:t>Management incentives:</w:t>
      </w:r>
      <w:r>
        <w:rPr>
          <w:rFonts w:ascii="Arial" w:hAnsi="Arial"/>
          <w:sz w:val="19"/>
        </w:rPr>
        <w:t xml:space="preserve"> pay is tied to public-enterprise evaluation grades (social value, safety) rather than to TSR or ROIC.</w:t>
      </w:r>
    </w:p>
    <w:p>
      <w:pPr>
        <w:spacing w:before="0" w:after="50" w:line="276" w:lineRule="auto"/>
        <w:ind w:left="360" w:hanging="245"/>
      </w:pPr>
      <w:r>
        <w:rPr>
          <w:rFonts w:ascii="Arial" w:hAnsi="Arial"/>
          <w:color w:val="2E74B5"/>
          <w:sz w:val="16"/>
        </w:rPr>
        <w:t xml:space="preserve">▪  </w:t>
      </w:r>
      <w:r>
        <w:rPr>
          <w:rFonts w:ascii="Arial" w:hAnsi="Arial"/>
          <w:b/>
          <w:sz w:val="19"/>
        </w:rPr>
        <w:t>Donations:</w:t>
      </w:r>
      <w:r>
        <w:rPr>
          <w:rFonts w:ascii="Arial" w:hAnsi="Arial"/>
          <w:sz w:val="19"/>
        </w:rPr>
        <w:t xml:space="preserve"> booked below the operating line (KRW19.5bn in 2Q25), which flatters OP.</w:t>
      </w:r>
    </w:p>
    <w:p>
      <w:pPr>
        <w:pStyle w:val="Heading2"/>
        <w:keepNext/>
        <w:spacing w:before="160" w:after="80" w:line="264" w:lineRule="auto"/>
      </w:pPr>
      <w:r>
        <w:rPr>
          <w:rFonts w:ascii="Arial" w:hAnsi="Arial"/>
        </w:rPr>
        <w:t>25.7 What must hold for the current price to be justified, and what if growth disappoints by 20-30%?</w:t>
      </w:r>
    </w:p>
    <w:p>
      <w:pPr>
        <w:spacing w:before="0" w:after="50" w:line="276" w:lineRule="auto"/>
        <w:ind w:left="360" w:hanging="245"/>
      </w:pPr>
      <w:r>
        <w:rPr>
          <w:rFonts w:ascii="Arial" w:hAnsi="Arial"/>
          <w:color w:val="2E74B5"/>
          <w:sz w:val="16"/>
        </w:rPr>
        <w:t xml:space="preserve">▪  </w:t>
      </w:r>
      <w:r>
        <w:rPr>
          <w:rFonts w:ascii="Arial" w:hAnsi="Arial"/>
          <w:b/>
          <w:sz w:val="19"/>
        </w:rPr>
        <w:t>What the price implies:</w:t>
      </w:r>
      <w:r>
        <w:rPr>
          <w:rFonts w:ascii="Arial" w:hAnsi="Arial"/>
          <w:sz w:val="19"/>
        </w:rPr>
        <w:t xml:space="preserve"> at KRW14,180 the market assumes the excess cash is fully lost to K-HIT and leakage, or that operating EBITDA is permanently impaired.</w:t>
      </w:r>
    </w:p>
    <w:p>
      <w:pPr>
        <w:spacing w:before="0" w:after="50" w:line="276" w:lineRule="auto"/>
        <w:ind w:left="360" w:hanging="245"/>
      </w:pPr>
      <w:r>
        <w:rPr>
          <w:rFonts w:ascii="Arial" w:hAnsi="Arial"/>
          <w:color w:val="2E74B5"/>
          <w:sz w:val="16"/>
        </w:rPr>
        <w:t xml:space="preserve">▪  </w:t>
      </w:r>
      <w:r>
        <w:rPr>
          <w:rFonts w:ascii="Arial" w:hAnsi="Arial"/>
          <w:b/>
          <w:sz w:val="19"/>
        </w:rPr>
        <w:t>20% EBITDA shortfall:</w:t>
      </w:r>
      <w:r>
        <w:rPr>
          <w:rFonts w:ascii="Arial" w:hAnsi="Arial"/>
          <w:sz w:val="19"/>
        </w:rPr>
        <w:t xml:space="preserve"> if EBITDA falls 20-30% to KRW215-245bn (AML or levy), our base value falls to ~KRW14,200-15,100 at 6.5x. That is broadly today's price.</w:t>
      </w:r>
    </w:p>
    <w:p>
      <w:pPr>
        <w:spacing w:before="0" w:after="50" w:line="276" w:lineRule="auto"/>
        <w:ind w:left="360" w:hanging="245"/>
      </w:pPr>
      <w:r>
        <w:rPr>
          <w:rFonts w:ascii="Arial" w:hAnsi="Arial"/>
          <w:color w:val="2E74B5"/>
          <w:sz w:val="16"/>
        </w:rPr>
        <w:t xml:space="preserve">▪  </w:t>
      </w:r>
      <w:r>
        <w:rPr>
          <w:rFonts w:ascii="Arial" w:hAnsi="Arial"/>
          <w:b/>
          <w:sz w:val="19"/>
        </w:rPr>
        <w:t>Why that matters:</w:t>
      </w:r>
      <w:r>
        <w:rPr>
          <w:rFonts w:ascii="Arial" w:hAnsi="Arial"/>
          <w:sz w:val="19"/>
        </w:rPr>
        <w:t xml:space="preserve"> today's price already discounts a 20-30% earnings hit </w:t>
      </w:r>
      <w:r>
        <w:rPr>
          <w:rFonts w:ascii="Arial" w:hAnsi="Arial"/>
          <w:b/>
          <w:sz w:val="19"/>
        </w:rPr>
        <w:t>or</w:t>
      </w:r>
      <w:r>
        <w:rPr>
          <w:rFonts w:ascii="Arial" w:hAnsi="Arial"/>
          <w:sz w:val="19"/>
        </w:rPr>
        <w:t xml:space="preserve"> the full loss of excess cash. It cannot be fully exposed to both at once, unless both happen together, which is our bear case.</w:t>
      </w:r>
    </w:p>
    <w:p>
      <w:pPr>
        <w:pStyle w:val="Heading2"/>
        <w:keepNext/>
        <w:spacing w:before="160" w:after="80" w:line="264" w:lineRule="auto"/>
      </w:pPr>
      <w:r>
        <w:rPr>
          <w:rFonts w:ascii="Arial" w:hAnsi="Arial"/>
        </w:rPr>
        <w:t>25.8 The single scenario that would permanently impair the business</w:t>
      </w:r>
    </w:p>
    <w:p>
      <w:pPr>
        <w:spacing w:before="0" w:after="100" w:line="288" w:lineRule="auto"/>
      </w:pPr>
      <w:r>
        <w:rPr>
          <w:rFonts w:ascii="Arial" w:hAnsi="Arial"/>
          <w:sz w:val="19"/>
        </w:rPr>
        <w:t>AML due diligence applied to every chip purchase, together with a K-HIT feasibility exemption. Revenue would drop by a quarter while cash is committed to a ~KRW3tn build that could never earn its cost of capital. Value would be ~KRW9,000-10,000 a share.</w:t>
      </w:r>
    </w:p>
    <w:p>
      <w:pPr>
        <w:pStyle w:val="Heading2"/>
        <w:keepNext/>
        <w:spacing w:before="160" w:after="80" w:line="264" w:lineRule="auto"/>
      </w:pPr>
      <w:r>
        <w:rPr>
          <w:rFonts w:ascii="Arial" w:hAnsi="Arial"/>
        </w:rPr>
        <w:t>25.9 Forensic accounting review: red flags and risks</w:t>
      </w:r>
    </w:p>
    <w:tbl>
      <w:tblPr>
        <w:tblW w:type="auto" w:w="0"/>
        <w:jc w:val="center"/>
        <w:tblLook w:firstColumn="1" w:firstRow="1" w:lastColumn="0" w:lastRow="0" w:noHBand="0" w:noVBand="1" w:val="04A0"/>
        <w:tblLayout w:type="fixed"/>
        <w:tblW w:type="dxa" w:w="9906"/>
      </w:tblPr>
      <w:tblGrid>
        <w:gridCol w:w="1453"/>
        <w:gridCol w:w="4486"/>
        <w:gridCol w:w="3965"/>
      </w:tblGrid>
      <w:tr>
        <w:trPr>
          <w:tblHeader/>
        </w:trPr>
        <w:tc>
          <w:tcPr>
            <w:tcW w:type="dxa" w:w="1453"/>
            <w:tcW w:type="dxa" w:w="1453"/>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Area</w:t>
            </w:r>
          </w:p>
        </w:tc>
        <w:tc>
          <w:tcPr>
            <w:tcW w:type="dxa" w:w="4486"/>
            <w:tcW w:type="dxa" w:w="4486"/>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Observation</w:t>
            </w:r>
          </w:p>
        </w:tc>
        <w:tc>
          <w:tcPr>
            <w:tcW w:type="dxa" w:w="3965"/>
            <w:tcW w:type="dxa" w:w="3965"/>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Risk</w:t>
            </w:r>
          </w:p>
        </w:tc>
      </w:tr>
      <w:tr>
        <w:trPr>
          <w:cantSplit/>
        </w:trPr>
        <w:tc>
          <w:tcPr>
            <w:tcW w:type="dxa" w:w="1453"/>
            <w:tcW w:type="dxa" w:w="1453"/>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b/>
                <w:sz w:val="15"/>
              </w:rPr>
              <w:t>Earnings quality</w:t>
            </w:r>
          </w:p>
        </w:tc>
        <w:tc>
          <w:tcPr>
            <w:tcW w:type="dxa" w:w="4486"/>
            <w:tcW w:type="dxa" w:w="4486"/>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sz w:val="15"/>
              </w:rPr>
              <w:t>Non-operating income is ~45% of pre-tax profit [e]: KRW97.3bn valuation gain in 2Q26; ~KRW123bn of VAT refunds in FY24</w:t>
            </w:r>
          </w:p>
        </w:tc>
        <w:tc>
          <w:tcPr>
            <w:tcW w:type="dxa" w:w="3965"/>
            <w:tcW w:type="dxa" w:w="3965"/>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b/>
                <w:sz w:val="15"/>
              </w:rPr>
              <w:t>High.</w:t>
            </w:r>
            <w:r>
              <w:rPr>
                <w:rFonts w:ascii="Arial" w:hAnsi="Arial"/>
                <w:sz w:val="15"/>
              </w:rPr>
              <w:t xml:space="preserve"> Reported NP overstates recurring earnings; strip valuation gains and refunds</w:t>
            </w:r>
          </w:p>
        </w:tc>
      </w:tr>
      <w:tr>
        <w:trPr>
          <w:cantSplit/>
        </w:trPr>
        <w:tc>
          <w:tcPr>
            <w:tcW w:type="dxa" w:w="1453"/>
            <w:tcW w:type="dxa" w:w="1453"/>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b/>
                <w:sz w:val="15"/>
              </w:rPr>
              <w:t>Cash-flow conversion</w:t>
            </w:r>
          </w:p>
        </w:tc>
        <w:tc>
          <w:tcPr>
            <w:tcW w:type="dxa" w:w="4486"/>
            <w:tcW w:type="dxa" w:w="4486"/>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sz w:val="15"/>
              </w:rPr>
              <w:t>Operating cash flow was a net outflow in 1H26 (IB Tomato)</w:t>
            </w:r>
          </w:p>
        </w:tc>
        <w:tc>
          <w:tcPr>
            <w:tcW w:type="dxa" w:w="3965"/>
            <w:tcW w:type="dxa" w:w="3965"/>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b/>
                <w:sz w:val="15"/>
              </w:rPr>
              <w:t>Medium.</w:t>
            </w:r>
            <w:r>
              <w:rPr>
                <w:rFonts w:ascii="Arial" w:hAnsi="Arial"/>
                <w:sz w:val="15"/>
              </w:rPr>
              <w:t xml:space="preserve"> Likely levy, tax and bonus timing; check 3Q26</w:t>
            </w:r>
          </w:p>
        </w:tc>
      </w:tr>
      <w:tr>
        <w:trPr>
          <w:cantSplit/>
        </w:trPr>
        <w:tc>
          <w:tcPr>
            <w:tcW w:type="dxa" w:w="1453"/>
            <w:tcW w:type="dxa" w:w="1453"/>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b/>
                <w:sz w:val="15"/>
              </w:rPr>
              <w:t>Composition of financial assets</w:t>
            </w:r>
          </w:p>
        </w:tc>
        <w:tc>
          <w:tcPr>
            <w:tcW w:type="dxa" w:w="4486"/>
            <w:tcW w:type="dxa" w:w="4486"/>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sz w:val="15"/>
              </w:rPr>
              <w:t>Cash and equivalents only KRW162bn (Sep-25) vs ~KRW2.8tn of financial assets in short-term instruments and funds</w:t>
            </w:r>
          </w:p>
        </w:tc>
        <w:tc>
          <w:tcPr>
            <w:tcW w:type="dxa" w:w="3965"/>
            <w:tcW w:type="dxa" w:w="3965"/>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b/>
                <w:sz w:val="15"/>
              </w:rPr>
              <w:t>Medium.</w:t>
            </w:r>
            <w:r>
              <w:rPr>
                <w:rFonts w:ascii="Arial" w:hAnsi="Arial"/>
                <w:sz w:val="15"/>
              </w:rPr>
              <w:t xml:space="preserve"> Credit, duration and fund risk not disclosed in our sources; fair-value gains are volatile</w:t>
            </w:r>
          </w:p>
        </w:tc>
      </w:tr>
      <w:tr>
        <w:trPr>
          <w:cantSplit/>
        </w:trPr>
        <w:tc>
          <w:tcPr>
            <w:tcW w:type="dxa" w:w="1453"/>
            <w:tcW w:type="dxa" w:w="1453"/>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b/>
                <w:sz w:val="15"/>
              </w:rPr>
              <w:t>Bonus and labour accruals</w:t>
            </w:r>
          </w:p>
        </w:tc>
        <w:tc>
          <w:tcPr>
            <w:tcW w:type="dxa" w:w="4486"/>
            <w:tcW w:type="dxa" w:w="4486"/>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sz w:val="15"/>
              </w:rPr>
              <w:t>KRW24.5bn one-off in 2Q25; accrual timing linked to evaluation grades</w:t>
            </w:r>
          </w:p>
        </w:tc>
        <w:tc>
          <w:tcPr>
            <w:tcW w:type="dxa" w:w="3965"/>
            <w:tcW w:type="dxa" w:w="3965"/>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sz w:val="15"/>
              </w:rPr>
              <w:t>Medium: quarterly OP noise</w:t>
            </w:r>
          </w:p>
        </w:tc>
      </w:tr>
      <w:tr>
        <w:trPr>
          <w:cantSplit/>
        </w:trPr>
        <w:tc>
          <w:tcPr>
            <w:tcW w:type="dxa" w:w="1453"/>
            <w:tcW w:type="dxa" w:w="1453"/>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b/>
                <w:sz w:val="15"/>
              </w:rPr>
              <w:t>Donations</w:t>
            </w:r>
          </w:p>
        </w:tc>
        <w:tc>
          <w:tcPr>
            <w:tcW w:type="dxa" w:w="4486"/>
            <w:tcW w:type="dxa" w:w="4486"/>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sz w:val="15"/>
              </w:rPr>
              <w:t>Below OP; timing shifts between quarters (1Q26 vs 2Q25)</w:t>
            </w:r>
          </w:p>
        </w:tc>
        <w:tc>
          <w:tcPr>
            <w:tcW w:type="dxa" w:w="3965"/>
            <w:tcW w:type="dxa" w:w="3965"/>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sz w:val="15"/>
              </w:rPr>
              <w:t>Medium: flatters OP; the true cost of social licence</w:t>
            </w:r>
          </w:p>
        </w:tc>
      </w:tr>
      <w:tr>
        <w:trPr>
          <w:cantSplit/>
        </w:trPr>
        <w:tc>
          <w:tcPr>
            <w:tcW w:type="dxa" w:w="1453"/>
            <w:tcW w:type="dxa" w:w="1453"/>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b/>
                <w:sz w:val="15"/>
              </w:rPr>
              <w:t>Comps and points</w:t>
            </w:r>
          </w:p>
        </w:tc>
        <w:tc>
          <w:tcPr>
            <w:tcW w:type="dxa" w:w="4486"/>
            <w:tcW w:type="dxa" w:w="4486"/>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sz w:val="15"/>
              </w:rPr>
              <w:t>&gt;KRW100bn a year accrues; &gt;70% redeemed at Kangwon Land outlets</w:t>
            </w:r>
          </w:p>
        </w:tc>
        <w:tc>
          <w:tcPr>
            <w:tcW w:type="dxa" w:w="3965"/>
            <w:tcW w:type="dxa" w:w="3965"/>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sz w:val="15"/>
              </w:rPr>
              <w:t>Medium: revenue recognition, net vs gross</w:t>
            </w:r>
          </w:p>
        </w:tc>
      </w:tr>
      <w:tr>
        <w:trPr>
          <w:cantSplit/>
        </w:trPr>
        <w:tc>
          <w:tcPr>
            <w:tcW w:type="dxa" w:w="1453"/>
            <w:tcW w:type="dxa" w:w="1453"/>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b/>
                <w:sz w:val="15"/>
              </w:rPr>
              <w:t>Levies</w:t>
            </w:r>
          </w:p>
        </w:tc>
        <w:tc>
          <w:tcPr>
            <w:tcW w:type="dxa" w:w="4486"/>
            <w:tcW w:type="dxa" w:w="4486"/>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sz w:val="15"/>
              </w:rPr>
              <w:t>Mine fund at 13% of casino gross sales, payable even in a loss year; NGCC gaming sales (~KRW1.43tn) vs reported casino revenue (~KRW1.28tn [e])</w:t>
            </w:r>
          </w:p>
        </w:tc>
        <w:tc>
          <w:tcPr>
            <w:tcW w:type="dxa" w:w="3965"/>
            <w:tcW w:type="dxa" w:w="3965"/>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sz w:val="15"/>
              </w:rPr>
              <w:t>Low-medium: base definitions differ</w:t>
            </w:r>
          </w:p>
        </w:tc>
      </w:tr>
      <w:tr>
        <w:trPr>
          <w:cantSplit/>
        </w:trPr>
        <w:tc>
          <w:tcPr>
            <w:tcW w:type="dxa" w:w="1453"/>
            <w:tcW w:type="dxa" w:w="1453"/>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b/>
                <w:sz w:val="15"/>
              </w:rPr>
              <w:t>Subsidiaries</w:t>
            </w:r>
          </w:p>
        </w:tc>
        <w:tc>
          <w:tcPr>
            <w:tcW w:type="dxa" w:w="4486"/>
            <w:tcW w:type="dxa" w:w="4486"/>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sz w:val="15"/>
              </w:rPr>
              <w:t>History of 80%+ impairments</w:t>
            </w:r>
          </w:p>
        </w:tc>
        <w:tc>
          <w:tcPr>
            <w:tcW w:type="dxa" w:w="3965"/>
            <w:tcW w:type="dxa" w:w="3965"/>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sz w:val="15"/>
              </w:rPr>
              <w:t>Low today (immaterial)</w:t>
            </w:r>
          </w:p>
        </w:tc>
      </w:tr>
      <w:tr>
        <w:trPr>
          <w:cantSplit/>
        </w:trPr>
        <w:tc>
          <w:tcPr>
            <w:tcW w:type="dxa" w:w="1453"/>
            <w:tcW w:type="dxa" w:w="1453"/>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b/>
                <w:sz w:val="15"/>
              </w:rPr>
              <w:t>Tax disputes</w:t>
            </w:r>
          </w:p>
        </w:tc>
        <w:tc>
          <w:tcPr>
            <w:tcW w:type="dxa" w:w="4486"/>
            <w:tcW w:type="dxa" w:w="4486"/>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sz w:val="15"/>
              </w:rPr>
              <w:t>VAT litigation won (refunds in 2024)</w:t>
            </w:r>
          </w:p>
        </w:tc>
        <w:tc>
          <w:tcPr>
            <w:tcW w:type="dxa" w:w="3965"/>
            <w:tcW w:type="dxa" w:w="3965"/>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sz w:val="15"/>
              </w:rPr>
              <w:t>Low: reversal risk n/f</w:t>
            </w:r>
          </w:p>
        </w:tc>
      </w:tr>
      <w:tr>
        <w:trPr>
          <w:cantSplit/>
        </w:trPr>
        <w:tc>
          <w:tcPr>
            <w:tcW w:type="dxa" w:w="1453"/>
            <w:tcW w:type="dxa" w:w="1453"/>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b/>
                <w:sz w:val="15"/>
              </w:rPr>
              <w:t>Capitalisation of K-HIT costs</w:t>
            </w:r>
          </w:p>
        </w:tc>
        <w:tc>
          <w:tcPr>
            <w:tcW w:type="dxa" w:w="4486"/>
            <w:tcW w:type="dxa" w:w="4486"/>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sz w:val="15"/>
              </w:rPr>
              <w:t>Design and feasibility costs may be capitalised</w:t>
            </w:r>
          </w:p>
        </w:tc>
        <w:tc>
          <w:tcPr>
            <w:tcW w:type="dxa" w:w="3965"/>
            <w:tcW w:type="dxa" w:w="3965"/>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sz w:val="15"/>
              </w:rPr>
              <w:t>Medium as spending ramps</w:t>
            </w:r>
          </w:p>
        </w:tc>
      </w:tr>
    </w:tbl>
    <w:p>
      <w:pPr>
        <w:spacing w:before="0" w:after="40" w:line="240" w:lineRule="auto"/>
      </w:pPr>
    </w:p>
    <w:p>
      <w:pPr>
        <w:spacing w:before="0" w:after="100" w:line="288" w:lineRule="auto"/>
      </w:pPr>
      <w:r>
        <w:rPr>
          <w:rFonts w:ascii="Arial" w:hAnsi="Arial"/>
          <w:b/>
          <w:sz w:val="19"/>
        </w:rPr>
        <w:t>Overall:</w:t>
      </w:r>
      <w:r>
        <w:rPr>
          <w:rFonts w:ascii="Arial" w:hAnsi="Arial"/>
          <w:sz w:val="19"/>
        </w:rPr>
        <w:t xml:space="preserve"> no evidence of manipulation. The main forensic issue is that headline net profit and P/E are flattered by financial income and one-offs. On operating profit alone, after tax, the FY27E P/E ex-cash is ~1.8x.</w:t>
      </w:r>
    </w:p>
    <w:p>
      <w:pPr>
        <w:pStyle w:val="Heading1"/>
        <w:pageBreakBefore/>
        <w:spacing w:before="0" w:after="120" w:line="264" w:lineRule="auto"/>
      </w:pPr>
      <w:r>
        <w:rPr>
          <w:rFonts w:ascii="Arial" w:hAnsi="Arial"/>
        </w:rPr>
        <w:t>26. Is There an Activist Angle? What an Activist Would Push For</w:t>
      </w:r>
    </w:p>
    <w:p>
      <w:pPr>
        <w:spacing w:before="0" w:after="100" w:line="288" w:lineRule="auto"/>
      </w:pPr>
      <w:r>
        <w:rPr>
          <w:rFonts w:ascii="Arial" w:hAnsi="Arial"/>
          <w:b/>
          <w:sz w:val="19"/>
        </w:rPr>
        <w:t>Yes, for the first time.</w:t>
      </w:r>
      <w:r>
        <w:rPr>
          <w:rFonts w:ascii="Arial" w:hAnsi="Arial"/>
          <w:sz w:val="19"/>
        </w:rPr>
        <w:t xml:space="preserve"> Control is impossible: there is a statutory 51% public floor. But the 2025-26 Commercial Act amendments and KOMIR's balance sheet create a constructive-activism case built on capital allocation, with the controller's own cash needs as the argument.</w:t>
      </w:r>
    </w:p>
    <w:tbl>
      <w:tblPr>
        <w:tblW w:type="auto" w:w="0"/>
        <w:jc w:val="center"/>
        <w:tblLook w:firstColumn="1" w:firstRow="1" w:lastColumn="0" w:lastRow="0" w:noHBand="0" w:noVBand="1" w:val="04A0"/>
        <w:tblLayout w:type="fixed"/>
        <w:tblW w:type="dxa" w:w="9906"/>
      </w:tblPr>
      <w:tblGrid>
        <w:gridCol w:w="2712"/>
        <w:gridCol w:w="3596"/>
        <w:gridCol w:w="3596"/>
      </w:tblGrid>
      <w:tr>
        <w:trPr>
          <w:tblHeader/>
        </w:trPr>
        <w:tc>
          <w:tcPr>
            <w:tcW w:type="dxa" w:w="2712"/>
            <w:tcW w:type="dxa" w:w="2712"/>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Lever</w:t>
            </w:r>
          </w:p>
        </w:tc>
        <w:tc>
          <w:tcPr>
            <w:tcW w:type="dxa" w:w="3596"/>
            <w:tcW w:type="dxa" w:w="3596"/>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Mechanism</w:t>
            </w:r>
          </w:p>
        </w:tc>
        <w:tc>
          <w:tcPr>
            <w:tcW w:type="dxa" w:w="3596"/>
            <w:tcW w:type="dxa" w:w="3596"/>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What it is worth</w:t>
            </w:r>
          </w:p>
        </w:tc>
      </w:tr>
      <w:tr>
        <w:trPr>
          <w:cantSplit/>
        </w:trPr>
        <w:tc>
          <w:tcPr>
            <w:tcW w:type="dxa" w:w="2712"/>
            <w:tcW w:type="dxa" w:w="2712"/>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b/>
                <w:sz w:val="15"/>
              </w:rPr>
              <w:t>1. Cumulative voting</w:t>
            </w:r>
            <w:r>
              <w:rPr>
                <w:rFonts w:ascii="Arial" w:hAnsi="Arial"/>
                <w:b/>
                <w:sz w:val="15"/>
              </w:rPr>
              <w:t xml:space="preserve"> (mandatory from 10-Sep-2026 for assets ≥KRW2tn)</w:t>
            </w:r>
          </w:p>
        </w:tc>
        <w:tc>
          <w:tcPr>
            <w:tcW w:type="dxa" w:w="3596"/>
            <w:tcW w:type="dxa" w:w="3596"/>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sz w:val="15"/>
              </w:rPr>
              <w:t>The 41.6% free float concentrates votes on a minority nominee</w:t>
            </w:r>
          </w:p>
        </w:tc>
        <w:tc>
          <w:tcPr>
            <w:tcW w:type="dxa" w:w="3596"/>
            <w:tcW w:type="dxa" w:w="3596"/>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sz w:val="15"/>
              </w:rPr>
              <w:t>One or two board seats when several directors are elected at once [e]; interplay with MOEF appointment of non-standing directors untested [u]</w:t>
            </w:r>
          </w:p>
        </w:tc>
      </w:tr>
      <w:tr>
        <w:trPr>
          <w:cantSplit/>
        </w:trPr>
        <w:tc>
          <w:tcPr>
            <w:tcW w:type="dxa" w:w="2712"/>
            <w:tcW w:type="dxa" w:w="2712"/>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b/>
                <w:sz w:val="15"/>
              </w:rPr>
              <w:t>2. Separate audit-committee election, 3% cap on the largest shareholder</w:t>
            </w:r>
          </w:p>
        </w:tc>
        <w:tc>
          <w:tcPr>
            <w:tcW w:type="dxa" w:w="3596"/>
            <w:tcW w:type="dxa" w:w="3596"/>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sz w:val="15"/>
              </w:rPr>
              <w:t>KOMIR (36.27%) votes only 3%. Other public holders (14.75%) vote fully if they are not treated as KOMIR's related parties [u]</w:t>
            </w:r>
          </w:p>
        </w:tc>
        <w:tc>
          <w:tcPr>
            <w:tcW w:type="dxa" w:w="3596"/>
            <w:tcW w:type="dxa" w:w="3596"/>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sz w:val="15"/>
              </w:rPr>
              <w:t>Minorities (41.6%) could out-vote public holders (~17.75%) on audit-committee seats [e]</w:t>
            </w:r>
          </w:p>
        </w:tc>
      </w:tr>
      <w:tr>
        <w:trPr>
          <w:cantSplit/>
        </w:trPr>
        <w:tc>
          <w:tcPr>
            <w:tcW w:type="dxa" w:w="2712"/>
            <w:tcW w:type="dxa" w:w="2712"/>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b/>
                <w:sz w:val="15"/>
              </w:rPr>
              <w:t>3. Treasury-share retention needs annual approval</w:t>
            </w:r>
          </w:p>
        </w:tc>
        <w:tc>
          <w:tcPr>
            <w:tcW w:type="dxa" w:w="3596"/>
            <w:tcW w:type="dxa" w:w="3596"/>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sz w:val="15"/>
              </w:rPr>
              <w:t>Vote against retention; the Commercial Act forces cancellation by ~Sep-2027 [e]</w:t>
            </w:r>
          </w:p>
        </w:tc>
        <w:tc>
          <w:tcPr>
            <w:tcW w:type="dxa" w:w="3596"/>
            <w:tcW w:type="dxa" w:w="3596"/>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sz w:val="15"/>
              </w:rPr>
              <w:t>Cancels 7.36%; signals discipline</w:t>
            </w:r>
          </w:p>
        </w:tc>
      </w:tr>
      <w:tr>
        <w:trPr>
          <w:cantSplit/>
        </w:trPr>
        <w:tc>
          <w:tcPr>
            <w:tcW w:type="dxa" w:w="2712"/>
            <w:tcW w:type="dxa" w:w="2712"/>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b/>
                <w:sz w:val="15"/>
              </w:rPr>
              <w:t>4. AGM shareholder proposals</w:t>
            </w:r>
          </w:p>
        </w:tc>
        <w:tc>
          <w:tcPr>
            <w:tcW w:type="dxa" w:w="3596"/>
            <w:tcW w:type="dxa" w:w="3596"/>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sz w:val="15"/>
              </w:rPr>
              <w:t>Holders of 1% (0.5% for large listed companies, held 6 months) can table dividend or articles proposals [u: exact thresholds]</w:t>
            </w:r>
          </w:p>
        </w:tc>
        <w:tc>
          <w:tcPr>
            <w:tcW w:type="dxa" w:w="3596"/>
            <w:tcW w:type="dxa" w:w="3596"/>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sz w:val="15"/>
              </w:rPr>
              <w:t>Puts a higher payout or special dividend to a vote</w:t>
            </w:r>
          </w:p>
        </w:tc>
      </w:tr>
      <w:tr>
        <w:trPr>
          <w:cantSplit/>
        </w:trPr>
        <w:tc>
          <w:tcPr>
            <w:tcW w:type="dxa" w:w="2712"/>
            <w:tcW w:type="dxa" w:w="2712"/>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b/>
                <w:sz w:val="15"/>
              </w:rPr>
              <w:t>5. KOMIR alignment</w:t>
            </w:r>
          </w:p>
        </w:tc>
        <w:tc>
          <w:tcPr>
            <w:tcW w:type="dxa" w:w="3596"/>
            <w:tcW w:type="dxa" w:w="3596"/>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sz w:val="15"/>
              </w:rPr>
              <w:t>KOMIR receives 39% of every dividend, and the municipalities ~16%</w:t>
            </w:r>
          </w:p>
        </w:tc>
        <w:tc>
          <w:tcPr>
            <w:tcW w:type="dxa" w:w="3596"/>
            <w:tcW w:type="dxa" w:w="3596"/>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sz w:val="15"/>
              </w:rPr>
              <w:t>The political argument: "pay the mine regions directly instead of building a dome"</w:t>
            </w:r>
          </w:p>
        </w:tc>
      </w:tr>
      <w:tr>
        <w:trPr>
          <w:cantSplit/>
        </w:trPr>
        <w:tc>
          <w:tcPr>
            <w:tcW w:type="dxa" w:w="2712"/>
            <w:tcW w:type="dxa" w:w="2712"/>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b/>
                <w:sz w:val="15"/>
              </w:rPr>
              <w:t>6. NPS stewardship (~6%)</w:t>
            </w:r>
          </w:p>
        </w:tc>
        <w:tc>
          <w:tcPr>
            <w:tcW w:type="dxa" w:w="3596"/>
            <w:tcW w:type="dxa" w:w="3596"/>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sz w:val="15"/>
              </w:rPr>
              <w:t>The largest independent holder; already lobbied by civic groups</w:t>
            </w:r>
          </w:p>
        </w:tc>
        <w:tc>
          <w:tcPr>
            <w:tcW w:type="dxa" w:w="3596"/>
            <w:tcW w:type="dxa" w:w="3596"/>
            <w:tcBorders>
              <w:top w:val="single" w:color="D5D9E0" w:sz="2"/>
              <w:left w:val="none" w:color="FFFFFF" w:sz="0"/>
              <w:bottom w:val="single" w:color="D5D9E0" w:sz="2"/>
              <w:right w:val="none" w:color="FFFFFF" w:sz="0"/>
            </w:tcBorders>
            <w:shd w:fill="E8EEF7" w:color="auto" w:val="clear"/>
            <w:tcMar>
              <w:top w:type="dxa" w:w="40"/>
              <w:left w:type="dxa" w:w="70"/>
              <w:bottom w:type="dxa" w:w="40"/>
              <w:right w:type="dxa" w:w="70"/>
            </w:tcMar>
          </w:tcPr>
          <w:p>
            <w:pPr>
              <w:spacing w:before="0" w:after="0" w:line="240" w:lineRule="auto"/>
              <w:jc w:val="left"/>
            </w:pPr>
            <w:r>
              <w:rPr>
                <w:rFonts w:ascii="Arial" w:hAnsi="Arial"/>
                <w:sz w:val="15"/>
              </w:rPr>
              <w:t>A swing vote on treasury and audit items</w:t>
            </w:r>
          </w:p>
        </w:tc>
      </w:tr>
    </w:tbl>
    <w:p>
      <w:pPr>
        <w:spacing w:before="0" w:after="40" w:line="240" w:lineRule="auto"/>
      </w:pPr>
    </w:p>
    <w:p>
      <w:pPr>
        <w:pStyle w:val="Heading2"/>
        <w:keepNext/>
        <w:spacing w:before="160" w:after="80" w:line="264" w:lineRule="auto"/>
      </w:pPr>
      <w:r>
        <w:rPr>
          <w:rFonts w:ascii="Arial" w:hAnsi="Arial"/>
        </w:rPr>
        <w:t>26.1 What an activist would ask for</w:t>
      </w:r>
    </w:p>
    <w:p>
      <w:pPr>
        <w:spacing w:before="0" w:after="50" w:line="276" w:lineRule="auto"/>
        <w:ind w:left="360" w:hanging="245"/>
      </w:pPr>
      <w:r>
        <w:rPr>
          <w:rFonts w:ascii="Arial" w:hAnsi="Arial"/>
          <w:sz w:val="19"/>
        </w:rPr>
        <w:t xml:space="preserve">1.  </w:t>
      </w:r>
      <w:r>
        <w:rPr>
          <w:rFonts w:ascii="Arial" w:hAnsi="Arial"/>
          <w:b/>
          <w:sz w:val="19"/>
        </w:rPr>
        <w:t>Return ~KRW1tn of excess cash over FY27-29</w:t>
      </w:r>
      <w:r>
        <w:rPr>
          <w:rFonts w:ascii="Arial" w:hAnsi="Arial"/>
          <w:sz w:val="19"/>
        </w:rPr>
        <w:t xml:space="preserve"> (~KRW5,000 a share, 35% of the price) through special dividends and buybacks with cancellation, keeping ≥KRW1.5tn for phase 1 and the second casino.</w:t>
      </w:r>
    </w:p>
    <w:p>
      <w:pPr>
        <w:spacing w:before="0" w:after="50" w:line="276" w:lineRule="auto"/>
        <w:ind w:left="360" w:hanging="245"/>
      </w:pPr>
      <w:r>
        <w:rPr>
          <w:rFonts w:ascii="Arial" w:hAnsi="Arial"/>
          <w:sz w:val="19"/>
        </w:rPr>
        <w:t xml:space="preserve">2.  </w:t>
      </w:r>
      <w:r>
        <w:rPr>
          <w:rFonts w:ascii="Arial" w:hAnsi="Arial"/>
          <w:b/>
          <w:sz w:val="19"/>
        </w:rPr>
        <w:t>Cancel the 7.36% treasury stake</w:t>
      </w:r>
      <w:r>
        <w:rPr>
          <w:rFonts w:ascii="Arial" w:hAnsi="Arial"/>
          <w:sz w:val="19"/>
        </w:rPr>
        <w:t xml:space="preserve"> at the Mar-2027 AGM, and reverse the Aug-2026 articles amendment.</w:t>
      </w:r>
    </w:p>
    <w:p>
      <w:pPr>
        <w:spacing w:before="0" w:after="50" w:line="276" w:lineRule="auto"/>
        <w:ind w:left="360" w:hanging="245"/>
      </w:pPr>
      <w:r>
        <w:rPr>
          <w:rFonts w:ascii="Arial" w:hAnsi="Arial"/>
          <w:sz w:val="19"/>
        </w:rPr>
        <w:t xml:space="preserve">3.  </w:t>
      </w:r>
      <w:r>
        <w:rPr>
          <w:rFonts w:ascii="Arial" w:hAnsi="Arial"/>
          <w:b/>
          <w:sz w:val="19"/>
        </w:rPr>
        <w:t>Value-Up 2.0 (FY27-29):</w:t>
      </w:r>
    </w:p>
    <w:p>
      <w:pPr>
        <w:spacing w:before="0" w:after="50" w:line="276" w:lineRule="auto"/>
        <w:ind w:left="360" w:hanging="245"/>
      </w:pPr>
      <w:r>
        <w:rPr>
          <w:rFonts w:ascii="Arial" w:hAnsi="Arial"/>
          <w:color w:val="2E74B5"/>
          <w:sz w:val="16"/>
        </w:rPr>
        <w:t xml:space="preserve">▪  </w:t>
      </w:r>
      <w:r>
        <w:rPr>
          <w:rFonts w:ascii="Arial" w:hAnsi="Arial"/>
          <w:sz w:val="19"/>
        </w:rPr>
        <w:t>payout ≥70%;</w:t>
      </w:r>
    </w:p>
    <w:p>
      <w:pPr>
        <w:spacing w:before="0" w:after="50" w:line="276" w:lineRule="auto"/>
        <w:ind w:left="360" w:hanging="245"/>
      </w:pPr>
      <w:r>
        <w:rPr>
          <w:rFonts w:ascii="Arial" w:hAnsi="Arial"/>
          <w:color w:val="2E74B5"/>
          <w:sz w:val="16"/>
        </w:rPr>
        <w:t xml:space="preserve">▪  </w:t>
      </w:r>
      <w:r>
        <w:rPr>
          <w:rFonts w:ascii="Arial" w:hAnsi="Arial"/>
          <w:sz w:val="19"/>
        </w:rPr>
        <w:t>a DPS floor of KRW1,000;</w:t>
      </w:r>
    </w:p>
    <w:p>
      <w:pPr>
        <w:spacing w:before="0" w:after="50" w:line="276" w:lineRule="auto"/>
        <w:ind w:left="360" w:hanging="245"/>
      </w:pPr>
      <w:r>
        <w:rPr>
          <w:rFonts w:ascii="Arial" w:hAnsi="Arial"/>
          <w:color w:val="2E74B5"/>
          <w:sz w:val="16"/>
        </w:rPr>
        <w:t xml:space="preserve">▪  </w:t>
      </w:r>
      <w:r>
        <w:rPr>
          <w:rFonts w:ascii="Arial" w:hAnsi="Arial"/>
          <w:sz w:val="19"/>
        </w:rPr>
        <w:t>total return ≥80%;</w:t>
      </w:r>
    </w:p>
    <w:p>
      <w:pPr>
        <w:spacing w:before="0" w:after="50" w:line="276" w:lineRule="auto"/>
        <w:ind w:left="360" w:hanging="245"/>
      </w:pPr>
      <w:r>
        <w:rPr>
          <w:rFonts w:ascii="Arial" w:hAnsi="Arial"/>
          <w:color w:val="2E74B5"/>
          <w:sz w:val="16"/>
        </w:rPr>
        <w:t xml:space="preserve">▪  </w:t>
      </w:r>
      <w:r>
        <w:rPr>
          <w:rFonts w:ascii="Arial" w:hAnsi="Arial"/>
          <w:sz w:val="19"/>
        </w:rPr>
        <w:t>automatic buybacks when P/B is below 1.0x.</w:t>
      </w:r>
    </w:p>
    <w:p>
      <w:pPr>
        <w:spacing w:before="0" w:after="50" w:line="276" w:lineRule="auto"/>
        <w:ind w:left="360" w:hanging="245"/>
      </w:pPr>
      <w:r>
        <w:rPr>
          <w:rFonts w:ascii="Arial" w:hAnsi="Arial"/>
          <w:sz w:val="19"/>
        </w:rPr>
        <w:t xml:space="preserve">4.  </w:t>
      </w:r>
      <w:r>
        <w:rPr>
          <w:rFonts w:ascii="Arial" w:hAnsi="Arial"/>
          <w:b/>
          <w:sz w:val="19"/>
        </w:rPr>
        <w:t>K-HIT discipline:</w:t>
      </w:r>
    </w:p>
    <w:p>
      <w:pPr>
        <w:spacing w:before="0" w:after="50" w:line="276" w:lineRule="auto"/>
        <w:ind w:left="360" w:hanging="245"/>
      </w:pPr>
      <w:r>
        <w:rPr>
          <w:rFonts w:ascii="Arial" w:hAnsi="Arial"/>
          <w:color w:val="2E74B5"/>
          <w:sz w:val="16"/>
        </w:rPr>
        <w:t xml:space="preserve">▪  </w:t>
      </w:r>
      <w:r>
        <w:rPr>
          <w:rFonts w:ascii="Arial" w:hAnsi="Arial"/>
          <w:sz w:val="19"/>
        </w:rPr>
        <w:t>publish phase-by-phase IRRs, with a hurdle of ≥8%;</w:t>
      </w:r>
    </w:p>
    <w:p>
      <w:pPr>
        <w:spacing w:before="0" w:after="50" w:line="276" w:lineRule="auto"/>
        <w:ind w:left="360" w:hanging="245"/>
      </w:pPr>
      <w:r>
        <w:rPr>
          <w:rFonts w:ascii="Arial" w:hAnsi="Arial"/>
          <w:color w:val="2E74B5"/>
          <w:sz w:val="16"/>
        </w:rPr>
        <w:t xml:space="preserve">▪  </w:t>
      </w:r>
      <w:r>
        <w:rPr>
          <w:rFonts w:ascii="Arial" w:hAnsi="Arial"/>
          <w:sz w:val="19"/>
        </w:rPr>
        <w:t>complete the full preliminary feasibility study rather than an exemption;</w:t>
      </w:r>
    </w:p>
    <w:p>
      <w:pPr>
        <w:spacing w:before="0" w:after="50" w:line="276" w:lineRule="auto"/>
        <w:ind w:left="360" w:hanging="245"/>
      </w:pPr>
      <w:r>
        <w:rPr>
          <w:rFonts w:ascii="Arial" w:hAnsi="Arial"/>
          <w:color w:val="2E74B5"/>
          <w:sz w:val="16"/>
        </w:rPr>
        <w:t xml:space="preserve">▪  </w:t>
      </w:r>
      <w:r>
        <w:rPr>
          <w:rFonts w:ascii="Arial" w:hAnsi="Arial"/>
          <w:sz w:val="19"/>
        </w:rPr>
        <w:t>cap commitments at ~KRW1.5tn until the second casino's returns are proven.</w:t>
      </w:r>
    </w:p>
    <w:p>
      <w:pPr>
        <w:spacing w:before="0" w:after="50" w:line="276" w:lineRule="auto"/>
        <w:ind w:left="360" w:hanging="245"/>
      </w:pPr>
      <w:r>
        <w:rPr>
          <w:rFonts w:ascii="Arial" w:hAnsi="Arial"/>
          <w:sz w:val="19"/>
        </w:rPr>
        <w:t xml:space="preserve">5.  </w:t>
      </w:r>
      <w:r>
        <w:rPr>
          <w:rFonts w:ascii="Arial" w:hAnsi="Arial"/>
          <w:b/>
          <w:sz w:val="19"/>
        </w:rPr>
        <w:t>Board:</w:t>
      </w:r>
      <w:r>
        <w:rPr>
          <w:rFonts w:ascii="Arial" w:hAnsi="Arial"/>
          <w:sz w:val="19"/>
        </w:rPr>
        <w:t xml:space="preserve"> elect a minority-nominated, capital-allocation-qualified director and audit-committee member through cumulative voting and the 3% rule.</w:t>
      </w:r>
    </w:p>
    <w:p>
      <w:pPr>
        <w:spacing w:before="0" w:after="50" w:line="276" w:lineRule="auto"/>
        <w:ind w:left="360" w:hanging="245"/>
      </w:pPr>
      <w:r>
        <w:rPr>
          <w:rFonts w:ascii="Arial" w:hAnsi="Arial"/>
          <w:sz w:val="19"/>
        </w:rPr>
        <w:t xml:space="preserve">6.  </w:t>
      </w:r>
      <w:r>
        <w:rPr>
          <w:rFonts w:ascii="Arial" w:hAnsi="Arial"/>
          <w:b/>
          <w:sz w:val="19"/>
        </w:rPr>
        <w:t>Pay:</w:t>
      </w:r>
      <w:r>
        <w:rPr>
          <w:rFonts w:ascii="Arial" w:hAnsi="Arial"/>
          <w:sz w:val="19"/>
        </w:rPr>
        <w:t xml:space="preserve"> link management bonuses to ROIC and TSR as well as to public-enterprise grades.</w:t>
      </w:r>
    </w:p>
    <w:p>
      <w:pPr>
        <w:spacing w:before="0" w:after="100" w:line="288" w:lineRule="auto"/>
      </w:pPr>
      <w:r>
        <w:rPr>
          <w:rFonts w:ascii="Arial" w:hAnsi="Arial"/>
          <w:b/>
          <w:sz w:val="19"/>
        </w:rPr>
        <w:t>Value of the asks:</w:t>
      </w:r>
    </w:p>
    <w:p>
      <w:pPr>
        <w:spacing w:before="0" w:after="50" w:line="276" w:lineRule="auto"/>
        <w:ind w:left="360" w:hanging="245"/>
      </w:pPr>
      <w:r>
        <w:rPr>
          <w:rFonts w:ascii="Arial" w:hAnsi="Arial"/>
          <w:color w:val="2E74B5"/>
          <w:sz w:val="16"/>
        </w:rPr>
        <w:t xml:space="preserve">▪  </w:t>
      </w:r>
      <w:r>
        <w:rPr>
          <w:rFonts w:ascii="Arial" w:hAnsi="Arial"/>
          <w:sz w:val="19"/>
        </w:rPr>
        <w:t>At today's price the market charges ~KRW2.6tn to value destruction.</w:t>
      </w:r>
    </w:p>
    <w:p>
      <w:pPr>
        <w:spacing w:before="0" w:after="50" w:line="276" w:lineRule="auto"/>
        <w:ind w:left="360" w:hanging="245"/>
      </w:pPr>
      <w:r>
        <w:rPr>
          <w:rFonts w:ascii="Arial" w:hAnsi="Arial"/>
          <w:color w:val="2E74B5"/>
          <w:sz w:val="16"/>
        </w:rPr>
        <w:t xml:space="preserve">▪  </w:t>
      </w:r>
      <w:r>
        <w:rPr>
          <w:rFonts w:ascii="Arial" w:hAnsi="Arial"/>
          <w:sz w:val="19"/>
        </w:rPr>
        <w:t>If credible capital-return commitments cut that to ~KRW0.8tn, the equity is worth ~KRW17,000-19,000 a share (+20-35%).</w:t>
      </w:r>
    </w:p>
    <w:p>
      <w:pPr>
        <w:spacing w:before="0" w:after="50" w:line="276" w:lineRule="auto"/>
        <w:ind w:left="360" w:hanging="245"/>
      </w:pPr>
      <w:r>
        <w:rPr>
          <w:rFonts w:ascii="Arial" w:hAnsi="Arial"/>
          <w:color w:val="2E74B5"/>
          <w:sz w:val="16"/>
        </w:rPr>
        <w:t xml:space="preserve">▪  </w:t>
      </w:r>
      <w:r>
        <w:rPr>
          <w:rFonts w:ascii="Arial" w:hAnsi="Arial"/>
          <w:sz w:val="19"/>
        </w:rPr>
        <w:t>The ~6% yield covers carrying costs.</w:t>
      </w:r>
    </w:p>
    <w:p>
      <w:pPr>
        <w:pStyle w:val="Heading2"/>
        <w:keepNext/>
        <w:spacing w:before="160" w:after="80" w:line="264" w:lineRule="auto"/>
      </w:pPr>
      <w:r>
        <w:rPr>
          <w:rFonts w:ascii="Arial" w:hAnsi="Arial"/>
        </w:rPr>
        <w:t>26.2 Feasibility and limits</w:t>
      </w:r>
    </w:p>
    <w:tbl>
      <w:tblPr>
        <w:tblW w:type="auto" w:w="0"/>
        <w:jc w:val="center"/>
        <w:tblLook w:firstColumn="1" w:firstRow="1" w:lastColumn="0" w:lastRow="0" w:noHBand="0" w:noVBand="1" w:val="04A0"/>
        <w:tblLayout w:type="fixed"/>
        <w:tblW w:type="dxa" w:w="9906"/>
      </w:tblPr>
      <w:tblGrid>
        <w:gridCol w:w="4945"/>
        <w:gridCol w:w="4960"/>
      </w:tblGrid>
      <w:tr>
        <w:trPr>
          <w:tblHeader/>
        </w:trPr>
        <w:tc>
          <w:tcPr>
            <w:tcW w:type="dxa" w:w="4945"/>
            <w:tcW w:type="dxa" w:w="4945"/>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Supports activism</w:t>
            </w:r>
          </w:p>
        </w:tc>
        <w:tc>
          <w:tcPr>
            <w:tcW w:type="dxa" w:w="4960"/>
            <w:tcW w:type="dxa" w:w="4960"/>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Limits</w:t>
            </w:r>
          </w:p>
        </w:tc>
      </w:tr>
      <w:tr>
        <w:trPr>
          <w:cantSplit/>
        </w:trPr>
        <w:tc>
          <w:tcPr>
            <w:tcW w:type="dxa" w:w="4945"/>
            <w:tcW w:type="dxa" w:w="494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KOMIR's negative equity: the controller wants cash</w:t>
            </w:r>
          </w:p>
        </w:tc>
        <w:tc>
          <w:tcPr>
            <w:tcW w:type="dxa" w:w="4960"/>
            <w:tcW w:type="dxa" w:w="496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51% statutory public floor; no control or proxy fight possible</w:t>
            </w:r>
          </w:p>
        </w:tc>
      </w:tr>
      <w:tr>
        <w:trPr>
          <w:cantSplit/>
        </w:trPr>
        <w:tc>
          <w:tcPr>
            <w:tcW w:type="dxa" w:w="4945"/>
            <w:tcW w:type="dxa" w:w="494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New Commercial Act tools (cumulative voting, 3% cap, treasury cancellation)</w:t>
            </w:r>
          </w:p>
        </w:tc>
        <w:tc>
          <w:tcPr>
            <w:tcW w:type="dxa" w:w="4960"/>
            <w:tcW w:type="dxa" w:w="496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Interplay with the Public Institutions Act untested; MOEF appoints non-standing directors</w:t>
            </w:r>
          </w:p>
        </w:tc>
      </w:tr>
      <w:tr>
        <w:trPr>
          <w:cantSplit/>
        </w:trPr>
        <w:tc>
          <w:tcPr>
            <w:tcW w:type="dxa" w:w="4945"/>
            <w:tcW w:type="dxa" w:w="494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The government's own Value-Up and dividend tax agenda</w:t>
            </w:r>
          </w:p>
        </w:tc>
        <w:tc>
          <w:tcPr>
            <w:tcW w:type="dxa" w:w="4960"/>
            <w:tcW w:type="dxa" w:w="496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The CEO is a ruling-party appointee; the regional political constituency favours K-HIT spending</w:t>
            </w:r>
          </w:p>
        </w:tc>
      </w:tr>
      <w:tr>
        <w:trPr>
          <w:cantSplit/>
        </w:trPr>
        <w:tc>
          <w:tcPr>
            <w:tcW w:type="dxa" w:w="4945"/>
            <w:tcW w:type="dxa" w:w="494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Clear, quantifiable value gap (casino at ~0x EBITDA)</w:t>
            </w:r>
          </w:p>
        </w:tc>
        <w:tc>
          <w:tcPr>
            <w:tcW w:type="dxa" w:w="4960"/>
            <w:tcW w:type="dxa" w:w="496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Liquidity ~KRW4.8bn a day [e]: a 5% stake (~KRW150bn) takes ~160 trading days at 20% of volume</w:t>
            </w:r>
          </w:p>
        </w:tc>
      </w:tr>
      <w:tr>
        <w:trPr>
          <w:cantSplit/>
        </w:trPr>
        <w:tc>
          <w:tcPr>
            <w:tcW w:type="dxa" w:w="4945"/>
            <w:tcW w:type="dxa" w:w="494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Civic groups (Solidarity for Economic Reform) already campaigning; NPS stewardship</w:t>
            </w:r>
          </w:p>
        </w:tc>
        <w:tc>
          <w:tcPr>
            <w:tcW w:type="dxa" w:w="4960"/>
            <w:tcW w:type="dxa" w:w="496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Foreign ownership low (~12%); few like-minded holders today</w:t>
            </w:r>
          </w:p>
        </w:tc>
      </w:tr>
      <w:tr>
        <w:trPr>
          <w:cantSplit/>
        </w:trPr>
        <w:tc>
          <w:tcPr>
            <w:tcW w:type="dxa" w:w="4945"/>
            <w:tcW w:type="dxa" w:w="494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Precedent: directors held personally liable for value-destroying donations (2019)</w:t>
            </w:r>
          </w:p>
        </w:tc>
        <w:tc>
          <w:tcPr>
            <w:tcW w:type="dxa" w:w="4960"/>
            <w:tcW w:type="dxa" w:w="496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Public-sector culture; changes need ministry sign-off</w:t>
            </w:r>
          </w:p>
        </w:tc>
      </w:tr>
    </w:tbl>
    <w:p>
      <w:pPr>
        <w:spacing w:before="0" w:after="40" w:line="240" w:lineRule="auto"/>
      </w:pPr>
    </w:p>
    <w:p>
      <w:pPr>
        <w:spacing w:before="0" w:after="100" w:line="288" w:lineRule="auto"/>
      </w:pPr>
      <w:r>
        <w:rPr>
          <w:rFonts w:ascii="Arial" w:hAnsi="Arial"/>
          <w:b/>
          <w:sz w:val="19"/>
        </w:rPr>
        <w:t>Our view:</w:t>
      </w:r>
      <w:r>
        <w:rPr>
          <w:rFonts w:ascii="Arial" w:hAnsi="Arial"/>
          <w:sz w:val="19"/>
        </w:rPr>
        <w:t xml:space="preserve"> a quiet, coalition-based approach (NPS, domestic value funds, civic groups) aimed at the </w:t>
      </w:r>
      <w:r>
        <w:rPr>
          <w:rFonts w:ascii="Arial" w:hAnsi="Arial"/>
          <w:b/>
          <w:sz w:val="19"/>
        </w:rPr>
        <w:t>Feb-2027 Value-Up 2.0 announcement and the Mar-2027 AGM</w:t>
      </w:r>
      <w:r>
        <w:rPr>
          <w:rFonts w:ascii="Arial" w:hAnsi="Arial"/>
          <w:sz w:val="19"/>
        </w:rPr>
        <w:t xml:space="preserve"> has a realistic chance of winning a higher payout and treasury cancellation. A public campaign against the government would not.</w:t>
      </w:r>
    </w:p>
    <w:p>
      <w:pPr>
        <w:pStyle w:val="Heading1"/>
        <w:pageBreakBefore/>
        <w:spacing w:before="0" w:after="120" w:line="264" w:lineRule="auto"/>
      </w:pPr>
      <w:r>
        <w:rPr>
          <w:rFonts w:ascii="Arial" w:hAnsi="Arial"/>
        </w:rPr>
        <w:t>27. Fifteen Questions for the CEO and Chairman (Ordered by Information Value)</w:t>
      </w:r>
    </w:p>
    <w:p>
      <w:pPr>
        <w:spacing w:before="0" w:after="50" w:line="276" w:lineRule="auto"/>
        <w:ind w:left="360" w:hanging="245"/>
      </w:pPr>
      <w:r>
        <w:rPr>
          <w:rFonts w:ascii="Arial" w:hAnsi="Arial"/>
          <w:sz w:val="19"/>
        </w:rPr>
        <w:t xml:space="preserve">1.  </w:t>
      </w:r>
      <w:r>
        <w:rPr>
          <w:rFonts w:ascii="Arial" w:hAnsi="Arial"/>
          <w:b/>
          <w:sz w:val="19"/>
        </w:rPr>
        <w:t>AML:</w:t>
      </w:r>
      <w:r>
        <w:rPr>
          <w:rFonts w:ascii="Arial" w:hAnsi="Arial"/>
          <w:sz w:val="19"/>
        </w:rPr>
        <w:t xml:space="preserve"> what exactly has the FIU proposed, what modifications are you negotiating, and what is your own revenue-impact estimate if a threshold-based regime is adopted instead of full due diligence?</w:t>
      </w:r>
    </w:p>
    <w:p>
      <w:pPr>
        <w:spacing w:before="0" w:after="50" w:line="276" w:lineRule="auto"/>
        <w:ind w:left="360" w:hanging="245"/>
      </w:pPr>
      <w:r>
        <w:rPr>
          <w:rFonts w:ascii="Arial" w:hAnsi="Arial"/>
          <w:sz w:val="19"/>
        </w:rPr>
        <w:t xml:space="preserve">2.  </w:t>
      </w:r>
      <w:r>
        <w:rPr>
          <w:rFonts w:ascii="Arial" w:hAnsi="Arial"/>
          <w:b/>
          <w:sz w:val="19"/>
        </w:rPr>
        <w:t>Levy:</w:t>
      </w:r>
      <w:r>
        <w:rPr>
          <w:rFonts w:ascii="Arial" w:hAnsi="Arial"/>
          <w:sz w:val="19"/>
        </w:rPr>
        <w:t xml:space="preserve"> has the MCST confirmed in writing that Kangwon Land is outside the proposed 15% bracket? What is the worst-case cost if it is not?</w:t>
      </w:r>
    </w:p>
    <w:p>
      <w:pPr>
        <w:spacing w:before="0" w:after="50" w:line="276" w:lineRule="auto"/>
        <w:ind w:left="360" w:hanging="245"/>
      </w:pPr>
      <w:r>
        <w:rPr>
          <w:rFonts w:ascii="Arial" w:hAnsi="Arial"/>
          <w:sz w:val="19"/>
        </w:rPr>
        <w:t xml:space="preserve">3.  </w:t>
      </w:r>
      <w:r>
        <w:rPr>
          <w:rFonts w:ascii="Arial" w:hAnsi="Arial"/>
          <w:b/>
          <w:sz w:val="19"/>
        </w:rPr>
        <w:t>K-HIT:</w:t>
      </w:r>
      <w:r>
        <w:rPr>
          <w:rFonts w:ascii="Arial" w:hAnsi="Arial"/>
          <w:sz w:val="19"/>
        </w:rPr>
        <w:t xml:space="preserve"> what IRR does each phase need to clear? Will you complete the full preliminary feasibility study rather than seek an exemption?</w:t>
      </w:r>
    </w:p>
    <w:p>
      <w:pPr>
        <w:spacing w:before="0" w:after="50" w:line="276" w:lineRule="auto"/>
        <w:ind w:left="360" w:hanging="245"/>
      </w:pPr>
      <w:r>
        <w:rPr>
          <w:rFonts w:ascii="Arial" w:hAnsi="Arial"/>
          <w:sz w:val="19"/>
        </w:rPr>
        <w:t xml:space="preserve">4.  </w:t>
      </w:r>
      <w:r>
        <w:rPr>
          <w:rFonts w:ascii="Arial" w:hAnsi="Arial"/>
          <w:b/>
          <w:sz w:val="19"/>
        </w:rPr>
        <w:t>Capital return:</w:t>
      </w:r>
      <w:r>
        <w:rPr>
          <w:rFonts w:ascii="Arial" w:hAnsi="Arial"/>
          <w:sz w:val="19"/>
        </w:rPr>
        <w:t xml:space="preserve"> will the FY27-29 Value-Up plan raise the payout above 60%? Would you consider a special dividend from cash beyond phase-1 needs?</w:t>
      </w:r>
    </w:p>
    <w:p>
      <w:pPr>
        <w:spacing w:before="0" w:after="50" w:line="276" w:lineRule="auto"/>
        <w:ind w:left="360" w:hanging="245"/>
      </w:pPr>
      <w:r>
        <w:rPr>
          <w:rFonts w:ascii="Arial" w:hAnsi="Arial"/>
          <w:sz w:val="19"/>
        </w:rPr>
        <w:t xml:space="preserve">5.  </w:t>
      </w:r>
      <w:r>
        <w:rPr>
          <w:rFonts w:ascii="Arial" w:hAnsi="Arial"/>
          <w:b/>
          <w:sz w:val="19"/>
        </w:rPr>
        <w:t>Treasury shares:</w:t>
      </w:r>
      <w:r>
        <w:rPr>
          <w:rFonts w:ascii="Arial" w:hAnsi="Arial"/>
          <w:sz w:val="19"/>
        </w:rPr>
        <w:t xml:space="preserve"> will the 7.36% be cancelled before the Commercial Act deadline? Why did the Aug-2026 EGM amend the articles to allow sale?</w:t>
      </w:r>
    </w:p>
    <w:p>
      <w:pPr>
        <w:spacing w:before="0" w:after="50" w:line="276" w:lineRule="auto"/>
        <w:ind w:left="360" w:hanging="245"/>
      </w:pPr>
      <w:r>
        <w:rPr>
          <w:rFonts w:ascii="Arial" w:hAnsi="Arial"/>
          <w:sz w:val="19"/>
        </w:rPr>
        <w:t xml:space="preserve">6.  </w:t>
      </w:r>
      <w:r>
        <w:rPr>
          <w:rFonts w:ascii="Arial" w:hAnsi="Arial"/>
          <w:b/>
          <w:sz w:val="19"/>
        </w:rPr>
        <w:t>KOMIR:</w:t>
      </w:r>
      <w:r>
        <w:rPr>
          <w:rFonts w:ascii="Arial" w:hAnsi="Arial"/>
          <w:sz w:val="19"/>
        </w:rPr>
        <w:t xml:space="preserve"> has KOMIR or MOTIE asked for higher dividends, or for Kangwon Land cash to support Korea Coal Corp?</w:t>
      </w:r>
    </w:p>
    <w:p>
      <w:pPr>
        <w:spacing w:before="0" w:after="50" w:line="276" w:lineRule="auto"/>
        <w:ind w:left="360" w:hanging="245"/>
      </w:pPr>
      <w:r>
        <w:rPr>
          <w:rFonts w:ascii="Arial" w:hAnsi="Arial"/>
          <w:sz w:val="19"/>
        </w:rPr>
        <w:t xml:space="preserve">7.  </w:t>
      </w:r>
      <w:r>
        <w:rPr>
          <w:rFonts w:ascii="Arial" w:hAnsi="Arial"/>
          <w:b/>
          <w:sz w:val="19"/>
        </w:rPr>
        <w:t>FY26 DPS:</w:t>
      </w:r>
      <w:r>
        <w:rPr>
          <w:rFonts w:ascii="Arial" w:hAnsi="Arial"/>
          <w:sz w:val="19"/>
        </w:rPr>
        <w:t xml:space="preserve"> will DPS be held at the FY25 level of KRW950 to keep separate dividend-tax qualification?</w:t>
      </w:r>
    </w:p>
    <w:p>
      <w:pPr>
        <w:spacing w:before="0" w:after="50" w:line="276" w:lineRule="auto"/>
        <w:ind w:left="360" w:hanging="245"/>
      </w:pPr>
      <w:r>
        <w:rPr>
          <w:rFonts w:ascii="Arial" w:hAnsi="Arial"/>
          <w:sz w:val="19"/>
        </w:rPr>
        <w:t xml:space="preserve">8.  </w:t>
      </w:r>
      <w:r>
        <w:rPr>
          <w:rFonts w:ascii="Arial" w:hAnsi="Arial"/>
          <w:b/>
          <w:sz w:val="19"/>
        </w:rPr>
        <w:t>Organisational Diagnosis and Innovation Committee:</w:t>
      </w:r>
      <w:r>
        <w:rPr>
          <w:rFonts w:ascii="Arial" w:hAnsi="Arial"/>
          <w:sz w:val="19"/>
        </w:rPr>
        <w:t xml:space="preserve"> what are its mandate, members and deliverables, and will its K-HIT findings be published?</w:t>
      </w:r>
    </w:p>
    <w:p>
      <w:pPr>
        <w:spacing w:before="0" w:after="50" w:line="276" w:lineRule="auto"/>
        <w:ind w:left="360" w:hanging="245"/>
      </w:pPr>
      <w:r>
        <w:rPr>
          <w:rFonts w:ascii="Arial" w:hAnsi="Arial"/>
          <w:sz w:val="19"/>
        </w:rPr>
        <w:t xml:space="preserve">9.  </w:t>
      </w:r>
      <w:r>
        <w:rPr>
          <w:rFonts w:ascii="Arial" w:hAnsi="Arial"/>
          <w:b/>
          <w:sz w:val="19"/>
        </w:rPr>
        <w:t>Cumulative voting:</w:t>
      </w:r>
      <w:r>
        <w:rPr>
          <w:rFonts w:ascii="Arial" w:hAnsi="Arial"/>
          <w:sz w:val="19"/>
        </w:rPr>
        <w:t xml:space="preserve"> how will the company apply mandatory cumulative voting and the 3% audit-committee cap alongside the Public Institutions Act?</w:t>
      </w:r>
    </w:p>
    <w:p>
      <w:pPr>
        <w:spacing w:before="0" w:after="50" w:line="276" w:lineRule="auto"/>
        <w:ind w:left="360" w:hanging="245"/>
      </w:pPr>
      <w:r>
        <w:rPr>
          <w:rFonts w:ascii="Arial" w:hAnsi="Arial"/>
          <w:sz w:val="19"/>
        </w:rPr>
        <w:t xml:space="preserve">10.  </w:t>
      </w:r>
      <w:r>
        <w:rPr>
          <w:rFonts w:ascii="Arial" w:hAnsi="Arial"/>
          <w:b/>
          <w:sz w:val="19"/>
        </w:rPr>
        <w:t>Financial assets:</w:t>
      </w:r>
      <w:r>
        <w:rPr>
          <w:rFonts w:ascii="Arial" w:hAnsi="Arial"/>
          <w:sz w:val="19"/>
        </w:rPr>
        <w:t xml:space="preserve"> what is the composition, duration and credit quality of the KRW2.8tn portfolio? Why was 1H26 operating cash flow negative?</w:t>
      </w:r>
    </w:p>
    <w:p>
      <w:pPr>
        <w:spacing w:before="0" w:after="50" w:line="276" w:lineRule="auto"/>
        <w:ind w:left="360" w:hanging="245"/>
      </w:pPr>
      <w:r>
        <w:rPr>
          <w:rFonts w:ascii="Arial" w:hAnsi="Arial"/>
          <w:sz w:val="19"/>
        </w:rPr>
        <w:t xml:space="preserve">11.  </w:t>
      </w:r>
      <w:r>
        <w:rPr>
          <w:rFonts w:ascii="Arial" w:hAnsi="Arial"/>
          <w:b/>
          <w:sz w:val="19"/>
        </w:rPr>
        <w:t>Capacity:</w:t>
      </w:r>
      <w:r>
        <w:rPr>
          <w:rFonts w:ascii="Arial" w:hAnsi="Arial"/>
          <w:sz w:val="19"/>
        </w:rPr>
        <w:t xml:space="preserve"> when will the 250 tables and 1,610 machines be fully operational, and what is the expected revenue uplift?</w:t>
      </w:r>
    </w:p>
    <w:p>
      <w:pPr>
        <w:spacing w:before="0" w:after="50" w:line="276" w:lineRule="auto"/>
        <w:ind w:left="360" w:hanging="245"/>
      </w:pPr>
      <w:r>
        <w:rPr>
          <w:rFonts w:ascii="Arial" w:hAnsi="Arial"/>
          <w:sz w:val="19"/>
        </w:rPr>
        <w:t xml:space="preserve">12.  </w:t>
      </w:r>
      <w:r>
        <w:rPr>
          <w:rFonts w:ascii="Arial" w:hAnsi="Arial"/>
          <w:b/>
          <w:sz w:val="19"/>
        </w:rPr>
        <w:t>Deregulation:</w:t>
      </w:r>
      <w:r>
        <w:rPr>
          <w:rFonts w:ascii="Arial" w:hAnsi="Arial"/>
          <w:sz w:val="19"/>
        </w:rPr>
        <w:t xml:space="preserve"> what is the status of time-based entry limits, higher mass bet limits and longer hours, and what has the President's office indicated?</w:t>
      </w:r>
    </w:p>
    <w:p>
      <w:pPr>
        <w:spacing w:before="0" w:after="50" w:line="276" w:lineRule="auto"/>
        <w:ind w:left="360" w:hanging="245"/>
      </w:pPr>
      <w:r>
        <w:rPr>
          <w:rFonts w:ascii="Arial" w:hAnsi="Arial"/>
          <w:sz w:val="19"/>
        </w:rPr>
        <w:t xml:space="preserve">13.  </w:t>
      </w:r>
      <w:r>
        <w:rPr>
          <w:rFonts w:ascii="Arial" w:hAnsi="Arial"/>
          <w:b/>
          <w:sz w:val="19"/>
        </w:rPr>
        <w:t>Costs:</w:t>
      </w:r>
      <w:r>
        <w:rPr>
          <w:rFonts w:ascii="Arial" w:hAnsi="Arial"/>
          <w:sz w:val="19"/>
        </w:rPr>
        <w:t xml:space="preserve"> what is the outlook for labour and bonus costs, and the "195% bonus guarantee" raised at the National Assembly audit?</w:t>
      </w:r>
    </w:p>
    <w:p>
      <w:pPr>
        <w:spacing w:before="0" w:after="50" w:line="276" w:lineRule="auto"/>
        <w:ind w:left="360" w:hanging="245"/>
      </w:pPr>
      <w:r>
        <w:rPr>
          <w:rFonts w:ascii="Arial" w:hAnsi="Arial"/>
          <w:sz w:val="19"/>
        </w:rPr>
        <w:t xml:space="preserve">14.  </w:t>
      </w:r>
      <w:r>
        <w:rPr>
          <w:rFonts w:ascii="Arial" w:hAnsi="Arial"/>
          <w:b/>
          <w:sz w:val="19"/>
        </w:rPr>
        <w:t>Saemangeum / "public casino":</w:t>
      </w:r>
      <w:r>
        <w:rPr>
          <w:rFonts w:ascii="Arial" w:hAnsi="Arial"/>
          <w:sz w:val="19"/>
        </w:rPr>
        <w:t xml:space="preserve"> how do you assess the risk of a second Korean-access casino before 2045?</w:t>
      </w:r>
    </w:p>
    <w:p>
      <w:pPr>
        <w:spacing w:before="0" w:after="50" w:line="276" w:lineRule="auto"/>
        <w:ind w:left="360" w:hanging="245"/>
      </w:pPr>
      <w:r>
        <w:rPr>
          <w:rFonts w:ascii="Arial" w:hAnsi="Arial"/>
          <w:sz w:val="19"/>
        </w:rPr>
        <w:t xml:space="preserve">15.  </w:t>
      </w:r>
      <w:r>
        <w:rPr>
          <w:rFonts w:ascii="Arial" w:hAnsi="Arial"/>
          <w:b/>
          <w:sz w:val="19"/>
        </w:rPr>
        <w:t>Your mandate:</w:t>
      </w:r>
      <w:r>
        <w:rPr>
          <w:rFonts w:ascii="Arial" w:hAnsi="Arial"/>
          <w:sz w:val="19"/>
        </w:rPr>
        <w:t xml:space="preserve"> what three numbers will define success for your three-year term?</w:t>
      </w:r>
    </w:p>
    <w:p>
      <w:pPr>
        <w:pStyle w:val="Heading1"/>
        <w:pageBreakBefore/>
        <w:spacing w:before="0" w:after="120" w:line="264" w:lineRule="auto"/>
      </w:pPr>
      <w:r>
        <w:rPr>
          <w:rFonts w:ascii="Arial" w:hAnsi="Arial"/>
        </w:rPr>
        <w:t>28. Timeline of Key Past Events and Upcoming Catalyst Calendar</w:t>
      </w:r>
    </w:p>
    <w:p>
      <w:pPr>
        <w:pStyle w:val="Heading2"/>
        <w:keepNext/>
        <w:spacing w:before="160" w:after="80" w:line="264" w:lineRule="auto"/>
      </w:pPr>
      <w:r>
        <w:rPr>
          <w:rFonts w:ascii="Arial" w:hAnsi="Arial"/>
        </w:rPr>
        <w:t>28.1 Timeline of key past events</w:t>
      </w:r>
    </w:p>
    <w:tbl>
      <w:tblPr>
        <w:tblW w:type="auto" w:w="0"/>
        <w:jc w:val="center"/>
        <w:tblLook w:firstColumn="1" w:firstRow="1" w:lastColumn="0" w:lastRow="0" w:noHBand="0" w:noVBand="1" w:val="04A0"/>
        <w:tblLayout w:type="fixed"/>
        <w:tblW w:type="dxa" w:w="9906"/>
      </w:tblPr>
      <w:tblGrid>
        <w:gridCol w:w="1423"/>
        <w:gridCol w:w="5842"/>
        <w:gridCol w:w="2639"/>
      </w:tblGrid>
      <w:tr>
        <w:trPr>
          <w:tblHeader/>
        </w:trPr>
        <w:tc>
          <w:tcPr>
            <w:tcW w:type="dxa" w:w="1423"/>
            <w:tcW w:type="dxa" w:w="1423"/>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Date</w:t>
            </w:r>
          </w:p>
        </w:tc>
        <w:tc>
          <w:tcPr>
            <w:tcW w:type="dxa" w:w="5842"/>
            <w:tcW w:type="dxa" w:w="5842"/>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Event</w:t>
            </w:r>
          </w:p>
        </w:tc>
        <w:tc>
          <w:tcPr>
            <w:tcW w:type="dxa" w:w="2639"/>
            <w:tcW w:type="dxa" w:w="2639"/>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Impact</w:t>
            </w:r>
          </w:p>
        </w:tc>
      </w:tr>
      <w:tr>
        <w:trPr>
          <w:cantSplit/>
        </w:trPr>
        <w:tc>
          <w:tcPr>
            <w:tcW w:type="dxa" w:w="1423"/>
            <w:tcW w:type="dxa" w:w="142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Dec-1995</w:t>
            </w:r>
          </w:p>
        </w:tc>
        <w:tc>
          <w:tcPr>
            <w:tcW w:type="dxa" w:w="5842"/>
            <w:tcW w:type="dxa" w:w="584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Special Act on Assistance to the Development of Abandoned Mine Areas</w:t>
            </w:r>
          </w:p>
        </w:tc>
        <w:tc>
          <w:tcPr>
            <w:tcW w:type="dxa" w:w="2639"/>
            <w:tcW w:type="dxa" w:w="263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Legal basis for Korean-access casino</w:t>
            </w:r>
          </w:p>
        </w:tc>
      </w:tr>
      <w:tr>
        <w:trPr>
          <w:cantSplit/>
        </w:trPr>
        <w:tc>
          <w:tcPr>
            <w:tcW w:type="dxa" w:w="1423"/>
            <w:tcW w:type="dxa" w:w="142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1998 / 2000 / 2003</w:t>
            </w:r>
          </w:p>
        </w:tc>
        <w:tc>
          <w:tcPr>
            <w:tcW w:type="dxa" w:w="5842"/>
            <w:tcW w:type="dxa" w:w="584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Kangwon Land founded; small casino opens; main casino and hotel open [u]</w:t>
            </w:r>
          </w:p>
        </w:tc>
        <w:tc>
          <w:tcPr>
            <w:tcW w:type="dxa" w:w="2639"/>
            <w:tcW w:type="dxa" w:w="263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Start of operations</w:t>
            </w:r>
          </w:p>
        </w:tc>
      </w:tr>
      <w:tr>
        <w:trPr>
          <w:cantSplit/>
        </w:trPr>
        <w:tc>
          <w:tcPr>
            <w:tcW w:type="dxa" w:w="1423"/>
            <w:tcW w:type="dxa" w:w="142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20-Aug-2015</w:t>
            </w:r>
          </w:p>
        </w:tc>
        <w:tc>
          <w:tcPr>
            <w:tcW w:type="dxa" w:w="5842"/>
            <w:tcW w:type="dxa" w:w="584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All-time high KRW45,900</w:t>
            </w:r>
          </w:p>
        </w:tc>
        <w:tc>
          <w:tcPr>
            <w:tcW w:type="dxa" w:w="2639"/>
            <w:tcW w:type="dxa" w:w="263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Peak valuation</w:t>
            </w:r>
          </w:p>
        </w:tc>
      </w:tr>
      <w:tr>
        <w:trPr>
          <w:cantSplit/>
        </w:trPr>
        <w:tc>
          <w:tcPr>
            <w:tcW w:type="dxa" w:w="1423"/>
            <w:tcW w:type="dxa" w:w="142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2017-2018</w:t>
            </w:r>
          </w:p>
        </w:tc>
        <w:tc>
          <w:tcPr>
            <w:tcW w:type="dxa" w:w="5842"/>
            <w:tcW w:type="dxa" w:w="584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2012-13 hiring-scandal fallout; 226 irregular hires dismissed (Mar-2018); licence renewal cuts hours by two (Apr-2018) and tables 180 → 160</w:t>
            </w:r>
          </w:p>
        </w:tc>
        <w:tc>
          <w:tcPr>
            <w:tcW w:type="dxa" w:w="2639"/>
            <w:tcW w:type="dxa" w:w="263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Structural profit cut; reputational damage</w:t>
            </w:r>
          </w:p>
        </w:tc>
      </w:tr>
      <w:tr>
        <w:trPr>
          <w:cantSplit/>
        </w:trPr>
        <w:tc>
          <w:tcPr>
            <w:tcW w:type="dxa" w:w="1423"/>
            <w:tcW w:type="dxa" w:w="142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Jul-2018</w:t>
            </w:r>
          </w:p>
        </w:tc>
        <w:tc>
          <w:tcPr>
            <w:tcW w:type="dxa" w:w="5842"/>
            <w:tcW w:type="dxa" w:w="584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High1 Water World opens (KRW167.2bn)</w:t>
            </w:r>
          </w:p>
        </w:tc>
        <w:tc>
          <w:tcPr>
            <w:tcW w:type="dxa" w:w="2639"/>
            <w:tcW w:type="dxa" w:w="263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Non-casino expansion</w:t>
            </w:r>
          </w:p>
        </w:tc>
      </w:tr>
      <w:tr>
        <w:trPr>
          <w:cantSplit/>
        </w:trPr>
        <w:tc>
          <w:tcPr>
            <w:tcW w:type="dxa" w:w="1423"/>
            <w:tcW w:type="dxa" w:w="142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23-Feb-2020</w:t>
            </w:r>
          </w:p>
        </w:tc>
        <w:tc>
          <w:tcPr>
            <w:tcW w:type="dxa" w:w="5842"/>
            <w:tcW w:type="dxa" w:w="584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COVID closure (223 days closed in 2020)</w:t>
            </w:r>
          </w:p>
        </w:tc>
        <w:tc>
          <w:tcPr>
            <w:tcW w:type="dxa" w:w="2639"/>
            <w:tcW w:type="dxa" w:w="263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FY20 OP −KRW431.5bn; no dividend FY20-21</w:t>
            </w:r>
          </w:p>
        </w:tc>
      </w:tr>
      <w:tr>
        <w:trPr>
          <w:cantSplit/>
        </w:trPr>
        <w:tc>
          <w:tcPr>
            <w:tcW w:type="dxa" w:w="1423"/>
            <w:tcW w:type="dxa" w:w="142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Mar-2021</w:t>
            </w:r>
          </w:p>
        </w:tc>
        <w:tc>
          <w:tcPr>
            <w:tcW w:type="dxa" w:w="5842"/>
            <w:tcW w:type="dxa" w:w="584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Special Act extended to 2045; mine fund changed to 13% of casino gross sales</w:t>
            </w:r>
          </w:p>
        </w:tc>
        <w:tc>
          <w:tcPr>
            <w:tcW w:type="dxa" w:w="2639"/>
            <w:tcW w:type="dxa" w:w="263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Licence security vs higher levy</w:t>
            </w:r>
          </w:p>
        </w:tc>
      </w:tr>
      <w:tr>
        <w:trPr>
          <w:cantSplit/>
        </w:trPr>
        <w:tc>
          <w:tcPr>
            <w:tcW w:type="dxa" w:w="1423"/>
            <w:tcW w:type="dxa" w:w="142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16-May-2022</w:t>
            </w:r>
          </w:p>
        </w:tc>
        <w:tc>
          <w:tcPr>
            <w:tcW w:type="dxa" w:w="5842"/>
            <w:tcW w:type="dxa" w:w="584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Full normal operation resumes</w:t>
            </w:r>
          </w:p>
        </w:tc>
        <w:tc>
          <w:tcPr>
            <w:tcW w:type="dxa" w:w="2639"/>
            <w:tcW w:type="dxa" w:w="263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Recovery</w:t>
            </w:r>
          </w:p>
        </w:tc>
      </w:tr>
      <w:tr>
        <w:trPr>
          <w:cantSplit/>
        </w:trPr>
        <w:tc>
          <w:tcPr>
            <w:tcW w:type="dxa" w:w="1423"/>
            <w:tcW w:type="dxa" w:w="142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Jun-2023</w:t>
            </w:r>
          </w:p>
        </w:tc>
        <w:tc>
          <w:tcPr>
            <w:tcW w:type="dxa" w:w="5842"/>
            <w:tcW w:type="dxa" w:w="584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First-ever "D" public-enterprise grade</w:t>
            </w:r>
          </w:p>
        </w:tc>
        <w:tc>
          <w:tcPr>
            <w:tcW w:type="dxa" w:w="2639"/>
            <w:tcW w:type="dxa" w:w="263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CEO pressure</w:t>
            </w:r>
          </w:p>
        </w:tc>
      </w:tr>
      <w:tr>
        <w:trPr>
          <w:cantSplit/>
        </w:trPr>
        <w:tc>
          <w:tcPr>
            <w:tcW w:type="dxa" w:w="1423"/>
            <w:tcW w:type="dxa" w:w="142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Nov/Dec-2023</w:t>
            </w:r>
          </w:p>
        </w:tc>
        <w:tc>
          <w:tcPr>
            <w:tcW w:type="dxa" w:w="5842"/>
            <w:tcW w:type="dxa" w:w="584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CEO Lee Sam-geol resigns; acting CEO era begins</w:t>
            </w:r>
          </w:p>
        </w:tc>
        <w:tc>
          <w:tcPr>
            <w:tcW w:type="dxa" w:w="2639"/>
            <w:tcW w:type="dxa" w:w="263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~32-month vacancy</w:t>
            </w:r>
          </w:p>
        </w:tc>
      </w:tr>
      <w:tr>
        <w:trPr>
          <w:cantSplit/>
        </w:trPr>
        <w:tc>
          <w:tcPr>
            <w:tcW w:type="dxa" w:w="1423"/>
            <w:tcW w:type="dxa" w:w="142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Apr-2024</w:t>
            </w:r>
          </w:p>
        </w:tc>
        <w:tc>
          <w:tcPr>
            <w:tcW w:type="dxa" w:w="5842"/>
            <w:tcW w:type="dxa" w:w="584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K-HIT 1.0 (KRW2.5tn to 2032)</w:t>
            </w:r>
          </w:p>
        </w:tc>
        <w:tc>
          <w:tcPr>
            <w:tcW w:type="dxa" w:w="2639"/>
            <w:tcW w:type="dxa" w:w="263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Capex overhang</w:t>
            </w:r>
          </w:p>
        </w:tc>
      </w:tr>
      <w:tr>
        <w:trPr>
          <w:cantSplit/>
        </w:trPr>
        <w:tc>
          <w:tcPr>
            <w:tcW w:type="dxa" w:w="1423"/>
            <w:tcW w:type="dxa" w:w="142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5-Sep-2024</w:t>
            </w:r>
          </w:p>
        </w:tc>
        <w:tc>
          <w:tcPr>
            <w:tcW w:type="dxa" w:w="5842"/>
            <w:tcW w:type="dxa" w:w="584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MCST expansion permit (250 tables / 1,610 machines; floor +40%)</w:t>
            </w:r>
          </w:p>
        </w:tc>
        <w:tc>
          <w:tcPr>
            <w:tcW w:type="dxa" w:w="2639"/>
            <w:tcW w:type="dxa" w:w="263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+35% rally</w:t>
            </w:r>
          </w:p>
        </w:tc>
      </w:tr>
      <w:tr>
        <w:trPr>
          <w:cantSplit/>
        </w:trPr>
        <w:tc>
          <w:tcPr>
            <w:tcW w:type="dxa" w:w="1423"/>
            <w:tcW w:type="dxa" w:w="142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10-Oct-2024</w:t>
            </w:r>
          </w:p>
        </w:tc>
        <w:tc>
          <w:tcPr>
            <w:tcW w:type="dxa" w:w="5842"/>
            <w:tcW w:type="dxa" w:w="584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Value-Up plan (payout ≥50%, total return ≥60%, KRW100bn buybacks)</w:t>
            </w:r>
          </w:p>
        </w:tc>
        <w:tc>
          <w:tcPr>
            <w:tcW w:type="dxa" w:w="2639"/>
            <w:tcW w:type="dxa" w:w="263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Re-rating</w:t>
            </w:r>
          </w:p>
        </w:tc>
      </w:tr>
      <w:tr>
        <w:trPr>
          <w:cantSplit/>
        </w:trPr>
        <w:tc>
          <w:tcPr>
            <w:tcW w:type="dxa" w:w="1423"/>
            <w:tcW w:type="dxa" w:w="142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Mar-2025</w:t>
            </w:r>
          </w:p>
        </w:tc>
        <w:tc>
          <w:tcPr>
            <w:tcW w:type="dxa" w:w="5842"/>
            <w:tcW w:type="dxa" w:w="584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Sales cap raised to KRW1.64tn after an "S" soundness grade</w:t>
            </w:r>
          </w:p>
        </w:tc>
        <w:tc>
          <w:tcPr>
            <w:tcW w:type="dxa" w:w="2639"/>
            <w:tcW w:type="dxa" w:w="263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Headroom</w:t>
            </w:r>
          </w:p>
        </w:tc>
      </w:tr>
      <w:tr>
        <w:trPr>
          <w:cantSplit/>
        </w:trPr>
        <w:tc>
          <w:tcPr>
            <w:tcW w:type="dxa" w:w="1423"/>
            <w:tcW w:type="dxa" w:w="142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May-2025</w:t>
            </w:r>
          </w:p>
        </w:tc>
        <w:tc>
          <w:tcPr>
            <w:tcW w:type="dxa" w:w="5842"/>
            <w:tcW w:type="dxa" w:w="584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VIP baccarat limits 10x; blackjack and Hold'em limits 3x</w:t>
            </w:r>
          </w:p>
        </w:tc>
        <w:tc>
          <w:tcPr>
            <w:tcW w:type="dxa" w:w="2639"/>
            <w:tcW w:type="dxa" w:w="263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VIP drop +46%</w:t>
            </w:r>
          </w:p>
        </w:tc>
      </w:tr>
      <w:tr>
        <w:trPr>
          <w:cantSplit/>
        </w:trPr>
        <w:tc>
          <w:tcPr>
            <w:tcW w:type="dxa" w:w="1423"/>
            <w:tcW w:type="dxa" w:w="142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Jun-2025</w:t>
            </w:r>
          </w:p>
        </w:tc>
        <w:tc>
          <w:tcPr>
            <w:tcW w:type="dxa" w:w="5842"/>
            <w:tcW w:type="dxa" w:w="584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KRX Value-Up index inclusion</w:t>
            </w:r>
          </w:p>
        </w:tc>
        <w:tc>
          <w:tcPr>
            <w:tcW w:type="dxa" w:w="2639"/>
            <w:tcW w:type="dxa" w:w="263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2025 high ~KRW20,600 [u]</w:t>
            </w:r>
          </w:p>
        </w:tc>
      </w:tr>
      <w:tr>
        <w:trPr>
          <w:cantSplit/>
        </w:trPr>
        <w:tc>
          <w:tcPr>
            <w:tcW w:type="dxa" w:w="1423"/>
            <w:tcW w:type="dxa" w:w="142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19-Nov-2025</w:t>
            </w:r>
          </w:p>
        </w:tc>
        <w:tc>
          <w:tcPr>
            <w:tcW w:type="dxa" w:w="5842"/>
            <w:tcW w:type="dxa" w:w="584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K-HIT master plan (~KRW3tn to 2035)</w:t>
            </w:r>
          </w:p>
        </w:tc>
        <w:tc>
          <w:tcPr>
            <w:tcW w:type="dxa" w:w="2639"/>
            <w:tcW w:type="dxa" w:w="263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Capex overhang grows</w:t>
            </w:r>
          </w:p>
        </w:tc>
      </w:tr>
      <w:tr>
        <w:trPr>
          <w:cantSplit/>
        </w:trPr>
        <w:tc>
          <w:tcPr>
            <w:tcW w:type="dxa" w:w="1423"/>
            <w:tcW w:type="dxa" w:w="142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16-Dec-2025</w:t>
            </w:r>
          </w:p>
        </w:tc>
        <w:tc>
          <w:tcPr>
            <w:tcW w:type="dxa" w:w="5842"/>
            <w:tcW w:type="dxa" w:w="584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President Lee mentions a "public casino" and orders an addiction-data review</w:t>
            </w:r>
          </w:p>
        </w:tc>
        <w:tc>
          <w:tcPr>
            <w:tcW w:type="dxa" w:w="2639"/>
            <w:tcW w:type="dxa" w:w="263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Exclusivity and regulatory risk</w:t>
            </w:r>
          </w:p>
        </w:tc>
      </w:tr>
      <w:tr>
        <w:trPr>
          <w:cantSplit/>
        </w:trPr>
        <w:tc>
          <w:tcPr>
            <w:tcW w:type="dxa" w:w="1423"/>
            <w:tcW w:type="dxa" w:w="142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25-Feb-2026</w:t>
            </w:r>
          </w:p>
        </w:tc>
        <w:tc>
          <w:tcPr>
            <w:tcW w:type="dxa" w:w="5842"/>
            <w:tcW w:type="dxa" w:w="584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Commercial Act third amendment (treasury cancellation)</w:t>
            </w:r>
          </w:p>
        </w:tc>
        <w:tc>
          <w:tcPr>
            <w:tcW w:type="dxa" w:w="2639"/>
            <w:tcW w:type="dxa" w:w="263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Governance lever</w:t>
            </w:r>
          </w:p>
        </w:tc>
      </w:tr>
      <w:tr>
        <w:trPr>
          <w:cantSplit/>
        </w:trPr>
        <w:tc>
          <w:tcPr>
            <w:tcW w:type="dxa" w:w="1423"/>
            <w:tcW w:type="dxa" w:w="142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27-Feb-2026</w:t>
            </w:r>
          </w:p>
        </w:tc>
        <w:tc>
          <w:tcPr>
            <w:tcW w:type="dxa" w:w="5842"/>
            <w:tcW w:type="dxa" w:w="584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FY25 DPS KRW950 (payout 59.2%; total return 62.6%)</w:t>
            </w:r>
          </w:p>
        </w:tc>
        <w:tc>
          <w:tcPr>
            <w:tcW w:type="dxa" w:w="2639"/>
            <w:tcW w:type="dxa" w:w="263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Dividend cut from KRW1,170</w:t>
            </w:r>
          </w:p>
        </w:tc>
      </w:tr>
      <w:tr>
        <w:trPr>
          <w:cantSplit/>
        </w:trPr>
        <w:tc>
          <w:tcPr>
            <w:tcW w:type="dxa" w:w="1423"/>
            <w:tcW w:type="dxa" w:w="142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Mar-2026</w:t>
            </w:r>
          </w:p>
        </w:tc>
        <w:tc>
          <w:tcPr>
            <w:tcW w:type="dxa" w:w="5842"/>
            <w:tcW w:type="dxa" w:w="584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Room renovation begins (757 rooms)</w:t>
            </w:r>
          </w:p>
        </w:tc>
        <w:tc>
          <w:tcPr>
            <w:tcW w:type="dxa" w:w="2639"/>
            <w:tcW w:type="dxa" w:w="263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Non-casino −12%</w:t>
            </w:r>
          </w:p>
        </w:tc>
      </w:tr>
      <w:tr>
        <w:trPr>
          <w:cantSplit/>
        </w:trPr>
        <w:tc>
          <w:tcPr>
            <w:tcW w:type="dxa" w:w="1423"/>
            <w:tcW w:type="dxa" w:w="142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4-Mar-2026</w:t>
            </w:r>
          </w:p>
        </w:tc>
        <w:tc>
          <w:tcPr>
            <w:tcW w:type="dxa" w:w="5842"/>
            <w:tcW w:type="dxa" w:w="584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Acting CEO Choi Cheol-gyu resigns</w:t>
            </w:r>
          </w:p>
        </w:tc>
        <w:tc>
          <w:tcPr>
            <w:tcW w:type="dxa" w:w="2639"/>
            <w:tcW w:type="dxa" w:w="263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Leadership vacuum</w:t>
            </w:r>
          </w:p>
        </w:tc>
      </w:tr>
      <w:tr>
        <w:trPr>
          <w:cantSplit/>
        </w:trPr>
        <w:tc>
          <w:tcPr>
            <w:tcW w:type="dxa" w:w="1423"/>
            <w:tcW w:type="dxa" w:w="142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9-Jul-2026</w:t>
            </w:r>
          </w:p>
        </w:tc>
        <w:tc>
          <w:tcPr>
            <w:tcW w:type="dxa" w:w="5842"/>
            <w:tcW w:type="dxa" w:w="584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FIU AML due-diligence proposal reported (company estimate −25.8% revenue)</w:t>
            </w:r>
          </w:p>
        </w:tc>
        <w:tc>
          <w:tcPr>
            <w:tcW w:type="dxa" w:w="2639"/>
            <w:tcW w:type="dxa" w:w="263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Major regulatory risk</w:t>
            </w:r>
          </w:p>
        </w:tc>
      </w:tr>
      <w:tr>
        <w:trPr>
          <w:cantSplit/>
        </w:trPr>
        <w:tc>
          <w:tcPr>
            <w:tcW w:type="dxa" w:w="1423"/>
            <w:tcW w:type="dxa" w:w="142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15/16-Jul-2026</w:t>
            </w:r>
          </w:p>
        </w:tc>
        <w:tc>
          <w:tcPr>
            <w:tcW w:type="dxa" w:w="5842"/>
            <w:tcW w:type="dxa" w:w="584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MCST floats a 15% tourism-levy bracket</w:t>
            </w:r>
          </w:p>
        </w:tc>
        <w:tc>
          <w:tcPr>
            <w:tcW w:type="dxa" w:w="2639"/>
            <w:tcW w:type="dxa" w:w="263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Peers −11% to −15%; Kangwon Land ~−3%</w:t>
            </w:r>
          </w:p>
        </w:tc>
      </w:tr>
      <w:tr>
        <w:trPr>
          <w:cantSplit/>
        </w:trPr>
        <w:tc>
          <w:tcPr>
            <w:tcW w:type="dxa" w:w="1423"/>
            <w:tcW w:type="dxa" w:w="142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4-Aug-2026</w:t>
            </w:r>
          </w:p>
        </w:tc>
        <w:tc>
          <w:tcPr>
            <w:tcW w:type="dxa" w:w="5842"/>
            <w:tcW w:type="dxa" w:w="584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2Q26: OP −26.2%; targets cut</w:t>
            </w:r>
          </w:p>
        </w:tc>
        <w:tc>
          <w:tcPr>
            <w:tcW w:type="dxa" w:w="2639"/>
            <w:tcW w:type="dxa" w:w="263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Stock ~KRW14,200-14,500</w:t>
            </w:r>
          </w:p>
        </w:tc>
      </w:tr>
      <w:tr>
        <w:trPr>
          <w:cantSplit/>
        </w:trPr>
        <w:tc>
          <w:tcPr>
            <w:tcW w:type="dxa" w:w="1423"/>
            <w:tcW w:type="dxa" w:w="142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26-Aug-2026</w:t>
            </w:r>
          </w:p>
        </w:tc>
        <w:tc>
          <w:tcPr>
            <w:tcW w:type="dxa" w:w="5842"/>
            <w:tcW w:type="dxa" w:w="584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EGM: CEO Kim Do-kyun elected; treasury-retention amendment</w:t>
            </w:r>
          </w:p>
        </w:tc>
        <w:tc>
          <w:tcPr>
            <w:tcW w:type="dxa" w:w="2639"/>
            <w:tcW w:type="dxa" w:w="263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Governance concern</w:t>
            </w:r>
          </w:p>
        </w:tc>
      </w:tr>
      <w:tr>
        <w:trPr>
          <w:cantSplit/>
        </w:trPr>
        <w:tc>
          <w:tcPr>
            <w:tcW w:type="dxa" w:w="1423"/>
            <w:tcW w:type="dxa" w:w="142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10-Sep-2026</w:t>
            </w:r>
          </w:p>
        </w:tc>
        <w:tc>
          <w:tcPr>
            <w:tcW w:type="dxa" w:w="5842"/>
            <w:tcW w:type="dxa" w:w="584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Mandatory cumulative voting applies (assets ≥KRW2tn)</w:t>
            </w:r>
          </w:p>
        </w:tc>
        <w:tc>
          <w:tcPr>
            <w:tcW w:type="dxa" w:w="2639"/>
            <w:tcW w:type="dxa" w:w="263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Minority lever</w:t>
            </w:r>
          </w:p>
        </w:tc>
      </w:tr>
      <w:tr>
        <w:trPr>
          <w:cantSplit/>
        </w:trPr>
        <w:tc>
          <w:tcPr>
            <w:tcW w:type="dxa" w:w="1423"/>
            <w:tcW w:type="dxa" w:w="142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2-Oct-2026</w:t>
            </w:r>
          </w:p>
        </w:tc>
        <w:tc>
          <w:tcPr>
            <w:tcW w:type="dxa" w:w="5842"/>
            <w:tcW w:type="dxa" w:w="584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Organisational Diagnosis and Innovation Committee launched</w:t>
            </w:r>
          </w:p>
        </w:tc>
        <w:tc>
          <w:tcPr>
            <w:tcW w:type="dxa" w:w="2639"/>
            <w:tcW w:type="dxa" w:w="263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K-HIT review</w:t>
            </w:r>
          </w:p>
        </w:tc>
      </w:tr>
      <w:tr>
        <w:trPr>
          <w:cantSplit/>
        </w:trPr>
        <w:tc>
          <w:tcPr>
            <w:tcW w:type="dxa" w:w="1423"/>
            <w:tcW w:type="dxa" w:w="1423"/>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23-Oct-2026</w:t>
            </w:r>
          </w:p>
        </w:tc>
        <w:tc>
          <w:tcPr>
            <w:tcW w:type="dxa" w:w="5842"/>
            <w:tcW w:type="dxa" w:w="5842"/>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iM cuts target to KRW18,000; close KRW14,180</w:t>
            </w:r>
          </w:p>
        </w:tc>
        <w:tc>
          <w:tcPr>
            <w:tcW w:type="dxa" w:w="2639"/>
            <w:tcW w:type="dxa" w:w="263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Reference price</w:t>
            </w:r>
          </w:p>
        </w:tc>
      </w:tr>
    </w:tbl>
    <w:p>
      <w:pPr>
        <w:spacing w:before="0" w:after="40" w:line="240" w:lineRule="auto"/>
      </w:pPr>
    </w:p>
    <w:p>
      <w:pPr>
        <w:pStyle w:val="Heading2"/>
        <w:keepNext/>
        <w:spacing w:before="160" w:after="80" w:line="264" w:lineRule="auto"/>
      </w:pPr>
      <w:r>
        <w:rPr>
          <w:rFonts w:ascii="Arial" w:hAnsi="Arial"/>
        </w:rPr>
        <w:t>28.2 Upcoming catalyst calendar</w:t>
      </w:r>
    </w:p>
    <w:tbl>
      <w:tblPr>
        <w:tblW w:type="auto" w:w="0"/>
        <w:jc w:val="center"/>
        <w:tblLook w:firstColumn="1" w:firstRow="1" w:lastColumn="0" w:lastRow="0" w:noHBand="0" w:noVBand="1" w:val="04A0"/>
        <w:tblLayout w:type="fixed"/>
        <w:tblW w:type="dxa" w:w="9906"/>
      </w:tblPr>
      <w:tblGrid>
        <w:gridCol w:w="1049"/>
        <w:gridCol w:w="4480"/>
        <w:gridCol w:w="3490"/>
        <w:gridCol w:w="885"/>
      </w:tblGrid>
      <w:tr>
        <w:trPr>
          <w:tblHeader/>
        </w:trPr>
        <w:tc>
          <w:tcPr>
            <w:tcW w:type="dxa" w:w="1049"/>
            <w:tcW w:type="dxa" w:w="1049"/>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Date</w:t>
            </w:r>
          </w:p>
        </w:tc>
        <w:tc>
          <w:tcPr>
            <w:tcW w:type="dxa" w:w="4480"/>
            <w:tcW w:type="dxa" w:w="4480"/>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Event</w:t>
            </w:r>
          </w:p>
        </w:tc>
        <w:tc>
          <w:tcPr>
            <w:tcW w:type="dxa" w:w="3490"/>
            <w:tcW w:type="dxa" w:w="3490"/>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Why it matters</w:t>
            </w:r>
          </w:p>
        </w:tc>
        <w:tc>
          <w:tcPr>
            <w:tcW w:type="dxa" w:w="885"/>
            <w:tcW w:type="dxa" w:w="885"/>
            <w:tcBorders>
              <w:top w:val="single" w:color="D5D9E0" w:sz="2"/>
              <w:left w:val="none" w:color="FFFFFF" w:sz="0"/>
              <w:bottom w:val="single" w:color="D5D9E0" w:sz="2"/>
              <w:right w:val="none" w:color="FFFFFF" w:sz="0"/>
            </w:tcBorders>
            <w:shd w:fill="14213D" w:color="auto" w:val="clear"/>
            <w:tcMar>
              <w:top w:type="dxa" w:w="40"/>
              <w:left w:type="dxa" w:w="70"/>
              <w:bottom w:type="dxa" w:w="40"/>
              <w:right w:type="dxa" w:w="70"/>
            </w:tcMar>
          </w:tcPr>
          <w:p>
            <w:pPr>
              <w:spacing w:before="0" w:after="0" w:line="240" w:lineRule="auto"/>
              <w:jc w:val="left"/>
            </w:pPr>
            <w:r>
              <w:rPr>
                <w:rFonts w:ascii="Arial" w:hAnsi="Arial"/>
                <w:b/>
                <w:color w:val="FFFFFF"/>
                <w:sz w:val="15"/>
              </w:rPr>
              <w:t>Importance</w:t>
            </w:r>
          </w:p>
        </w:tc>
      </w:tr>
      <w:tr>
        <w:trPr>
          <w:cantSplit/>
        </w:trPr>
        <w:tc>
          <w:tcPr>
            <w:tcW w:type="dxa" w:w="1049"/>
            <w:tcW w:type="dxa" w:w="104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~28-Oct to 4-Nov-2026 [e]</w:t>
            </w:r>
          </w:p>
        </w:tc>
        <w:tc>
          <w:tcPr>
            <w:tcW w:type="dxa" w:w="4480"/>
            <w:tcW w:type="dxa" w:w="448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3Q26 results</w:t>
            </w:r>
          </w:p>
        </w:tc>
        <w:tc>
          <w:tcPr>
            <w:tcW w:type="dxa" w:w="3490"/>
            <w:tcW w:type="dxa" w:w="349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iM: OP KRW64.2bn vs consensus KRW67.2bn; drop trend; operating cash flow</w:t>
            </w:r>
          </w:p>
        </w:tc>
        <w:tc>
          <w:tcPr>
            <w:tcW w:type="dxa" w:w="885"/>
            <w:tcW w:type="dxa" w:w="88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HIGH</w:t>
            </w:r>
          </w:p>
        </w:tc>
      </w:tr>
      <w:tr>
        <w:trPr>
          <w:cantSplit/>
        </w:trPr>
        <w:tc>
          <w:tcPr>
            <w:tcW w:type="dxa" w:w="1049"/>
            <w:tcW w:type="dxa" w:w="104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Nov-Dec 2026</w:t>
            </w:r>
          </w:p>
        </w:tc>
        <w:tc>
          <w:tcPr>
            <w:tcW w:type="dxa" w:w="4480"/>
            <w:tcW w:type="dxa" w:w="448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Tourism Promotion Act amendment (post-audit) and decree design</w:t>
            </w:r>
          </w:p>
        </w:tc>
        <w:tc>
          <w:tcPr>
            <w:tcW w:type="dxa" w:w="3490"/>
            <w:tcW w:type="dxa" w:w="349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Whether Kangwon Land is carved out of the 15% bracket</w:t>
            </w:r>
          </w:p>
        </w:tc>
        <w:tc>
          <w:tcPr>
            <w:tcW w:type="dxa" w:w="885"/>
            <w:tcW w:type="dxa" w:w="88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CRITICAL</w:t>
            </w:r>
          </w:p>
        </w:tc>
      </w:tr>
      <w:tr>
        <w:trPr>
          <w:cantSplit/>
        </w:trPr>
        <w:tc>
          <w:tcPr>
            <w:tcW w:type="dxa" w:w="1049"/>
            <w:tcW w:type="dxa" w:w="104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Nov-Dec 2026</w:t>
            </w:r>
          </w:p>
        </w:tc>
        <w:tc>
          <w:tcPr>
            <w:tcW w:type="dxa" w:w="4480"/>
            <w:tcW w:type="dxa" w:w="448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FIU decision on AML customer due diligence</w:t>
            </w:r>
          </w:p>
        </w:tc>
        <w:tc>
          <w:tcPr>
            <w:tcW w:type="dxa" w:w="3490"/>
            <w:tcW w:type="dxa" w:w="349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Revenue risk of up to ~26%</w:t>
            </w:r>
          </w:p>
        </w:tc>
        <w:tc>
          <w:tcPr>
            <w:tcW w:type="dxa" w:w="885"/>
            <w:tcW w:type="dxa" w:w="88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CRITICAL</w:t>
            </w:r>
          </w:p>
        </w:tc>
      </w:tr>
      <w:tr>
        <w:trPr>
          <w:cantSplit/>
        </w:trPr>
        <w:tc>
          <w:tcPr>
            <w:tcW w:type="dxa" w:w="1049"/>
            <w:tcW w:type="dxa" w:w="104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By 31-Dec-2026</w:t>
            </w:r>
          </w:p>
        </w:tc>
        <w:tc>
          <w:tcPr>
            <w:tcW w:type="dxa" w:w="4480"/>
            <w:tcW w:type="dxa" w:w="448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Organisational Diagnosis and Innovation Committee findings</w:t>
            </w:r>
          </w:p>
        </w:tc>
        <w:tc>
          <w:tcPr>
            <w:tcW w:type="dxa" w:w="3490"/>
            <w:tcW w:type="dxa" w:w="349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K-HIT rescoping vs acceleration</w:t>
            </w:r>
          </w:p>
        </w:tc>
        <w:tc>
          <w:tcPr>
            <w:tcW w:type="dxa" w:w="885"/>
            <w:tcW w:type="dxa" w:w="88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HIGH</w:t>
            </w:r>
          </w:p>
        </w:tc>
      </w:tr>
      <w:tr>
        <w:trPr>
          <w:cantSplit/>
        </w:trPr>
        <w:tc>
          <w:tcPr>
            <w:tcW w:type="dxa" w:w="1049"/>
            <w:tcW w:type="dxa" w:w="104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Dec-2026</w:t>
            </w:r>
          </w:p>
        </w:tc>
        <w:tc>
          <w:tcPr>
            <w:tcW w:type="dxa" w:w="4480"/>
            <w:tcW w:type="dxa" w:w="448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NGCC 2027 sales cap; 2027 budget and capex plan</w:t>
            </w:r>
          </w:p>
        </w:tc>
        <w:tc>
          <w:tcPr>
            <w:tcW w:type="dxa" w:w="3490"/>
            <w:tcW w:type="dxa" w:w="349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Headroom; capex trajectory</w:t>
            </w:r>
          </w:p>
        </w:tc>
        <w:tc>
          <w:tcPr>
            <w:tcW w:type="dxa" w:w="885"/>
            <w:tcW w:type="dxa" w:w="88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MEDIUM</w:t>
            </w:r>
          </w:p>
        </w:tc>
      </w:tr>
      <w:tr>
        <w:trPr>
          <w:cantSplit/>
        </w:trPr>
        <w:tc>
          <w:tcPr>
            <w:tcW w:type="dxa" w:w="1049"/>
            <w:tcW w:type="dxa" w:w="104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Late Jan-2027</w:t>
            </w:r>
          </w:p>
        </w:tc>
        <w:tc>
          <w:tcPr>
            <w:tcW w:type="dxa" w:w="4480"/>
            <w:tcW w:type="dxa" w:w="448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FY26 preliminary results</w:t>
            </w:r>
          </w:p>
        </w:tc>
        <w:tc>
          <w:tcPr>
            <w:tcW w:type="dxa" w:w="3490"/>
            <w:tcW w:type="dxa" w:w="349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Earnings trough confirmation</w:t>
            </w:r>
          </w:p>
        </w:tc>
        <w:tc>
          <w:tcPr>
            <w:tcW w:type="dxa" w:w="885"/>
            <w:tcW w:type="dxa" w:w="88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MEDIUM</w:t>
            </w:r>
          </w:p>
        </w:tc>
      </w:tr>
      <w:tr>
        <w:trPr>
          <w:cantSplit/>
        </w:trPr>
        <w:tc>
          <w:tcPr>
            <w:tcW w:type="dxa" w:w="1049"/>
            <w:tcW w:type="dxa" w:w="104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~Late Feb-2027</w:t>
            </w:r>
          </w:p>
        </w:tc>
        <w:tc>
          <w:tcPr>
            <w:tcW w:type="dxa" w:w="4480"/>
            <w:tcW w:type="dxa" w:w="448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 xml:space="preserve">FY26 DPS and </w:t>
            </w:r>
            <w:r>
              <w:rPr>
                <w:rFonts w:ascii="Arial" w:hAnsi="Arial"/>
                <w:b/>
                <w:sz w:val="15"/>
              </w:rPr>
              <w:t>Value-Up 2.0 (FY27-29)</w:t>
            </w:r>
          </w:p>
        </w:tc>
        <w:tc>
          <w:tcPr>
            <w:tcW w:type="dxa" w:w="3490"/>
            <w:tcW w:type="dxa" w:w="349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Payout policy for the next three years; dividend-tax qualification</w:t>
            </w:r>
          </w:p>
        </w:tc>
        <w:tc>
          <w:tcPr>
            <w:tcW w:type="dxa" w:w="885"/>
            <w:tcW w:type="dxa" w:w="88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CRITICAL</w:t>
            </w:r>
          </w:p>
        </w:tc>
      </w:tr>
      <w:tr>
        <w:trPr>
          <w:cantSplit/>
        </w:trPr>
        <w:tc>
          <w:tcPr>
            <w:tcW w:type="dxa" w:w="1049"/>
            <w:tcW w:type="dxa" w:w="104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Mar-2027</w:t>
            </w:r>
          </w:p>
        </w:tc>
        <w:tc>
          <w:tcPr>
            <w:tcW w:type="dxa" w:w="4480"/>
            <w:tcW w:type="dxa" w:w="448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AGM: cumulative voting, audit-committee election (3% cap), treasury-retention vote</w:t>
            </w:r>
          </w:p>
        </w:tc>
        <w:tc>
          <w:tcPr>
            <w:tcW w:type="dxa" w:w="3490"/>
            <w:tcW w:type="dxa" w:w="349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First test of the new minority levers</w:t>
            </w:r>
          </w:p>
        </w:tc>
        <w:tc>
          <w:tcPr>
            <w:tcW w:type="dxa" w:w="885"/>
            <w:tcW w:type="dxa" w:w="88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HIGH</w:t>
            </w:r>
          </w:p>
        </w:tc>
      </w:tr>
      <w:tr>
        <w:trPr>
          <w:cantSplit/>
        </w:trPr>
        <w:tc>
          <w:tcPr>
            <w:tcW w:type="dxa" w:w="1049"/>
            <w:tcW w:type="dxa" w:w="104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May-2027</w:t>
            </w:r>
          </w:p>
        </w:tc>
        <w:tc>
          <w:tcPr>
            <w:tcW w:type="dxa" w:w="4480"/>
            <w:tcW w:type="dxa" w:w="448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First filings under separate dividend taxation</w:t>
            </w:r>
          </w:p>
        </w:tc>
        <w:tc>
          <w:tcPr>
            <w:tcW w:type="dxa" w:w="3490"/>
            <w:tcW w:type="dxa" w:w="349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Retail demand for high payers</w:t>
            </w:r>
          </w:p>
        </w:tc>
        <w:tc>
          <w:tcPr>
            <w:tcW w:type="dxa" w:w="885"/>
            <w:tcW w:type="dxa" w:w="88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LOW-MEDIUM</w:t>
            </w:r>
          </w:p>
        </w:tc>
      </w:tr>
      <w:tr>
        <w:trPr>
          <w:cantSplit/>
        </w:trPr>
        <w:tc>
          <w:tcPr>
            <w:tcW w:type="dxa" w:w="1049"/>
            <w:tcW w:type="dxa" w:w="104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Jun-2027</w:t>
            </w:r>
          </w:p>
        </w:tc>
        <w:tc>
          <w:tcPr>
            <w:tcW w:type="dxa" w:w="4480"/>
            <w:tcW w:type="dxa" w:w="448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Public-enterprise evaluation (FY26 grade)</w:t>
            </w:r>
          </w:p>
        </w:tc>
        <w:tc>
          <w:tcPr>
            <w:tcW w:type="dxa" w:w="3490"/>
            <w:tcW w:type="dxa" w:w="349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Bonuses; CEO standing</w:t>
            </w:r>
          </w:p>
        </w:tc>
        <w:tc>
          <w:tcPr>
            <w:tcW w:type="dxa" w:w="885"/>
            <w:tcW w:type="dxa" w:w="88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MEDIUM</w:t>
            </w:r>
          </w:p>
        </w:tc>
      </w:tr>
      <w:tr>
        <w:trPr>
          <w:cantSplit/>
        </w:trPr>
        <w:tc>
          <w:tcPr>
            <w:tcW w:type="dxa" w:w="1049"/>
            <w:tcW w:type="dxa" w:w="104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~Sep-2027 [e]</w:t>
            </w:r>
          </w:p>
        </w:tc>
        <w:tc>
          <w:tcPr>
            <w:tcW w:type="dxa" w:w="4480"/>
            <w:tcW w:type="dxa" w:w="448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Commercial Act deadline to cancel existing treasury shares</w:t>
            </w:r>
          </w:p>
        </w:tc>
        <w:tc>
          <w:tcPr>
            <w:tcW w:type="dxa" w:w="3490"/>
            <w:tcW w:type="dxa" w:w="349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Cancel 7.36% or seek annual retention</w:t>
            </w:r>
          </w:p>
        </w:tc>
        <w:tc>
          <w:tcPr>
            <w:tcW w:type="dxa" w:w="885"/>
            <w:tcW w:type="dxa" w:w="88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HIGH</w:t>
            </w:r>
          </w:p>
        </w:tc>
      </w:tr>
      <w:tr>
        <w:trPr>
          <w:cantSplit/>
        </w:trPr>
        <w:tc>
          <w:tcPr>
            <w:tcW w:type="dxa" w:w="1049"/>
            <w:tcW w:type="dxa" w:w="104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Nov-2027 / Dec-2027 / Apr-2028</w:t>
            </w:r>
          </w:p>
        </w:tc>
        <w:tc>
          <w:tcPr>
            <w:tcW w:type="dxa" w:w="4480"/>
            <w:tcW w:type="dxa" w:w="448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Mountain Condo reopens; second casino completes; Grand Hotel reopens</w:t>
            </w:r>
          </w:p>
        </w:tc>
        <w:tc>
          <w:tcPr>
            <w:tcW w:type="dxa" w:w="3490"/>
            <w:tcW w:type="dxa" w:w="349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Earnings recovery in 2028</w:t>
            </w:r>
          </w:p>
        </w:tc>
        <w:tc>
          <w:tcPr>
            <w:tcW w:type="dxa" w:w="885"/>
            <w:tcW w:type="dxa" w:w="88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HIGH</w:t>
            </w:r>
          </w:p>
        </w:tc>
      </w:tr>
      <w:tr>
        <w:trPr>
          <w:cantSplit/>
        </w:trPr>
        <w:tc>
          <w:tcPr>
            <w:tcW w:type="dxa" w:w="1049"/>
            <w:tcW w:type="dxa" w:w="104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Any time</w:t>
            </w:r>
          </w:p>
        </w:tc>
        <w:tc>
          <w:tcPr>
            <w:tcW w:type="dxa" w:w="4480"/>
            <w:tcW w:type="dxa" w:w="448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Saemangeum special act; "public casino" policy; KOMIR restructuring</w:t>
            </w:r>
          </w:p>
        </w:tc>
        <w:tc>
          <w:tcPr>
            <w:tcW w:type="dxa" w:w="3490"/>
            <w:tcW w:type="dxa" w:w="349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Exclusivity; cash diversion</w:t>
            </w:r>
          </w:p>
        </w:tc>
        <w:tc>
          <w:tcPr>
            <w:tcW w:type="dxa" w:w="885"/>
            <w:tcW w:type="dxa" w:w="88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MEDIUM</w:t>
            </w:r>
          </w:p>
        </w:tc>
      </w:tr>
      <w:tr>
        <w:trPr>
          <w:cantSplit/>
        </w:trPr>
        <w:tc>
          <w:tcPr>
            <w:tcW w:type="dxa" w:w="1049"/>
            <w:tcW w:type="dxa" w:w="1049"/>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b/>
                <w:sz w:val="15"/>
              </w:rPr>
              <w:t>2045</w:t>
            </w:r>
          </w:p>
        </w:tc>
        <w:tc>
          <w:tcPr>
            <w:tcW w:type="dxa" w:w="4480"/>
            <w:tcW w:type="dxa" w:w="448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Special Act sunset</w:t>
            </w:r>
          </w:p>
        </w:tc>
        <w:tc>
          <w:tcPr>
            <w:tcW w:type="dxa" w:w="3490"/>
            <w:tcW w:type="dxa" w:w="3490"/>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Terminal value</w:t>
            </w:r>
          </w:p>
        </w:tc>
        <w:tc>
          <w:tcPr>
            <w:tcW w:type="dxa" w:w="885"/>
            <w:tcW w:type="dxa" w:w="885"/>
            <w:tcBorders>
              <w:top w:val="single" w:color="D5D9E0" w:sz="2"/>
              <w:left w:val="none" w:color="FFFFFF" w:sz="0"/>
              <w:bottom w:val="single" w:color="D5D9E0" w:sz="2"/>
              <w:right w:val="none" w:color="FFFFFF" w:sz="0"/>
            </w:tcBorders>
            <w:tcMar>
              <w:top w:type="dxa" w:w="40"/>
              <w:left w:type="dxa" w:w="70"/>
              <w:bottom w:type="dxa" w:w="40"/>
              <w:right w:type="dxa" w:w="70"/>
            </w:tcMar>
          </w:tcPr>
          <w:p>
            <w:pPr>
              <w:spacing w:before="0" w:after="0" w:line="240" w:lineRule="auto"/>
              <w:jc w:val="left"/>
            </w:pPr>
            <w:r>
              <w:rPr>
                <w:rFonts w:ascii="Arial" w:hAnsi="Arial"/>
                <w:sz w:val="15"/>
              </w:rPr>
              <w:t>LONG TERM</w:t>
            </w:r>
          </w:p>
        </w:tc>
      </w:tr>
    </w:tbl>
    <w:p>
      <w:pPr>
        <w:spacing w:before="0" w:after="40" w:line="240" w:lineRule="auto"/>
      </w:pPr>
    </w:p>
    <w:p>
      <w:pPr>
        <w:pStyle w:val="Heading1"/>
        <w:pageBreakBefore/>
        <w:spacing w:before="0" w:after="120" w:line="264" w:lineRule="auto"/>
      </w:pPr>
      <w:r>
        <w:rPr>
          <w:rFonts w:ascii="Arial" w:hAnsi="Arial"/>
        </w:rPr>
        <w:t>Appendix A: Sources, Methodology and Data Notes</w:t>
      </w:r>
    </w:p>
    <w:p>
      <w:pPr>
        <w:pStyle w:val="Heading2"/>
        <w:keepNext/>
        <w:spacing w:before="160" w:after="80" w:line="264" w:lineRule="auto"/>
      </w:pPr>
      <w:r>
        <w:rPr>
          <w:rFonts w:ascii="Arial" w:hAnsi="Arial"/>
        </w:rPr>
        <w:t>A.1 Data sources</w:t>
      </w:r>
    </w:p>
    <w:p>
      <w:pPr>
        <w:spacing w:before="0" w:after="50" w:line="276" w:lineRule="auto"/>
        <w:ind w:left="360" w:hanging="245"/>
      </w:pPr>
      <w:r>
        <w:rPr>
          <w:rFonts w:ascii="Arial" w:hAnsi="Arial"/>
          <w:color w:val="2E74B5"/>
          <w:sz w:val="16"/>
        </w:rPr>
        <w:t xml:space="preserve">▪  </w:t>
      </w:r>
      <w:r>
        <w:rPr>
          <w:rFonts w:ascii="Arial" w:hAnsi="Arial"/>
          <w:b/>
          <w:sz w:val="19"/>
        </w:rPr>
        <w:t>S&amp;P Capital IQ:</w:t>
      </w:r>
      <w:r>
        <w:rPr>
          <w:rFonts w:ascii="Arial" w:hAnsi="Arial"/>
          <w:sz w:val="19"/>
        </w:rPr>
        <w:t xml:space="preserve"> peer multiples, operating metrics and transaction data as of 16-Oct-2026, as compiled for our Genting Malaysia report. </w:t>
      </w:r>
      <w:r>
        <w:rPr>
          <w:rFonts w:ascii="Arial" w:hAnsi="Arial"/>
          <w:b/>
          <w:sz w:val="19"/>
        </w:rPr>
        <w:t>S&amp;P Global (Deterministic and Adaptive Retrieval) and ProntoNLP were not authorised in this session</w:t>
      </w:r>
      <w:r>
        <w:rPr>
          <w:rFonts w:ascii="Arial" w:hAnsi="Arial"/>
          <w:sz w:val="19"/>
        </w:rPr>
        <w:t>, so Kangwon Land drill-down data come from the sources below.</w:t>
      </w:r>
    </w:p>
    <w:p>
      <w:pPr>
        <w:spacing w:before="0" w:after="50" w:line="276" w:lineRule="auto"/>
        <w:ind w:left="360" w:hanging="245"/>
      </w:pPr>
      <w:r>
        <w:rPr>
          <w:rFonts w:ascii="Arial" w:hAnsi="Arial"/>
          <w:color w:val="2E74B5"/>
          <w:sz w:val="16"/>
        </w:rPr>
        <w:t xml:space="preserve">▪  </w:t>
      </w:r>
      <w:r>
        <w:rPr>
          <w:rFonts w:ascii="Arial" w:hAnsi="Arial"/>
          <w:b/>
          <w:sz w:val="19"/>
        </w:rPr>
        <w:t>Company:</w:t>
      </w:r>
    </w:p>
    <w:p>
      <w:pPr>
        <w:spacing w:before="0" w:after="50" w:line="276" w:lineRule="auto"/>
        <w:ind w:left="360" w:hanging="245"/>
      </w:pPr>
      <w:r>
        <w:rPr>
          <w:rFonts w:ascii="Arial" w:hAnsi="Arial"/>
          <w:color w:val="2E74B5"/>
          <w:sz w:val="16"/>
        </w:rPr>
        <w:t xml:space="preserve">▪  </w:t>
      </w:r>
      <w:r>
        <w:rPr>
          <w:rFonts w:ascii="Arial" w:hAnsi="Arial"/>
          <w:sz w:val="19"/>
        </w:rPr>
        <w:t>preliminary and final results (via press and Quartr event summaries);</w:t>
      </w:r>
    </w:p>
    <w:p>
      <w:pPr>
        <w:spacing w:before="0" w:after="50" w:line="276" w:lineRule="auto"/>
        <w:ind w:left="360" w:hanging="245"/>
      </w:pPr>
      <w:r>
        <w:rPr>
          <w:rFonts w:ascii="Arial" w:hAnsi="Arial"/>
          <w:color w:val="2E74B5"/>
          <w:sz w:val="16"/>
        </w:rPr>
        <w:t xml:space="preserve">▪  </w:t>
      </w:r>
      <w:r>
        <w:rPr>
          <w:rFonts w:ascii="Arial" w:hAnsi="Arial"/>
          <w:sz w:val="19"/>
        </w:rPr>
        <w:t>Kangwon Land IR page (shareholders);</w:t>
      </w:r>
    </w:p>
    <w:p>
      <w:pPr>
        <w:spacing w:before="0" w:after="50" w:line="276" w:lineRule="auto"/>
        <w:ind w:left="360" w:hanging="245"/>
      </w:pPr>
      <w:r>
        <w:rPr>
          <w:rFonts w:ascii="Arial" w:hAnsi="Arial"/>
          <w:color w:val="2E74B5"/>
          <w:sz w:val="16"/>
        </w:rPr>
        <w:t xml:space="preserve">▪  </w:t>
      </w:r>
      <w:r>
        <w:rPr>
          <w:rFonts w:ascii="Arial" w:hAnsi="Arial"/>
          <w:sz w:val="19"/>
        </w:rPr>
        <w:t>4Q23 IR deck;</w:t>
      </w:r>
    </w:p>
    <w:p>
      <w:pPr>
        <w:spacing w:before="0" w:after="50" w:line="276" w:lineRule="auto"/>
        <w:ind w:left="360" w:hanging="245"/>
      </w:pPr>
      <w:r>
        <w:rPr>
          <w:rFonts w:ascii="Arial" w:hAnsi="Arial"/>
          <w:color w:val="2E74B5"/>
          <w:sz w:val="16"/>
        </w:rPr>
        <w:t xml:space="preserve">▪  </w:t>
      </w:r>
      <w:r>
        <w:rPr>
          <w:rFonts w:ascii="Arial" w:hAnsi="Arial"/>
          <w:sz w:val="19"/>
        </w:rPr>
        <w:t>Value-Up disclosures (Oct-2024; Nov-2025 progress report);</w:t>
      </w:r>
    </w:p>
    <w:p>
      <w:pPr>
        <w:spacing w:before="0" w:after="50" w:line="276" w:lineRule="auto"/>
        <w:ind w:left="360" w:hanging="245"/>
      </w:pPr>
      <w:r>
        <w:rPr>
          <w:rFonts w:ascii="Arial" w:hAnsi="Arial"/>
          <w:color w:val="2E74B5"/>
          <w:sz w:val="16"/>
        </w:rPr>
        <w:t xml:space="preserve">▪  </w:t>
      </w:r>
      <w:r>
        <w:rPr>
          <w:rFonts w:ascii="Arial" w:hAnsi="Arial"/>
          <w:sz w:val="19"/>
        </w:rPr>
        <w:t>EGM and AGM notices.</w:t>
      </w:r>
    </w:p>
    <w:p>
      <w:pPr>
        <w:spacing w:before="0" w:after="50" w:line="276" w:lineRule="auto"/>
        <w:ind w:left="360" w:hanging="245"/>
      </w:pPr>
      <w:r>
        <w:rPr>
          <w:rFonts w:ascii="Arial" w:hAnsi="Arial"/>
          <w:color w:val="2E74B5"/>
          <w:sz w:val="16"/>
        </w:rPr>
        <w:t xml:space="preserve">▪  </w:t>
      </w:r>
      <w:r>
        <w:rPr>
          <w:rFonts w:ascii="Arial" w:hAnsi="Arial"/>
          <w:b/>
          <w:sz w:val="19"/>
        </w:rPr>
        <w:t>Regulators and government:</w:t>
      </w:r>
    </w:p>
    <w:p>
      <w:pPr>
        <w:spacing w:before="0" w:after="50" w:line="276" w:lineRule="auto"/>
        <w:ind w:left="360" w:hanging="245"/>
      </w:pPr>
      <w:r>
        <w:rPr>
          <w:rFonts w:ascii="Arial" w:hAnsi="Arial"/>
          <w:color w:val="2E74B5"/>
          <w:sz w:val="16"/>
        </w:rPr>
        <w:t xml:space="preserve">▪  </w:t>
      </w:r>
      <w:r>
        <w:rPr>
          <w:rFonts w:ascii="Arial" w:hAnsi="Arial"/>
          <w:sz w:val="19"/>
        </w:rPr>
        <w:t>MCST (permits, levy proposal);</w:t>
      </w:r>
    </w:p>
    <w:p>
      <w:pPr>
        <w:spacing w:before="0" w:after="50" w:line="276" w:lineRule="auto"/>
        <w:ind w:left="360" w:hanging="245"/>
      </w:pPr>
      <w:r>
        <w:rPr>
          <w:rFonts w:ascii="Arial" w:hAnsi="Arial"/>
          <w:color w:val="2E74B5"/>
          <w:sz w:val="16"/>
        </w:rPr>
        <w:t xml:space="preserve">▪  </w:t>
      </w:r>
      <w:r>
        <w:rPr>
          <w:rFonts w:ascii="Arial" w:hAnsi="Arial"/>
          <w:sz w:val="19"/>
        </w:rPr>
        <w:t>NGCC (sales caps; 2025 government-take data);</w:t>
      </w:r>
    </w:p>
    <w:p>
      <w:pPr>
        <w:spacing w:before="0" w:after="50" w:line="276" w:lineRule="auto"/>
        <w:ind w:left="360" w:hanging="245"/>
      </w:pPr>
      <w:r>
        <w:rPr>
          <w:rFonts w:ascii="Arial" w:hAnsi="Arial"/>
          <w:color w:val="2E74B5"/>
          <w:sz w:val="16"/>
        </w:rPr>
        <w:t xml:space="preserve">▪  </w:t>
      </w:r>
      <w:r>
        <w:rPr>
          <w:rFonts w:ascii="Arial" w:hAnsi="Arial"/>
          <w:sz w:val="19"/>
        </w:rPr>
        <w:t>Financial Services Commission and FIU (AML proposal);</w:t>
      </w:r>
    </w:p>
    <w:p>
      <w:pPr>
        <w:spacing w:before="0" w:after="50" w:line="276" w:lineRule="auto"/>
        <w:ind w:left="360" w:hanging="245"/>
      </w:pPr>
      <w:r>
        <w:rPr>
          <w:rFonts w:ascii="Arial" w:hAnsi="Arial"/>
          <w:color w:val="2E74B5"/>
          <w:sz w:val="16"/>
        </w:rPr>
        <w:t xml:space="preserve">▪  </w:t>
      </w:r>
      <w:r>
        <w:rPr>
          <w:rFonts w:ascii="Arial" w:hAnsi="Arial"/>
          <w:sz w:val="19"/>
        </w:rPr>
        <w:t>National Assembly audits;</w:t>
      </w:r>
    </w:p>
    <w:p>
      <w:pPr>
        <w:spacing w:before="0" w:after="50" w:line="276" w:lineRule="auto"/>
        <w:ind w:left="360" w:hanging="245"/>
      </w:pPr>
      <w:r>
        <w:rPr>
          <w:rFonts w:ascii="Arial" w:hAnsi="Arial"/>
          <w:color w:val="2E74B5"/>
          <w:sz w:val="16"/>
        </w:rPr>
        <w:t xml:space="preserve">▪  </w:t>
      </w:r>
      <w:r>
        <w:rPr>
          <w:rFonts w:ascii="Arial" w:hAnsi="Arial"/>
          <w:sz w:val="19"/>
        </w:rPr>
        <w:t>Special Act on Abandoned Mine Areas (2021 amendment);</w:t>
      </w:r>
    </w:p>
    <w:p>
      <w:pPr>
        <w:spacing w:before="0" w:after="50" w:line="276" w:lineRule="auto"/>
        <w:ind w:left="360" w:hanging="245"/>
      </w:pPr>
      <w:r>
        <w:rPr>
          <w:rFonts w:ascii="Arial" w:hAnsi="Arial"/>
          <w:color w:val="2E74B5"/>
          <w:sz w:val="16"/>
        </w:rPr>
        <w:t xml:space="preserve">▪  </w:t>
      </w:r>
      <w:r>
        <w:rPr>
          <w:rFonts w:ascii="Arial" w:hAnsi="Arial"/>
          <w:sz w:val="19"/>
        </w:rPr>
        <w:t>Commercial Act amendments (2025-26);</w:t>
      </w:r>
    </w:p>
    <w:p>
      <w:pPr>
        <w:spacing w:before="0" w:after="50" w:line="276" w:lineRule="auto"/>
        <w:ind w:left="360" w:hanging="245"/>
      </w:pPr>
      <w:r>
        <w:rPr>
          <w:rFonts w:ascii="Arial" w:hAnsi="Arial"/>
          <w:color w:val="2E74B5"/>
          <w:sz w:val="16"/>
        </w:rPr>
        <w:t xml:space="preserve">▪  </w:t>
      </w:r>
      <w:r>
        <w:rPr>
          <w:rFonts w:ascii="Arial" w:hAnsi="Arial"/>
          <w:sz w:val="19"/>
        </w:rPr>
        <w:t>dividend tax reform (2025 tax law).</w:t>
      </w:r>
    </w:p>
    <w:p>
      <w:pPr>
        <w:spacing w:before="0" w:after="50" w:line="276" w:lineRule="auto"/>
        <w:ind w:left="360" w:hanging="245"/>
      </w:pPr>
      <w:r>
        <w:rPr>
          <w:rFonts w:ascii="Arial" w:hAnsi="Arial"/>
          <w:color w:val="2E74B5"/>
          <w:sz w:val="16"/>
        </w:rPr>
        <w:t xml:space="preserve">▪  </w:t>
      </w:r>
      <w:r>
        <w:rPr>
          <w:rFonts w:ascii="Arial" w:hAnsi="Arial"/>
          <w:b/>
          <w:sz w:val="19"/>
        </w:rPr>
        <w:t>Broker research (via public summaries):</w:t>
      </w:r>
      <w:r>
        <w:rPr>
          <w:rFonts w:ascii="Arial" w:hAnsi="Arial"/>
          <w:sz w:val="19"/>
        </w:rPr>
        <w:t xml:space="preserve"> Hana, Eugene, Kiwoom, Samsung, Shinhan, Hanwha, iM, Daishin, Meritz, KB.</w:t>
      </w:r>
    </w:p>
    <w:p>
      <w:pPr>
        <w:spacing w:before="0" w:after="50" w:line="276" w:lineRule="auto"/>
        <w:ind w:left="360" w:hanging="245"/>
      </w:pPr>
      <w:r>
        <w:rPr>
          <w:rFonts w:ascii="Arial" w:hAnsi="Arial"/>
          <w:color w:val="2E74B5"/>
          <w:sz w:val="16"/>
        </w:rPr>
        <w:t xml:space="preserve">▪  </w:t>
      </w:r>
      <w:r>
        <w:rPr>
          <w:rFonts w:ascii="Arial" w:hAnsi="Arial"/>
          <w:b/>
          <w:sz w:val="19"/>
        </w:rPr>
        <w:t>Press:</w:t>
      </w:r>
    </w:p>
    <w:p>
      <w:pPr>
        <w:spacing w:before="0" w:after="50" w:line="276" w:lineRule="auto"/>
        <w:ind w:left="360" w:hanging="245"/>
      </w:pPr>
      <w:r>
        <w:rPr>
          <w:rFonts w:ascii="Arial" w:hAnsi="Arial"/>
          <w:color w:val="2E74B5"/>
          <w:sz w:val="16"/>
        </w:rPr>
        <w:t xml:space="preserve">▪  </w:t>
      </w:r>
      <w:r>
        <w:rPr>
          <w:rFonts w:ascii="Arial" w:hAnsi="Arial"/>
          <w:sz w:val="19"/>
        </w:rPr>
        <w:t>Korean: Yonhap, Money Today, MTN, Newsis, Asia Economy, Hankyung, Edaily, ddaily, Kukinews, newstomato / IB Tomato, Dealsite, Bizhankook, Pressian, Seoul Shinmun, Segye, Jeonbuk Ilbo.</w:t>
      </w:r>
    </w:p>
    <w:p>
      <w:pPr>
        <w:spacing w:before="0" w:after="50" w:line="276" w:lineRule="auto"/>
        <w:ind w:left="360" w:hanging="245"/>
      </w:pPr>
      <w:r>
        <w:rPr>
          <w:rFonts w:ascii="Arial" w:hAnsi="Arial"/>
          <w:color w:val="2E74B5"/>
          <w:sz w:val="16"/>
        </w:rPr>
        <w:t xml:space="preserve">▪  </w:t>
      </w:r>
      <w:r>
        <w:rPr>
          <w:rFonts w:ascii="Arial" w:hAnsi="Arial"/>
          <w:sz w:val="19"/>
        </w:rPr>
        <w:t>Gaming trade: ASGAM, GGRAsia, Asia Gaming Brief, Sigma, iGaming Business, Casino Beats, Focus GN, Yogonet.</w:t>
      </w:r>
    </w:p>
    <w:p>
      <w:pPr>
        <w:spacing w:before="0" w:after="50" w:line="276" w:lineRule="auto"/>
        <w:ind w:left="360" w:hanging="245"/>
      </w:pPr>
      <w:r>
        <w:rPr>
          <w:rFonts w:ascii="Arial" w:hAnsi="Arial"/>
          <w:color w:val="2E74B5"/>
          <w:sz w:val="16"/>
        </w:rPr>
        <w:t xml:space="preserve">▪  </w:t>
      </w:r>
      <w:r>
        <w:rPr>
          <w:rFonts w:ascii="Arial" w:hAnsi="Arial"/>
          <w:sz w:val="19"/>
        </w:rPr>
        <w:t>Data aggregators: StockHub, Investing.com, WiseReport, companiesmarketcap.</w:t>
      </w:r>
    </w:p>
    <w:p>
      <w:pPr>
        <w:spacing w:before="0" w:after="50" w:line="276" w:lineRule="auto"/>
        <w:ind w:left="360" w:hanging="245"/>
      </w:pPr>
      <w:r>
        <w:rPr>
          <w:rFonts w:ascii="Arial" w:hAnsi="Arial"/>
          <w:color w:val="2E74B5"/>
          <w:sz w:val="16"/>
        </w:rPr>
        <w:t xml:space="preserve">▪  </w:t>
      </w:r>
      <w:r>
        <w:rPr>
          <w:rFonts w:ascii="Arial" w:hAnsi="Arial"/>
          <w:b/>
          <w:sz w:val="19"/>
        </w:rPr>
        <w:t>Research method:</w:t>
      </w:r>
      <w:r>
        <w:rPr>
          <w:rFonts w:ascii="Arial" w:hAnsi="Arial"/>
          <w:sz w:val="19"/>
        </w:rPr>
        <w:t xml:space="preserve"> web searches only. Direct page access was blocked in this environment, and the session's web-search budget (200 calls) was exhausted during research.</w:t>
      </w:r>
    </w:p>
    <w:p>
      <w:pPr>
        <w:pStyle w:val="Heading2"/>
        <w:keepNext/>
        <w:spacing w:before="160" w:after="80" w:line="264" w:lineRule="auto"/>
      </w:pPr>
      <w:r>
        <w:rPr>
          <w:rFonts w:ascii="Arial" w:hAnsi="Arial"/>
        </w:rPr>
        <w:t>A.2 Key definitions</w:t>
      </w:r>
    </w:p>
    <w:p>
      <w:pPr>
        <w:spacing w:before="0" w:after="50" w:line="276" w:lineRule="auto"/>
        <w:ind w:left="360" w:hanging="245"/>
      </w:pPr>
      <w:r>
        <w:rPr>
          <w:rFonts w:ascii="Arial" w:hAnsi="Arial"/>
          <w:color w:val="2E74B5"/>
          <w:sz w:val="16"/>
        </w:rPr>
        <w:t xml:space="preserve">▪  </w:t>
      </w:r>
      <w:r>
        <w:rPr>
          <w:rFonts w:ascii="Arial" w:hAnsi="Arial"/>
          <w:b/>
          <w:sz w:val="19"/>
        </w:rPr>
        <w:t>Net financial assets [e]:</w:t>
      </w:r>
      <w:r>
        <w:rPr>
          <w:rFonts w:ascii="Arial" w:hAnsi="Arial"/>
          <w:sz w:val="19"/>
        </w:rPr>
        <w:t xml:space="preserve"> cash, short-term financial instruments and investments, less borrowings, derived as S&amp;P Capital IQ net debt/EBITDA (−9.6x) × LTM EBITDA (20.7% × KRW1,474bn). Cross-checked against IB Tomato's ~KRW2.8tn of current financial assets.</w:t>
      </w:r>
    </w:p>
    <w:p>
      <w:pPr>
        <w:spacing w:before="0" w:after="50" w:line="276" w:lineRule="auto"/>
        <w:ind w:left="360" w:hanging="245"/>
      </w:pPr>
      <w:r>
        <w:rPr>
          <w:rFonts w:ascii="Arial" w:hAnsi="Arial"/>
          <w:color w:val="2E74B5"/>
          <w:sz w:val="16"/>
        </w:rPr>
        <w:t xml:space="preserve">▪  </w:t>
      </w:r>
      <w:r>
        <w:rPr>
          <w:rFonts w:ascii="Arial" w:hAnsi="Arial"/>
          <w:b/>
          <w:sz w:val="19"/>
        </w:rPr>
        <w:t>Excess cash [e]:</w:t>
      </w:r>
      <w:r>
        <w:rPr>
          <w:rFonts w:ascii="Arial" w:hAnsi="Arial"/>
          <w:sz w:val="19"/>
        </w:rPr>
        <w:t xml:space="preserve"> net financial assets less a KRW0.4tn reserve for accrued levies, payables and the operating float.</w:t>
      </w:r>
    </w:p>
    <w:p>
      <w:pPr>
        <w:spacing w:before="0" w:after="50" w:line="276" w:lineRule="auto"/>
        <w:ind w:left="360" w:hanging="245"/>
      </w:pPr>
      <w:r>
        <w:rPr>
          <w:rFonts w:ascii="Arial" w:hAnsi="Arial"/>
          <w:color w:val="2E74B5"/>
          <w:sz w:val="16"/>
        </w:rPr>
        <w:t xml:space="preserve">▪  </w:t>
      </w:r>
      <w:r>
        <w:rPr>
          <w:rFonts w:ascii="Arial" w:hAnsi="Arial"/>
          <w:b/>
          <w:sz w:val="19"/>
        </w:rPr>
        <w:t>EBITDA [e]:</w:t>
      </w:r>
      <w:r>
        <w:rPr>
          <w:rFonts w:ascii="Arial" w:hAnsi="Arial"/>
          <w:sz w:val="19"/>
        </w:rPr>
        <w:t xml:space="preserve"> operating profit plus ~KRW90-100bn of D&amp;A (CIQ LTM margin 20.7%).</w:t>
      </w:r>
    </w:p>
    <w:p>
      <w:pPr>
        <w:spacing w:before="0" w:after="50" w:line="276" w:lineRule="auto"/>
        <w:ind w:left="360" w:hanging="245"/>
      </w:pPr>
      <w:r>
        <w:rPr>
          <w:rFonts w:ascii="Arial" w:hAnsi="Arial"/>
          <w:color w:val="2E74B5"/>
          <w:sz w:val="16"/>
        </w:rPr>
        <w:t xml:space="preserve">▪  </w:t>
      </w:r>
      <w:r>
        <w:rPr>
          <w:rFonts w:ascii="Arial" w:hAnsi="Arial"/>
          <w:b/>
          <w:sz w:val="19"/>
        </w:rPr>
        <w:t>Government take:</w:t>
      </w:r>
      <w:r>
        <w:rPr>
          <w:rFonts w:ascii="Arial" w:hAnsi="Arial"/>
          <w:sz w:val="19"/>
        </w:rPr>
        <w:t xml:space="preserve"> NGCC-reported fund contributions plus national and local taxes, as a share of NGCC gaming sales.</w:t>
      </w:r>
    </w:p>
    <w:p>
      <w:pPr>
        <w:spacing w:before="0" w:after="50" w:line="276" w:lineRule="auto"/>
        <w:ind w:left="360" w:hanging="245"/>
      </w:pPr>
      <w:r>
        <w:rPr>
          <w:rFonts w:ascii="Arial" w:hAnsi="Arial"/>
          <w:color w:val="2E74B5"/>
          <w:sz w:val="16"/>
        </w:rPr>
        <w:t xml:space="preserve">▪  </w:t>
      </w:r>
      <w:r>
        <w:rPr>
          <w:rFonts w:ascii="Arial" w:hAnsi="Arial"/>
          <w:b/>
          <w:sz w:val="19"/>
        </w:rPr>
        <w:t>[u]</w:t>
      </w:r>
      <w:r>
        <w:rPr>
          <w:rFonts w:ascii="Arial" w:hAnsi="Arial"/>
          <w:sz w:val="19"/>
        </w:rPr>
        <w:t xml:space="preserve"> = unverified or single secondary source; </w:t>
      </w:r>
      <w:r>
        <w:rPr>
          <w:rFonts w:ascii="Arial" w:hAnsi="Arial"/>
          <w:b/>
          <w:sz w:val="19"/>
        </w:rPr>
        <w:t>[e]</w:t>
      </w:r>
      <w:r>
        <w:rPr>
          <w:rFonts w:ascii="Arial" w:hAnsi="Arial"/>
          <w:sz w:val="19"/>
        </w:rPr>
        <w:t xml:space="preserve"> = our estimate or derivation; </w:t>
      </w:r>
      <w:r>
        <w:rPr>
          <w:rFonts w:ascii="Arial" w:hAnsi="Arial"/>
          <w:b/>
          <w:sz w:val="19"/>
        </w:rPr>
        <w:t>n/f</w:t>
      </w:r>
      <w:r>
        <w:rPr>
          <w:rFonts w:ascii="Arial" w:hAnsi="Arial"/>
          <w:sz w:val="19"/>
        </w:rPr>
        <w:t xml:space="preserve"> = not found.</w:t>
      </w:r>
    </w:p>
    <w:p>
      <w:pPr>
        <w:pStyle w:val="Heading2"/>
        <w:keepNext/>
        <w:spacing w:before="160" w:after="80" w:line="264" w:lineRule="auto"/>
      </w:pPr>
      <w:r>
        <w:rPr>
          <w:rFonts w:ascii="Arial" w:hAnsi="Arial"/>
        </w:rPr>
        <w:t>A.3 Model notes</w:t>
      </w:r>
    </w:p>
    <w:p>
      <w:pPr>
        <w:spacing w:before="0" w:after="50" w:line="276" w:lineRule="auto"/>
        <w:ind w:left="360" w:hanging="245"/>
      </w:pPr>
      <w:r>
        <w:rPr>
          <w:rFonts w:ascii="Arial" w:hAnsi="Arial"/>
          <w:color w:val="2E74B5"/>
          <w:sz w:val="16"/>
        </w:rPr>
        <w:t xml:space="preserve">▪  </w:t>
      </w:r>
      <w:r>
        <w:rPr>
          <w:rFonts w:ascii="Arial" w:hAnsi="Arial"/>
          <w:b/>
          <w:sz w:val="19"/>
        </w:rPr>
        <w:t>Forecasts:</w:t>
      </w:r>
    </w:p>
    <w:p>
      <w:pPr>
        <w:spacing w:before="0" w:after="50" w:line="276" w:lineRule="auto"/>
        <w:ind w:left="360" w:hanging="245"/>
      </w:pPr>
      <w:r>
        <w:rPr>
          <w:rFonts w:ascii="Arial" w:hAnsi="Arial"/>
          <w:color w:val="2E74B5"/>
          <w:sz w:val="16"/>
        </w:rPr>
        <w:t xml:space="preserve">▪  </w:t>
      </w:r>
      <w:r>
        <w:rPr>
          <w:rFonts w:ascii="Arial" w:hAnsi="Arial"/>
          <w:sz w:val="19"/>
        </w:rPr>
        <w:t>3Q26E in line with iM's preview; 4Q26E revenue −3.7% with seasonally low OP.</w:t>
      </w:r>
    </w:p>
    <w:p>
      <w:pPr>
        <w:spacing w:before="0" w:after="50" w:line="276" w:lineRule="auto"/>
        <w:ind w:left="360" w:hanging="245"/>
      </w:pPr>
      <w:r>
        <w:rPr>
          <w:rFonts w:ascii="Arial" w:hAnsi="Arial"/>
          <w:color w:val="2E74B5"/>
          <w:sz w:val="16"/>
        </w:rPr>
        <w:t xml:space="preserve">▪  </w:t>
      </w:r>
      <w:r>
        <w:rPr>
          <w:rFonts w:ascii="Arial" w:hAnsi="Arial"/>
          <w:sz w:val="19"/>
        </w:rPr>
        <w:t>FY27E casino +2.5%, non-casino −15%.</w:t>
      </w:r>
    </w:p>
    <w:p>
      <w:pPr>
        <w:spacing w:before="0" w:after="50" w:line="276" w:lineRule="auto"/>
        <w:ind w:left="360" w:hanging="245"/>
      </w:pPr>
      <w:r>
        <w:rPr>
          <w:rFonts w:ascii="Arial" w:hAnsi="Arial"/>
          <w:color w:val="2E74B5"/>
          <w:sz w:val="16"/>
        </w:rPr>
        <w:t xml:space="preserve">▪  </w:t>
      </w:r>
      <w:r>
        <w:rPr>
          <w:rFonts w:ascii="Arial" w:hAnsi="Arial"/>
          <w:sz w:val="19"/>
        </w:rPr>
        <w:t>FY28E +5.4% (second casino, rooms reopen).</w:t>
      </w:r>
    </w:p>
    <w:p>
      <w:pPr>
        <w:spacing w:before="0" w:after="50" w:line="276" w:lineRule="auto"/>
        <w:ind w:left="360" w:hanging="245"/>
      </w:pPr>
      <w:r>
        <w:rPr>
          <w:rFonts w:ascii="Arial" w:hAnsi="Arial"/>
          <w:color w:val="2E74B5"/>
          <w:sz w:val="16"/>
        </w:rPr>
        <w:t xml:space="preserve">▪  </w:t>
      </w:r>
      <w:r>
        <w:rPr>
          <w:rFonts w:ascii="Arial" w:hAnsi="Arial"/>
          <w:sz w:val="19"/>
        </w:rPr>
        <w:t>Tax 26%; recurring net non-operating income KRW110-115bn; no valuation gains assumed; DPS KRW850/870/920.</w:t>
      </w:r>
    </w:p>
    <w:p>
      <w:pPr>
        <w:spacing w:before="0" w:after="50" w:line="276" w:lineRule="auto"/>
        <w:ind w:left="360" w:hanging="245"/>
      </w:pPr>
      <w:r>
        <w:rPr>
          <w:rFonts w:ascii="Arial" w:hAnsi="Arial"/>
          <w:color w:val="2E74B5"/>
          <w:sz w:val="16"/>
        </w:rPr>
        <w:t xml:space="preserve">▪  </w:t>
      </w:r>
      <w:r>
        <w:rPr>
          <w:rFonts w:ascii="Arial" w:hAnsi="Arial"/>
          <w:b/>
          <w:sz w:val="19"/>
        </w:rPr>
        <w:t>SOTP:</w:t>
      </w:r>
      <w:r>
        <w:rPr>
          <w:rFonts w:ascii="Arial" w:hAnsi="Arial"/>
          <w:sz w:val="19"/>
        </w:rPr>
        <w:t xml:space="preserve"> operations at 5.0x / 6.5x / 8.0x EBITDA (bear / base / bull), plus excess cash, less K-HIT value destruction (KRW1.3tn / 0.8tn / 0.2tn), less a state-control discount (15% / 10% / 5%). Shares outstanding ~198.2m.</w:t>
      </w:r>
    </w:p>
    <w:p>
      <w:pPr>
        <w:spacing w:before="0" w:after="50" w:line="276" w:lineRule="auto"/>
        <w:ind w:left="360" w:hanging="245"/>
      </w:pPr>
      <w:r>
        <w:rPr>
          <w:rFonts w:ascii="Arial" w:hAnsi="Arial"/>
          <w:color w:val="2E74B5"/>
          <w:sz w:val="16"/>
        </w:rPr>
        <w:t xml:space="preserve">▪  </w:t>
      </w:r>
      <w:r>
        <w:rPr>
          <w:rFonts w:ascii="Arial" w:hAnsi="Arial"/>
          <w:b/>
          <w:sz w:val="19"/>
        </w:rPr>
        <w:t>Regression:</w:t>
      </w:r>
      <w:r>
        <w:rPr>
          <w:rFonts w:ascii="Arial" w:hAnsi="Arial"/>
          <w:sz w:val="19"/>
        </w:rPr>
        <w:t xml:space="preserve"> OLS of TEV/Sales on LTM EBIT margin across 23 core listed peers (R² 0.64). TEV/Sales is plotted on the x-axis and EBIT margin on the y-axis, as in our prior reports.</w:t>
      </w:r>
    </w:p>
    <w:p>
      <w:pPr>
        <w:spacing w:before="0" w:after="50" w:line="276" w:lineRule="auto"/>
        <w:ind w:left="360" w:hanging="245"/>
      </w:pPr>
      <w:r>
        <w:rPr>
          <w:rFonts w:ascii="Arial" w:hAnsi="Arial"/>
          <w:color w:val="2E74B5"/>
          <w:sz w:val="16"/>
        </w:rPr>
        <w:t xml:space="preserve">▪  </w:t>
      </w:r>
      <w:r>
        <w:rPr>
          <w:rFonts w:ascii="Arial" w:hAnsi="Arial"/>
          <w:b/>
          <w:sz w:val="19"/>
        </w:rPr>
        <w:t>Price chart:</w:t>
      </w:r>
      <w:r>
        <w:rPr>
          <w:rFonts w:ascii="Arial" w:hAnsi="Arial"/>
          <w:sz w:val="19"/>
        </w:rPr>
        <w:t xml:space="preserve"> sourced dated closes plus estimated year-end levels derived from companiesmarketcap market caps converted at approximate year-end exchange rates [e]. It is not a continuous price series.</w:t>
      </w:r>
    </w:p>
    <w:p>
      <w:pPr>
        <w:pStyle w:val="Heading2"/>
        <w:keepNext/>
        <w:spacing w:before="160" w:after="80" w:line="264" w:lineRule="auto"/>
      </w:pPr>
      <w:r>
        <w:rPr>
          <w:rFonts w:ascii="Arial" w:hAnsi="Arial"/>
        </w:rPr>
        <w:t>A.4 Important caveats</w:t>
      </w:r>
    </w:p>
    <w:p>
      <w:pPr>
        <w:spacing w:before="0" w:after="50" w:line="276" w:lineRule="auto"/>
        <w:ind w:left="360" w:hanging="245"/>
      </w:pPr>
      <w:r>
        <w:rPr>
          <w:rFonts w:ascii="Arial" w:hAnsi="Arial"/>
          <w:color w:val="2E74B5"/>
          <w:sz w:val="16"/>
        </w:rPr>
        <w:t xml:space="preserve">▪  </w:t>
      </w:r>
      <w:r>
        <w:rPr>
          <w:rFonts w:ascii="Arial" w:hAnsi="Arial"/>
          <w:b/>
          <w:sz w:val="19"/>
        </w:rPr>
        <w:t>Search summaries, not filings.</w:t>
      </w:r>
      <w:r>
        <w:rPr>
          <w:rFonts w:ascii="Arial" w:hAnsi="Arial"/>
          <w:sz w:val="19"/>
        </w:rPr>
        <w:t xml:space="preserve"> Press-sourced facts rest on search-engine summaries and should be checked against DART filings and company disclosures before external use. Check these items in particular:</w:t>
      </w:r>
    </w:p>
    <w:p>
      <w:pPr>
        <w:spacing w:before="0" w:after="50" w:line="276" w:lineRule="auto"/>
        <w:ind w:left="360" w:hanging="245"/>
      </w:pPr>
      <w:r>
        <w:rPr>
          <w:rFonts w:ascii="Arial" w:hAnsi="Arial"/>
          <w:color w:val="2E74B5"/>
          <w:sz w:val="16"/>
        </w:rPr>
        <w:t xml:space="preserve">▪  </w:t>
      </w:r>
      <w:r>
        <w:rPr>
          <w:rFonts w:ascii="Arial" w:hAnsi="Arial"/>
          <w:sz w:val="19"/>
        </w:rPr>
        <w:t>FY2022 DPS and net profit;</w:t>
      </w:r>
    </w:p>
    <w:p>
      <w:pPr>
        <w:spacing w:before="0" w:after="50" w:line="276" w:lineRule="auto"/>
        <w:ind w:left="360" w:hanging="245"/>
      </w:pPr>
      <w:r>
        <w:rPr>
          <w:rFonts w:ascii="Arial" w:hAnsi="Arial"/>
          <w:color w:val="2E74B5"/>
          <w:sz w:val="16"/>
        </w:rPr>
        <w:t xml:space="preserve">▪  </w:t>
      </w:r>
      <w:r>
        <w:rPr>
          <w:rFonts w:ascii="Arial" w:hAnsi="Arial"/>
          <w:sz w:val="19"/>
        </w:rPr>
        <w:t>the current board roster;</w:t>
      </w:r>
    </w:p>
    <w:p>
      <w:pPr>
        <w:spacing w:before="0" w:after="50" w:line="276" w:lineRule="auto"/>
        <w:ind w:left="360" w:hanging="245"/>
      </w:pPr>
      <w:r>
        <w:rPr>
          <w:rFonts w:ascii="Arial" w:hAnsi="Arial"/>
          <w:color w:val="2E74B5"/>
          <w:sz w:val="16"/>
        </w:rPr>
        <w:t xml:space="preserve">▪  </w:t>
      </w:r>
      <w:r>
        <w:rPr>
          <w:rFonts w:ascii="Arial" w:hAnsi="Arial"/>
          <w:sz w:val="19"/>
        </w:rPr>
        <w:t>NPS and foreign ownership;</w:t>
      </w:r>
    </w:p>
    <w:p>
      <w:pPr>
        <w:spacing w:before="0" w:after="50" w:line="276" w:lineRule="auto"/>
        <w:ind w:left="360" w:hanging="245"/>
      </w:pPr>
      <w:r>
        <w:rPr>
          <w:rFonts w:ascii="Arial" w:hAnsi="Arial"/>
          <w:color w:val="2E74B5"/>
          <w:sz w:val="16"/>
        </w:rPr>
        <w:t xml:space="preserve">▪  </w:t>
      </w:r>
      <w:r>
        <w:rPr>
          <w:rFonts w:ascii="Arial" w:hAnsi="Arial"/>
          <w:sz w:val="19"/>
        </w:rPr>
        <w:t>whether the 15% levy applies to Kangwon Land;</w:t>
      </w:r>
    </w:p>
    <w:p>
      <w:pPr>
        <w:spacing w:before="0" w:after="50" w:line="276" w:lineRule="auto"/>
        <w:ind w:left="360" w:hanging="245"/>
      </w:pPr>
      <w:r>
        <w:rPr>
          <w:rFonts w:ascii="Arial" w:hAnsi="Arial"/>
          <w:color w:val="2E74B5"/>
          <w:sz w:val="16"/>
        </w:rPr>
        <w:t xml:space="preserve">▪  </w:t>
      </w:r>
      <w:r>
        <w:rPr>
          <w:rFonts w:ascii="Arial" w:hAnsi="Arial"/>
          <w:sz w:val="19"/>
        </w:rPr>
        <w:t>the AML rule's status;</w:t>
      </w:r>
    </w:p>
    <w:p>
      <w:pPr>
        <w:spacing w:before="0" w:after="50" w:line="276" w:lineRule="auto"/>
        <w:ind w:left="360" w:hanging="245"/>
      </w:pPr>
      <w:r>
        <w:rPr>
          <w:rFonts w:ascii="Arial" w:hAnsi="Arial"/>
          <w:color w:val="2E74B5"/>
          <w:sz w:val="16"/>
        </w:rPr>
        <w:t xml:space="preserve">▪  </w:t>
      </w:r>
      <w:r>
        <w:rPr>
          <w:rFonts w:ascii="Arial" w:hAnsi="Arial"/>
          <w:sz w:val="19"/>
        </w:rPr>
        <w:t>the treasury-share cancellation filings (KIND, Jun-2026);</w:t>
      </w:r>
    </w:p>
    <w:p>
      <w:pPr>
        <w:spacing w:before="0" w:after="50" w:line="276" w:lineRule="auto"/>
        <w:ind w:left="360" w:hanging="245"/>
      </w:pPr>
      <w:r>
        <w:rPr>
          <w:rFonts w:ascii="Arial" w:hAnsi="Arial"/>
          <w:color w:val="2E74B5"/>
          <w:sz w:val="16"/>
        </w:rPr>
        <w:t xml:space="preserve">▪  </w:t>
      </w:r>
      <w:r>
        <w:rPr>
          <w:rFonts w:ascii="Arial" w:hAnsi="Arial"/>
          <w:sz w:val="19"/>
        </w:rPr>
        <w:t>how the Commercial Act interacts with the Public Institutions Act;</w:t>
      </w:r>
    </w:p>
    <w:p>
      <w:pPr>
        <w:spacing w:before="0" w:after="50" w:line="276" w:lineRule="auto"/>
        <w:ind w:left="360" w:hanging="245"/>
      </w:pPr>
      <w:r>
        <w:rPr>
          <w:rFonts w:ascii="Arial" w:hAnsi="Arial"/>
          <w:color w:val="2E74B5"/>
          <w:sz w:val="16"/>
        </w:rPr>
        <w:t xml:space="preserve">▪  </w:t>
      </w:r>
      <w:r>
        <w:rPr>
          <w:rFonts w:ascii="Arial" w:hAnsi="Arial"/>
          <w:sz w:val="19"/>
        </w:rPr>
        <w:t>the exact separate-dividend-tax conditions.</w:t>
      </w:r>
    </w:p>
    <w:p>
      <w:pPr>
        <w:spacing w:before="0" w:after="50" w:line="276" w:lineRule="auto"/>
        <w:ind w:left="360" w:hanging="245"/>
      </w:pPr>
      <w:r>
        <w:rPr>
          <w:rFonts w:ascii="Arial" w:hAnsi="Arial"/>
          <w:color w:val="2E74B5"/>
          <w:sz w:val="16"/>
        </w:rPr>
        <w:t xml:space="preserve">▪  </w:t>
      </w:r>
      <w:r>
        <w:rPr>
          <w:rFonts w:ascii="Arial" w:hAnsi="Arial"/>
          <w:b/>
          <w:sz w:val="19"/>
        </w:rPr>
        <w:t>Consensus:</w:t>
      </w:r>
      <w:r>
        <w:rPr>
          <w:rFonts w:ascii="Arial" w:hAnsi="Arial"/>
          <w:sz w:val="19"/>
        </w:rPr>
        <w:t xml:space="preserve"> consensus estimates largely predate the 2Q26 results; post-August consensus was not available.</w:t>
      </w:r>
    </w:p>
    <w:p>
      <w:pPr>
        <w:spacing w:before="0" w:after="50" w:line="276" w:lineRule="auto"/>
        <w:ind w:left="360" w:hanging="245"/>
      </w:pPr>
      <w:r>
        <w:rPr>
          <w:rFonts w:ascii="Arial" w:hAnsi="Arial"/>
          <w:color w:val="2E74B5"/>
          <w:sz w:val="16"/>
        </w:rPr>
        <w:t xml:space="preserve">▪  </w:t>
      </w:r>
      <w:r>
        <w:rPr>
          <w:rFonts w:ascii="Arial" w:hAnsi="Arial"/>
          <w:b/>
          <w:sz w:val="19"/>
        </w:rPr>
        <w:t>Use:</w:t>
      </w:r>
      <w:r>
        <w:rPr>
          <w:rFonts w:ascii="Arial" w:hAnsi="Arial"/>
          <w:sz w:val="19"/>
        </w:rPr>
        <w:t xml:space="preserve"> this document is for internal investment-committee discussion only and is not investment advice.</w:t>
      </w:r>
    </w:p>
    <w:sectPr w:rsidR="00FC693F" w:rsidRPr="0006063C" w:rsidSect="00034616">
      <w:headerReference w:type="default" r:id="rId9"/>
      <w:footerReference w:type="default" r:id="rId10"/>
      <w:pgSz w:w="11906" w:h="16838"/>
      <w:pgMar w:top="1000" w:right="1000" w:bottom="1000" w:left="1000" w:header="472" w:footer="47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270"/>
        <w:sz w:val="14"/>
      </w:rPr>
      <w:t xml:space="preserve">Page </w:t>
    </w:r>
    <w:r>
      <w:rPr>
        <w:sz w:val="14"/>
      </w:rPr>
      <w:fldChar w:fldCharType="begin"/>
      <w:instrText xml:space="preserve">PAGE</w:instrText>
      <w:fldChar w:fldCharType="separate"/>
      <w:fldChar w:fldCharType="end"/>
    </w:r>
    <w:r>
      <w:rPr>
        <w:color w:val="5A6270"/>
        <w:sz w:val="14"/>
      </w:rPr>
      <w:t xml:space="preserve"> of </w:t>
    </w:r>
    <w:r>
      <w:rPr>
        <w:sz w:val="14"/>
      </w:rPr>
      <w:fldChar w:fldCharType="begin"/>
      <w:instrText xml:space="preserve">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A6270"/>
        <w:sz w:val="14"/>
      </w:rPr>
      <w:t>Kangwon Land Inc. (035250 KS) | Equity Research | 25 October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eastAsia="Arial" w:cs="Arial"/>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eastAsia="Arial" w:cs="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rial" w:hAnsi="Arial" w:eastAsia="Arial" w:cs="Arial"/>
      <w:b/>
      <w:bCs/>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