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rPr>
          <w:trHeight w:val="3000" w:hRule="atLeast"/>
        </w:trPr>
        <w:tc>
          <w:tcPr>
            <w:tcW w:type="dxa" w:w="10080"/>
            <w:tcBorders>
              <w:top w:val="none" w:color="FFFFFF" w:sz="0"/>
              <w:left w:val="none" w:color="FFFFFF" w:sz="0"/>
              <w:bottom w:val="none" w:color="FFFFFF" w:sz="0"/>
              <w:right w:val="none" w:color="FFFFFF" w:sz="0"/>
            </w:tcBorders>
            <w:shd w:fill="14213D" w:color="auto" w:val="clear"/>
            <w:tcMar>
              <w:top w:type="dxa" w:w="140"/>
              <w:left w:type="dxa" w:w="200"/>
              <w:bottom w:type="dxa" w:w="140"/>
              <w:right w:type="dxa" w:w="200"/>
            </w:tcMar>
            <w:vAlign w:val="center"/>
          </w:tcPr>
          <w:p>
            <w:pPr>
              <w:spacing w:after="160" w:before="120"/>
            </w:pPr>
            <w:r>
              <w:rPr>
                <w:rFonts w:ascii="Arial" w:cs="Arial" w:eastAsia="Arial" w:hAnsi="Arial"/>
                <w:b/>
                <w:bCs/>
                <w:color w:val="9DB9E8"/>
                <w:sz w:val="17"/>
                <w:szCs w:val="17"/>
              </w:rPr>
              <w:t xml:space="preserve">EQUITY RESEARCH  |  EVENT-DRIVEN &amp; SPECIAL SITUATIONS  |  LEISURE &amp; GAMING</w:t>
            </w:r>
          </w:p>
          <w:p>
            <w:pPr>
              <w:spacing w:after="80"/>
            </w:pPr>
            <w:r>
              <w:rPr>
                <w:rFonts w:ascii="Arial" w:cs="Arial" w:eastAsia="Arial" w:hAnsi="Arial"/>
                <w:b/>
                <w:bCs/>
                <w:color w:val="FFFFFF"/>
                <w:sz w:val="56"/>
                <w:szCs w:val="56"/>
              </w:rPr>
              <w:t xml:space="preserve">Genting Malaysia Berhad</w:t>
            </w:r>
          </w:p>
          <w:p>
            <w:pPr>
              <w:spacing w:after="160"/>
            </w:pPr>
            <w:r>
              <w:rPr>
                <w:rFonts w:ascii="Arial" w:cs="Arial" w:eastAsia="Arial" w:hAnsi="Arial"/>
                <w:color w:val="D6DEEB"/>
                <w:sz w:val="26"/>
                <w:szCs w:val="26"/>
              </w:rPr>
              <w:t xml:space="preserve">GENM MK / Bursa 4715  |  Equity Research Deep-Dive</w:t>
            </w:r>
          </w:p>
          <w:p>
            <w:pPr>
              <w:spacing w:after="120"/>
            </w:pPr>
            <w:r>
              <w:rPr>
                <w:rFonts w:ascii="Arial" w:cs="Arial" w:eastAsia="Arial" w:hAnsi="Arial"/>
                <w:color w:val="D6DEEB"/>
                <w:sz w:val="19"/>
                <w:szCs w:val="19"/>
              </w:rPr>
              <w:t xml:space="preserve">Malaysia, United States, United Kingdom  |  24 October 2026 (update of our 18-Oct-2026 note)</w:t>
            </w:r>
          </w:p>
        </w:tc>
      </w:tr>
    </w:tbl>
    <w:p>
      <w:pPr>
        <w:spacing w:after="0"/>
      </w:pP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3200"/>
        <w:gridCol w:w="4280"/>
      </w:tblGrid>
      <w:tr>
        <w:tc>
          <w:tcPr>
            <w:tcW w:type="dxa" w:w="2600"/>
            <w:tcBorders>
              <w:top w:val="none" w:color="FFFFFF" w:sz="0"/>
              <w:left w:val="none" w:color="FFFFFF" w:sz="0"/>
              <w:bottom w:val="none" w:color="FFFFFF" w:sz="0"/>
              <w:right w:val="none" w:color="FFFFFF" w:sz="0"/>
            </w:tcBorders>
            <w:shd w:fill="2B6CC4" w:color="auto" w:val="clear"/>
            <w:tcMar>
              <w:top w:type="dxa" w:w="140"/>
              <w:left w:type="dxa" w:w="200"/>
              <w:bottom w:type="dxa" w:w="140"/>
              <w:right w:type="dxa" w:w="200"/>
            </w:tcMar>
            <w:vAlign w:val="center"/>
          </w:tcPr>
          <w:p>
            <w:pPr>
              <w:jc w:val="center"/>
            </w:pPr>
            <w:r>
              <w:rPr>
                <w:rFonts w:ascii="Arial" w:cs="Arial" w:eastAsia="Arial" w:hAnsi="Arial"/>
                <w:b/>
                <w:bCs/>
                <w:color w:val="FFFFFF"/>
                <w:sz w:val="24"/>
                <w:szCs w:val="24"/>
              </w:rPr>
              <w:t xml:space="preserve">SPECULATIVE BUY</w:t>
            </w:r>
          </w:p>
          <w:p>
            <w:pPr>
              <w:jc w:val="center"/>
            </w:pPr>
            <w:r>
              <w:rPr>
                <w:rFonts w:ascii="Arial" w:cs="Arial" w:eastAsia="Arial" w:hAnsi="Arial"/>
                <w:color w:val="FFFFFF"/>
                <w:sz w:val="16"/>
                <w:szCs w:val="16"/>
              </w:rPr>
              <w:t xml:space="preserve">event-driven, half position</w:t>
            </w:r>
          </w:p>
        </w:tc>
        <w:tc>
          <w:tcPr>
            <w:tcW w:type="dxa" w:w="3200"/>
            <w:tcBorders>
              <w:top w:val="none" w:color="FFFFFF" w:sz="0"/>
              <w:left w:val="none" w:color="FFFFFF" w:sz="0"/>
              <w:bottom w:val="none" w:color="FFFFFF" w:sz="0"/>
              <w:right w:val="none" w:color="FFFFFF" w:sz="0"/>
            </w:tcBorders>
            <w:shd w:fill="EEF1F5" w:color="auto" w:val="clear"/>
            <w:tcMar>
              <w:top w:type="dxa" w:w="140"/>
              <w:left w:type="dxa" w:w="200"/>
              <w:bottom w:type="dxa" w:w="140"/>
              <w:right w:type="dxa" w:w="200"/>
            </w:tcMar>
            <w:vAlign w:val="center"/>
          </w:tcPr>
          <w:p>
            <w:pPr>
              <w:jc w:val="center"/>
            </w:pPr>
            <w:r>
              <w:rPr>
                <w:rFonts w:ascii="Arial" w:cs="Arial" w:eastAsia="Arial" w:hAnsi="Arial"/>
                <w:color w:val="6B7280"/>
                <w:sz w:val="18"/>
                <w:szCs w:val="18"/>
              </w:rPr>
              <w:t xml:space="preserve">12-month target  </w:t>
            </w:r>
            <w:r>
              <w:rPr>
                <w:rFonts w:ascii="Arial" w:cs="Arial" w:eastAsia="Arial" w:hAnsi="Arial"/>
                <w:b/>
                <w:bCs/>
                <w:color w:val="14213D"/>
                <w:sz w:val="30"/>
                <w:szCs w:val="30"/>
              </w:rPr>
              <w:t xml:space="preserve">RM1.85</w:t>
            </w:r>
          </w:p>
          <w:p>
            <w:pPr>
              <w:jc w:val="center"/>
            </w:pPr>
            <w:r>
              <w:rPr>
                <w:rFonts w:ascii="Arial" w:cs="Arial" w:eastAsia="Arial" w:hAnsi="Arial"/>
                <w:color w:val="1F2937"/>
                <w:sz w:val="17"/>
                <w:szCs w:val="17"/>
              </w:rPr>
              <w:t xml:space="preserve">+55% vs RM1.19 (21-Oct-2026 close)</w:t>
            </w:r>
          </w:p>
        </w:tc>
        <w:tc>
          <w:tcPr>
            <w:tcW w:type="dxa" w:w="4280"/>
            <w:tcBorders>
              <w:top w:val="none" w:color="FFFFFF" w:sz="0"/>
              <w:left w:val="none" w:color="FFFFFF" w:sz="0"/>
              <w:bottom w:val="none" w:color="FFFFFF" w:sz="0"/>
              <w:right w:val="none" w:color="FFFFFF" w:sz="0"/>
            </w:tcBorders>
            <w:shd w:fill="EEF1F5" w:color="auto" w:val="clear"/>
            <w:tcMar>
              <w:top w:type="dxa" w:w="140"/>
              <w:left w:type="dxa" w:w="200"/>
              <w:bottom w:type="dxa" w:w="140"/>
              <w:right w:type="dxa" w:w="200"/>
            </w:tcMar>
            <w:vAlign w:val="center"/>
          </w:tcPr>
          <w:p>
            <w:pPr>
              <w:jc w:val="center"/>
            </w:pPr>
            <w:r>
              <w:rPr>
                <w:rFonts w:ascii="Arial" w:cs="Arial" w:eastAsia="Arial" w:hAnsi="Arial"/>
                <w:color w:val="6B7280"/>
                <w:sz w:val="18"/>
                <w:szCs w:val="18"/>
              </w:rPr>
              <w:t xml:space="preserve">Probability-weighted </w:t>
            </w:r>
            <w:r>
              <w:rPr>
                <w:rFonts w:ascii="Arial" w:cs="Arial" w:eastAsia="Arial" w:hAnsi="Arial"/>
                <w:b/>
                <w:bCs/>
                <w:color w:val="14213D"/>
                <w:sz w:val="24"/>
                <w:szCs w:val="24"/>
              </w:rPr>
              <w:t xml:space="preserve">RM1.94 (+63%)</w:t>
            </w:r>
          </w:p>
          <w:p>
            <w:pPr>
              <w:jc w:val="center"/>
            </w:pPr>
            <w:r>
              <w:rPr>
                <w:rFonts w:ascii="Arial" w:cs="Arial" w:eastAsia="Arial" w:hAnsi="Arial"/>
                <w:color w:val="1F2937"/>
                <w:sz w:val="17"/>
                <w:szCs w:val="17"/>
              </w:rPr>
              <w:t xml:space="preserve">Bear RM0.76 (−36%)  |  Base RM1.86 (+56%)  |  Bull RM3.28 (+176%)</w:t>
            </w:r>
          </w:p>
        </w:tc>
      </w:tr>
    </w:tbl>
    <w:p>
      <w:pPr>
        <w:pBdr>
          <w:left w:val="single" w:color="14213D" w:sz="24" w:space="8"/>
        </w:pBdr>
        <w:shd w:fill="EEF1F5" w:color="auto" w:val="clear"/>
        <w:spacing w:after="200" w:before="200"/>
        <w:ind w:left="160" w:right="160"/>
      </w:pPr>
      <w:r>
        <w:rPr>
          <w:rFonts w:ascii="Arial" w:cs="Arial" w:eastAsia="Arial" w:hAnsi="Arial"/>
          <w:b/>
          <w:bCs/>
          <w:color w:val="1F2937"/>
          <w:sz w:val="19"/>
          <w:szCs w:val="19"/>
        </w:rPr>
        <w:t xml:space="preserve">Recommendation: SPECULATIVE BUY (event-driven, half position). 12-month target RM1.85 (+55%, unchanged); probability-weighted value RM1.94 (+63%); bear case RM0.76 (−36%).</w:t>
      </w:r>
      <w:r>
        <w:rPr>
          <w:rFonts w:ascii="Arial" w:cs="Arial" w:eastAsia="Arial" w:hAnsi="Arial"/>
          <w:color w:val="1F2937"/>
          <w:sz w:val="19"/>
          <w:szCs w:val="19"/>
        </w:rPr>
        <w:t xml:space="preserve"> Malaysia's only casino and New York City's only full casino, owned through a levered equity stub that the market has priced for its parent's problems. At RM1.19, a record low and 49% below the lapsed RM2.35 offer, the market pays ~US$0.56bn for the whole US business (roughly the US$500m licence fee) if RWG is valued at 7x. Minorities' &gt;10% veto over any delisting makes this a blocking-stake event rather than a pure value bet.</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2219"/>
        <w:gridCol w:w="2246"/>
        <w:gridCol w:w="1892"/>
        <w:gridCol w:w="3723"/>
      </w:tblGrid>
      <w:tr>
        <w:trPr>
          <w:cantSplit/>
          <w:tblHeader/>
        </w:trPr>
        <w:tc>
          <w:tcPr>
            <w:tcW w:type="dxa" w:w="221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Key data (21-Oct-2026 close)</w:t>
            </w:r>
          </w:p>
        </w:tc>
        <w:tc>
          <w:tcPr>
            <w:tcW w:type="dxa" w:w="224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p>
        </w:tc>
        <w:tc>
          <w:tcPr>
            <w:tcW w:type="dxa" w:w="189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Key data</w:t>
            </w:r>
          </w:p>
        </w:tc>
        <w:tc>
          <w:tcPr>
            <w:tcW w:type="dxa" w:w="372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p>
        </w:tc>
      </w:tr>
      <w:tr>
        <w:trPr>
          <w:cantSplit/>
        </w:trPr>
        <w:tc>
          <w:tcPr>
            <w:tcW w:type="dxa" w:w="221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Share price</w:t>
            </w:r>
          </w:p>
        </w:tc>
        <w:tc>
          <w:tcPr>
            <w:tcW w:type="dxa" w:w="224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RM1.19 (record low; RM1.18 intraday)</w:t>
            </w:r>
          </w:p>
        </w:tc>
        <w:tc>
          <w:tcPr>
            <w:tcW w:type="dxa" w:w="189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Largest shareholder</w:t>
            </w:r>
          </w:p>
        </w:tc>
        <w:tc>
          <w:tcPr>
            <w:tcW w:type="dxa" w:w="37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Genting Bhd 73.84% (Lim family via Kien Huat)</w:t>
            </w:r>
          </w:p>
        </w:tc>
      </w:tr>
      <w:tr>
        <w:trPr>
          <w:cantSplit/>
        </w:trPr>
        <w:tc>
          <w:tcPr>
            <w:tcW w:type="dxa" w:w="221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52-week range</w:t>
            </w:r>
          </w:p>
        </w:tc>
        <w:tc>
          <w:tcPr>
            <w:tcW w:type="dxa" w:w="224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RM1.18-2.39</w:t>
            </w:r>
          </w:p>
        </w:tc>
        <w:tc>
          <w:tcPr>
            <w:tcW w:type="dxa" w:w="189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Free float</w:t>
            </w:r>
          </w:p>
        </w:tc>
        <w:tc>
          <w:tcPr>
            <w:tcW w:type="dxa" w:w="37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~26.2%</w:t>
            </w:r>
          </w:p>
        </w:tc>
      </w:tr>
      <w:tr>
        <w:trPr>
          <w:cantSplit/>
        </w:trPr>
        <w:tc>
          <w:tcPr>
            <w:tcW w:type="dxa" w:w="221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Market cap</w:t>
            </w:r>
          </w:p>
        </w:tc>
        <w:tc>
          <w:tcPr>
            <w:tcW w:type="dxa" w:w="224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RM6.7bn / US$1.65bn</w:t>
            </w:r>
          </w:p>
        </w:tc>
        <w:tc>
          <w:tcPr>
            <w:tcW w:type="dxa" w:w="189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Lapsed parent offer</w:t>
            </w:r>
          </w:p>
        </w:tc>
        <w:tc>
          <w:tcPr>
            <w:tcW w:type="dxa" w:w="37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RM2.35 (Oct-Dec 2025; closed at 73.13%)</w:t>
            </w:r>
          </w:p>
        </w:tc>
      </w:tr>
      <w:tr>
        <w:trPr>
          <w:cantSplit/>
        </w:trPr>
        <w:tc>
          <w:tcPr>
            <w:tcW w:type="dxa" w:w="221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EV (incl. leases)</w:t>
            </w:r>
          </w:p>
        </w:tc>
        <w:tc>
          <w:tcPr>
            <w:tcW w:type="dxa" w:w="224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RM20.9bn (CIQ-basis TEV ~RM19.9bn)</w:t>
            </w:r>
          </w:p>
        </w:tc>
        <w:tc>
          <w:tcPr>
            <w:tcW w:type="dxa" w:w="189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Independent adviser SOTP (Nov-25)</w:t>
            </w:r>
          </w:p>
        </w:tc>
        <w:tc>
          <w:tcPr>
            <w:tcW w:type="dxa" w:w="37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RM3.48-3.77</w:t>
            </w:r>
          </w:p>
        </w:tc>
      </w:tr>
      <w:tr>
        <w:trPr>
          <w:cantSplit/>
        </w:trPr>
        <w:tc>
          <w:tcPr>
            <w:tcW w:type="dxa" w:w="221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Net debt incl. leases (Jun-26)</w:t>
            </w:r>
          </w:p>
        </w:tc>
        <w:tc>
          <w:tcPr>
            <w:tcW w:type="dxa" w:w="224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RM14.2bn (4.9x LTM adj. EBITDA ex-FX)</w:t>
            </w:r>
          </w:p>
        </w:tc>
        <w:tc>
          <w:tcPr>
            <w:tcW w:type="dxa" w:w="189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Consensus target</w:t>
            </w:r>
          </w:p>
        </w:tc>
        <w:tc>
          <w:tcPr>
            <w:tcW w:type="dxa" w:w="37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RM2.19 mean (stale); Affin cut to Sell, TP RM1.00 (Oct-26); ~4 Buy / 7 Hold / 1 Sell [e]</w:t>
            </w:r>
          </w:p>
        </w:tc>
      </w:tr>
      <w:tr>
        <w:trPr>
          <w:cantSplit/>
        </w:trPr>
        <w:tc>
          <w:tcPr>
            <w:tcW w:type="dxa" w:w="221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EV / FY26E-FY27E EBITDA (ours)</w:t>
            </w:r>
          </w:p>
        </w:tc>
        <w:tc>
          <w:tcPr>
            <w:tcW w:type="dxa" w:w="224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6.7x / 6.1x</w:t>
            </w:r>
          </w:p>
        </w:tc>
        <w:tc>
          <w:tcPr>
            <w:tcW w:type="dxa" w:w="189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Credit ratings</w:t>
            </w:r>
          </w:p>
        </w:tc>
        <w:tc>
          <w:tcPr>
            <w:tcW w:type="dxa" w:w="37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Fitch BBB- (Sep-26); RAM AA1</w:t>
            </w:r>
          </w:p>
        </w:tc>
      </w:tr>
      <w:tr>
        <w:trPr>
          <w:cantSplit/>
        </w:trPr>
        <w:tc>
          <w:tcPr>
            <w:tcW w:type="dxa" w:w="221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P/E FY26E-FY27E (our EPS 4.3 / 8.6 sen)</w:t>
            </w:r>
          </w:p>
        </w:tc>
        <w:tc>
          <w:tcPr>
            <w:tcW w:type="dxa" w:w="224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27.7x / 13.8x</w:t>
            </w:r>
          </w:p>
        </w:tc>
        <w:tc>
          <w:tcPr>
            <w:tcW w:type="dxa" w:w="189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Dividend</w:t>
            </w:r>
          </w:p>
        </w:tc>
        <w:tc>
          <w:tcPr>
            <w:tcW w:type="dxa" w:w="37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FY25 7 sen (5.9%); FY26E 5 sen (ours, 4.2%)</w:t>
            </w:r>
          </w:p>
        </w:tc>
      </w:tr>
      <w:tr>
        <w:trPr>
          <w:cantSplit/>
        </w:trPr>
        <w:tc>
          <w:tcPr>
            <w:tcW w:type="dxa" w:w="221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P/B</w:t>
            </w:r>
          </w:p>
        </w:tc>
        <w:tc>
          <w:tcPr>
            <w:tcW w:type="dxa" w:w="224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0.60x (record low)</w:t>
            </w:r>
          </w:p>
        </w:tc>
        <w:tc>
          <w:tcPr>
            <w:tcW w:type="dxa" w:w="189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Next catalysts</w:t>
            </w:r>
          </w:p>
        </w:tc>
        <w:tc>
          <w:tcPr>
            <w:tcW w:type="dxa" w:w="37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UK Budget (28-Oct); 3Q26 results (~19-26 Nov-2026)</w:t>
            </w:r>
          </w:p>
        </w:tc>
      </w:tr>
    </w:tbl>
    <w:p>
      <w:pPr>
        <w:spacing w:after="60" w:before="200"/>
      </w:pPr>
      <w:r>
        <w:rPr>
          <w:rFonts w:ascii="Arial" w:cs="Arial" w:eastAsia="Arial" w:hAnsi="Arial"/>
          <w:b/>
          <w:bCs/>
          <w:color w:val="6B7280"/>
          <w:sz w:val="16"/>
          <w:szCs w:val="16"/>
        </w:rPr>
        <w:t xml:space="preserve">How to read this report. </w:t>
      </w:r>
      <w:r>
        <w:rPr>
          <w:rFonts w:ascii="Arial" w:cs="Arial" w:eastAsia="Arial" w:hAnsi="Arial"/>
          <w:color w:val="6B7280"/>
          <w:sz w:val="16"/>
          <w:szCs w:val="16"/>
        </w:rPr>
        <w:t xml:space="preserve">Section 0 lists what changed since our 18-Oct-2026 note. [e] = our estimate or derivation; [u] = unverified or single secondary source. Fiscal year ends 31 December. RM = Malaysian ringgit; US$1 ≈ RM4.08. Peer multiples and company financials: S&amp;P Capital IQ as of 16-Oct-2026; GENM's price-dependent figures re-based to RM1.19.</w:t>
      </w:r>
    </w:p>
    <w:p>
      <w:pPr>
        <w:spacing w:after="0"/>
      </w:pPr>
      <w:r>
        <w:rPr>
          <w:rFonts w:ascii="Arial" w:cs="Arial" w:eastAsia="Arial" w:hAnsi="Arial"/>
          <w:i/>
          <w:iCs/>
          <w:color w:val="6B7280"/>
          <w:sz w:val="16"/>
          <w:szCs w:val="16"/>
        </w:rPr>
        <w:t xml:space="preserve">For investment-committee discussion only. Not investment advice.</w:t>
      </w:r>
    </w:p>
    <w:p>
      <w:pPr>
        <w:pStyle w:val="Heading1"/>
        <w:pageBreakBefore/>
      </w:pPr>
      <w:r>
        <w:rPr>
          <w:rFonts w:ascii="Arial" w:cs="Arial" w:eastAsia="Arial" w:hAnsi="Arial"/>
        </w:rPr>
        <w:t xml:space="preserve">Contents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40"/>
        <w:gridCol w:w="5040"/>
      </w:tblGrid>
      <w:tr>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0. What Has Changed Since Our 18-October Note</w:t>
            </w:r>
          </w:p>
        </w:tc>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15. M&amp;A: Industry Transactions, Takeover Potential and Takeout Multiples</w:t>
            </w:r>
          </w:p>
        </w:tc>
      </w:tr>
      <w:tr>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1. Executive Summary and Investment Conclusion</w:t>
            </w:r>
          </w:p>
        </w:tc>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16. Management Assessment</w:t>
            </w:r>
          </w:p>
        </w:tc>
      </w:tr>
      <w:tr>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2. Layman's Guide: What Genting Malaysia Does and How It Makes Money</w:t>
            </w:r>
          </w:p>
        </w:tc>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17. Board of Directors</w:t>
            </w:r>
          </w:p>
        </w:tc>
      </w:tr>
      <w:tr>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3. Business Model, Products, Customers, Suppliers and Competitors</w:t>
            </w:r>
          </w:p>
        </w:tc>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18. Shareholders, Activism and Short Interest</w:t>
            </w:r>
          </w:p>
        </w:tc>
      </w:tr>
      <w:tr>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4. Key Business Drivers</w:t>
            </w:r>
          </w:p>
        </w:tc>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19. Strategic Initiatives (2016-2026)</w:t>
            </w:r>
          </w:p>
        </w:tc>
      </w:tr>
      <w:tr>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5. Macro and Micro Factors; Tailwinds and Headwinds</w:t>
            </w:r>
          </w:p>
        </w:tc>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20. Stakes in Other Companies</w:t>
            </w:r>
          </w:p>
        </w:tc>
      </w:tr>
      <w:tr>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6. Competitive Position and Economic Moats</w:t>
            </w:r>
          </w:p>
        </w:tc>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21. Dividends, Buybacks and Treasury Shares (Five-Year Timeline)</w:t>
            </w:r>
          </w:p>
        </w:tc>
      </w:tr>
      <w:tr>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7. Supply Chain Map: From Upstream Inputs to the End Customer</w:t>
            </w:r>
          </w:p>
        </w:tc>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22. Adversarial Analysis I: The Bull Case</w:t>
            </w:r>
          </w:p>
        </w:tc>
      </w:tr>
      <w:tr>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8. Five-Year Financial Analysis by Division and Geography</w:t>
            </w:r>
          </w:p>
        </w:tc>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23. Adversarial Analysis II: The Bear Case, Pre-Mortem and Contrarian View</w:t>
            </w:r>
          </w:p>
        </w:tc>
      </w:tr>
      <w:tr>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9. Historical Share Price Catalysts (Moves of More Than 10%)</w:t>
            </w:r>
          </w:p>
        </w:tc>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24. Scenario Analysis (12-Month View)</w:t>
            </w:r>
          </w:p>
        </w:tc>
      </w:tr>
      <w:tr>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10. Earnings Calls, Management Focus and Sentiment</w:t>
            </w:r>
          </w:p>
        </w:tc>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25. The Short-Seller's Case and Forensic Accounting Review</w:t>
            </w:r>
          </w:p>
        </w:tc>
      </w:tr>
      <w:tr>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11. Latest Result: 2Q26 / 1H26 (released 20-Aug-2026)</w:t>
            </w:r>
          </w:p>
        </w:tc>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26. Is There an Activist Angle? What an Activist Would Push For</w:t>
            </w:r>
          </w:p>
        </w:tc>
      </w:tr>
      <w:tr>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12. Earnings Estimates, FY2026E-FY2028E</w:t>
            </w:r>
          </w:p>
        </w:tc>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27. Fifteen Questions for the CEO and Chairman (Ordered by Information Value)</w:t>
            </w:r>
          </w:p>
        </w:tc>
      </w:tr>
      <w:tr>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13. Capital Structure, Debt, Covenants and Liquidity</w:t>
            </w:r>
          </w:p>
        </w:tc>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28. Timeline of Key Past Events and Upcoming Catalyst Calendar</w:t>
            </w:r>
          </w:p>
        </w:tc>
      </w:tr>
      <w:tr>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14. Valuation vs Peers and vs History</w:t>
            </w:r>
          </w:p>
        </w:tc>
        <w:tc>
          <w:tcPr>
            <w:tcW w:type="dxa" w:w="5040"/>
            <w:tcBorders>
              <w:top w:val="none" w:color="FFFFFF" w:sz="0"/>
              <w:left w:val="none" w:color="FFFFFF" w:sz="0"/>
              <w:bottom w:val="single" w:color="D1D5DB" w:sz="4"/>
              <w:right w:val="none" w:color="FFFFFF" w:sz="0"/>
            </w:tcBorders>
            <w:tcMar>
              <w:top w:type="dxa" w:w="60"/>
              <w:left w:type="dxa" w:w="60"/>
              <w:bottom w:type="dxa" w:w="60"/>
              <w:right w:type="dxa" w:w="120"/>
            </w:tcMar>
          </w:tcPr>
          <w:p>
            <w:r>
              <w:rPr>
                <w:rFonts w:ascii="Arial" w:cs="Arial" w:eastAsia="Arial" w:hAnsi="Arial"/>
                <w:color w:val="1F2937"/>
                <w:sz w:val="18"/>
                <w:szCs w:val="18"/>
              </w:rPr>
              <w:t xml:space="preserve">Appendix A: Sources, Methodology and Data Notes</w:t>
            </w:r>
          </w:p>
        </w:tc>
      </w:tr>
    </w:tbl>
    <w:p>
      <w:pPr>
        <w:pStyle w:val="Heading1"/>
        <w:keepNext/>
        <w:pageBreakBefore/>
      </w:pPr>
      <w:r>
        <w:rPr>
          <w:rFonts w:ascii="Arial" w:cs="Arial" w:eastAsia="Arial" w:hAnsi="Arial"/>
        </w:rPr>
        <w:t xml:space="preserve">0. What Has Changed Since Our 18-October Note</w:t>
      </w:r>
    </w:p>
    <w:p>
      <w:pPr>
        <w:spacing w:after="110" w:before="0" w:line="264"/>
      </w:pPr>
      <w:r>
        <w:rPr>
          <w:rFonts w:ascii="Arial" w:cs="Arial" w:eastAsia="Arial" w:hAnsi="Arial"/>
          <w:b/>
          <w:bCs/>
          <w:color w:val="1F2937"/>
          <w:sz w:val="19"/>
          <w:szCs w:val="19"/>
        </w:rPr>
        <w:t xml:space="preserve">Bottom line: no change to the thesis, target (RM1.85) or rating (Speculative Buy, half position). The share price is 6% lower with no GENM-specific news, so the upside to our target widens from +46% to +55%. New data from New York shows a modest fade from the July run-rate rather than a break.</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289"/>
        <w:gridCol w:w="4896"/>
        <w:gridCol w:w="4895"/>
      </w:tblGrid>
      <w:tr>
        <w:trPr>
          <w:cantSplit/>
          <w:tblHeader/>
        </w:trPr>
        <w:tc>
          <w:tcPr>
            <w:tcW w:type="dxa" w:w="28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w:t>
            </w:r>
          </w:p>
        </w:tc>
        <w:tc>
          <w:tcPr>
            <w:tcW w:type="dxa" w:w="489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Development (not reflected in our 18-Oct note)</w:t>
            </w:r>
          </w:p>
        </w:tc>
        <w:tc>
          <w:tcPr>
            <w:tcW w:type="dxa" w:w="489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Read-across for GENM</w:t>
            </w:r>
          </w:p>
        </w:tc>
      </w:tr>
      <w:tr>
        <w:trPr>
          <w:cantSplit/>
        </w:trPr>
        <w:tc>
          <w:tcPr>
            <w:tcW w:type="dxa" w:w="2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w:t>
            </w:r>
          </w:p>
        </w:tc>
        <w:tc>
          <w:tcPr>
            <w:tcW w:type="dxa" w:w="489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Share price −6% to RM1.19 (21-Oct close), a record low</w:t>
            </w:r>
            <w:r>
              <w:rPr>
                <w:rFonts w:ascii="Arial" w:cs="Arial" w:eastAsia="Arial" w:hAnsi="Arial"/>
                <w:b w:val="false"/>
                <w:bCs w:val="false"/>
                <w:color w:val="1F2937"/>
                <w:sz w:val="17"/>
                <w:szCs w:val="17"/>
              </w:rPr>
              <w:t xml:space="preserve"> (RM1.18 intraday per TradingView); −20% since the parent's rights issue was announced on 9-Oct</w:t>
            </w:r>
          </w:p>
        </w:tc>
        <w:tc>
          <w:tcPr>
            <w:tcW w:type="dxa" w:w="48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Still parent-driven; FBM KLCI rose four sessions in a row to 1,611.56 (23-Oct), so GENM is diverging from the market</w:t>
            </w:r>
          </w:p>
        </w:tc>
      </w:tr>
      <w:tr>
        <w:trPr>
          <w:cantSplit/>
        </w:trPr>
        <w:tc>
          <w:tcPr>
            <w:tcW w:type="dxa" w:w="2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w:t>
            </w:r>
          </w:p>
        </w:tc>
        <w:tc>
          <w:tcPr>
            <w:tcW w:type="dxa" w:w="489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Affin Hwang downgraded GENM to Sell, TP RM1.00 (from Hold, RM1.80)</w:t>
            </w:r>
            <w:r>
              <w:rPr>
                <w:rFonts w:ascii="Arial" w:cs="Arial" w:eastAsia="Arial" w:hAnsi="Arial"/>
                <w:b w:val="false"/>
                <w:bCs w:val="false"/>
                <w:color w:val="1F2937"/>
                <w:sz w:val="17"/>
                <w:szCs w:val="17"/>
              </w:rPr>
              <w:t xml:space="preserve">, and Genting Bhd to Sell, TP RM1.10, arguing the RM1.25bn rights issue gives limited debt relief while New York costs loom</w:t>
            </w:r>
          </w:p>
        </w:tc>
        <w:tc>
          <w:tcPr>
            <w:tcW w:type="dxa" w:w="48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First Sell call on GENM; it sits close to our bear case (RM0.76). The RM2.19 consensus mean is stale and will fall</w:t>
            </w:r>
          </w:p>
        </w:tc>
      </w:tr>
      <w:tr>
        <w:trPr>
          <w:cantSplit/>
        </w:trPr>
        <w:tc>
          <w:tcPr>
            <w:tcW w:type="dxa" w:w="2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3</w:t>
            </w:r>
          </w:p>
        </w:tc>
        <w:tc>
          <w:tcPr>
            <w:tcW w:type="dxa" w:w="489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NY September data: RWNYC GGR US$126.7m</w:t>
            </w:r>
            <w:r>
              <w:rPr>
                <w:rFonts w:ascii="Arial" w:cs="Arial" w:eastAsia="Arial" w:hAnsi="Arial"/>
                <w:b w:val="false"/>
                <w:bCs w:val="false"/>
                <w:color w:val="1F2937"/>
                <w:sz w:val="17"/>
                <w:szCs w:val="17"/>
              </w:rPr>
              <w:t xml:space="preserve"> (slots/ETGs US$85.2m, tables US$41.5m, an average of 242 tables a day); 69% of New York's US$184.3m commercial casino GGR (+220% YoY). The August statewide total was US$198.9m [u]</w:t>
            </w:r>
          </w:p>
        </w:tc>
        <w:tc>
          <w:tcPr>
            <w:tcW w:type="dxa" w:w="48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~US$1.5bn annualised vs ~US$1.6bn implied by the July weekly peak: a 4-5% fade (hold, seasonality, novelty). 3Q26 RWNYC GGR ~US$0.40bn [e]; no change to our FY27E US&amp;B EBITDA (US$262m)</w:t>
            </w:r>
          </w:p>
        </w:tc>
      </w:tr>
      <w:tr>
        <w:trPr>
          <w:cantSplit/>
        </w:trPr>
        <w:tc>
          <w:tcPr>
            <w:tcW w:type="dxa" w:w="2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4</w:t>
            </w:r>
          </w:p>
        </w:tc>
        <w:tc>
          <w:tcPr>
            <w:tcW w:type="dxa" w:w="489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GENM bought back 550,000 shares at ~RM1.27 on 12-Oct</w:t>
            </w:r>
            <w:r>
              <w:rPr>
                <w:rFonts w:ascii="Arial" w:cs="Arial" w:eastAsia="Arial" w:hAnsi="Arial"/>
                <w:b w:val="false"/>
                <w:bCs w:val="false"/>
                <w:color w:val="1F2937"/>
                <w:sz w:val="17"/>
                <w:szCs w:val="17"/>
              </w:rPr>
              <w:t xml:space="preserve"> (RM0.70m); treasury shares 271,052,915 (4.56% of issued)</w:t>
            </w:r>
          </w:p>
        </w:tc>
        <w:tc>
          <w:tcPr>
            <w:tcW w:type="dxa" w:w="48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First executions under the June mandate; symbolic in size</w:t>
            </w:r>
          </w:p>
        </w:tc>
      </w:tr>
      <w:tr>
        <w:trPr>
          <w:cantSplit/>
        </w:trPr>
        <w:tc>
          <w:tcPr>
            <w:tcW w:type="dxa" w:w="2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5</w:t>
            </w:r>
          </w:p>
        </w:tc>
        <w:tc>
          <w:tcPr>
            <w:tcW w:type="dxa" w:w="489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Insiders bought the parent, not GENM:</w:t>
            </w:r>
            <w:r>
              <w:rPr>
                <w:rFonts w:ascii="Arial" w:cs="Arial" w:eastAsia="Arial" w:hAnsi="Arial"/>
                <w:b w:val="false"/>
                <w:bCs w:val="false"/>
                <w:color w:val="1F2937"/>
                <w:sz w:val="17"/>
                <w:szCs w:val="17"/>
              </w:rPr>
              <w:t xml:space="preserve"> Kien Huat (Lim family) bought 422,500 Genting Bhd shares on 14-15 Oct (LKT deemed 45.24%); Genting Bhd CEO Tan Kong Han bought on 12-13 Oct and again on 19-21 Oct at ~RM1.42. Genting Bhd said RM280m of the rights proceeds will fund interest costs</w:t>
            </w:r>
          </w:p>
        </w:tc>
        <w:tc>
          <w:tcPr>
            <w:tcW w:type="dxa" w:w="48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The family is committing to the rights issue (45.1% irrevocable); parent cash needs remain the overhang</w:t>
            </w:r>
          </w:p>
        </w:tc>
      </w:tr>
      <w:tr>
        <w:trPr>
          <w:cantSplit/>
        </w:trPr>
        <w:tc>
          <w:tcPr>
            <w:tcW w:type="dxa" w:w="2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6</w:t>
            </w:r>
          </w:p>
        </w:tc>
        <w:tc>
          <w:tcPr>
            <w:tcW w:type="dxa" w:w="489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Genting Malaysia-Alibaba Cloud MoU (13-Oct)</w:t>
            </w:r>
            <w:r>
              <w:rPr>
                <w:rFonts w:ascii="Arial" w:cs="Arial" w:eastAsia="Arial" w:hAnsi="Arial"/>
                <w:b w:val="false"/>
                <w:bCs w:val="false"/>
                <w:color w:val="1F2937"/>
                <w:sz w:val="17"/>
                <w:szCs w:val="17"/>
              </w:rPr>
              <w:t xml:space="preserve"> on AI and cloud across GENM's operations</w:t>
            </w:r>
          </w:p>
        </w:tc>
        <w:tc>
          <w:tcPr>
            <w:tcW w:type="dxa" w:w="48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Immaterial</w:t>
            </w:r>
          </w:p>
        </w:tc>
      </w:tr>
      <w:tr>
        <w:trPr>
          <w:cantSplit/>
        </w:trPr>
        <w:tc>
          <w:tcPr>
            <w:tcW w:type="dxa" w:w="2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7</w:t>
            </w:r>
          </w:p>
        </w:tc>
        <w:tc>
          <w:tcPr>
            <w:tcW w:type="dxa" w:w="489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3Q26 results date:</w:t>
            </w:r>
            <w:r>
              <w:rPr>
                <w:rFonts w:ascii="Arial" w:cs="Arial" w:eastAsia="Arial" w:hAnsi="Arial"/>
                <w:b w:val="false"/>
                <w:bCs w:val="false"/>
                <w:color w:val="1F2937"/>
                <w:sz w:val="17"/>
                <w:szCs w:val="17"/>
              </w:rPr>
              <w:t xml:space="preserve"> market calendars show ~19-Nov-2026 [u] (our previous estimate was ~26-Nov)</w:t>
            </w:r>
          </w:p>
        </w:tc>
        <w:tc>
          <w:tcPr>
            <w:tcW w:type="dxa" w:w="48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First full quarter of NY live tables</w:t>
            </w:r>
          </w:p>
        </w:tc>
      </w:tr>
      <w:tr>
        <w:trPr>
          <w:cantSplit/>
        </w:trPr>
        <w:tc>
          <w:tcPr>
            <w:tcW w:type="dxa" w:w="2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8</w:t>
            </w:r>
          </w:p>
        </w:tc>
        <w:tc>
          <w:tcPr>
            <w:tcW w:type="dxa" w:w="489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Overlooked option (from the Nov-2025 offer document):</w:t>
            </w:r>
            <w:r>
              <w:rPr>
                <w:rFonts w:ascii="Arial" w:cs="Arial" w:eastAsia="Arial" w:hAnsi="Arial"/>
                <w:b w:val="false"/>
                <w:bCs w:val="false"/>
                <w:color w:val="1F2937"/>
                <w:sz w:val="17"/>
                <w:szCs w:val="17"/>
              </w:rPr>
              <w:t xml:space="preserve"> had the offer reached the delisting threshold, Genting Bhd intended to combine its US gaming assets (principally Resorts World Las Vegas [e]) with GENM's US operations and pursue a US listing [u: GGRAsia]. In Jun-2026 Genting Bhd's CEO described the offer as about control and balance-sheet needs, not privatisation</w:t>
            </w:r>
          </w:p>
        </w:tc>
        <w:tc>
          <w:tcPr>
            <w:tcW w:type="dxa" w:w="48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 US listing of a combined "Genting Americas" is a plausible route to crystallise US value; we add it to the bull case and the M&amp;A section</w:t>
            </w:r>
          </w:p>
        </w:tc>
      </w:tr>
    </w:tbl>
    <w:p>
      <w:pPr>
        <w:spacing w:after="80" w:before="0"/>
      </w:pPr>
    </w:p>
    <w:p>
      <w:pPr>
        <w:spacing w:after="110" w:before="0" w:line="264"/>
      </w:pPr>
      <w:r>
        <w:rPr>
          <w:rFonts w:ascii="Arial" w:cs="Arial" w:eastAsia="Arial" w:hAnsi="Arial"/>
          <w:b/>
          <w:bCs/>
          <w:color w:val="1F2937"/>
          <w:sz w:val="19"/>
          <w:szCs w:val="19"/>
        </w:rPr>
        <w:t xml:space="preserve">Positioning after the update:</w:t>
      </w:r>
      <w:r>
        <w:rPr>
          <w:rFonts w:ascii="Arial" w:cs="Arial" w:eastAsia="Arial" w:hAnsi="Arial"/>
          <w:color w:val="1F2937"/>
          <w:sz w:val="19"/>
          <w:szCs w:val="19"/>
        </w:rPr>
        <w:t xml:space="preserve"> hold the half position. We would not add before the UK Budget (28-Oct) and 3Q26 (~19-26 Nov), which are the next two tests. Price-dependent figures throughout this note have been updated to RM1.19; peer multiples and company financials are unchanged from the 18-Oct note (S&amp;P Capital IQ, 16-Oct-2026).</w:t>
      </w:r>
    </w:p>
    <w:p>
      <w:pPr>
        <w:pStyle w:val="Heading1"/>
        <w:keepNext/>
      </w:pPr>
      <w:r>
        <w:rPr>
          <w:rFonts w:ascii="Arial" w:cs="Arial" w:eastAsia="Arial" w:hAnsi="Arial"/>
        </w:rPr>
        <w:t xml:space="preserve">1. Executive Summary and Investment Conclusion</w:t>
      </w:r>
    </w:p>
    <w:p>
      <w:pPr>
        <w:pStyle w:val="Heading2"/>
        <w:keepNext/>
      </w:pPr>
      <w:r>
        <w:rPr>
          <w:rFonts w:ascii="Arial" w:cs="Arial" w:eastAsia="Arial" w:hAnsi="Arial"/>
        </w:rPr>
        <w:t xml:space="preserve">1.1 The set-up in one paragraph</w:t>
      </w:r>
    </w:p>
    <w:p>
      <w:pPr>
        <w:spacing w:after="110" w:before="0" w:line="264"/>
      </w:pPr>
      <w:r>
        <w:rPr>
          <w:rFonts w:ascii="Arial" w:cs="Arial" w:eastAsia="Arial" w:hAnsi="Arial"/>
          <w:color w:val="1F2937"/>
          <w:sz w:val="19"/>
          <w:szCs w:val="19"/>
        </w:rPr>
        <w:t xml:space="preserve">Genting Malaysia owns </w:t>
      </w:r>
      <w:r>
        <w:rPr>
          <w:rFonts w:ascii="Arial" w:cs="Arial" w:eastAsia="Arial" w:hAnsi="Arial"/>
          <w:b/>
          <w:bCs/>
          <w:color w:val="1F2937"/>
          <w:sz w:val="19"/>
          <w:szCs w:val="19"/>
        </w:rPr>
        <w:t xml:space="preserve">Resorts World Genting</w:t>
      </w:r>
      <w:r>
        <w:rPr>
          <w:rFonts w:ascii="Arial" w:cs="Arial" w:eastAsia="Arial" w:hAnsi="Arial"/>
          <w:color w:val="1F2937"/>
          <w:sz w:val="19"/>
          <w:szCs w:val="19"/>
        </w:rPr>
        <w:t xml:space="preserve">, Malaysia's sole licensed casino (since 1969; ~RM2.1bn EBITDA, 30% margin, 28.6m visitors), and </w:t>
      </w:r>
      <w:r>
        <w:rPr>
          <w:rFonts w:ascii="Arial" w:cs="Arial" w:eastAsia="Arial" w:hAnsi="Arial"/>
          <w:b/>
          <w:bCs/>
          <w:color w:val="1F2937"/>
          <w:sz w:val="19"/>
          <w:szCs w:val="19"/>
        </w:rPr>
        <w:t xml:space="preserve">Resorts World New York City</w:t>
      </w:r>
      <w:r>
        <w:rPr>
          <w:rFonts w:ascii="Arial" w:cs="Arial" w:eastAsia="Arial" w:hAnsi="Arial"/>
          <w:color w:val="1F2937"/>
          <w:sz w:val="19"/>
          <w:szCs w:val="19"/>
        </w:rPr>
        <w:t xml:space="preserve">, which on 28-Apr-2026 became the first and, until ~2030, only full casino in New York City. It also owns ~32 UK casinos, loss-making upstate NY and Bahamas assets, and 30 acres of Miami waterfront. Its parent, Genting Bhd, bid RM2.35 a share for the minority in Oct-2025. The independent adviser called that "not fair and not reasonable" (SOTP RM3.48-3.77), and the offer lapsed at 73.13%. Since then GENM has paid a US$500m NY licence fee, lifted debt by RM3.8bn, skipped its interim dividend, been cut to BBB- by Fitch, and missed on net profit (2Q26 −89%). On 9-Oct-2026 the parent launched a RM1.25bn rights issue to repay its own debt. </w:t>
      </w:r>
      <w:r>
        <w:rPr>
          <w:rFonts w:ascii="Arial" w:cs="Arial" w:eastAsia="Arial" w:hAnsi="Arial"/>
          <w:b/>
          <w:bCs/>
          <w:color w:val="1F2937"/>
          <w:sz w:val="19"/>
          <w:szCs w:val="19"/>
        </w:rPr>
        <w:t xml:space="preserve">GENM fell 17% on parent news alone, to RM1.23, and has since drifted to a record low of RM1.19 (21-Oct) as Affin cut it to Sell (TP RM1.00).</w:t>
      </w:r>
    </w:p>
    <w:p>
      <w:pPr>
        <w:pStyle w:val="Heading2"/>
        <w:keepNext/>
      </w:pPr>
      <w:r>
        <w:rPr>
          <w:rFonts w:ascii="Arial" w:cs="Arial" w:eastAsia="Arial" w:hAnsi="Arial"/>
        </w:rPr>
        <w:t xml:space="preserve">1.2 Investment thesis: four forces converging</w:t>
      </w:r>
    </w:p>
    <w:p>
      <w:pPr>
        <w:pStyle w:val="ListParagraph"/>
        <w:numPr>
          <w:ilvl w:val="0"/>
          <w:numId w:val="2"/>
        </w:numPr>
        <w:spacing w:after="70" w:before="0" w:line="252"/>
      </w:pPr>
      <w:r>
        <w:rPr>
          <w:rFonts w:ascii="Arial" w:cs="Arial" w:eastAsia="Arial" w:hAnsi="Arial"/>
          <w:b/>
          <w:bCs/>
          <w:color w:val="1F2937"/>
          <w:sz w:val="19"/>
          <w:szCs w:val="19"/>
        </w:rPr>
        <w:t xml:space="preserve">A monopoly at a trough multiple.</w:t>
      </w:r>
      <w:r>
        <w:rPr>
          <w:rFonts w:ascii="Arial" w:cs="Arial" w:eastAsia="Arial" w:hAnsi="Arial"/>
          <w:color w:val="1F2937"/>
          <w:sz w:val="19"/>
          <w:szCs w:val="19"/>
        </w:rPr>
        <w:t xml:space="preserve"> ~6.5x NTM EV/EBITDA (bottom decile of 10 years [e]; peers 7.5x; deals 9.2x); 0.60x book (record low); premium to its parent at a 2nd-percentile 0.6x. If RWG is worth 7x, the market values the US business at ~2.1x EBITDA (~US$0.56bn).</w:t>
      </w:r>
    </w:p>
    <w:p>
      <w:pPr>
        <w:pStyle w:val="ListParagraph"/>
        <w:numPr>
          <w:ilvl w:val="0"/>
          <w:numId w:val="2"/>
        </w:numPr>
        <w:spacing w:after="70" w:before="0" w:line="252"/>
      </w:pPr>
      <w:r>
        <w:rPr>
          <w:rFonts w:ascii="Arial" w:cs="Arial" w:eastAsia="Arial" w:hAnsi="Arial"/>
          <w:b/>
          <w:bCs/>
          <w:color w:val="1F2937"/>
          <w:sz w:val="19"/>
          <w:szCs w:val="19"/>
        </w:rPr>
        <w:t xml:space="preserve">New York is ramping fast.</w:t>
      </w:r>
      <w:r>
        <w:rPr>
          <w:rFonts w:ascii="Arial" w:cs="Arial" w:eastAsia="Arial" w:hAnsi="Arial"/>
          <w:color w:val="1F2937"/>
          <w:sz w:val="19"/>
          <w:szCs w:val="19"/>
        </w:rPr>
        <w:t xml:space="preserve"> US revenue +166% in 2Q26; September GGR US$126.7m (~US$1.5bn annualised; tables US$41.5m), 69% of the state's commercial casino GGR; slot tax down from ~68% to 56%; 1,400 more slots from July. 3Q26 (~19-26 Nov) is the first full quarter with tables.</w:t>
      </w:r>
    </w:p>
    <w:p>
      <w:pPr>
        <w:pStyle w:val="ListParagraph"/>
        <w:numPr>
          <w:ilvl w:val="0"/>
          <w:numId w:val="2"/>
        </w:numPr>
        <w:spacing w:after="70" w:before="0" w:line="252"/>
      </w:pPr>
      <w:r>
        <w:rPr>
          <w:rFonts w:ascii="Arial" w:cs="Arial" w:eastAsia="Arial" w:hAnsi="Arial"/>
          <w:b/>
          <w:bCs/>
          <w:color w:val="1F2937"/>
          <w:sz w:val="19"/>
          <w:szCs w:val="19"/>
        </w:rPr>
        <w:t xml:space="preserve">Event optionality with a minority veto.</w:t>
      </w:r>
      <w:r>
        <w:rPr>
          <w:rFonts w:ascii="Arial" w:cs="Arial" w:eastAsia="Arial" w:hAnsi="Arial"/>
          <w:color w:val="1F2937"/>
          <w:sz w:val="19"/>
          <w:szCs w:val="19"/>
        </w:rPr>
        <w:t xml:space="preserve"> The parent is 1.16pp from 75% and does not intend to keep GENM listed, but cannot fund a fair cash offer today. Minorities with &gt;10% can block a low-ball delisting [u: rule]. RM2.35 is the anchor; our fair takeout range is RM1.96-2.75 (8.5-10x FY26E EBITDA).</w:t>
      </w:r>
    </w:p>
    <w:p>
      <w:pPr>
        <w:pStyle w:val="ListParagraph"/>
        <w:numPr>
          <w:ilvl w:val="0"/>
          <w:numId w:val="2"/>
        </w:numPr>
        <w:spacing w:after="70" w:before="0" w:line="252"/>
      </w:pPr>
      <w:r>
        <w:rPr>
          <w:rFonts w:ascii="Arial" w:cs="Arial" w:eastAsia="Arial" w:hAnsi="Arial"/>
          <w:b/>
          <w:bCs/>
          <w:color w:val="1F2937"/>
          <w:sz w:val="19"/>
          <w:szCs w:val="19"/>
        </w:rPr>
        <w:t xml:space="preserve">Self-help levers exist:</w:t>
      </w:r>
      <w:r>
        <w:rPr>
          <w:rFonts w:ascii="Arial" w:cs="Arial" w:eastAsia="Arial" w:hAnsi="Arial"/>
          <w:color w:val="1F2937"/>
          <w:sz w:val="19"/>
          <w:szCs w:val="19"/>
        </w:rPr>
        <w:t xml:space="preserve"> Miami land (US$1.225bn bid in 2023), NY real-estate sale-leaseback (REIT precedents at US$0.7-1.2bn), related-party fee benchmarking (~RM848m a year), and the end of debt-funded dividends.</w:t>
      </w:r>
    </w:p>
    <w:p>
      <w:pPr>
        <w:pStyle w:val="Heading2"/>
        <w:keepNext/>
      </w:pPr>
      <w:r>
        <w:rPr>
          <w:rFonts w:ascii="Arial" w:cs="Arial" w:eastAsia="Arial" w:hAnsi="Arial"/>
        </w:rPr>
        <w:t xml:space="preserve">1.3 Why it is cheap: what the bears are right about</w:t>
      </w:r>
    </w:p>
    <w:p>
      <w:pPr>
        <w:pStyle w:val="ListParagraph"/>
        <w:numPr>
          <w:ilvl w:val="0"/>
          <w:numId w:val="3"/>
        </w:numPr>
        <w:spacing w:after="60" w:before="0" w:line="252"/>
      </w:pPr>
      <w:r>
        <w:rPr>
          <w:rFonts w:ascii="Arial" w:cs="Arial" w:eastAsia="Arial" w:hAnsi="Arial"/>
          <w:b/>
          <w:bCs/>
          <w:color w:val="1F2937"/>
          <w:sz w:val="19"/>
          <w:szCs w:val="19"/>
        </w:rPr>
        <w:t xml:space="preserve">Earnings are weak and consensus is too high below EBITDA.</w:t>
      </w:r>
      <w:r>
        <w:rPr>
          <w:rFonts w:ascii="Arial" w:cs="Arial" w:eastAsia="Arial" w:hAnsi="Arial"/>
          <w:color w:val="1F2937"/>
          <w:sz w:val="19"/>
          <w:szCs w:val="19"/>
        </w:rPr>
        <w:t xml:space="preserve"> Our EPS is 4.3 / 8.6 / 9.6 sen for FY26-28E, 27-42% below consensus, because of interest, D&amp;A and a high tax rate.</w:t>
      </w:r>
    </w:p>
    <w:p>
      <w:pPr>
        <w:pStyle w:val="ListParagraph"/>
        <w:numPr>
          <w:ilvl w:val="0"/>
          <w:numId w:val="3"/>
        </w:numPr>
        <w:spacing w:after="60" w:before="0" w:line="252"/>
      </w:pPr>
      <w:r>
        <w:rPr>
          <w:rFonts w:ascii="Arial" w:cs="Arial" w:eastAsia="Arial" w:hAnsi="Arial"/>
          <w:b/>
          <w:bCs/>
          <w:color w:val="1F2937"/>
          <w:sz w:val="19"/>
          <w:szCs w:val="19"/>
        </w:rPr>
        <w:t xml:space="preserve">Leverage is 5x and rising</w:t>
      </w:r>
      <w:r>
        <w:rPr>
          <w:rFonts w:ascii="Arial" w:cs="Arial" w:eastAsia="Arial" w:hAnsi="Arial"/>
          <w:color w:val="1F2937"/>
          <w:sz w:val="19"/>
          <w:szCs w:val="19"/>
        </w:rPr>
        <w:t xml:space="preserve"> through 2027. Every 1x change in the EV multiple moves the equity by ~RM0.60 a share.</w:t>
      </w:r>
    </w:p>
    <w:p>
      <w:pPr>
        <w:pStyle w:val="ListParagraph"/>
        <w:numPr>
          <w:ilvl w:val="0"/>
          <w:numId w:val="3"/>
        </w:numPr>
        <w:spacing w:after="60" w:before="0" w:line="252"/>
      </w:pPr>
      <w:r>
        <w:rPr>
          <w:rFonts w:ascii="Arial" w:cs="Arial" w:eastAsia="Arial" w:hAnsi="Arial"/>
          <w:b/>
          <w:bCs/>
          <w:color w:val="1F2937"/>
          <w:sz w:val="19"/>
          <w:szCs w:val="19"/>
        </w:rPr>
        <w:t xml:space="preserve">Governance is poor:</w:t>
      </w:r>
      <w:r>
        <w:rPr>
          <w:rFonts w:ascii="Arial" w:cs="Arial" w:eastAsia="Arial" w:hAnsi="Arial"/>
          <w:color w:val="1F2937"/>
          <w:sz w:val="19"/>
          <w:szCs w:val="19"/>
        </w:rPr>
        <w:t xml:space="preserve"> ~RM848m a year of related-party fees to the parent (26% of EBITDA), serial Kien Huat RPTs on Empire Resorts, RM54.7m CEO pay, 3 of 8 directors independent.</w:t>
      </w:r>
    </w:p>
    <w:p>
      <w:pPr>
        <w:pStyle w:val="ListParagraph"/>
        <w:numPr>
          <w:ilvl w:val="0"/>
          <w:numId w:val="3"/>
        </w:numPr>
        <w:spacing w:after="60" w:before="0" w:line="252"/>
      </w:pPr>
      <w:r>
        <w:rPr>
          <w:rFonts w:ascii="Arial" w:cs="Arial" w:eastAsia="Arial" w:hAnsi="Arial"/>
          <w:b/>
          <w:bCs/>
          <w:color w:val="1F2937"/>
          <w:sz w:val="19"/>
          <w:szCs w:val="19"/>
        </w:rPr>
        <w:t xml:space="preserve">NY tax risk:</w:t>
      </w:r>
      <w:r>
        <w:rPr>
          <w:rFonts w:ascii="Arial" w:cs="Arial" w:eastAsia="Arial" w:hAnsi="Arial"/>
          <w:color w:val="1F2937"/>
          <w:sz w:val="19"/>
          <w:szCs w:val="19"/>
        </w:rPr>
        <w:t xml:space="preserve"> the State says ~US$150m a year of racing support is owed on top of the 56% tax, and two rivals open ~2030 at half RW's tax rate.</w:t>
      </w:r>
    </w:p>
    <w:p>
      <w:pPr>
        <w:pStyle w:val="Heading2"/>
        <w:keepNext/>
      </w:pPr>
      <w:r>
        <w:rPr>
          <w:rFonts w:ascii="Arial" w:cs="Arial" w:eastAsia="Arial" w:hAnsi="Arial"/>
        </w:rPr>
        <w:t xml:space="preserve">1.4 Valuation and scenarios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1091"/>
        <w:gridCol w:w="2866"/>
        <w:gridCol w:w="3057"/>
        <w:gridCol w:w="3066"/>
      </w:tblGrid>
      <w:tr>
        <w:trPr>
          <w:cantSplit/>
          <w:tblHeader/>
        </w:trPr>
        <w:tc>
          <w:tcPr>
            <w:tcW w:type="dxa" w:w="109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p>
        </w:tc>
        <w:tc>
          <w:tcPr>
            <w:tcW w:type="dxa" w:w="286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Bear (25%)</w:t>
            </w:r>
          </w:p>
        </w:tc>
        <w:tc>
          <w:tcPr>
            <w:tcW w:type="dxa" w:w="305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Base (50%)</w:t>
            </w:r>
          </w:p>
        </w:tc>
        <w:tc>
          <w:tcPr>
            <w:tcW w:type="dxa" w:w="306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Bull (25%)</w:t>
            </w:r>
          </w:p>
        </w:tc>
      </w:tr>
      <w:tr>
        <w:trPr>
          <w:cantSplit/>
        </w:trPr>
        <w:tc>
          <w:tcPr>
            <w:tcW w:type="dxa" w:w="109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Key assumption</w:t>
            </w:r>
          </w:p>
        </w:tc>
        <w:tc>
          <w:tcPr>
            <w:tcW w:type="dxa" w:w="286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Racing support charged; RWG 6x; phase-2 value destruction</w:t>
            </w:r>
          </w:p>
        </w:tc>
        <w:tc>
          <w:tcPr>
            <w:tcW w:type="dxa" w:w="30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Partial racing support; RWG 7x; US 7.5x; 15% governance discount</w:t>
            </w:r>
          </w:p>
        </w:tc>
        <w:tc>
          <w:tcPr>
            <w:tcW w:type="dxa" w:w="306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Tax equalisation path; RWG 8x; US 9x; or privatisation at ~9.5x</w:t>
            </w:r>
          </w:p>
        </w:tc>
      </w:tr>
      <w:tr>
        <w:trPr>
          <w:cantSplit/>
        </w:trPr>
        <w:tc>
          <w:tcPr>
            <w:tcW w:type="dxa" w:w="109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Value per share</w:t>
            </w:r>
          </w:p>
        </w:tc>
        <w:tc>
          <w:tcPr>
            <w:tcW w:type="dxa" w:w="286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RM0.76 (−36%)</w:t>
            </w:r>
          </w:p>
        </w:tc>
        <w:tc>
          <w:tcPr>
            <w:tcW w:type="dxa" w:w="30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RM1.86 (+56%)</w:t>
            </w:r>
          </w:p>
        </w:tc>
        <w:tc>
          <w:tcPr>
            <w:tcW w:type="dxa" w:w="306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RM3.28 (+176%)</w:t>
            </w:r>
          </w:p>
        </w:tc>
      </w:tr>
    </w:tbl>
    <w:p>
      <w:pPr>
        <w:spacing w:after="80" w:before="0"/>
      </w:pPr>
    </w:p>
    <w:p>
      <w:pPr>
        <w:spacing w:after="110" w:before="0" w:line="264"/>
      </w:pPr>
      <w:r>
        <w:rPr>
          <w:rFonts w:ascii="Arial" w:cs="Arial" w:eastAsia="Arial" w:hAnsi="Arial"/>
          <w:b/>
          <w:bCs/>
          <w:color w:val="1F2937"/>
          <w:sz w:val="19"/>
          <w:szCs w:val="19"/>
        </w:rPr>
        <w:t xml:space="preserve">Probability-weighted value: RM1.94 (+63%)</w:t>
      </w:r>
      <w:r>
        <w:rPr>
          <w:rFonts w:ascii="Arial" w:cs="Arial" w:eastAsia="Arial" w:hAnsi="Arial"/>
          <w:color w:val="1F2937"/>
          <w:sz w:val="19"/>
          <w:szCs w:val="19"/>
        </w:rPr>
        <w:t xml:space="preserve">, plus a ~4% dividend yield. </w:t>
      </w:r>
      <w:r>
        <w:rPr>
          <w:rFonts w:ascii="Arial" w:cs="Arial" w:eastAsia="Arial" w:hAnsi="Arial"/>
          <w:b/>
          <w:bCs/>
          <w:color w:val="1F2937"/>
          <w:sz w:val="19"/>
          <w:szCs w:val="19"/>
        </w:rPr>
        <w:t xml:space="preserve">12-month target: RM1.85 (unchanged; +55%).</w:t>
      </w:r>
    </w:p>
    <w:p>
      <w:pPr>
        <w:pStyle w:val="Heading2"/>
        <w:keepNext/>
      </w:pPr>
      <w:r>
        <w:rPr>
          <w:rFonts w:ascii="Arial" w:cs="Arial" w:eastAsia="Arial" w:hAnsi="Arial"/>
        </w:rPr>
        <w:t xml:space="preserve">1.5 What has to go right</w:t>
      </w:r>
    </w:p>
    <w:p>
      <w:pPr>
        <w:pStyle w:val="ListParagraph"/>
        <w:numPr>
          <w:ilvl w:val="0"/>
          <w:numId w:val="3"/>
        </w:numPr>
        <w:spacing w:after="60" w:before="0" w:line="252"/>
      </w:pPr>
      <w:r>
        <w:rPr>
          <w:rFonts w:ascii="Arial" w:cs="Arial" w:eastAsia="Arial" w:hAnsi="Arial"/>
          <w:color w:val="1F2937"/>
          <w:sz w:val="19"/>
          <w:szCs w:val="19"/>
        </w:rPr>
        <w:t xml:space="preserve">RWNYC sustains ≥US$60m of quarterly EBITDA from 3Q26 (US&amp;B segment).</w:t>
      </w:r>
    </w:p>
    <w:p>
      <w:pPr>
        <w:pStyle w:val="ListParagraph"/>
        <w:numPr>
          <w:ilvl w:val="0"/>
          <w:numId w:val="3"/>
        </w:numPr>
        <w:spacing w:after="60" w:before="0" w:line="252"/>
      </w:pPr>
      <w:r>
        <w:rPr>
          <w:rFonts w:ascii="Arial" w:cs="Arial" w:eastAsia="Arial" w:hAnsi="Arial"/>
          <w:color w:val="1F2937"/>
          <w:sz w:val="19"/>
          <w:szCs w:val="19"/>
        </w:rPr>
        <w:t xml:space="preserve">The racing-support dispute is resolved at ≤US$50m a year, or offset by tax equalisation.</w:t>
      </w:r>
    </w:p>
    <w:p>
      <w:pPr>
        <w:pStyle w:val="ListParagraph"/>
        <w:numPr>
          <w:ilvl w:val="0"/>
          <w:numId w:val="3"/>
        </w:numPr>
        <w:spacing w:after="60" w:before="0" w:line="252"/>
      </w:pPr>
      <w:r>
        <w:rPr>
          <w:rFonts w:ascii="Arial" w:cs="Arial" w:eastAsia="Arial" w:hAnsi="Arial"/>
          <w:color w:val="1F2937"/>
          <w:sz w:val="19"/>
          <w:szCs w:val="19"/>
        </w:rPr>
        <w:t xml:space="preserve">Malaysia EBITDA holds ≥RM2.1bn through the Jun-2027 minimum-wage step-up.</w:t>
      </w:r>
    </w:p>
    <w:p>
      <w:pPr>
        <w:pStyle w:val="ListParagraph"/>
        <w:numPr>
          <w:ilvl w:val="0"/>
          <w:numId w:val="3"/>
        </w:numPr>
        <w:spacing w:after="60" w:before="0" w:line="252"/>
      </w:pPr>
      <w:r>
        <w:rPr>
          <w:rFonts w:ascii="Arial" w:cs="Arial" w:eastAsia="Arial" w:hAnsi="Arial"/>
          <w:color w:val="1F2937"/>
          <w:sz w:val="19"/>
          <w:szCs w:val="19"/>
        </w:rPr>
        <w:t xml:space="preserve">No GENM equity issuance; non-core asset sales fund part of phase 2.</w:t>
      </w:r>
    </w:p>
    <w:p>
      <w:pPr>
        <w:pStyle w:val="ListParagraph"/>
        <w:numPr>
          <w:ilvl w:val="0"/>
          <w:numId w:val="3"/>
        </w:numPr>
        <w:spacing w:after="60" w:before="0" w:line="252"/>
      </w:pPr>
      <w:r>
        <w:rPr>
          <w:rFonts w:ascii="Arial" w:cs="Arial" w:eastAsia="Arial" w:hAnsi="Arial"/>
          <w:color w:val="1F2937"/>
          <w:sz w:val="19"/>
          <w:szCs w:val="19"/>
        </w:rPr>
        <w:t xml:space="preserve">Any future privatisation is priced at ≥RM2.35.</w:t>
      </w:r>
    </w:p>
    <w:p>
      <w:pPr>
        <w:pStyle w:val="Heading2"/>
        <w:keepNext/>
      </w:pPr>
      <w:r>
        <w:rPr>
          <w:rFonts w:ascii="Arial" w:cs="Arial" w:eastAsia="Arial" w:hAnsi="Arial"/>
        </w:rPr>
        <w:t xml:space="preserve">1.6 Positioning</w:t>
      </w:r>
    </w:p>
    <w:p>
      <w:pPr>
        <w:spacing w:after="110" w:before="0" w:line="264"/>
      </w:pPr>
      <w:r>
        <w:rPr>
          <w:rFonts w:ascii="Arial" w:cs="Arial" w:eastAsia="Arial" w:hAnsi="Arial"/>
          <w:b/>
          <w:bCs/>
          <w:color w:val="1F2937"/>
          <w:sz w:val="19"/>
          <w:szCs w:val="19"/>
        </w:rPr>
        <w:t xml:space="preserve">Event-driven, low-to-medium conviction. Hold a half position</w:t>
      </w:r>
      <w:r>
        <w:rPr>
          <w:rFonts w:ascii="Arial" w:cs="Arial" w:eastAsia="Arial" w:hAnsi="Arial"/>
          <w:color w:val="1F2937"/>
          <w:sz w:val="19"/>
          <w:szCs w:val="19"/>
        </w:rPr>
        <w:t xml:space="preserve"> (liquidity is ~2-4m shares a day; 30m traded on 12-Oct). Do not add before the UK Budget (28-Oct) and 3Q26 (~19-26 Nov). Add on:</w:t>
      </w:r>
    </w:p>
    <w:p>
      <w:pPr>
        <w:pStyle w:val="ListParagraph"/>
        <w:numPr>
          <w:ilvl w:val="0"/>
          <w:numId w:val="3"/>
        </w:numPr>
        <w:spacing w:after="60" w:before="0" w:line="252"/>
      </w:pPr>
      <w:r>
        <w:rPr>
          <w:rFonts w:ascii="Arial" w:cs="Arial" w:eastAsia="Arial" w:hAnsi="Arial"/>
          <w:color w:val="1F2937"/>
          <w:sz w:val="19"/>
          <w:szCs w:val="19"/>
        </w:rPr>
        <w:t xml:space="preserve">3Q26 confirmation of the NY run-rate;</w:t>
      </w:r>
    </w:p>
    <w:p>
      <w:pPr>
        <w:pStyle w:val="ListParagraph"/>
        <w:numPr>
          <w:ilvl w:val="0"/>
          <w:numId w:val="3"/>
        </w:numPr>
        <w:spacing w:after="60" w:before="0" w:line="252"/>
      </w:pPr>
      <w:r>
        <w:rPr>
          <w:rFonts w:ascii="Arial" w:cs="Arial" w:eastAsia="Arial" w:hAnsi="Arial"/>
          <w:color w:val="1F2937"/>
          <w:sz w:val="19"/>
          <w:szCs w:val="19"/>
        </w:rPr>
        <w:t xml:space="preserve">completion of Genting Bhd's rights issue (1Q27);</w:t>
      </w:r>
    </w:p>
    <w:p>
      <w:pPr>
        <w:pStyle w:val="ListParagraph"/>
        <w:numPr>
          <w:ilvl w:val="0"/>
          <w:numId w:val="3"/>
        </w:numPr>
        <w:spacing w:after="60" w:before="0" w:line="252"/>
      </w:pPr>
      <w:r>
        <w:rPr>
          <w:rFonts w:ascii="Arial" w:cs="Arial" w:eastAsia="Arial" w:hAnsi="Arial"/>
          <w:color w:val="1F2937"/>
          <w:sz w:val="19"/>
          <w:szCs w:val="19"/>
        </w:rPr>
        <w:t xml:space="preserve">any asset-monetisation announcement.</w:t>
      </w:r>
    </w:p>
    <w:p>
      <w:pPr>
        <w:spacing w:after="110" w:before="0" w:line="264"/>
      </w:pPr>
      <w:r>
        <w:rPr>
          <w:rFonts w:ascii="Arial" w:cs="Arial" w:eastAsia="Arial" w:hAnsi="Arial"/>
          <w:color w:val="1F2937"/>
          <w:sz w:val="19"/>
          <w:szCs w:val="19"/>
        </w:rPr>
        <w:t xml:space="preserve">An optional pair, long GENM / short Genting Bhd (subject to borrow; intraday short selling was suspended in Oct-2026), isolates GENM's minority value from parent and Malaysian-policy beta.</w:t>
      </w:r>
    </w:p>
    <w:p>
      <w:pPr>
        <w:spacing w:after="110" w:before="0" w:line="264"/>
      </w:pPr>
      <w:r>
        <w:rPr>
          <w:rFonts w:ascii="Arial" w:cs="Arial" w:eastAsia="Arial" w:hAnsi="Arial"/>
          <w:b/>
          <w:bCs/>
          <w:color w:val="1F2937"/>
          <w:sz w:val="19"/>
          <w:szCs w:val="19"/>
        </w:rPr>
        <w:t xml:space="preserve">Hard review triggers:</w:t>
      </w:r>
    </w:p>
    <w:p>
      <w:pPr>
        <w:pStyle w:val="ListParagraph"/>
        <w:numPr>
          <w:ilvl w:val="0"/>
          <w:numId w:val="3"/>
        </w:numPr>
        <w:spacing w:after="60" w:before="0" w:line="252"/>
      </w:pPr>
      <w:r>
        <w:rPr>
          <w:rFonts w:ascii="Arial" w:cs="Arial" w:eastAsia="Arial" w:hAnsi="Arial"/>
          <w:color w:val="1F2937"/>
          <w:sz w:val="19"/>
          <w:szCs w:val="19"/>
        </w:rPr>
        <w:t xml:space="preserve">racing support enforced in full with no tax offset;</w:t>
      </w:r>
    </w:p>
    <w:p>
      <w:pPr>
        <w:pStyle w:val="ListParagraph"/>
        <w:numPr>
          <w:ilvl w:val="0"/>
          <w:numId w:val="3"/>
        </w:numPr>
        <w:spacing w:after="60" w:before="0" w:line="252"/>
      </w:pPr>
      <w:r>
        <w:rPr>
          <w:rFonts w:ascii="Arial" w:cs="Arial" w:eastAsia="Arial" w:hAnsi="Arial"/>
          <w:color w:val="1F2937"/>
          <w:sz w:val="19"/>
          <w:szCs w:val="19"/>
        </w:rPr>
        <w:t xml:space="preserve">a GENM rights issue or perpetuals at a punitive coupon;</w:t>
      </w:r>
    </w:p>
    <w:p>
      <w:pPr>
        <w:pStyle w:val="ListParagraph"/>
        <w:numPr>
          <w:ilvl w:val="0"/>
          <w:numId w:val="3"/>
        </w:numPr>
        <w:spacing w:after="60" w:before="0" w:line="252"/>
      </w:pPr>
      <w:r>
        <w:rPr>
          <w:rFonts w:ascii="Arial" w:cs="Arial" w:eastAsia="Arial" w:hAnsi="Arial"/>
          <w:color w:val="1F2937"/>
          <w:sz w:val="19"/>
          <w:szCs w:val="19"/>
        </w:rPr>
        <w:t xml:space="preserve">Fitch below BBB-;</w:t>
      </w:r>
    </w:p>
    <w:p>
      <w:pPr>
        <w:pStyle w:val="ListParagraph"/>
        <w:numPr>
          <w:ilvl w:val="0"/>
          <w:numId w:val="3"/>
        </w:numPr>
        <w:spacing w:after="60" w:before="0" w:line="252"/>
      </w:pPr>
      <w:r>
        <w:rPr>
          <w:rFonts w:ascii="Arial" w:cs="Arial" w:eastAsia="Arial" w:hAnsi="Arial"/>
          <w:color w:val="1F2937"/>
          <w:sz w:val="19"/>
          <w:szCs w:val="19"/>
        </w:rPr>
        <w:t xml:space="preserve">Genting Bhd pledging or selling GENM shares;</w:t>
      </w:r>
    </w:p>
    <w:p>
      <w:pPr>
        <w:pStyle w:val="ListParagraph"/>
        <w:numPr>
          <w:ilvl w:val="0"/>
          <w:numId w:val="3"/>
        </w:numPr>
        <w:spacing w:after="60" w:before="0" w:line="252"/>
      </w:pPr>
      <w:r>
        <w:rPr>
          <w:rFonts w:ascii="Arial" w:cs="Arial" w:eastAsia="Arial" w:hAnsi="Arial"/>
          <w:color w:val="1F2937"/>
          <w:sz w:val="19"/>
          <w:szCs w:val="19"/>
        </w:rPr>
        <w:t xml:space="preserve">a privatisation proposal below RM1.80.</w:t>
      </w:r>
    </w:p>
    <w:p>
      <w:pPr>
        <w:pStyle w:val="Heading1"/>
        <w:keepNext/>
      </w:pPr>
      <w:r>
        <w:rPr>
          <w:rFonts w:ascii="Arial" w:cs="Arial" w:eastAsia="Arial" w:hAnsi="Arial"/>
        </w:rPr>
        <w:t xml:space="preserve">2. Layman's Guide: What Genting Malaysia Does and How It Makes Money</w:t>
      </w:r>
    </w:p>
    <w:p>
      <w:pPr>
        <w:spacing w:after="110" w:before="0" w:line="264"/>
      </w:pPr>
      <w:r>
        <w:rPr>
          <w:rFonts w:ascii="Arial" w:cs="Arial" w:eastAsia="Arial" w:hAnsi="Arial"/>
          <w:b/>
          <w:bCs/>
          <w:color w:val="1F2937"/>
          <w:sz w:val="19"/>
          <w:szCs w:val="19"/>
        </w:rPr>
        <w:t xml:space="preserve">In one sentence:</w:t>
      </w:r>
      <w:r>
        <w:rPr>
          <w:rFonts w:ascii="Arial" w:cs="Arial" w:eastAsia="Arial" w:hAnsi="Arial"/>
          <w:color w:val="1F2937"/>
          <w:sz w:val="19"/>
          <w:szCs w:val="19"/>
        </w:rPr>
        <w:t xml:space="preserve"> Genting Malaysia runs large "cities of entertainment" built around a casino: Malaysia's only legal casino resort on a mountaintop outside Kuala Lumpur, New York City's only full casino, about 30 casinos in the UK, and smaller resorts in upstate New York, the Bahamas and Egypt.</w:t>
      </w:r>
    </w:p>
    <w:p>
      <w:pPr>
        <w:spacing w:after="110" w:before="0" w:line="264"/>
      </w:pPr>
      <w:r>
        <w:rPr>
          <w:rFonts w:ascii="Arial" w:cs="Arial" w:eastAsia="Arial" w:hAnsi="Arial"/>
          <w:b/>
          <w:bCs/>
          <w:color w:val="1F2937"/>
          <w:sz w:val="19"/>
          <w:szCs w:val="19"/>
        </w:rPr>
        <w:t xml:space="preserve">How the money is made.</w:t>
      </w:r>
      <w:r>
        <w:rPr>
          <w:rFonts w:ascii="Arial" w:cs="Arial" w:eastAsia="Arial" w:hAnsi="Arial"/>
          <w:color w:val="1F2937"/>
          <w:sz w:val="19"/>
          <w:szCs w:val="19"/>
        </w:rPr>
        <w:t xml:space="preserve"> GENM does not "sell" gambling. It keeps the net amount customers lose over time (gross gaming revenue, GGR, or "win"). The house edge on each bet is small, but across millions of bets the result is predictable, apart from week-to-week luck in the high-roller (VIP) segment. Hotels, theme parks, restaurants, a shopping mall and a cable car are the bait: they bring families and day-trippers up the mountain, keep them there longer, and give the casino more time to earn. Governments are silent partners. Malaysia takes 35% of mass-market casino win before GENM pays any wages, plus an RM150m annual licence fee and 8% service tax. New York takes 56% of slot win and 30% of table win. The UK takes 15-50%. That is why tax changes move GENM's profit more than almost anything else.</w:t>
      </w:r>
    </w:p>
    <w:p>
      <w:pPr>
        <w:spacing w:after="110" w:before="0" w:line="264"/>
      </w:pPr>
      <w:r>
        <w:rPr>
          <w:rFonts w:ascii="Arial" w:cs="Arial" w:eastAsia="Arial" w:hAnsi="Arial"/>
          <w:b/>
          <w:bCs/>
          <w:color w:val="1F2937"/>
          <w:sz w:val="19"/>
          <w:szCs w:val="19"/>
        </w:rPr>
        <w:t xml:space="preserve">How each division contributes (FY2025):</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2295"/>
        <w:gridCol w:w="4068"/>
        <w:gridCol w:w="826"/>
        <w:gridCol w:w="627"/>
        <w:gridCol w:w="747"/>
        <w:gridCol w:w="802"/>
        <w:gridCol w:w="715"/>
      </w:tblGrid>
      <w:tr>
        <w:trPr>
          <w:cantSplit/>
          <w:tblHeader/>
        </w:trPr>
        <w:tc>
          <w:tcPr>
            <w:tcW w:type="dxa" w:w="229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Division</w:t>
            </w:r>
          </w:p>
        </w:tc>
        <w:tc>
          <w:tcPr>
            <w:tcW w:type="dxa" w:w="4068"/>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What it is</w:t>
            </w:r>
          </w:p>
        </w:tc>
        <w:tc>
          <w:tcPr>
            <w:tcW w:type="dxa" w:w="82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Revenue RM m</w:t>
            </w:r>
          </w:p>
        </w:tc>
        <w:tc>
          <w:tcPr>
            <w:tcW w:type="dxa" w:w="62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 of group</w:t>
            </w:r>
          </w:p>
        </w:tc>
        <w:tc>
          <w:tcPr>
            <w:tcW w:type="dxa" w:w="74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Adj. EBITDA RM m</w:t>
            </w:r>
          </w:p>
        </w:tc>
        <w:tc>
          <w:tcPr>
            <w:tcW w:type="dxa" w:w="80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 of segment EBITDA</w:t>
            </w:r>
          </w:p>
        </w:tc>
        <w:tc>
          <w:tcPr>
            <w:tcW w:type="dxa" w:w="71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Margin</w:t>
            </w:r>
          </w:p>
        </w:tc>
      </w:tr>
      <w:tr>
        <w:trPr>
          <w:cantSplit/>
        </w:trPr>
        <w:tc>
          <w:tcPr>
            <w:tcW w:type="dxa" w:w="22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Malaysia (Resorts World Genting, Kijal, Langkawi)</w:t>
            </w:r>
          </w:p>
        </w:tc>
        <w:tc>
          <w:tcPr>
            <w:tcW w:type="dxa" w:w="406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Casino monopoly plus ~10,500 hotel rooms, SkyWorlds theme park, SkyAvenue mall, Awana SkyWay cable car</w:t>
            </w:r>
          </w:p>
        </w:tc>
        <w:tc>
          <w:tcPr>
            <w:tcW w:type="dxa" w:w="82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7,133.5</w:t>
            </w:r>
          </w:p>
        </w:tc>
        <w:tc>
          <w:tcPr>
            <w:tcW w:type="dxa" w:w="6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60.0%</w:t>
            </w:r>
          </w:p>
        </w:tc>
        <w:tc>
          <w:tcPr>
            <w:tcW w:type="dxa" w:w="74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2,138.7</w:t>
            </w:r>
          </w:p>
        </w:tc>
        <w:tc>
          <w:tcPr>
            <w:tcW w:type="dxa" w:w="8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72.9%</w:t>
            </w:r>
          </w:p>
        </w:tc>
        <w:tc>
          <w:tcPr>
            <w:tcW w:type="dxa" w:w="7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30.0%</w:t>
            </w:r>
          </w:p>
        </w:tc>
      </w:tr>
      <w:tr>
        <w:trPr>
          <w:cantSplit/>
        </w:trPr>
        <w:tc>
          <w:tcPr>
            <w:tcW w:type="dxa" w:w="22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UK &amp; Egypt</w:t>
            </w:r>
          </w:p>
        </w:tc>
        <w:tc>
          <w:tcPr>
            <w:tcW w:type="dxa" w:w="406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~32 UK casinos incl. Resorts World Birmingham and Genting Casino Stratford; Crockfords Cairo</w:t>
            </w:r>
          </w:p>
        </w:tc>
        <w:tc>
          <w:tcPr>
            <w:tcW w:type="dxa" w:w="82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1,994.2</w:t>
            </w:r>
          </w:p>
        </w:tc>
        <w:tc>
          <w:tcPr>
            <w:tcW w:type="dxa" w:w="6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16.8%</w:t>
            </w:r>
          </w:p>
        </w:tc>
        <w:tc>
          <w:tcPr>
            <w:tcW w:type="dxa" w:w="74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322.1</w:t>
            </w:r>
          </w:p>
        </w:tc>
        <w:tc>
          <w:tcPr>
            <w:tcW w:type="dxa" w:w="8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11.0%</w:t>
            </w:r>
          </w:p>
        </w:tc>
        <w:tc>
          <w:tcPr>
            <w:tcW w:type="dxa" w:w="7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16.2%</w:t>
            </w:r>
          </w:p>
        </w:tc>
      </w:tr>
      <w:tr>
        <w:trPr>
          <w:cantSplit/>
        </w:trPr>
        <w:tc>
          <w:tcPr>
            <w:tcW w:type="dxa" w:w="22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US &amp; Bahamas</w:t>
            </w:r>
          </w:p>
        </w:tc>
        <w:tc>
          <w:tcPr>
            <w:tcW w:type="dxa" w:w="406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Resorts World NYC (Queens), RW Catskills, RW Hudson Valley (Empire Resorts, 100% since May-25), RW Bimini, Hilton Miami Downtown</w:t>
            </w:r>
          </w:p>
        </w:tc>
        <w:tc>
          <w:tcPr>
            <w:tcW w:type="dxa" w:w="82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2,566.0</w:t>
            </w:r>
          </w:p>
        </w:tc>
        <w:tc>
          <w:tcPr>
            <w:tcW w:type="dxa" w:w="6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21.6%</w:t>
            </w:r>
          </w:p>
        </w:tc>
        <w:tc>
          <w:tcPr>
            <w:tcW w:type="dxa" w:w="74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472.4</w:t>
            </w:r>
          </w:p>
        </w:tc>
        <w:tc>
          <w:tcPr>
            <w:tcW w:type="dxa" w:w="8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16.1%</w:t>
            </w:r>
          </w:p>
        </w:tc>
        <w:tc>
          <w:tcPr>
            <w:tcW w:type="dxa" w:w="7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18.4%</w:t>
            </w:r>
          </w:p>
        </w:tc>
      </w:tr>
      <w:tr>
        <w:trPr>
          <w:cantSplit/>
        </w:trPr>
        <w:tc>
          <w:tcPr>
            <w:tcW w:type="dxa" w:w="22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Property</w:t>
            </w:r>
          </w:p>
        </w:tc>
        <w:tc>
          <w:tcPr>
            <w:tcW w:type="dxa" w:w="406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Miami land and other property rentals</w:t>
            </w:r>
          </w:p>
        </w:tc>
        <w:tc>
          <w:tcPr>
            <w:tcW w:type="dxa" w:w="82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94.1</w:t>
            </w:r>
          </w:p>
        </w:tc>
        <w:tc>
          <w:tcPr>
            <w:tcW w:type="dxa" w:w="6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0.8%</w:t>
            </w:r>
          </w:p>
        </w:tc>
        <w:tc>
          <w:tcPr>
            <w:tcW w:type="dxa" w:w="74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15.7</w:t>
            </w:r>
          </w:p>
        </w:tc>
        <w:tc>
          <w:tcPr>
            <w:tcW w:type="dxa" w:w="8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0.5%</w:t>
            </w:r>
          </w:p>
        </w:tc>
        <w:tc>
          <w:tcPr>
            <w:tcW w:type="dxa" w:w="7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n.m.</w:t>
            </w:r>
          </w:p>
        </w:tc>
      </w:tr>
      <w:tr>
        <w:trPr>
          <w:cantSplit/>
        </w:trPr>
        <w:tc>
          <w:tcPr>
            <w:tcW w:type="dxa" w:w="22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Investments &amp; Others</w:t>
            </w:r>
          </w:p>
        </w:tc>
        <w:tc>
          <w:tcPr>
            <w:tcW w:type="dxa" w:w="406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Treasury, corporate; includes unrealised FX on USD debt</w:t>
            </w:r>
          </w:p>
        </w:tc>
        <w:tc>
          <w:tcPr>
            <w:tcW w:type="dxa" w:w="82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96.5</w:t>
            </w:r>
          </w:p>
        </w:tc>
        <w:tc>
          <w:tcPr>
            <w:tcW w:type="dxa" w:w="6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0.8%</w:t>
            </w:r>
          </w:p>
        </w:tc>
        <w:tc>
          <w:tcPr>
            <w:tcW w:type="dxa" w:w="74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348.7</w:t>
            </w:r>
          </w:p>
        </w:tc>
        <w:tc>
          <w:tcPr>
            <w:tcW w:type="dxa" w:w="8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n.m.</w:t>
            </w:r>
          </w:p>
        </w:tc>
        <w:tc>
          <w:tcPr>
            <w:tcW w:type="dxa" w:w="7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n.m.</w:t>
            </w:r>
          </w:p>
        </w:tc>
      </w:tr>
      <w:tr>
        <w:trPr>
          <w:cantSplit/>
        </w:trPr>
        <w:tc>
          <w:tcPr>
            <w:tcW w:type="dxa" w:w="2295"/>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5"/>
                <w:szCs w:val="15"/>
              </w:rPr>
              <w:t xml:space="preserve">Group</w:t>
            </w:r>
          </w:p>
        </w:tc>
        <w:tc>
          <w:tcPr>
            <w:tcW w:type="dxa" w:w="4068"/>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p>
        </w:tc>
        <w:tc>
          <w:tcPr>
            <w:tcW w:type="dxa" w:w="826"/>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11,884.3</w:t>
            </w:r>
          </w:p>
        </w:tc>
        <w:tc>
          <w:tcPr>
            <w:tcW w:type="dxa" w:w="627"/>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100%</w:t>
            </w:r>
          </w:p>
        </w:tc>
        <w:tc>
          <w:tcPr>
            <w:tcW w:type="dxa" w:w="747"/>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3,297.6</w:t>
            </w:r>
          </w:p>
        </w:tc>
        <w:tc>
          <w:tcPr>
            <w:tcW w:type="dxa" w:w="802"/>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p>
        </w:tc>
        <w:tc>
          <w:tcPr>
            <w:tcW w:type="dxa" w:w="715"/>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27.7%</w:t>
            </w:r>
          </w:p>
        </w:tc>
      </w:tr>
    </w:tbl>
    <w:p>
      <w:pPr>
        <w:spacing w:after="80" w:before="0"/>
      </w:pPr>
    </w:p>
    <w:p>
      <w:pPr>
        <w:spacing w:after="140" w:before="0"/>
      </w:pPr>
      <w:r>
        <w:rPr>
          <w:rFonts w:ascii="Arial" w:cs="Arial" w:eastAsia="Arial" w:hAnsi="Arial"/>
          <w:color w:val="6B7280"/>
          <w:sz w:val="15"/>
          <w:szCs w:val="15"/>
        </w:rPr>
        <w:t xml:space="preserve">Source: GENM Annual Report 2025 (segment note), S&amp;P Capital IQ. Segment EBITDA share excludes Investments &amp; Others (which held RM351.6m of unrealised FX gains).</w:t>
      </w:r>
    </w:p>
    <w:p>
      <w:pPr>
        <w:spacing w:after="110" w:before="0" w:line="264"/>
      </w:pPr>
      <w:r>
        <w:rPr>
          <w:rFonts w:ascii="Arial" w:cs="Arial" w:eastAsia="Arial" w:hAnsi="Arial"/>
          <w:b/>
          <w:bCs/>
          <w:color w:val="1F2937"/>
          <w:sz w:val="19"/>
          <w:szCs w:val="19"/>
        </w:rPr>
        <w:t xml:space="preserve">What has changed in 2026:</w:t>
      </w:r>
      <w:r>
        <w:rPr>
          <w:rFonts w:ascii="Arial" w:cs="Arial" w:eastAsia="Arial" w:hAnsi="Arial"/>
          <w:color w:val="1F2937"/>
          <w:sz w:val="19"/>
          <w:szCs w:val="19"/>
        </w:rPr>
        <w:t xml:space="preserve"> On 28-Apr-2026 Resorts World New York City converted from a video-lottery "racino" (where the State kept roughly two-thirds of net win) into a full commercial casino with live table games. US &amp; Bahamas jumped to </w:t>
      </w:r>
      <w:r>
        <w:rPr>
          <w:rFonts w:ascii="Arial" w:cs="Arial" w:eastAsia="Arial" w:hAnsi="Arial"/>
          <w:b/>
          <w:bCs/>
          <w:color w:val="1F2937"/>
          <w:sz w:val="19"/>
          <w:szCs w:val="19"/>
        </w:rPr>
        <w:t xml:space="preserve">40% of group revenue in 2Q26</w:t>
      </w:r>
      <w:r>
        <w:rPr>
          <w:rFonts w:ascii="Arial" w:cs="Arial" w:eastAsia="Arial" w:hAnsi="Arial"/>
          <w:color w:val="1F2937"/>
          <w:sz w:val="19"/>
          <w:szCs w:val="19"/>
        </w:rPr>
        <w:t xml:space="preserve"> (RM1,534m of RM3,853m). Malaysia is still the profit engine, but New York is now the growth engine and the main use of capital.</w:t>
      </w:r>
    </w:p>
    <w:p>
      <w:pPr>
        <w:spacing w:after="110" w:before="0" w:line="264"/>
      </w:pPr>
      <w:r>
        <w:rPr>
          <w:rFonts w:ascii="Arial" w:cs="Arial" w:eastAsia="Arial" w:hAnsi="Arial"/>
          <w:b/>
          <w:bCs/>
          <w:color w:val="1F2937"/>
          <w:sz w:val="19"/>
          <w:szCs w:val="19"/>
        </w:rPr>
        <w:t xml:space="preserve">Revenue by type (FY2025):</w:t>
      </w:r>
      <w:r>
        <w:rPr>
          <w:rFonts w:ascii="Arial" w:cs="Arial" w:eastAsia="Arial" w:hAnsi="Arial"/>
          <w:color w:val="1F2937"/>
          <w:sz w:val="19"/>
          <w:szCs w:val="19"/>
        </w:rPr>
        <w:t xml:space="preserve"> gaming RM8,693m (73%), hotel rooms RM1,374m (12%), F&amp;B RM634m (5%), attractions RM293m (2.5%), mall rents RM220m (2%), transport (cable cars, coaches) RM185m (1.6%), other RM391m.</w:t>
      </w:r>
    </w:p>
    <w:p>
      <w:pPr>
        <w:pStyle w:val="Heading1"/>
        <w:keepNext/>
      </w:pPr>
      <w:r>
        <w:rPr>
          <w:rFonts w:ascii="Arial" w:cs="Arial" w:eastAsia="Arial" w:hAnsi="Arial"/>
        </w:rPr>
        <w:t xml:space="preserve">3. Business Model, Products, Customers, Suppliers and Competitors</w:t>
      </w:r>
    </w:p>
    <w:p>
      <w:pPr>
        <w:pStyle w:val="Heading2"/>
        <w:keepNext/>
      </w:pPr>
      <w:r>
        <w:rPr>
          <w:rFonts w:ascii="Arial" w:cs="Arial" w:eastAsia="Arial" w:hAnsi="Arial"/>
        </w:rPr>
        <w:t xml:space="preserve">3.1 Business model in simple terms</w:t>
      </w:r>
    </w:p>
    <w:p>
      <w:pPr>
        <w:spacing w:after="110" w:before="0" w:line="264"/>
      </w:pPr>
      <w:r>
        <w:rPr>
          <w:rFonts w:ascii="Arial" w:cs="Arial" w:eastAsia="Arial" w:hAnsi="Arial"/>
          <w:color w:val="1F2937"/>
          <w:sz w:val="19"/>
          <w:szCs w:val="19"/>
        </w:rPr>
        <w:t xml:space="preserve">GENM is a capital-intensive, regulated, mass-market gaming operator. It owns or leases the real estate, holds the gaming licences, builds the non-gaming "reasons to visit", and monetises footfall through gaming. Its economics rest on four things:</w:t>
      </w:r>
    </w:p>
    <w:p>
      <w:pPr>
        <w:pStyle w:val="ListParagraph"/>
        <w:numPr>
          <w:ilvl w:val="0"/>
          <w:numId w:val="3"/>
        </w:numPr>
        <w:spacing w:after="60" w:before="0" w:line="252"/>
      </w:pPr>
      <w:r>
        <w:rPr>
          <w:rFonts w:ascii="Arial" w:cs="Arial" w:eastAsia="Arial" w:hAnsi="Arial"/>
          <w:b/>
          <w:bCs/>
          <w:color w:val="1F2937"/>
          <w:sz w:val="19"/>
          <w:szCs w:val="19"/>
        </w:rPr>
        <w:t xml:space="preserve">Scarcity of licences.</w:t>
      </w:r>
      <w:r>
        <w:rPr>
          <w:rFonts w:ascii="Arial" w:cs="Arial" w:eastAsia="Arial" w:hAnsi="Arial"/>
          <w:color w:val="1F2937"/>
          <w:sz w:val="19"/>
          <w:szCs w:val="19"/>
        </w:rPr>
        <w:t xml:space="preserve"> Malaysia has one casino licence (granted 1969 to founder Lim Goh Tong; renewable every three months). New York City has three downstate licences, and RWNYC's two rivals are not expected to open until about 2030.</w:t>
      </w:r>
    </w:p>
    <w:p>
      <w:pPr>
        <w:pStyle w:val="ListParagraph"/>
        <w:numPr>
          <w:ilvl w:val="0"/>
          <w:numId w:val="3"/>
        </w:numPr>
        <w:spacing w:after="60" w:before="0" w:line="252"/>
      </w:pPr>
      <w:r>
        <w:rPr>
          <w:rFonts w:ascii="Arial" w:cs="Arial" w:eastAsia="Arial" w:hAnsi="Arial"/>
          <w:b/>
          <w:bCs/>
          <w:color w:val="1F2937"/>
          <w:sz w:val="19"/>
          <w:szCs w:val="19"/>
        </w:rPr>
        <w:t xml:space="preserve">Volume x spend x hold.</w:t>
      </w:r>
      <w:r>
        <w:rPr>
          <w:rFonts w:ascii="Arial" w:cs="Arial" w:eastAsia="Arial" w:hAnsi="Arial"/>
          <w:color w:val="1F2937"/>
          <w:sz w:val="19"/>
          <w:szCs w:val="19"/>
        </w:rPr>
        <w:t xml:space="preserve"> Visitation (28.6m at RWG in 2025), spend per visitor (~RM249 at RWG [e]) and win rate (hold) drive gaming revenue. Mass play is the profit core; VIP is volatile and lower-margin.</w:t>
      </w:r>
    </w:p>
    <w:p>
      <w:pPr>
        <w:pStyle w:val="ListParagraph"/>
        <w:numPr>
          <w:ilvl w:val="0"/>
          <w:numId w:val="3"/>
        </w:numPr>
        <w:spacing w:after="60" w:before="0" w:line="252"/>
      </w:pPr>
      <w:r>
        <w:rPr>
          <w:rFonts w:ascii="Arial" w:cs="Arial" w:eastAsia="Arial" w:hAnsi="Arial"/>
          <w:b/>
          <w:bCs/>
          <w:color w:val="1F2937"/>
          <w:sz w:val="19"/>
          <w:szCs w:val="19"/>
        </w:rPr>
        <w:t xml:space="preserve">Fixed-cost operating leverage.</w:t>
      </w:r>
      <w:r>
        <w:rPr>
          <w:rFonts w:ascii="Arial" w:cs="Arial" w:eastAsia="Arial" w:hAnsi="Arial"/>
          <w:color w:val="1F2937"/>
          <w:sz w:val="19"/>
          <w:szCs w:val="19"/>
        </w:rPr>
        <w:t xml:space="preserve"> Payroll, energy and maintenance on a 24/7 mountaintop resort are largely fixed, so margins swing hard with volume (FY21, with RWG closed ~5 months, made a Malaysian EBITDA of RM15.5m against RM2.1bn in FY25).</w:t>
      </w:r>
    </w:p>
    <w:p>
      <w:pPr>
        <w:pStyle w:val="ListParagraph"/>
        <w:numPr>
          <w:ilvl w:val="0"/>
          <w:numId w:val="3"/>
        </w:numPr>
        <w:spacing w:after="60" w:before="0" w:line="252"/>
      </w:pPr>
      <w:r>
        <w:rPr>
          <w:rFonts w:ascii="Arial" w:cs="Arial" w:eastAsia="Arial" w:hAnsi="Arial"/>
          <w:b/>
          <w:bCs/>
          <w:color w:val="1F2937"/>
          <w:sz w:val="19"/>
          <w:szCs w:val="19"/>
        </w:rPr>
        <w:t xml:space="preserve">The tax and fee "stack".</w:t>
      </w:r>
      <w:r>
        <w:rPr>
          <w:rFonts w:ascii="Arial" w:cs="Arial" w:eastAsia="Arial" w:hAnsi="Arial"/>
          <w:color w:val="1F2937"/>
          <w:sz w:val="19"/>
          <w:szCs w:val="19"/>
        </w:rPr>
        <w:t xml:space="preserve"> Governments take 35-72% of gaming win, and the parent Genting Bhd takes about RM848m a year (7% of revenue, 26% of adjusted EBITDA) in management, technical know-how, brand and IP fees [e from QR 4Q25 RRPT table].</w:t>
      </w:r>
    </w:p>
    <w:p>
      <w:pPr>
        <w:pStyle w:val="Heading2"/>
        <w:keepNext/>
      </w:pPr>
      <w:r>
        <w:rPr>
          <w:rFonts w:ascii="Arial" w:cs="Arial" w:eastAsia="Arial" w:hAnsi="Arial"/>
        </w:rPr>
        <w:t xml:space="preserve">3.2 Key products and services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2207"/>
        <w:gridCol w:w="4273"/>
        <w:gridCol w:w="3600"/>
      </w:tblGrid>
      <w:tr>
        <w:trPr>
          <w:cantSplit/>
          <w:tblHeader/>
        </w:trPr>
        <w:tc>
          <w:tcPr>
            <w:tcW w:type="dxa" w:w="220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Asset</w:t>
            </w:r>
          </w:p>
        </w:tc>
        <w:tc>
          <w:tcPr>
            <w:tcW w:type="dxa" w:w="427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Products / capacity</w:t>
            </w:r>
          </w:p>
        </w:tc>
        <w:tc>
          <w:tcPr>
            <w:tcW w:type="dxa" w:w="360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Notes</w:t>
            </w:r>
          </w:p>
        </w:tc>
      </w:tr>
      <w:tr>
        <w:trPr>
          <w:cantSplit/>
        </w:trPr>
        <w:tc>
          <w:tcPr>
            <w:tcW w:type="dxa" w:w="220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Resorts World Genting (Pahang)</w:t>
            </w:r>
          </w:p>
        </w:tc>
        <w:tc>
          <w:tcPr>
            <w:tcW w:type="dxa" w:w="427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SkyCasino and the new "Genting Casino" mass floor (opened Dec-2024); 7 hotels / ~10,500 rooms incl. First World Hotel (7,351 rooms, the world's largest); Genting SkyWorlds outdoor theme park (opened Feb-2022); Skytropolis indoor park; SkyAvenue mall; Awana SkyWay cable car (3,600 passengers/hr)</w:t>
            </w:r>
          </w:p>
        </w:tc>
        <w:tc>
          <w:tcPr>
            <w:tcW w:type="dxa" w:w="360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Two of three legacy casino floors closed for renovation in Feb-2024; reopening timetable not disclosed [u]</w:t>
            </w:r>
          </w:p>
        </w:tc>
      </w:tr>
      <w:tr>
        <w:trPr>
          <w:cantSplit/>
        </w:trPr>
        <w:tc>
          <w:tcPr>
            <w:tcW w:type="dxa" w:w="220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RW Kijal, RW Langkawi</w:t>
            </w:r>
          </w:p>
        </w:tc>
        <w:tc>
          <w:tcPr>
            <w:tcW w:type="dxa" w:w="427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Beach resorts</w:t>
            </w:r>
          </w:p>
        </w:tc>
        <w:tc>
          <w:tcPr>
            <w:tcW w:type="dxa" w:w="360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Occupancy 42% / 56% (FY25)</w:t>
            </w:r>
          </w:p>
        </w:tc>
      </w:tr>
      <w:tr>
        <w:trPr>
          <w:cantSplit/>
        </w:trPr>
        <w:tc>
          <w:tcPr>
            <w:tcW w:type="dxa" w:w="220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Resorts World New York City (Queens, Aqueduct)</w:t>
            </w:r>
          </w:p>
        </w:tc>
        <w:tc>
          <w:tcPr>
            <w:tcW w:type="dxa" w:w="427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~3,900 slots (2,500 at conversion + 1,400 added Jul-26), 242 live tables, Hyatt Regency JFK hotel; US$5.5bn masterplan for ~6,000 slots, 800 tables, ~2,000 rooms and a 7,000-seat arena</w:t>
            </w:r>
          </w:p>
        </w:tc>
        <w:tc>
          <w:tcPr>
            <w:tcW w:type="dxa" w:w="360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Only full casino in NYC until ~2030; weekly GGR ~US$30.8m in Jul-26; US$126.7m in Sep-26 (~US$1.5bn annualised)</w:t>
            </w:r>
          </w:p>
        </w:tc>
      </w:tr>
      <w:tr>
        <w:trPr>
          <w:cantSplit/>
        </w:trPr>
        <w:tc>
          <w:tcPr>
            <w:tcW w:type="dxa" w:w="220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Empire Resorts: RW Catskills, RW Hudson Valley</w:t>
            </w:r>
          </w:p>
        </w:tc>
        <w:tc>
          <w:tcPr>
            <w:tcW w:type="dxa" w:w="427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Commercial casino and resort (Catskills); 1,200-VGM facility (Newburgh)</w:t>
            </w:r>
          </w:p>
        </w:tc>
        <w:tc>
          <w:tcPr>
            <w:tcW w:type="dxa" w:w="360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Loss-making; 100% owned since May-2025</w:t>
            </w:r>
          </w:p>
        </w:tc>
      </w:tr>
      <w:tr>
        <w:trPr>
          <w:cantSplit/>
        </w:trPr>
        <w:tc>
          <w:tcPr>
            <w:tcW w:type="dxa" w:w="220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Genting UK</w:t>
            </w:r>
          </w:p>
        </w:tc>
        <w:tc>
          <w:tcPr>
            <w:tcW w:type="dxa" w:w="427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~32 casinos incl. RW Birmingham, Genting Casino Stratford (bought Apr-25 for £27.8m)</w:t>
            </w:r>
          </w:p>
        </w:tc>
        <w:tc>
          <w:tcPr>
            <w:tcW w:type="dxa" w:w="360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Coventry closing Oct-26; 13 casinos at risk if machine games duty doubles</w:t>
            </w:r>
          </w:p>
        </w:tc>
      </w:tr>
      <w:tr>
        <w:trPr>
          <w:cantSplit/>
        </w:trPr>
        <w:tc>
          <w:tcPr>
            <w:tcW w:type="dxa" w:w="220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Crockfords Cairo</w:t>
            </w:r>
          </w:p>
        </w:tc>
        <w:tc>
          <w:tcPr>
            <w:tcW w:type="dxa" w:w="427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Hotel casino in the Nile Ritz-Carlton</w:t>
            </w:r>
          </w:p>
        </w:tc>
        <w:tc>
          <w:tcPr>
            <w:tcW w:type="dxa" w:w="360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Immaterial</w:t>
            </w:r>
          </w:p>
        </w:tc>
      </w:tr>
      <w:tr>
        <w:trPr>
          <w:cantSplit/>
        </w:trPr>
        <w:tc>
          <w:tcPr>
            <w:tcW w:type="dxa" w:w="220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RW Bimini (Bahamas)</w:t>
            </w:r>
          </w:p>
        </w:tc>
        <w:tc>
          <w:tcPr>
            <w:tcW w:type="dxa" w:w="427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Casino, Hilton hotel, marina, cruise pier</w:t>
            </w:r>
          </w:p>
        </w:tc>
        <w:tc>
          <w:tcPr>
            <w:tcW w:type="dxa" w:w="360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Loss-making; RM631.8m carrying value is an audit key matter</w:t>
            </w:r>
          </w:p>
        </w:tc>
      </w:tr>
      <w:tr>
        <w:trPr>
          <w:cantSplit/>
        </w:trPr>
        <w:tc>
          <w:tcPr>
            <w:tcW w:type="dxa" w:w="220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Miami</w:t>
            </w:r>
          </w:p>
        </w:tc>
        <w:tc>
          <w:tcPr>
            <w:tcW w:type="dxa" w:w="427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Hilton Miami Downtown (527 rooms) and ~30 acres of freehold Omni waterfront land</w:t>
            </w:r>
          </w:p>
        </w:tc>
        <w:tc>
          <w:tcPr>
            <w:tcW w:type="dxa" w:w="360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US$1.225bn land sale collapsed Jun-2023</w:t>
            </w:r>
          </w:p>
        </w:tc>
      </w:tr>
    </w:tbl>
    <w:p>
      <w:pPr>
        <w:spacing w:after="80" w:before="0"/>
      </w:pPr>
    </w:p>
    <w:p>
      <w:pPr>
        <w:pStyle w:val="Heading2"/>
        <w:keepNext/>
      </w:pPr>
      <w:r>
        <w:rPr>
          <w:rFonts w:ascii="Arial" w:cs="Arial" w:eastAsia="Arial" w:hAnsi="Arial"/>
        </w:rPr>
        <w:t xml:space="preserve">3.3 Main customers</w:t>
      </w:r>
    </w:p>
    <w:p>
      <w:pPr>
        <w:spacing w:after="110" w:before="0" w:line="264"/>
      </w:pPr>
      <w:r>
        <w:rPr>
          <w:rFonts w:ascii="Arial" w:cs="Arial" w:eastAsia="Arial" w:hAnsi="Arial"/>
          <w:color w:val="1F2937"/>
          <w:sz w:val="19"/>
          <w:szCs w:val="19"/>
        </w:rPr>
        <w:t xml:space="preserve">No customer exceeds 10% of revenue (AR2025, Note 5). The customer base is:</w:t>
      </w:r>
    </w:p>
    <w:p>
      <w:pPr>
        <w:pStyle w:val="ListParagraph"/>
        <w:numPr>
          <w:ilvl w:val="0"/>
          <w:numId w:val="3"/>
        </w:numPr>
        <w:spacing w:after="60" w:before="0" w:line="252"/>
      </w:pPr>
      <w:r>
        <w:rPr>
          <w:rFonts w:ascii="Arial" w:cs="Arial" w:eastAsia="Arial" w:hAnsi="Arial"/>
          <w:b/>
          <w:bCs/>
          <w:color w:val="1F2937"/>
          <w:sz w:val="19"/>
          <w:szCs w:val="19"/>
        </w:rPr>
        <w:t xml:space="preserve">Malaysian non-Muslim locals</w:t>
      </w:r>
      <w:r>
        <w:rPr>
          <w:rFonts w:ascii="Arial" w:cs="Arial" w:eastAsia="Arial" w:hAnsi="Arial"/>
          <w:color w:val="1F2937"/>
          <w:sz w:val="19"/>
          <w:szCs w:val="19"/>
        </w:rPr>
        <w:t xml:space="preserve"> (the core mass market; ~1 hour from the Klang Valley by road plus cable car). Muslims are barred from the casino.</w:t>
      </w:r>
    </w:p>
    <w:p>
      <w:pPr>
        <w:pStyle w:val="ListParagraph"/>
        <w:numPr>
          <w:ilvl w:val="0"/>
          <w:numId w:val="3"/>
        </w:numPr>
        <w:spacing w:after="60" w:before="0" w:line="252"/>
      </w:pPr>
      <w:r>
        <w:rPr>
          <w:rFonts w:ascii="Arial" w:cs="Arial" w:eastAsia="Arial" w:hAnsi="Arial"/>
          <w:b/>
          <w:bCs/>
          <w:color w:val="1F2937"/>
          <w:sz w:val="19"/>
          <w:szCs w:val="19"/>
        </w:rPr>
        <w:t xml:space="preserve">Singaporeans</w:t>
      </w:r>
      <w:r>
        <w:rPr>
          <w:rFonts w:ascii="Arial" w:cs="Arial" w:eastAsia="Arial" w:hAnsi="Arial"/>
          <w:color w:val="1F2937"/>
          <w:sz w:val="19"/>
          <w:szCs w:val="19"/>
        </w:rPr>
        <w:t xml:space="preserve"> (largest foreign source market; 21.1m arrivals to Malaysia in 2025) and </w:t>
      </w:r>
      <w:r>
        <w:rPr>
          <w:rFonts w:ascii="Arial" w:cs="Arial" w:eastAsia="Arial" w:hAnsi="Arial"/>
          <w:b/>
          <w:bCs/>
          <w:color w:val="1F2937"/>
          <w:sz w:val="19"/>
          <w:szCs w:val="19"/>
        </w:rPr>
        <w:t xml:space="preserve">Chinese tourists</w:t>
      </w:r>
      <w:r>
        <w:rPr>
          <w:rFonts w:ascii="Arial" w:cs="Arial" w:eastAsia="Arial" w:hAnsi="Arial"/>
          <w:color w:val="1F2937"/>
          <w:sz w:val="19"/>
          <w:szCs w:val="19"/>
        </w:rPr>
        <w:t xml:space="preserve"> (4.7m arrivals, +25%; mutual 30-day visa exemption since 17-Jul-2025), plus other ASEAN, India and the Middle East.</w:t>
      </w:r>
    </w:p>
    <w:p>
      <w:pPr>
        <w:pStyle w:val="ListParagraph"/>
        <w:numPr>
          <w:ilvl w:val="0"/>
          <w:numId w:val="3"/>
        </w:numPr>
        <w:spacing w:after="60" w:before="0" w:line="252"/>
      </w:pPr>
      <w:r>
        <w:rPr>
          <w:rFonts w:ascii="Arial" w:cs="Arial" w:eastAsia="Arial" w:hAnsi="Arial"/>
          <w:b/>
          <w:bCs/>
          <w:color w:val="1F2937"/>
          <w:sz w:val="19"/>
          <w:szCs w:val="19"/>
        </w:rPr>
        <w:t xml:space="preserve">Premium/VIP players</w:t>
      </w:r>
      <w:r>
        <w:rPr>
          <w:rFonts w:ascii="Arial" w:cs="Arial" w:eastAsia="Arial" w:hAnsi="Arial"/>
          <w:color w:val="1F2937"/>
          <w:sz w:val="19"/>
          <w:szCs w:val="19"/>
        </w:rPr>
        <w:t xml:space="preserve"> marketed directly (not junket-driven like Macau). The VIP/mass split is not disclosed.</w:t>
      </w:r>
    </w:p>
    <w:p>
      <w:pPr>
        <w:pStyle w:val="ListParagraph"/>
        <w:numPr>
          <w:ilvl w:val="0"/>
          <w:numId w:val="3"/>
        </w:numPr>
        <w:spacing w:after="60" w:before="0" w:line="252"/>
      </w:pPr>
      <w:r>
        <w:rPr>
          <w:rFonts w:ascii="Arial" w:cs="Arial" w:eastAsia="Arial" w:hAnsi="Arial"/>
          <w:b/>
          <w:bCs/>
          <w:color w:val="1F2937"/>
          <w:sz w:val="19"/>
          <w:szCs w:val="19"/>
        </w:rPr>
        <w:t xml:space="preserve">New York metro day-trippers</w:t>
      </w:r>
      <w:r>
        <w:rPr>
          <w:rFonts w:ascii="Arial" w:cs="Arial" w:eastAsia="Arial" w:hAnsi="Arial"/>
          <w:color w:val="1F2937"/>
          <w:sz w:val="19"/>
          <w:szCs w:val="19"/>
        </w:rPr>
        <w:t xml:space="preserve"> (subway A-train to Aqueduct; large Asian-American base in Queens), </w:t>
      </w:r>
      <w:r>
        <w:rPr>
          <w:rFonts w:ascii="Arial" w:cs="Arial" w:eastAsia="Arial" w:hAnsi="Arial"/>
          <w:b/>
          <w:bCs/>
          <w:color w:val="1F2937"/>
          <w:sz w:val="19"/>
          <w:szCs w:val="19"/>
        </w:rPr>
        <w:t xml:space="preserve">Catskills/Hudson Valley</w:t>
      </w:r>
      <w:r>
        <w:rPr>
          <w:rFonts w:ascii="Arial" w:cs="Arial" w:eastAsia="Arial" w:hAnsi="Arial"/>
          <w:color w:val="1F2937"/>
          <w:sz w:val="19"/>
          <w:szCs w:val="19"/>
        </w:rPr>
        <w:t xml:space="preserve"> drive-in visitors, </w:t>
      </w:r>
      <w:r>
        <w:rPr>
          <w:rFonts w:ascii="Arial" w:cs="Arial" w:eastAsia="Arial" w:hAnsi="Arial"/>
          <w:b/>
          <w:bCs/>
          <w:color w:val="1F2937"/>
          <w:sz w:val="19"/>
          <w:szCs w:val="19"/>
        </w:rPr>
        <w:t xml:space="preserve">UK members</w:t>
      </w:r>
      <w:r>
        <w:rPr>
          <w:rFonts w:ascii="Arial" w:cs="Arial" w:eastAsia="Arial" w:hAnsi="Arial"/>
          <w:color w:val="1F2937"/>
          <w:sz w:val="19"/>
          <w:szCs w:val="19"/>
        </w:rPr>
        <w:t xml:space="preserve"> and international premium players in London, and </w:t>
      </w:r>
      <w:r>
        <w:rPr>
          <w:rFonts w:ascii="Arial" w:cs="Arial" w:eastAsia="Arial" w:hAnsi="Arial"/>
          <w:b/>
          <w:bCs/>
          <w:color w:val="1F2937"/>
          <w:sz w:val="19"/>
          <w:szCs w:val="19"/>
        </w:rPr>
        <w:t xml:space="preserve">cruise passengers</w:t>
      </w:r>
      <w:r>
        <w:rPr>
          <w:rFonts w:ascii="Arial" w:cs="Arial" w:eastAsia="Arial" w:hAnsi="Arial"/>
          <w:color w:val="1F2937"/>
          <w:sz w:val="19"/>
          <w:szCs w:val="19"/>
        </w:rPr>
        <w:t xml:space="preserve"> at Bimini.</w:t>
      </w:r>
    </w:p>
    <w:p>
      <w:pPr>
        <w:pStyle w:val="Heading2"/>
        <w:keepNext/>
      </w:pPr>
      <w:r>
        <w:rPr>
          <w:rFonts w:ascii="Arial" w:cs="Arial" w:eastAsia="Arial" w:hAnsi="Arial"/>
        </w:rPr>
        <w:t xml:space="preserve">3.4 Main suppliers and counterparties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2179"/>
        <w:gridCol w:w="7901"/>
      </w:tblGrid>
      <w:tr>
        <w:trPr>
          <w:cantSplit/>
          <w:tblHeader/>
        </w:trPr>
        <w:tc>
          <w:tcPr>
            <w:tcW w:type="dxa" w:w="217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Category</w:t>
            </w:r>
          </w:p>
        </w:tc>
        <w:tc>
          <w:tcPr>
            <w:tcW w:type="dxa" w:w="790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Named counterparties</w:t>
            </w:r>
          </w:p>
        </w:tc>
      </w:tr>
      <w:tr>
        <w:trPr>
          <w:cantSplit/>
        </w:trPr>
        <w:tc>
          <w:tcPr>
            <w:tcW w:type="dxa" w:w="21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Parent / related party</w:t>
            </w:r>
          </w:p>
        </w:tc>
        <w:tc>
          <w:tcPr>
            <w:tcW w:type="dxa" w:w="790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Genting Bhd (management &amp; know-how fee RM497.8m; brand licence RM233.0m in FY25); Resorts World Inc Pte Ltd (RWI, Genting Bhd JV: US/Bahamas IP RM90.2m, gaming software RM16.1m); LKH-linked Zouk IP companies</w:t>
            </w:r>
          </w:p>
        </w:tc>
      </w:tr>
      <w:tr>
        <w:trPr>
          <w:cantSplit/>
        </w:trPr>
        <w:tc>
          <w:tcPr>
            <w:tcW w:type="dxa" w:w="21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Gaming equipment</w:t>
            </w:r>
          </w:p>
        </w:tc>
        <w:tc>
          <w:tcPr>
            <w:tcW w:type="dxa" w:w="790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Aristocrat (incl. a 114-unit "Dragon Den" at RWNYC), Light &amp; Wonder, IGT (now Apollo-owned with Everi), Konami; TCS John Huxley (300+ tables at RWNYC); Interblock (electronic table games at RWG and RWNYC)</w:t>
            </w:r>
          </w:p>
        </w:tc>
      </w:tr>
      <w:tr>
        <w:trPr>
          <w:cantSplit/>
        </w:trPr>
        <w:tc>
          <w:tcPr>
            <w:tcW w:type="dxa" w:w="21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Construction / design</w:t>
            </w:r>
          </w:p>
        </w:tc>
        <w:tc>
          <w:tcPr>
            <w:tcW w:type="dxa" w:w="790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Plaza Construction (RWNYC phase I), Perkins Eastman (architect), Cosentini (engineering), JCJ Architecture (Catskills), Leitner Ropeways (Awana SkyWay), Cyclect (SkyWorlds E&amp;I)</w:t>
            </w:r>
          </w:p>
        </w:tc>
      </w:tr>
      <w:tr>
        <w:trPr>
          <w:cantSplit/>
        </w:trPr>
        <w:tc>
          <w:tcPr>
            <w:tcW w:type="dxa" w:w="21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Hotel / IP brands</w:t>
            </w:r>
          </w:p>
        </w:tc>
        <w:tc>
          <w:tcPr>
            <w:tcW w:type="dxa" w:w="790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Hyatt (RWNYC), Hilton (Miami, Bimini), Disney/20th Century Studios (limited Fox IP at SkyWorlds)</w:t>
            </w:r>
          </w:p>
        </w:tc>
      </w:tr>
      <w:tr>
        <w:trPr>
          <w:cantSplit/>
        </w:trPr>
        <w:tc>
          <w:tcPr>
            <w:tcW w:type="dxa" w:w="21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Utilities</w:t>
            </w:r>
          </w:p>
        </w:tc>
        <w:tc>
          <w:tcPr>
            <w:tcW w:type="dxa" w:w="790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Tenaga Nasional (via GENM's own Genting Utilities &amp; Services), Con Edison (Queens) [u]</w:t>
            </w:r>
          </w:p>
        </w:tc>
      </w:tr>
      <w:tr>
        <w:trPr>
          <w:cantSplit/>
        </w:trPr>
        <w:tc>
          <w:tcPr>
            <w:tcW w:type="dxa" w:w="21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Lenders</w:t>
            </w:r>
          </w:p>
        </w:tc>
        <w:tc>
          <w:tcPr>
            <w:tcW w:type="dxa" w:w="790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Bondholders of US$1bn 3.882% 2031 notes and US$625m 7.25% 2029 notes; RM4.75bn MTN holders; KeyBanc-arranged US$925m facility (refinanced); US$2.0bn Genting Americas secured facility (Jun-26)</w:t>
            </w:r>
          </w:p>
        </w:tc>
      </w:tr>
      <w:tr>
        <w:trPr>
          <w:cantSplit/>
        </w:trPr>
        <w:tc>
          <w:tcPr>
            <w:tcW w:type="dxa" w:w="21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Landlords / grantors</w:t>
            </w:r>
          </w:p>
        </w:tc>
        <w:tc>
          <w:tcPr>
            <w:tcW w:type="dxa" w:w="790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New York State via the Franchise Oversight Board (Aqueduct ground lease, runs to 60 years after licence expiry); NYRA; Malaysian Ministry of Finance (casino licence)</w:t>
            </w:r>
          </w:p>
        </w:tc>
      </w:tr>
    </w:tbl>
    <w:p>
      <w:pPr>
        <w:spacing w:after="80" w:before="0"/>
      </w:pPr>
    </w:p>
    <w:p>
      <w:pPr>
        <w:pStyle w:val="Heading2"/>
        <w:keepNext/>
      </w:pPr>
      <w:r>
        <w:rPr>
          <w:rFonts w:ascii="Arial" w:cs="Arial" w:eastAsia="Arial" w:hAnsi="Arial"/>
        </w:rPr>
        <w:t xml:space="preserve">3.5 Competitors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1112"/>
        <w:gridCol w:w="7242"/>
        <w:gridCol w:w="1726"/>
      </w:tblGrid>
      <w:tr>
        <w:trPr>
          <w:cantSplit/>
          <w:tblHeader/>
        </w:trPr>
        <w:tc>
          <w:tcPr>
            <w:tcW w:type="dxa" w:w="111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Market</w:t>
            </w:r>
          </w:p>
        </w:tc>
        <w:tc>
          <w:tcPr>
            <w:tcW w:type="dxa" w:w="724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Competitors</w:t>
            </w:r>
          </w:p>
        </w:tc>
        <w:tc>
          <w:tcPr>
            <w:tcW w:type="dxa" w:w="172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Listed?</w:t>
            </w:r>
          </w:p>
        </w:tc>
      </w:tr>
      <w:tr>
        <w:trPr>
          <w:cantSplit/>
        </w:trPr>
        <w:tc>
          <w:tcPr>
            <w:tcW w:type="dxa" w:w="111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Malaysia</w:t>
            </w:r>
          </w:p>
        </w:tc>
        <w:tc>
          <w:tcPr>
            <w:tcW w:type="dxa" w:w="724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No domestic licensed casino. Regional: Marina Bay Sands (Las Vegas Sands), Resorts World Sentosa (Genting Singapore, a sister company), NagaCorp (Cambodia), Philippine IRs (Bloomberry/Solaire, Okada, City of Dreams Manila), Vietnam, Macau; illegal/online gambling (~RM18bn a year [u]); Thailand's proposed casino complexes (bill withdrawn Jul-25, revival framework May-26 [u])</w:t>
            </w:r>
          </w:p>
        </w:tc>
        <w:tc>
          <w:tcPr>
            <w:tcW w:type="dxa" w:w="172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Mostly listed</w:t>
            </w:r>
          </w:p>
        </w:tc>
      </w:tr>
      <w:tr>
        <w:trPr>
          <w:cantSplit/>
        </w:trPr>
        <w:tc>
          <w:tcPr>
            <w:tcW w:type="dxa" w:w="111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New York City</w:t>
            </w:r>
          </w:p>
        </w:tc>
        <w:tc>
          <w:tcPr>
            <w:tcW w:type="dxa" w:w="724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Metropolitan Park/Hard Rock (Steve Cohen; Queens; ~2030), Bally's Bronx (~2030), Empire City (MGM, Yonkers VGM racino), Jake's 58 (Delaware North), Atlantic City, Mohegan Sun and Foxwoods (CT), Pennsylvania casinos</w:t>
            </w:r>
          </w:p>
        </w:tc>
        <w:tc>
          <w:tcPr>
            <w:tcW w:type="dxa" w:w="172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Mixed</w:t>
            </w:r>
          </w:p>
        </w:tc>
      </w:tr>
      <w:tr>
        <w:trPr>
          <w:cantSplit/>
        </w:trPr>
        <w:tc>
          <w:tcPr>
            <w:tcW w:type="dxa" w:w="111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Upstate NY</w:t>
            </w:r>
          </w:p>
        </w:tc>
        <w:tc>
          <w:tcPr>
            <w:tcW w:type="dxa" w:w="724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Rivers Schenectady, Tioga Downs, del Lago, Seneca Nation, Turning Stone (Oneida)</w:t>
            </w:r>
          </w:p>
        </w:tc>
        <w:tc>
          <w:tcPr>
            <w:tcW w:type="dxa" w:w="172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Mostly private/tribal</w:t>
            </w:r>
          </w:p>
        </w:tc>
      </w:tr>
      <w:tr>
        <w:trPr>
          <w:cantSplit/>
        </w:trPr>
        <w:tc>
          <w:tcPr>
            <w:tcW w:type="dxa" w:w="111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UK</w:t>
            </w:r>
          </w:p>
        </w:tc>
        <w:tc>
          <w:tcPr>
            <w:tcW w:type="dxa" w:w="724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Rank Group (Grosvenor), Aspers, The Hippodrome, Les Ambassadeurs, online operators</w:t>
            </w:r>
          </w:p>
        </w:tc>
        <w:tc>
          <w:tcPr>
            <w:tcW w:type="dxa" w:w="172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Rank listed</w:t>
            </w:r>
          </w:p>
        </w:tc>
      </w:tr>
      <w:tr>
        <w:trPr>
          <w:cantSplit/>
        </w:trPr>
        <w:tc>
          <w:tcPr>
            <w:tcW w:type="dxa" w:w="111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Bahamas</w:t>
            </w:r>
          </w:p>
        </w:tc>
        <w:tc>
          <w:tcPr>
            <w:tcW w:type="dxa" w:w="724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Baha Mar, Atlantis, Seminole Hard Rock (Florida)</w:t>
            </w:r>
          </w:p>
        </w:tc>
        <w:tc>
          <w:tcPr>
            <w:tcW w:type="dxa" w:w="172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Private</w:t>
            </w:r>
          </w:p>
        </w:tc>
      </w:tr>
    </w:tbl>
    <w:p>
      <w:pPr>
        <w:spacing w:after="80" w:before="0"/>
      </w:pPr>
    </w:p>
    <w:p>
      <w:pPr>
        <w:pStyle w:val="Heading2"/>
        <w:keepNext/>
      </w:pPr>
      <w:r>
        <w:rPr>
          <w:rFonts w:ascii="Arial" w:cs="Arial" w:eastAsia="Arial" w:hAnsi="Arial"/>
        </w:rPr>
        <w:t xml:space="preserve">3.6 Key markets and geographies</w:t>
      </w:r>
    </w:p>
    <w:p>
      <w:pPr>
        <w:spacing w:after="110" w:before="0" w:line="264"/>
      </w:pPr>
      <w:r>
        <w:rPr>
          <w:rFonts w:ascii="Arial" w:cs="Arial" w:eastAsia="Arial" w:hAnsi="Arial"/>
          <w:color w:val="1F2937"/>
          <w:sz w:val="19"/>
          <w:szCs w:val="19"/>
        </w:rPr>
        <w:t xml:space="preserve">Revenue by customer location FY2025: </w:t>
      </w:r>
      <w:r>
        <w:rPr>
          <w:rFonts w:ascii="Arial" w:cs="Arial" w:eastAsia="Arial" w:hAnsi="Arial"/>
          <w:b/>
          <w:bCs/>
          <w:color w:val="1F2937"/>
          <w:sz w:val="19"/>
          <w:szCs w:val="19"/>
        </w:rPr>
        <w:t xml:space="preserve">Malaysia 61%, US &amp; Bahamas 22%, UK &amp; Egypt 17%</w:t>
      </w:r>
      <w:r>
        <w:rPr>
          <w:rFonts w:ascii="Arial" w:cs="Arial" w:eastAsia="Arial" w:hAnsi="Arial"/>
          <w:color w:val="1F2937"/>
          <w:sz w:val="19"/>
          <w:szCs w:val="19"/>
        </w:rPr>
        <w:t xml:space="preserve">. In 1H26 the US &amp; Bahamas share rose to 33% (40% in 2Q26). Non-current assets FY2025: Malaysia RM10.9bn, US &amp; Bahamas RM9.6bn (RM12.4bn of segment assets by Jun-26), UK &amp; Egypt RM4.0bn.</w:t>
      </w:r>
    </w:p>
    <w:p>
      <w:pPr>
        <w:pStyle w:val="Heading2"/>
        <w:keepNext/>
      </w:pPr>
      <w:r>
        <w:rPr>
          <w:rFonts w:ascii="Arial" w:cs="Arial" w:eastAsia="Arial" w:hAnsi="Arial"/>
        </w:rPr>
        <w:t xml:space="preserve">3.7 Contracts and key payment terms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4451"/>
        <w:gridCol w:w="5629"/>
      </w:tblGrid>
      <w:tr>
        <w:trPr>
          <w:cantSplit/>
          <w:tblHeader/>
        </w:trPr>
        <w:tc>
          <w:tcPr>
            <w:tcW w:type="dxa" w:w="445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Contract</w:t>
            </w:r>
          </w:p>
        </w:tc>
        <w:tc>
          <w:tcPr>
            <w:tcW w:type="dxa" w:w="562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Key terms</w:t>
            </w:r>
          </w:p>
        </w:tc>
      </w:tr>
      <w:tr>
        <w:trPr>
          <w:cantSplit/>
        </w:trPr>
        <w:tc>
          <w:tcPr>
            <w:tcW w:type="dxa" w:w="44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Malaysian casino licence (Common Gaming Houses Act 1953, Minister of Finance)</w:t>
            </w:r>
          </w:p>
        </w:tc>
        <w:tc>
          <w:tcPr>
            <w:tcW w:type="dxa" w:w="562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Sole licence since 1969; </w:t>
            </w:r>
            <w:r>
              <w:rPr>
                <w:rFonts w:ascii="Arial" w:cs="Arial" w:eastAsia="Arial" w:hAnsi="Arial"/>
                <w:b/>
                <w:bCs/>
                <w:color w:val="1F2937"/>
                <w:sz w:val="17"/>
                <w:szCs w:val="17"/>
              </w:rPr>
              <w:t xml:space="preserve">renewable every three months</w:t>
            </w:r>
            <w:r>
              <w:rPr>
                <w:rFonts w:ascii="Arial" w:cs="Arial" w:eastAsia="Arial" w:hAnsi="Arial"/>
                <w:b w:val="false"/>
                <w:bCs w:val="false"/>
                <w:color w:val="1F2937"/>
                <w:sz w:val="17"/>
                <w:szCs w:val="17"/>
              </w:rPr>
              <w:t xml:space="preserve">; annual fee RM150m (since 2019); casino duty 35% on mass GGR (from 25% in 2019), ~20% on VIP [u]; gaming-machine duty 30%; 8% service tax absorbed by GENM</w:t>
            </w:r>
          </w:p>
        </w:tc>
      </w:tr>
      <w:tr>
        <w:trPr>
          <w:cantSplit/>
        </w:trPr>
        <w:tc>
          <w:tcPr>
            <w:tcW w:type="dxa" w:w="44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NY downstate commercial casino licence (NY State Gaming Commission, 15-Dec-2025)</w:t>
            </w:r>
          </w:p>
        </w:tc>
        <w:tc>
          <w:tcPr>
            <w:tcW w:type="dxa" w:w="562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US$500m fee paid Jan-2026; tax bid 56% slots / 30% tables; term reported as 15 years [u]; clause seeking tax equalisation once rivals open; </w:t>
            </w:r>
            <w:r>
              <w:rPr>
                <w:rFonts w:ascii="Arial" w:cs="Arial" w:eastAsia="Arial" w:hAnsi="Arial"/>
                <w:b/>
                <w:bCs/>
                <w:color w:val="1F2937"/>
                <w:sz w:val="17"/>
                <w:szCs w:val="17"/>
              </w:rPr>
              <w:t xml:space="preserve">disputed racing-support payments (~US$150m a year)</w:t>
            </w:r>
            <w:r>
              <w:rPr>
                <w:rFonts w:ascii="Arial" w:cs="Arial" w:eastAsia="Arial" w:hAnsi="Arial"/>
                <w:b w:val="false"/>
                <w:bCs w:val="false"/>
                <w:color w:val="1F2937"/>
                <w:sz w:val="17"/>
                <w:szCs w:val="17"/>
              </w:rPr>
              <w:t xml:space="preserve"> that the State says are owed on top (effective ~72%)</w:t>
            </w:r>
          </w:p>
        </w:tc>
      </w:tr>
      <w:tr>
        <w:trPr>
          <w:cantSplit/>
        </w:trPr>
        <w:tc>
          <w:tcPr>
            <w:tcW w:type="dxa" w:w="44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Aqueduct ground lease (NY State/FOB; NYRA sublease)</w:t>
            </w:r>
          </w:p>
        </w:tc>
        <w:tc>
          <w:tcPr>
            <w:tcW w:type="dxa" w:w="562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~72.6 acres; term extended to 60 years after the gaming licence ends (Amendment Two, Jun-2025); rent terms not disclosed [u]</w:t>
            </w:r>
          </w:p>
        </w:tc>
      </w:tr>
      <w:tr>
        <w:trPr>
          <w:cantSplit/>
        </w:trPr>
        <w:tc>
          <w:tcPr>
            <w:tcW w:type="dxa" w:w="44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Brand, management and IP agreements with Genting Bhd and RWI</w:t>
            </w:r>
          </w:p>
        </w:tc>
        <w:tc>
          <w:tcPr>
            <w:tcW w:type="dxa" w:w="562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FY25: technical know-how &amp; management fee RM497.8m; Genting/Resorts World/Awana licence RM233.0m; US/Bahamas IP RM90.2m; software and support RM16.1m; recurrent related-party transactions renewed annually at the AGM</w:t>
            </w:r>
          </w:p>
        </w:tc>
      </w:tr>
      <w:tr>
        <w:trPr>
          <w:cantSplit/>
        </w:trPr>
        <w:tc>
          <w:tcPr>
            <w:tcW w:type="dxa" w:w="44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Casino credit (Malaysia)</w:t>
            </w:r>
          </w:p>
        </w:tc>
        <w:tc>
          <w:tcPr>
            <w:tcW w:type="dxa" w:w="562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Mostly cash/chip play; credit extended to selected premium players; receivables under simplified ECL model. Receivables stable at ~RM0.7bn</w:t>
            </w:r>
          </w:p>
        </w:tc>
      </w:tr>
      <w:tr>
        <w:trPr>
          <w:cantSplit/>
        </w:trPr>
        <w:tc>
          <w:tcPr>
            <w:tcW w:type="dxa" w:w="44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Hotels</w:t>
            </w:r>
          </w:p>
        </w:tc>
        <w:tc>
          <w:tcPr>
            <w:tcW w:type="dxa" w:w="562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Prepayment via OTAs and cards; loyalty-point redemptions (Genting Rewards)</w:t>
            </w:r>
          </w:p>
        </w:tc>
      </w:tr>
    </w:tbl>
    <w:p>
      <w:pPr>
        <w:spacing w:after="80" w:before="0"/>
      </w:pPr>
    </w:p>
    <w:p>
      <w:pPr>
        <w:spacing w:after="140" w:before="0"/>
      </w:pPr>
      <w:r>
        <w:rPr>
          <w:rFonts w:ascii="Arial" w:cs="Arial" w:eastAsia="Arial" w:hAnsi="Arial"/>
          <w:color w:val="6B7280"/>
          <w:sz w:val="15"/>
          <w:szCs w:val="15"/>
        </w:rPr>
        <w:t xml:space="preserve">Source: GENM AR2025 (Notes 4-6, 18, 40, 44), QR 4Q25 RRPT table, NY Gaming Commission, NY Focus, nycasinos.ny.gov. [u] = unverified.</w:t>
      </w:r>
    </w:p>
    <w:p>
      <w:pPr>
        <w:pStyle w:val="Heading1"/>
        <w:keepNext/>
      </w:pPr>
      <w:r>
        <w:rPr>
          <w:rFonts w:ascii="Arial" w:cs="Arial" w:eastAsia="Arial" w:hAnsi="Arial"/>
        </w:rPr>
        <w:t xml:space="preserve">4. Key Business Drivers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1361"/>
        <w:gridCol w:w="2745"/>
        <w:gridCol w:w="3351"/>
        <w:gridCol w:w="2623"/>
      </w:tblGrid>
      <w:tr>
        <w:trPr>
          <w:cantSplit/>
          <w:tblHeader/>
        </w:trPr>
        <w:tc>
          <w:tcPr>
            <w:tcW w:type="dxa" w:w="136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Driver</w:t>
            </w:r>
          </w:p>
        </w:tc>
        <w:tc>
          <w:tcPr>
            <w:tcW w:type="dxa" w:w="274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Mechanism</w:t>
            </w:r>
          </w:p>
        </w:tc>
        <w:tc>
          <w:tcPr>
            <w:tcW w:type="dxa" w:w="335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Latest reading</w:t>
            </w:r>
          </w:p>
        </w:tc>
        <w:tc>
          <w:tcPr>
            <w:tcW w:type="dxa" w:w="262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Sensitivity / direction</w:t>
            </w:r>
          </w:p>
        </w:tc>
      </w:tr>
      <w:tr>
        <w:trPr>
          <w:cantSplit/>
        </w:trPr>
        <w:tc>
          <w:tcPr>
            <w:tcW w:type="dxa" w:w="13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Volume (visitation)</w:t>
            </w:r>
          </w:p>
        </w:tc>
        <w:tc>
          <w:tcPr>
            <w:tcW w:type="dxa" w:w="274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Base for every revenue line at RWG</w:t>
            </w:r>
          </w:p>
        </w:tc>
        <w:tc>
          <w:tcPr>
            <w:tcW w:type="dxa" w:w="33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28.6m visitors in 2025 (+2%); "softer visitation" in 2Q26 as the Middle East war lifted airfares</w:t>
            </w:r>
          </w:p>
        </w:tc>
        <w:tc>
          <w:tcPr>
            <w:tcW w:type="dxa" w:w="26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 visitation ≈ RM70m revenue [e]</w:t>
            </w:r>
          </w:p>
        </w:tc>
      </w:tr>
      <w:tr>
        <w:trPr>
          <w:cantSplit/>
        </w:trPr>
        <w:tc>
          <w:tcPr>
            <w:tcW w:type="dxa" w:w="13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Pricing / hold / mix</w:t>
            </w:r>
          </w:p>
        </w:tc>
        <w:tc>
          <w:tcPr>
            <w:tcW w:type="dxa" w:w="274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Mass is the profit core; VIP is volatile; hold swings quarters</w:t>
            </w:r>
          </w:p>
        </w:tc>
        <w:tc>
          <w:tcPr>
            <w:tcW w:type="dxa" w:w="33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1Q25 VIP GGR −18%; 3Q25 VIP +21% QoQ on high hold; 2Q26 helped by VIP win rate</w:t>
            </w:r>
          </w:p>
        </w:tc>
        <w:tc>
          <w:tcPr>
            <w:tcW w:type="dxa" w:w="26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Hold can move a quarter's Malaysia EBITDA ±10-20% [e]</w:t>
            </w:r>
          </w:p>
        </w:tc>
      </w:tr>
      <w:tr>
        <w:trPr>
          <w:cantSplit/>
        </w:trPr>
        <w:tc>
          <w:tcPr>
            <w:tcW w:type="dxa" w:w="13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Capacity</w:t>
            </w:r>
          </w:p>
        </w:tc>
        <w:tc>
          <w:tcPr>
            <w:tcW w:type="dxa" w:w="274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Hilltop rooms are the bottleneck; gaming floors under renovation</w:t>
            </w:r>
          </w:p>
        </w:tc>
        <w:tc>
          <w:tcPr>
            <w:tcW w:type="dxa" w:w="33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Hotel occupancy 98-99%; 2 of 3 legacy casino floors closed since Feb-2024</w:t>
            </w:r>
          </w:p>
        </w:tc>
        <w:tc>
          <w:tcPr>
            <w:tcW w:type="dxa" w:w="26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Floor reopenings are upside</w:t>
            </w:r>
          </w:p>
        </w:tc>
      </w:tr>
      <w:tr>
        <w:trPr>
          <w:cantSplit/>
        </w:trPr>
        <w:tc>
          <w:tcPr>
            <w:tcW w:type="dxa" w:w="13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Regulation &amp; tax</w:t>
            </w:r>
          </w:p>
        </w:tc>
        <w:tc>
          <w:tcPr>
            <w:tcW w:type="dxa" w:w="274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Duty on GGR, licence fees, service tax; NY tax rate; UK duty</w:t>
            </w:r>
          </w:p>
        </w:tc>
        <w:tc>
          <w:tcPr>
            <w:tcW w:type="dxa" w:w="33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NY slot tax fell from ~68% (VLT) to 56% on 28-Apr-26 (Maybank: up to +US$100m a year); racing-support dispute; UK MGD decision 28-Oct-26</w:t>
            </w:r>
          </w:p>
        </w:tc>
        <w:tc>
          <w:tcPr>
            <w:tcW w:type="dxa" w:w="26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TA Securities: +1ppt Malaysian gaming tax ≈ −4.6% net profit</w:t>
            </w:r>
          </w:p>
        </w:tc>
      </w:tr>
      <w:tr>
        <w:trPr>
          <w:cantSplit/>
        </w:trPr>
        <w:tc>
          <w:tcPr>
            <w:tcW w:type="dxa" w:w="13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Capex cycle</w:t>
            </w:r>
          </w:p>
        </w:tc>
        <w:tc>
          <w:tcPr>
            <w:tcW w:type="dxa" w:w="274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RWNYC US$5.5bn build; RWG refurbishment</w:t>
            </w:r>
          </w:p>
        </w:tc>
        <w:tc>
          <w:tcPr>
            <w:tcW w:type="dxa" w:w="33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Consensus capex RM3.9bn (FY26E), RM3.4bn (FY27E), RM3.1bn (FY28E) vs ~RM0.9bn historical</w:t>
            </w:r>
          </w:p>
        </w:tc>
        <w:tc>
          <w:tcPr>
            <w:tcW w:type="dxa" w:w="26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FCF negative in FY26E; leverage 4.7x</w:t>
            </w:r>
          </w:p>
        </w:tc>
      </w:tr>
      <w:tr>
        <w:trPr>
          <w:cantSplit/>
        </w:trPr>
        <w:tc>
          <w:tcPr>
            <w:tcW w:type="dxa" w:w="13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FX</w:t>
            </w:r>
          </w:p>
        </w:tc>
        <w:tc>
          <w:tcPr>
            <w:tcW w:type="dxa" w:w="274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USD and GBP earnings translated into RM; USD debt revaluation runs through adj. EBITDA</w:t>
            </w:r>
          </w:p>
        </w:tc>
        <w:tc>
          <w:tcPr>
            <w:tcW w:type="dxa" w:w="33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MYR ~9% stronger vs USD in 1H26</w:t>
            </w:r>
          </w:p>
        </w:tc>
        <w:tc>
          <w:tcPr>
            <w:tcW w:type="dxa" w:w="26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Strong MYR cuts translated US/UK EBITDA but shrinks USD debt</w:t>
            </w:r>
          </w:p>
        </w:tc>
      </w:tr>
      <w:tr>
        <w:trPr>
          <w:cantSplit/>
        </w:trPr>
        <w:tc>
          <w:tcPr>
            <w:tcW w:type="dxa" w:w="13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Labour</w:t>
            </w:r>
          </w:p>
        </w:tc>
        <w:tc>
          <w:tcPr>
            <w:tcW w:type="dxa" w:w="274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~18,000 staff; minimum wages; unions</w:t>
            </w:r>
          </w:p>
        </w:tc>
        <w:tc>
          <w:tcPr>
            <w:tcW w:type="dxa" w:w="33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Malaysia minimum wage RM1,700 → RM2,000 from Jun-2027; EPF 2% for foreign workers (Oct-25); UK NLW £12.71; NY union contracts</w:t>
            </w:r>
          </w:p>
        </w:tc>
        <w:tc>
          <w:tcPr>
            <w:tcW w:type="dxa" w:w="26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Payroll is the largest controllable cost</w:t>
            </w:r>
          </w:p>
        </w:tc>
      </w:tr>
      <w:tr>
        <w:trPr>
          <w:cantSplit/>
        </w:trPr>
        <w:tc>
          <w:tcPr>
            <w:tcW w:type="dxa" w:w="13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Interest rates</w:t>
            </w:r>
          </w:p>
        </w:tc>
        <w:tc>
          <w:tcPr>
            <w:tcW w:type="dxa" w:w="274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Floating-rate US facilities</w:t>
            </w:r>
          </w:p>
        </w:tc>
        <w:tc>
          <w:tcPr>
            <w:tcW w:type="dxa" w:w="33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Finance costs +39% YoY in 1H26 to RM528m</w:t>
            </w:r>
          </w:p>
        </w:tc>
        <w:tc>
          <w:tcPr>
            <w:tcW w:type="dxa" w:w="26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+100bp on ~US$2bn floating ≈ US$20m a year [e]</w:t>
            </w:r>
          </w:p>
        </w:tc>
      </w:tr>
      <w:tr>
        <w:trPr>
          <w:cantSplit/>
        </w:trPr>
        <w:tc>
          <w:tcPr>
            <w:tcW w:type="dxa" w:w="13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Related-party fees</w:t>
            </w:r>
          </w:p>
        </w:tc>
        <w:tc>
          <w:tcPr>
            <w:tcW w:type="dxa" w:w="274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~RM848m a year to Genting Bhd/RWI</w:t>
            </w:r>
          </w:p>
        </w:tc>
        <w:tc>
          <w:tcPr>
            <w:tcW w:type="dxa" w:w="33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Grows with revenue/EBITDA</w:t>
            </w:r>
          </w:p>
        </w:tc>
        <w:tc>
          <w:tcPr>
            <w:tcW w:type="dxa" w:w="26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 50% cut would add ~RM420m EBITDA [e]</w:t>
            </w:r>
          </w:p>
        </w:tc>
      </w:tr>
    </w:tbl>
    <w:p>
      <w:pPr>
        <w:spacing w:after="80" w:before="0"/>
      </w:pPr>
    </w:p>
    <w:p>
      <w:pPr>
        <w:pStyle w:val="Heading1"/>
        <w:keepNext/>
      </w:pPr>
      <w:r>
        <w:rPr>
          <w:rFonts w:ascii="Arial" w:cs="Arial" w:eastAsia="Arial" w:hAnsi="Arial"/>
        </w:rPr>
        <w:t xml:space="preserve">5. Macro and Micro Factors; Tailwinds and Headwinds</w:t>
      </w:r>
    </w:p>
    <w:p>
      <w:pPr>
        <w:pStyle w:val="Heading2"/>
        <w:keepNext/>
      </w:pPr>
      <w:r>
        <w:rPr>
          <w:rFonts w:ascii="Arial" w:cs="Arial" w:eastAsia="Arial" w:hAnsi="Arial"/>
        </w:rPr>
        <w:t xml:space="preserve">5.1 Macro</w:t>
      </w:r>
    </w:p>
    <w:p>
      <w:pPr>
        <w:pStyle w:val="ListParagraph"/>
        <w:numPr>
          <w:ilvl w:val="0"/>
          <w:numId w:val="3"/>
        </w:numPr>
        <w:spacing w:after="60" w:before="0" w:line="252"/>
      </w:pPr>
      <w:r>
        <w:rPr>
          <w:rFonts w:ascii="Arial" w:cs="Arial" w:eastAsia="Arial" w:hAnsi="Arial"/>
          <w:b/>
          <w:bCs/>
          <w:color w:val="1F2937"/>
          <w:sz w:val="19"/>
          <w:szCs w:val="19"/>
        </w:rPr>
        <w:t xml:space="preserve">Malaysia:</w:t>
      </w:r>
      <w:r>
        <w:rPr>
          <w:rFonts w:ascii="Arial" w:cs="Arial" w:eastAsia="Arial" w:hAnsi="Arial"/>
          <w:color w:val="1F2937"/>
          <w:sz w:val="19"/>
          <w:szCs w:val="19"/>
        </w:rPr>
        <w:t xml:space="preserve"> GDP +5.5% in 9M26 (2Q26 +6.0%, 3Q26 +5.3%); OPR 2.75% with a hold expected; MYR ~4.05/USD (Sep-26), forecast 3.95-4.02. Tourist arrivals 42.2m in 2025 (+11%), Visit Malaysia Year 2026 under way. Budget 2027 (9-Oct-2026): no gaming-tax change identified [u], but the minimum wage rises 17.6% from Jun-2027.</w:t>
      </w:r>
    </w:p>
    <w:p>
      <w:pPr>
        <w:pStyle w:val="ListParagraph"/>
        <w:numPr>
          <w:ilvl w:val="0"/>
          <w:numId w:val="3"/>
        </w:numPr>
        <w:spacing w:after="60" w:before="0" w:line="252"/>
      </w:pPr>
      <w:r>
        <w:rPr>
          <w:rFonts w:ascii="Arial" w:cs="Arial" w:eastAsia="Arial" w:hAnsi="Arial"/>
          <w:b/>
          <w:bCs/>
          <w:color w:val="1F2937"/>
          <w:sz w:val="19"/>
          <w:szCs w:val="19"/>
        </w:rPr>
        <w:t xml:space="preserve">Energy and geopolitics:</w:t>
      </w:r>
      <w:r>
        <w:rPr>
          <w:rFonts w:ascii="Arial" w:cs="Arial" w:eastAsia="Arial" w:hAnsi="Arial"/>
          <w:color w:val="1F2937"/>
          <w:sz w:val="19"/>
          <w:szCs w:val="19"/>
        </w:rPr>
        <w:t xml:space="preserve"> the Middle East (Iran) war took Brent to ~US$102 (Oct-26), raising airfares and diesel costs; GENM cited softer RWG visitation in 2Q26 and weaker premium play in London and Cairo.</w:t>
      </w:r>
    </w:p>
    <w:p>
      <w:pPr>
        <w:pStyle w:val="ListParagraph"/>
        <w:numPr>
          <w:ilvl w:val="0"/>
          <w:numId w:val="3"/>
        </w:numPr>
        <w:spacing w:after="60" w:before="0" w:line="252"/>
      </w:pPr>
      <w:r>
        <w:rPr>
          <w:rFonts w:ascii="Arial" w:cs="Arial" w:eastAsia="Arial" w:hAnsi="Arial"/>
          <w:b/>
          <w:bCs/>
          <w:color w:val="1F2937"/>
          <w:sz w:val="19"/>
          <w:szCs w:val="19"/>
        </w:rPr>
        <w:t xml:space="preserve">United States:</w:t>
      </w:r>
      <w:r>
        <w:rPr>
          <w:rFonts w:ascii="Arial" w:cs="Arial" w:eastAsia="Arial" w:hAnsi="Arial"/>
          <w:color w:val="1F2937"/>
          <w:sz w:val="19"/>
          <w:szCs w:val="19"/>
        </w:rPr>
        <w:t xml:space="preserve"> 2025 US commercial GGR a record US$78.7bn (+9.2%); land-based +2.3%. Regional gaming is soft, but NYC is a supply-starved metro market (CBRE: three NYC licensees could generate US$4.7-5.6bn of GGR a year). NY iGaming remains illegal (positive for land-based).</w:t>
      </w:r>
    </w:p>
    <w:p>
      <w:pPr>
        <w:pStyle w:val="ListParagraph"/>
        <w:numPr>
          <w:ilvl w:val="0"/>
          <w:numId w:val="3"/>
        </w:numPr>
        <w:spacing w:after="60" w:before="0" w:line="252"/>
      </w:pPr>
      <w:r>
        <w:rPr>
          <w:rFonts w:ascii="Arial" w:cs="Arial" w:eastAsia="Arial" w:hAnsi="Arial"/>
          <w:b/>
          <w:bCs/>
          <w:color w:val="1F2937"/>
          <w:sz w:val="19"/>
          <w:szCs w:val="19"/>
        </w:rPr>
        <w:t xml:space="preserve">United Kingdom:</w:t>
      </w:r>
      <w:r>
        <w:rPr>
          <w:rFonts w:ascii="Arial" w:cs="Arial" w:eastAsia="Arial" w:hAnsi="Arial"/>
          <w:color w:val="1F2937"/>
          <w:sz w:val="19"/>
          <w:szCs w:val="19"/>
        </w:rPr>
        <w:t xml:space="preserve"> land-based casino GGY flat at £934m; costs rising (NLW +4.1%, employer NIC); machine games duty doubling under consideration for the 28-Oct-2026 Budget.</w:t>
      </w:r>
    </w:p>
    <w:p>
      <w:pPr>
        <w:pStyle w:val="Heading2"/>
        <w:keepNext/>
      </w:pPr>
      <w:r>
        <w:rPr>
          <w:rFonts w:ascii="Arial" w:cs="Arial" w:eastAsia="Arial" w:hAnsi="Arial"/>
        </w:rPr>
        <w:t xml:space="preserve">5.2 Micro</w:t>
      </w:r>
    </w:p>
    <w:p>
      <w:pPr>
        <w:pStyle w:val="ListParagraph"/>
        <w:numPr>
          <w:ilvl w:val="0"/>
          <w:numId w:val="3"/>
        </w:numPr>
        <w:spacing w:after="60" w:before="0" w:line="252"/>
      </w:pPr>
      <w:r>
        <w:rPr>
          <w:rFonts w:ascii="Arial" w:cs="Arial" w:eastAsia="Arial" w:hAnsi="Arial"/>
          <w:color w:val="1F2937"/>
          <w:sz w:val="19"/>
          <w:szCs w:val="19"/>
        </w:rPr>
        <w:t xml:space="preserve">RWNYC ramp: slots ~US$20-22m a week, tables from US$4.9m (first week) to US$10.4-11.1m (July). September: slots/ETGs US$85.2m and tables US$41.5m for the month (~US$19.9m and ~US$9.7m a week), a modest fade from July.</w:t>
      </w:r>
    </w:p>
    <w:p>
      <w:pPr>
        <w:pStyle w:val="ListParagraph"/>
        <w:numPr>
          <w:ilvl w:val="0"/>
          <w:numId w:val="3"/>
        </w:numPr>
        <w:spacing w:after="60" w:before="0" w:line="252"/>
      </w:pPr>
      <w:r>
        <w:rPr>
          <w:rFonts w:ascii="Arial" w:cs="Arial" w:eastAsia="Arial" w:hAnsi="Arial"/>
          <w:color w:val="1F2937"/>
          <w:sz w:val="19"/>
          <w:szCs w:val="19"/>
        </w:rPr>
        <w:t xml:space="preserve">RWG: hotel occupancy 98%, two legacy floors still closed, new mass floor since Dec-2024, attractions revenue down YoY.</w:t>
      </w:r>
    </w:p>
    <w:p>
      <w:pPr>
        <w:pStyle w:val="ListParagraph"/>
        <w:numPr>
          <w:ilvl w:val="0"/>
          <w:numId w:val="3"/>
        </w:numPr>
        <w:spacing w:after="60" w:before="0" w:line="252"/>
      </w:pPr>
      <w:r>
        <w:rPr>
          <w:rFonts w:ascii="Arial" w:cs="Arial" w:eastAsia="Arial" w:hAnsi="Arial"/>
          <w:color w:val="1F2937"/>
          <w:sz w:val="19"/>
          <w:szCs w:val="19"/>
        </w:rPr>
        <w:t xml:space="preserve">Parent: Genting Bhd's RM1.25bn rights issue (9-Oct-2026; RM800m to repay debt, RM280m for interest costs), group gross debt ~RM45-47bn; S&amp;P BBB-/negative "fallen angel" risk; Maybank and Affin cut Genting Bhd to Sell; Kien Huat and the CEO bought Genting Bhd shares on the slide.</w:t>
      </w:r>
    </w:p>
    <w:p>
      <w:pPr>
        <w:pStyle w:val="Heading2"/>
        <w:keepNext/>
      </w:pPr>
      <w:r>
        <w:rPr>
          <w:rFonts w:ascii="Arial" w:cs="Arial" w:eastAsia="Arial" w:hAnsi="Arial"/>
        </w:rPr>
        <w:t xml:space="preserve">5.3 Tailwinds and headwinds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4886"/>
        <w:gridCol w:w="5194"/>
      </w:tblGrid>
      <w:tr>
        <w:trPr>
          <w:cantSplit/>
          <w:tblHeader/>
        </w:trPr>
        <w:tc>
          <w:tcPr>
            <w:tcW w:type="dxa" w:w="488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Tailwinds</w:t>
            </w:r>
          </w:p>
        </w:tc>
        <w:tc>
          <w:tcPr>
            <w:tcW w:type="dxa" w:w="5194"/>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Headwinds</w:t>
            </w:r>
          </w:p>
        </w:tc>
      </w:tr>
      <w:tr>
        <w:trPr>
          <w:cantSplit/>
        </w:trPr>
        <w:tc>
          <w:tcPr>
            <w:tcW w:type="dxa" w:w="48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RWNYC conversion: live tables plus a 12ppt lower slot tax; NYC exclusivity until ~2030; Fitch sees NY EBITDA ~US$450m by 2028</w:t>
            </w:r>
          </w:p>
        </w:tc>
        <w:tc>
          <w:tcPr>
            <w:tcW w:type="dxa" w:w="51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Racing-support dispute (State: ~US$150m a year on top; &gt;US$500m over four years); 2030 rivals pay 25-30% slot tax vs RW's 56%</w:t>
            </w:r>
          </w:p>
        </w:tc>
      </w:tr>
      <w:tr>
        <w:trPr>
          <w:cantSplit/>
        </w:trPr>
        <w:tc>
          <w:tcPr>
            <w:tcW w:type="dxa" w:w="48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Malaysia GDP &gt;5%; China visa-free regime; Singapore drive-in market; illegal-gambling crackdown</w:t>
            </w:r>
          </w:p>
        </w:tc>
        <w:tc>
          <w:tcPr>
            <w:tcW w:type="dxa" w:w="51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Middle East war: oil &gt;US$100, airfares, softer visitation</w:t>
            </w:r>
          </w:p>
        </w:tc>
      </w:tr>
      <w:tr>
        <w:trPr>
          <w:cantSplit/>
        </w:trPr>
        <w:tc>
          <w:tcPr>
            <w:tcW w:type="dxa" w:w="48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Strong MYR shrinks ringgit value of USD debt</w:t>
            </w:r>
          </w:p>
        </w:tc>
        <w:tc>
          <w:tcPr>
            <w:tcW w:type="dxa" w:w="51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Strong MYR shrinks translated US/UK profit</w:t>
            </w:r>
          </w:p>
        </w:tc>
      </w:tr>
      <w:tr>
        <w:trPr>
          <w:cantSplit/>
        </w:trPr>
        <w:tc>
          <w:tcPr>
            <w:tcW w:type="dxa" w:w="48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New attractions (Eufloria, golf, Genting Premium Outlets phase 2 by 4Q27), casino-floor reopenings, ECRL rail (Dec-26/Jan-27)</w:t>
            </w:r>
          </w:p>
        </w:tc>
        <w:tc>
          <w:tcPr>
            <w:tcW w:type="dxa" w:w="51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Labour inflation (RM2,000 minimum wage, EPF for foreign workers, UK NLW/NIC)</w:t>
            </w:r>
          </w:p>
        </w:tc>
      </w:tr>
      <w:tr>
        <w:trPr>
          <w:cantSplit/>
        </w:trPr>
        <w:tc>
          <w:tcPr>
            <w:tcW w:type="dxa" w:w="48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UK land-based reforms (more machines per casino)</w:t>
            </w:r>
          </w:p>
        </w:tc>
        <w:tc>
          <w:tcPr>
            <w:tcW w:type="dxa" w:w="51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UK MGD doubling risk; casino closures (Coventry)</w:t>
            </w:r>
          </w:p>
        </w:tc>
      </w:tr>
      <w:tr>
        <w:trPr>
          <w:cantSplit/>
        </w:trPr>
        <w:tc>
          <w:tcPr>
            <w:tcW w:type="dxa" w:w="48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Budget 2027 neutral for gaming [u]</w:t>
            </w:r>
          </w:p>
        </w:tc>
        <w:tc>
          <w:tcPr>
            <w:tcW w:type="dxa" w:w="51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Political tail risk (PAS vow to close RWG if it wins Pahang; GE16 due by early 2028); quarterly licence renewal</w:t>
            </w:r>
          </w:p>
        </w:tc>
      </w:tr>
      <w:tr>
        <w:trPr>
          <w:cantSplit/>
        </w:trPr>
        <w:tc>
          <w:tcPr>
            <w:tcW w:type="dxa" w:w="48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p>
        </w:tc>
        <w:tc>
          <w:tcPr>
            <w:tcW w:type="dxa" w:w="51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Heavy capex (US$3.7bn left), Fitch BBB-, parent cash needs and fee leakage</w:t>
            </w:r>
          </w:p>
        </w:tc>
      </w:tr>
    </w:tbl>
    <w:p>
      <w:pPr>
        <w:spacing w:after="80" w:before="0"/>
      </w:pPr>
    </w:p>
    <w:p>
      <w:pPr>
        <w:pStyle w:val="Heading1"/>
        <w:keepNext/>
      </w:pPr>
      <w:r>
        <w:rPr>
          <w:rFonts w:ascii="Arial" w:cs="Arial" w:eastAsia="Arial" w:hAnsi="Arial"/>
        </w:rPr>
        <w:t xml:space="preserve">6. Competitive Position and Economic Moats</w:t>
      </w:r>
    </w:p>
    <w:p>
      <w:pPr>
        <w:pStyle w:val="Heading2"/>
        <w:keepNext/>
      </w:pPr>
      <w:r>
        <w:rPr>
          <w:rFonts w:ascii="Arial" w:cs="Arial" w:eastAsia="Arial" w:hAnsi="Arial"/>
        </w:rPr>
        <w:t xml:space="preserve">6.1 Product strength vs competitors</w:t>
      </w:r>
    </w:p>
    <w:p>
      <w:pPr>
        <w:pStyle w:val="ListParagraph"/>
        <w:numPr>
          <w:ilvl w:val="0"/>
          <w:numId w:val="3"/>
        </w:numPr>
        <w:spacing w:after="60" w:before="0" w:line="252"/>
      </w:pPr>
      <w:r>
        <w:rPr>
          <w:rFonts w:ascii="Arial" w:cs="Arial" w:eastAsia="Arial" w:hAnsi="Arial"/>
          <w:b/>
          <w:bCs/>
          <w:color w:val="1F2937"/>
          <w:sz w:val="19"/>
          <w:szCs w:val="19"/>
        </w:rPr>
        <w:t xml:space="preserve">Perceived value.</w:t>
      </w:r>
      <w:r>
        <w:rPr>
          <w:rFonts w:ascii="Arial" w:cs="Arial" w:eastAsia="Arial" w:hAnsi="Arial"/>
          <w:color w:val="1F2937"/>
          <w:sz w:val="19"/>
          <w:szCs w:val="19"/>
        </w:rPr>
        <w:t xml:space="preserve"> RWG is the cheap, cool-climate, family-plus-casino day trip for 8m Klang Valley residents and a drive from Singapore; there is no legal alternative in Malaysia. RWNYC is the only casino reachable by NYC subway until ~2030 and, since April, the only one with live tables in the five boroughs.</w:t>
      </w:r>
    </w:p>
    <w:p>
      <w:pPr>
        <w:pStyle w:val="ListParagraph"/>
        <w:numPr>
          <w:ilvl w:val="0"/>
          <w:numId w:val="3"/>
        </w:numPr>
        <w:spacing w:after="60" w:before="0" w:line="252"/>
      </w:pPr>
      <w:r>
        <w:rPr>
          <w:rFonts w:ascii="Arial" w:cs="Arial" w:eastAsia="Arial" w:hAnsi="Arial"/>
          <w:b/>
          <w:bCs/>
          <w:color w:val="1F2937"/>
          <w:sz w:val="19"/>
          <w:szCs w:val="19"/>
        </w:rPr>
        <w:t xml:space="preserve">Branding.</w:t>
      </w:r>
      <w:r>
        <w:rPr>
          <w:rFonts w:ascii="Arial" w:cs="Arial" w:eastAsia="Arial" w:hAnsi="Arial"/>
          <w:color w:val="1F2937"/>
          <w:sz w:val="19"/>
          <w:szCs w:val="19"/>
        </w:rPr>
        <w:t xml:space="preserve"> "Resorts World" and "Genting" are the default casino brands in Malaysia and increasingly in NYC. But </w:t>
      </w:r>
      <w:r>
        <w:rPr>
          <w:rFonts w:ascii="Arial" w:cs="Arial" w:eastAsia="Arial" w:hAnsi="Arial"/>
          <w:b/>
          <w:bCs/>
          <w:color w:val="1F2937"/>
          <w:sz w:val="19"/>
          <w:szCs w:val="19"/>
        </w:rPr>
        <w:t xml:space="preserve">GENM does not own them</w:t>
      </w:r>
      <w:r>
        <w:rPr>
          <w:rFonts w:ascii="Arial" w:cs="Arial" w:eastAsia="Arial" w:hAnsi="Arial"/>
          <w:color w:val="1F2937"/>
          <w:sz w:val="19"/>
          <w:szCs w:val="19"/>
        </w:rPr>
        <w:t xml:space="preserve">: it licenses them from Genting Bhd and RWI for ~RM325m a year. The premium Crockfords brand lost its London flagship (closed 2023).</w:t>
      </w:r>
    </w:p>
    <w:p>
      <w:pPr>
        <w:pStyle w:val="ListParagraph"/>
        <w:numPr>
          <w:ilvl w:val="0"/>
          <w:numId w:val="3"/>
        </w:numPr>
        <w:spacing w:after="60" w:before="0" w:line="252"/>
      </w:pPr>
      <w:r>
        <w:rPr>
          <w:rFonts w:ascii="Arial" w:cs="Arial" w:eastAsia="Arial" w:hAnsi="Arial"/>
          <w:b/>
          <w:bCs/>
          <w:color w:val="1F2937"/>
          <w:sz w:val="19"/>
          <w:szCs w:val="19"/>
        </w:rPr>
        <w:t xml:space="preserve">Marketing.</w:t>
      </w:r>
      <w:r>
        <w:rPr>
          <w:rFonts w:ascii="Arial" w:cs="Arial" w:eastAsia="Arial" w:hAnsi="Arial"/>
          <w:color w:val="1F2937"/>
          <w:sz w:val="19"/>
          <w:szCs w:val="19"/>
        </w:rPr>
        <w:t xml:space="preserve"> Genting Rewards (four tiers, digital card, cross-property earn/burn) gives a large first-party database. Rebates and comps are constrained by high Malaysian taxes (35% duty makes it hard to match lower-tax jurisdictions on VIP rebates).</w:t>
      </w:r>
    </w:p>
    <w:p>
      <w:pPr>
        <w:pStyle w:val="ListParagraph"/>
        <w:numPr>
          <w:ilvl w:val="0"/>
          <w:numId w:val="3"/>
        </w:numPr>
        <w:spacing w:after="60" w:before="0" w:line="252"/>
      </w:pPr>
      <w:r>
        <w:rPr>
          <w:rFonts w:ascii="Arial" w:cs="Arial" w:eastAsia="Arial" w:hAnsi="Arial"/>
          <w:b/>
          <w:bCs/>
          <w:color w:val="1F2937"/>
          <w:sz w:val="19"/>
          <w:szCs w:val="19"/>
        </w:rPr>
        <w:t xml:space="preserve">Versus regional IRs.</w:t>
      </w:r>
      <w:r>
        <w:rPr>
          <w:rFonts w:ascii="Arial" w:cs="Arial" w:eastAsia="Arial" w:hAnsi="Arial"/>
          <w:color w:val="1F2937"/>
          <w:sz w:val="19"/>
          <w:szCs w:val="19"/>
        </w:rPr>
        <w:t xml:space="preserve"> Marina Bay Sands and RWS offer a superior premium product, with exclusivity to 2030 and ~S$9bn of reinvestment. RWG competes on access and price rather than luxury.</w:t>
      </w:r>
    </w:p>
    <w:p>
      <w:pPr>
        <w:pStyle w:val="Heading2"/>
        <w:keepNext/>
      </w:pPr>
      <w:r>
        <w:rPr>
          <w:rFonts w:ascii="Arial" w:cs="Arial" w:eastAsia="Arial" w:hAnsi="Arial"/>
        </w:rPr>
        <w:t xml:space="preserve">6.2 Moat scorecard</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1625"/>
        <w:gridCol w:w="1503"/>
        <w:gridCol w:w="3476"/>
        <w:gridCol w:w="3476"/>
      </w:tblGrid>
      <w:tr>
        <w:trPr>
          <w:cantSplit/>
          <w:tblHeader/>
        </w:trPr>
        <w:tc>
          <w:tcPr>
            <w:tcW w:type="dxa" w:w="162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Moat category</w:t>
            </w:r>
          </w:p>
        </w:tc>
        <w:tc>
          <w:tcPr>
            <w:tcW w:type="dxa" w:w="150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Rating</w:t>
            </w:r>
          </w:p>
        </w:tc>
        <w:tc>
          <w:tcPr>
            <w:tcW w:type="dxa" w:w="347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Evidence for</w:t>
            </w:r>
          </w:p>
        </w:tc>
        <w:tc>
          <w:tcPr>
            <w:tcW w:type="dxa" w:w="347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Evidence against</w:t>
            </w:r>
          </w:p>
        </w:tc>
      </w:tr>
      <w:tr>
        <w:trPr>
          <w:cantSplit/>
        </w:trPr>
        <w:tc>
          <w:tcPr>
            <w:tcW w:type="dxa" w:w="16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Brand</w:t>
            </w:r>
          </w:p>
        </w:tc>
        <w:tc>
          <w:tcPr>
            <w:tcW w:type="dxa" w:w="150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Moderate</w:t>
            </w:r>
          </w:p>
        </w:tc>
        <w:tc>
          <w:tcPr>
            <w:tcW w:type="dxa" w:w="347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Default casino brand in Malaysia/ASEAN for 55+ years; 28.6m RWG visitors; first NYC table casino; Genting Rewards database</w:t>
            </w:r>
          </w:p>
        </w:tc>
        <w:tc>
          <w:tcPr>
            <w:tcW w:type="dxa" w:w="347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Brand owned by parent (~RM325m a year licence); Crockfords London closed; gaming loyalty follows comps and price</w:t>
            </w:r>
          </w:p>
        </w:tc>
      </w:tr>
      <w:tr>
        <w:trPr>
          <w:cantSplit/>
        </w:trPr>
        <w:tc>
          <w:tcPr>
            <w:tcW w:type="dxa" w:w="16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Hard assets</w:t>
            </w:r>
          </w:p>
        </w:tc>
        <w:tc>
          <w:tcPr>
            <w:tcW w:type="dxa" w:w="150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Strong</w:t>
            </w:r>
          </w:p>
        </w:tc>
        <w:tc>
          <w:tcPr>
            <w:tcW w:type="dxa" w:w="347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Mountaintop resort with ~10,500 rooms, two cable cars, theme parks, own roads/utilities; RWNYC 72.6-acre site beside JFK and the subway with a lease running 60 years past licence expiry; 30 acres of freehold Miami waterfront</w:t>
            </w:r>
          </w:p>
        </w:tc>
        <w:tc>
          <w:tcPr>
            <w:tcW w:type="dxa" w:w="347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Ageing assets need constant refurbishment; Bimini and UK impairments</w:t>
            </w:r>
          </w:p>
        </w:tc>
      </w:tr>
      <w:tr>
        <w:trPr>
          <w:cantSplit/>
        </w:trPr>
        <w:tc>
          <w:tcPr>
            <w:tcW w:type="dxa" w:w="16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Long-term contracts</w:t>
            </w:r>
          </w:p>
        </w:tc>
        <w:tc>
          <w:tcPr>
            <w:tcW w:type="dxa" w:w="150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Moderate</w:t>
            </w:r>
          </w:p>
        </w:tc>
        <w:tc>
          <w:tcPr>
            <w:tcW w:type="dxa" w:w="347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Malaysian licence held continuously since 1969; NY licence plus long ground lease</w:t>
            </w:r>
          </w:p>
        </w:tc>
        <w:tc>
          <w:tcPr>
            <w:tcW w:type="dxa" w:w="347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Malaysian licence renewable every 3 months</w:t>
            </w:r>
            <w:r>
              <w:rPr>
                <w:rFonts w:ascii="Arial" w:cs="Arial" w:eastAsia="Arial" w:hAnsi="Arial"/>
                <w:b w:val="false"/>
                <w:bCs w:val="false"/>
                <w:color w:val="1F2937"/>
                <w:sz w:val="17"/>
                <w:szCs w:val="17"/>
              </w:rPr>
              <w:t xml:space="preserve">; NY tax terms contested; UK licences routine</w:t>
            </w:r>
          </w:p>
        </w:tc>
      </w:tr>
      <w:tr>
        <w:trPr>
          <w:cantSplit/>
        </w:trPr>
        <w:tc>
          <w:tcPr>
            <w:tcW w:type="dxa" w:w="16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Network effect</w:t>
            </w:r>
          </w:p>
        </w:tc>
        <w:tc>
          <w:tcPr>
            <w:tcW w:type="dxa" w:w="150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Weak</w:t>
            </w:r>
          </w:p>
        </w:tc>
        <w:tc>
          <w:tcPr>
            <w:tcW w:type="dxa" w:w="347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Agglomeration (more attractions → more visitors → more tenants); loyalty scheme</w:t>
            </w:r>
          </w:p>
        </w:tc>
        <w:tc>
          <w:tcPr>
            <w:tcW w:type="dxa" w:w="347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No user-to-user network effect; customers multi-home</w:t>
            </w:r>
          </w:p>
        </w:tc>
      </w:tr>
      <w:tr>
        <w:trPr>
          <w:cantSplit/>
        </w:trPr>
        <w:tc>
          <w:tcPr>
            <w:tcW w:type="dxa" w:w="16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Regulatory and switching costs</w:t>
            </w:r>
          </w:p>
        </w:tc>
        <w:tc>
          <w:tcPr>
            <w:tcW w:type="dxa" w:w="150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Strong (regulatory) / Weak (switching)</w:t>
            </w:r>
          </w:p>
        </w:tc>
        <w:tc>
          <w:tcPr>
            <w:tcW w:type="dxa" w:w="347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Statutory monopoly in Malaysia; PM and Johor government publicly denied a second (Forest City) licence in 2024; only 3 NYC licences and US$500m fee + US$5bn capex entry ticket (MGM withdrew)</w:t>
            </w:r>
          </w:p>
        </w:tc>
        <w:tc>
          <w:tcPr>
            <w:tcW w:type="dxa" w:w="347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Customers switch cheaply between venues, online and illegal channels; Thai legalisation could create a nearby rival</w:t>
            </w:r>
          </w:p>
        </w:tc>
      </w:tr>
      <w:tr>
        <w:trPr>
          <w:cantSplit/>
        </w:trPr>
        <w:tc>
          <w:tcPr>
            <w:tcW w:type="dxa" w:w="16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Oligopolistic / monopolistic industry</w:t>
            </w:r>
          </w:p>
        </w:tc>
        <w:tc>
          <w:tcPr>
            <w:tcW w:type="dxa" w:w="150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Strong (Malaysia), Moderate (NY), Weak (UK)</w:t>
            </w:r>
          </w:p>
        </w:tc>
        <w:tc>
          <w:tcPr>
            <w:tcW w:type="dxa" w:w="347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Sole casino in Malaysia; RW alone in NYC until ~2030</w:t>
            </w:r>
          </w:p>
        </w:tc>
        <w:tc>
          <w:tcPr>
            <w:tcW w:type="dxa" w:w="347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2030 NYC entrants pay roughly half RW's slot tax; UK fragmented and declining</w:t>
            </w:r>
          </w:p>
        </w:tc>
      </w:tr>
      <w:tr>
        <w:trPr>
          <w:cantSplit/>
        </w:trPr>
        <w:tc>
          <w:tcPr>
            <w:tcW w:type="dxa" w:w="16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Cash-flow predictability</w:t>
            </w:r>
          </w:p>
        </w:tc>
        <w:tc>
          <w:tcPr>
            <w:tcW w:type="dxa" w:w="150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Moderate</w:t>
            </w:r>
          </w:p>
        </w:tc>
        <w:tc>
          <w:tcPr>
            <w:tcW w:type="dxa" w:w="347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Malaysian mass market steady (RM2.1bn EBITDA, 30% margin); NY slot base ~US$21m a week</w:t>
            </w:r>
          </w:p>
        </w:tc>
        <w:tc>
          <w:tcPr>
            <w:tcW w:type="dxa" w:w="347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VIP hold; tax shocks (2019, 2024); Covid closures; FX through adj. EBITDA; FCF negative during NY build</w:t>
            </w:r>
          </w:p>
        </w:tc>
      </w:tr>
      <w:tr>
        <w:trPr>
          <w:cantSplit/>
        </w:trPr>
        <w:tc>
          <w:tcPr>
            <w:tcW w:type="dxa" w:w="16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Scalability</w:t>
            </w:r>
          </w:p>
        </w:tc>
        <w:tc>
          <w:tcPr>
            <w:tcW w:type="dxa" w:w="150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Moderate</w:t>
            </w:r>
          </w:p>
        </w:tc>
        <w:tc>
          <w:tcPr>
            <w:tcW w:type="dxa" w:w="347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RWNYC can grow to 6,000 slots, 800 tables, 2,000 rooms</w:t>
            </w:r>
          </w:p>
        </w:tc>
        <w:tc>
          <w:tcPr>
            <w:tcW w:type="dxa" w:w="347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RWG mature and room-constrained; growth requires large capex at high tax rates</w:t>
            </w:r>
          </w:p>
        </w:tc>
      </w:tr>
      <w:tr>
        <w:trPr>
          <w:cantSplit/>
        </w:trPr>
        <w:tc>
          <w:tcPr>
            <w:tcW w:type="dxa" w:w="16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Risk / history of government interference</w:t>
            </w:r>
          </w:p>
        </w:tc>
        <w:tc>
          <w:tcPr>
            <w:tcW w:type="dxa" w:w="150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Weak (high risk)</w:t>
            </w:r>
          </w:p>
        </w:tc>
        <w:tc>
          <w:tcPr>
            <w:tcW w:type="dxa" w:w="347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Government defended the monopoly (1969-2026) and cut VIP duty in 2003</w:t>
            </w:r>
          </w:p>
        </w:tc>
        <w:tc>
          <w:tcPr>
            <w:tcW w:type="dxa" w:w="347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Duty hikes (1998, 2019), service tax (2024), PAS closure vow (2024), quarterly licence, NY racing-support dispute, UK duty rises</w:t>
            </w:r>
          </w:p>
        </w:tc>
      </w:tr>
      <w:tr>
        <w:trPr>
          <w:cantSplit/>
        </w:trPr>
        <w:tc>
          <w:tcPr>
            <w:tcW w:type="dxa" w:w="16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Bargaining power over stakeholders</w:t>
            </w:r>
          </w:p>
        </w:tc>
        <w:tc>
          <w:tcPr>
            <w:tcW w:type="dxa" w:w="150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Moderate</w:t>
            </w:r>
          </w:p>
        </w:tc>
        <w:tc>
          <w:tcPr>
            <w:tcW w:type="dxa" w:w="347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Strong over Malaysian customers (only casino); large buyer of EGMs/tables</w:t>
            </w:r>
          </w:p>
        </w:tc>
        <w:tc>
          <w:tcPr>
            <w:tcW w:type="dxa" w:w="347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Weak vs governments (tax price-taker), weak vs parent (~RM848m a year of fees), moderate vs labour and a concentrated EGM supplier base</w:t>
            </w:r>
          </w:p>
        </w:tc>
      </w:tr>
    </w:tbl>
    <w:p>
      <w:pPr>
        <w:spacing w:after="80" w:before="0"/>
      </w:pPr>
    </w:p>
    <w:p>
      <w:pPr>
        <w:spacing w:after="110" w:before="0" w:line="264"/>
      </w:pPr>
      <w:r>
        <w:rPr>
          <w:rFonts w:ascii="Arial" w:cs="Arial" w:eastAsia="Arial" w:hAnsi="Arial"/>
          <w:b/>
          <w:bCs/>
          <w:color w:val="1F2937"/>
          <w:sz w:val="19"/>
          <w:szCs w:val="19"/>
        </w:rPr>
        <w:t xml:space="preserve">Verdict: Moderate (narrow) moat.</w:t>
      </w:r>
      <w:r>
        <w:rPr>
          <w:rFonts w:ascii="Arial" w:cs="Arial" w:eastAsia="Arial" w:hAnsi="Arial"/>
          <w:color w:val="1F2937"/>
          <w:sz w:val="19"/>
          <w:szCs w:val="19"/>
        </w:rPr>
        <w:t xml:space="preserve"> It is wide on supply (regulatory exclusivity plus irreplaceable assets) but thin on value capture: governments take 35-72% of GGR and the parent takes ~7% of revenue before minorities see anything. In New York the moat is temporary (exclusive until ~2030) and comes with a structural tax disadvantage unless the equalisation clause is honoured.</w:t>
      </w:r>
    </w:p>
    <w:p>
      <w:pPr>
        <w:pStyle w:val="Heading1"/>
        <w:keepNext/>
      </w:pPr>
      <w:r>
        <w:rPr>
          <w:rFonts w:ascii="Arial" w:cs="Arial" w:eastAsia="Arial" w:hAnsi="Arial"/>
        </w:rPr>
        <w:t xml:space="preserve">7. Supply Chain Map: From Upstream Inputs to the End Customer</w:t>
      </w:r>
    </w:p>
    <w:p>
      <w:pPr>
        <w:keepNext/>
        <w:spacing w:after="40" w:before="120"/>
        <w:jc w:val="center"/>
      </w:pPr>
      <w:r>
        <w:drawing>
          <wp:inline distT="0" distB="0" distL="0" distR="0">
            <wp:extent cx="6400800" cy="3800475"/>
            <wp:effectExtent t="0" r="0" b="0" l="0"/>
            <wp:docPr id="1" name="fig1" descr="GENM supply-chain map (upstream inputs to end customers). Source: GENM AR2025, QR 4Q25 RRPT table, S&amp;P Capital IQ business relationships, NY Gaming Commission filings, company and supplier press releas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3800475"/>
                    </a:xfrm>
                    <a:prstGeom prst="rect">
                      <a:avLst/>
                    </a:prstGeom>
                  </pic:spPr>
                </pic:pic>
              </a:graphicData>
            </a:graphic>
          </wp:inline>
        </w:drawing>
      </w:r>
    </w:p>
    <w:p>
      <w:pPr>
        <w:spacing w:after="160" w:before="0"/>
      </w:pPr>
      <w:r>
        <w:rPr>
          <w:rFonts w:ascii="Arial" w:cs="Arial" w:eastAsia="Arial" w:hAnsi="Arial"/>
          <w:i/>
          <w:iCs/>
          <w:color w:val="6B7280"/>
          <w:sz w:val="15"/>
          <w:szCs w:val="15"/>
        </w:rPr>
        <w:t xml:space="preserve">Figure 1: GENM supply-chain map (upstream inputs to end customers). Source: GENM AR2025, QR 4Q25 RRPT table, S&amp;P Capital IQ business relationships, NY Gaming Commission filings, company and supplier press releases.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2210"/>
        <w:gridCol w:w="2123"/>
        <w:gridCol w:w="5747"/>
      </w:tblGrid>
      <w:tr>
        <w:trPr>
          <w:cantSplit/>
          <w:tblHeader/>
        </w:trPr>
        <w:tc>
          <w:tcPr>
            <w:tcW w:type="dxa" w:w="221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Stage</w:t>
            </w:r>
          </w:p>
        </w:tc>
        <w:tc>
          <w:tcPr>
            <w:tcW w:type="dxa" w:w="212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Role</w:t>
            </w:r>
          </w:p>
        </w:tc>
        <w:tc>
          <w:tcPr>
            <w:tcW w:type="dxa" w:w="574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Named counterparties</w:t>
            </w:r>
          </w:p>
        </w:tc>
      </w:tr>
      <w:tr>
        <w:trPr>
          <w:cantSplit/>
        </w:trPr>
        <w:tc>
          <w:tcPr>
            <w:tcW w:type="dxa" w:w="22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 Owners and parent</w:t>
            </w:r>
          </w:p>
        </w:tc>
        <w:tc>
          <w:tcPr>
            <w:tcW w:type="dxa" w:w="21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Control, strategy, brand and IP</w:t>
            </w:r>
          </w:p>
        </w:tc>
        <w:tc>
          <w:tcPr>
            <w:tcW w:type="dxa" w:w="574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Kien Huat Realty / Lim family trust (Parkview Management → Kien Huat International → KHR; LKT deemed 45.24% of Genting Bhd after Oct-2026 purchases) → </w:t>
            </w:r>
            <w:r>
              <w:rPr>
                <w:rFonts w:ascii="Arial" w:cs="Arial" w:eastAsia="Arial" w:hAnsi="Arial"/>
                <w:b/>
                <w:bCs/>
                <w:color w:val="1F2937"/>
                <w:sz w:val="17"/>
                <w:szCs w:val="17"/>
              </w:rPr>
              <w:t xml:space="preserve">Genting Bhd (73.84% of GENM)</w:t>
            </w:r>
            <w:r>
              <w:rPr>
                <w:rFonts w:ascii="Arial" w:cs="Arial" w:eastAsia="Arial" w:hAnsi="Arial"/>
                <w:b w:val="false"/>
                <w:bCs w:val="false"/>
                <w:color w:val="1F2937"/>
                <w:sz w:val="17"/>
                <w:szCs w:val="17"/>
              </w:rPr>
              <w:t xml:space="preserve">; Resorts World Inc (RWI, Genting Bhd JV, US/Bahamas IP, gaming software); sister companies Genting Singapore (also a competitor), Genting Plantations (Genting Premium Outlets JV with Simon Property)</w:t>
            </w:r>
          </w:p>
        </w:tc>
      </w:tr>
      <w:tr>
        <w:trPr>
          <w:cantSplit/>
        </w:trPr>
        <w:tc>
          <w:tcPr>
            <w:tcW w:type="dxa" w:w="22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 Capital providers</w:t>
            </w:r>
          </w:p>
        </w:tc>
        <w:tc>
          <w:tcPr>
            <w:tcW w:type="dxa" w:w="21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Debt and equity</w:t>
            </w:r>
          </w:p>
        </w:tc>
        <w:tc>
          <w:tcPr>
            <w:tcW w:type="dxa" w:w="574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Holders of GENM Capital Labuan US$1bn 3.882% 2031 notes; Genting NY/GENNY Capital US$625m 7.25% 2029 notes; GENM Capital RM4.75bn MTNs; US$2.0bn Genting Americas secured facility (Jun-26; refinanced the KeyBanc-arranged US$925m facility and Empire's US$300m notes); minority shareholders (UBS, Vanguard, Dimensional, iShares, Norges, Prudential, Great Eastern)</w:t>
            </w:r>
          </w:p>
        </w:tc>
      </w:tr>
      <w:tr>
        <w:trPr>
          <w:cantSplit/>
        </w:trPr>
        <w:tc>
          <w:tcPr>
            <w:tcW w:type="dxa" w:w="22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3. Land and concessions</w:t>
            </w:r>
          </w:p>
        </w:tc>
        <w:tc>
          <w:tcPr>
            <w:tcW w:type="dxa" w:w="21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Sites, licences</w:t>
            </w:r>
          </w:p>
        </w:tc>
        <w:tc>
          <w:tcPr>
            <w:tcW w:type="dxa" w:w="574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Malaysian Ministry of Finance (casino licence); NY State Gaming Commission, NY Lottery, Franchise Oversight Board (Aqueduct lease), NYRA; UK Gambling Commission and local authorities; Bahamas Gaming Board; Egyptian authorities / Nile Ritz-Carlton</w:t>
            </w:r>
          </w:p>
        </w:tc>
      </w:tr>
      <w:tr>
        <w:trPr>
          <w:cantSplit/>
        </w:trPr>
        <w:tc>
          <w:tcPr>
            <w:tcW w:type="dxa" w:w="22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4. Construction and design</w:t>
            </w:r>
          </w:p>
        </w:tc>
        <w:tc>
          <w:tcPr>
            <w:tcW w:type="dxa" w:w="21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Capex delivery</w:t>
            </w:r>
          </w:p>
        </w:tc>
        <w:tc>
          <w:tcPr>
            <w:tcW w:type="dxa" w:w="574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Plaza Construction, Perkins Eastman, Cosentini (RWNYC); JCJ Architecture (Catskills); Leitner Ropeways (Awana SkyWay); Cyclect (SkyWorlds); RWNYC phase-2 contractor not disclosed [u]</w:t>
            </w:r>
          </w:p>
        </w:tc>
      </w:tr>
      <w:tr>
        <w:trPr>
          <w:cantSplit/>
        </w:trPr>
        <w:tc>
          <w:tcPr>
            <w:tcW w:type="dxa" w:w="22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5. Gaming equipment and systems</w:t>
            </w:r>
          </w:p>
        </w:tc>
        <w:tc>
          <w:tcPr>
            <w:tcW w:type="dxa" w:w="21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Slots, ETGs, tables, systems</w:t>
            </w:r>
          </w:p>
        </w:tc>
        <w:tc>
          <w:tcPr>
            <w:tcW w:type="dxa" w:w="574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Aristocrat, Light &amp; Wonder, IGT/Everi (Apollo), Konami; TCS John Huxley; Interblock; DEQ Systems (previous); RWI gaming software</w:t>
            </w:r>
          </w:p>
        </w:tc>
      </w:tr>
      <w:tr>
        <w:trPr>
          <w:cantSplit/>
        </w:trPr>
        <w:tc>
          <w:tcPr>
            <w:tcW w:type="dxa" w:w="22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6. Utilities and energy</w:t>
            </w:r>
          </w:p>
        </w:tc>
        <w:tc>
          <w:tcPr>
            <w:tcW w:type="dxa" w:w="21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Power, water, LPG</w:t>
            </w:r>
          </w:p>
        </w:tc>
        <w:tc>
          <w:tcPr>
            <w:tcW w:type="dxa" w:w="574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Tenaga Nasional → Genting Utilities &amp; Services (GENM); Con Edison (Queens) [u]; NYSEG/Central Hudson [u]</w:t>
            </w:r>
          </w:p>
        </w:tc>
      </w:tr>
      <w:tr>
        <w:trPr>
          <w:cantSplit/>
        </w:trPr>
        <w:tc>
          <w:tcPr>
            <w:tcW w:type="dxa" w:w="22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7. F&amp;B, retail, consumables</w:t>
            </w:r>
          </w:p>
        </w:tc>
        <w:tc>
          <w:tcPr>
            <w:tcW w:type="dxa" w:w="21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Food, beverage, franchises</w:t>
            </w:r>
          </w:p>
        </w:tc>
        <w:tc>
          <w:tcPr>
            <w:tcW w:type="dxa" w:w="574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Local suppliers (Nature Base, Possible Wealth, Netyield, NWE Resources); director-connected HanBurger and Sky Pie; Motorino Pizza (franchisor); Zouk (LKH-linked IP)</w:t>
            </w:r>
          </w:p>
        </w:tc>
      </w:tr>
      <w:tr>
        <w:trPr>
          <w:cantSplit/>
        </w:trPr>
        <w:tc>
          <w:tcPr>
            <w:tcW w:type="dxa" w:w="22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8. Hotel and IP brands</w:t>
            </w:r>
          </w:p>
        </w:tc>
        <w:tc>
          <w:tcPr>
            <w:tcW w:type="dxa" w:w="21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Flags, IP</w:t>
            </w:r>
          </w:p>
        </w:tc>
        <w:tc>
          <w:tcPr>
            <w:tcW w:type="dxa" w:w="574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Genting Bhd (Genting/Resorts World/Awana marks), RWI, Hyatt, Hilton, Disney/20th Century Studios, Crockfords (own)</w:t>
            </w:r>
          </w:p>
        </w:tc>
      </w:tr>
      <w:tr>
        <w:trPr>
          <w:cantSplit/>
        </w:trPr>
        <w:tc>
          <w:tcPr>
            <w:tcW w:type="dxa" w:w="22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9. Labour</w:t>
            </w:r>
          </w:p>
        </w:tc>
        <w:tc>
          <w:tcPr>
            <w:tcW w:type="dxa" w:w="21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~18,000 staff</w:t>
            </w:r>
          </w:p>
        </w:tc>
        <w:tc>
          <w:tcPr>
            <w:tcW w:type="dxa" w:w="574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Malaysian workers' union; NY Hotel &amp; Gaming Trades Council; UK staff (&gt;3,000)</w:t>
            </w:r>
          </w:p>
        </w:tc>
      </w:tr>
      <w:tr>
        <w:trPr>
          <w:cantSplit/>
        </w:trPr>
        <w:tc>
          <w:tcPr>
            <w:tcW w:type="dxa" w:w="22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10. Distribution and access</w:t>
            </w:r>
          </w:p>
        </w:tc>
        <w:tc>
          <w:tcPr>
            <w:tcW w:type="dxa" w:w="21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Getting visitors in</w:t>
            </w:r>
          </w:p>
        </w:tc>
        <w:tc>
          <w:tcPr>
            <w:tcW w:type="dxa" w:w="574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Own cable cars, coaches, Resorts World Tours, Orient Wonder (aviation); KL-Karak Expressway; ECRL; airlines into KUL (AirAsia, Malaysia Airlines, Batik Air, Scoot [u]); OTAs (Agoda, Trip.com, Booking.com [u]); Tourism Malaysia; MTA A-train (Aqueduct station); cruise lines (Bimini)</w:t>
            </w:r>
          </w:p>
        </w:tc>
      </w:tr>
      <w:tr>
        <w:trPr>
          <w:cantSplit/>
        </w:trPr>
        <w:tc>
          <w:tcPr>
            <w:tcW w:type="dxa" w:w="22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11. Tax collectors</w:t>
            </w:r>
          </w:p>
        </w:tc>
        <w:tc>
          <w:tcPr>
            <w:tcW w:type="dxa" w:w="21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Gaming duty, service tax</w:t>
            </w:r>
          </w:p>
        </w:tc>
        <w:tc>
          <w:tcPr>
            <w:tcW w:type="dxa" w:w="574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Royal Malaysian Customs; NY State; HMRC; Bahamas Treasury</w:t>
            </w:r>
          </w:p>
        </w:tc>
      </w:tr>
      <w:tr>
        <w:trPr>
          <w:cantSplit/>
        </w:trPr>
        <w:tc>
          <w:tcPr>
            <w:tcW w:type="dxa" w:w="22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12. End customers</w:t>
            </w:r>
          </w:p>
        </w:tc>
        <w:tc>
          <w:tcPr>
            <w:tcW w:type="dxa" w:w="21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Gaming and leisure spend</w:t>
            </w:r>
          </w:p>
        </w:tc>
        <w:tc>
          <w:tcPr>
            <w:tcW w:type="dxa" w:w="574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Malaysian locals, Singapore/China/ASEAN tourists, premium players, NYC metro day-trippers, Catskills/Hudson Valley drive-ins, UK members, cruise passengers</w:t>
            </w:r>
          </w:p>
        </w:tc>
      </w:tr>
    </w:tbl>
    <w:p>
      <w:pPr>
        <w:spacing w:after="80" w:before="0"/>
      </w:pPr>
    </w:p>
    <w:p>
      <w:pPr>
        <w:spacing w:after="110" w:before="0" w:line="264"/>
      </w:pPr>
      <w:r>
        <w:rPr>
          <w:rFonts w:ascii="Arial" w:cs="Arial" w:eastAsia="Arial" w:hAnsi="Arial"/>
          <w:b/>
          <w:bCs/>
          <w:color w:val="1F2937"/>
          <w:sz w:val="19"/>
          <w:szCs w:val="19"/>
        </w:rPr>
        <w:t xml:space="preserve">Where GENM sits:</w:t>
      </w:r>
      <w:r>
        <w:rPr>
          <w:rFonts w:ascii="Arial" w:cs="Arial" w:eastAsia="Arial" w:hAnsi="Arial"/>
          <w:color w:val="1F2937"/>
          <w:sz w:val="19"/>
          <w:szCs w:val="19"/>
        </w:rPr>
        <w:t xml:space="preserve"> GENM is the operator in the middle of the chain. It buys equipment, construction, energy and labour, pays the State its tax share and the parent its fee share, and keeps the residual. Its strongest bargaining position is with Malaysian customers; its weakest are with governments and with its own parent.</w:t>
      </w:r>
    </w:p>
    <w:p>
      <w:pPr>
        <w:pStyle w:val="Heading1"/>
        <w:keepNext/>
      </w:pPr>
      <w:r>
        <w:rPr>
          <w:rFonts w:ascii="Arial" w:cs="Arial" w:eastAsia="Arial" w:hAnsi="Arial"/>
        </w:rPr>
        <w:t xml:space="preserve">8. Five-Year Financial Analysis by Division and Geography</w:t>
      </w:r>
    </w:p>
    <w:p>
      <w:pPr>
        <w:spacing w:after="110" w:before="0" w:line="264"/>
      </w:pPr>
      <w:r>
        <w:rPr>
          <w:rFonts w:ascii="Arial" w:cs="Arial" w:eastAsia="Arial" w:hAnsi="Arial"/>
          <w:color w:val="1F2937"/>
          <w:sz w:val="19"/>
          <w:szCs w:val="19"/>
        </w:rPr>
        <w:t xml:space="preserve">All figures RM m, fiscal years to 31 December. "Adj. EBITDA" is the company definition. It excludes impairments, pre-opening costs, disposal gains/losses and write-offs, but </w:t>
      </w:r>
      <w:r>
        <w:rPr>
          <w:rFonts w:ascii="Arial" w:cs="Arial" w:eastAsia="Arial" w:hAnsi="Arial"/>
          <w:b/>
          <w:bCs/>
          <w:color w:val="1F2937"/>
          <w:sz w:val="19"/>
          <w:szCs w:val="19"/>
        </w:rPr>
        <w:t xml:space="preserve">includes unrealised FX translation on USD borrowings</w:t>
      </w:r>
      <w:r>
        <w:rPr>
          <w:rFonts w:ascii="Arial" w:cs="Arial" w:eastAsia="Arial" w:hAnsi="Arial"/>
          <w:color w:val="1F2937"/>
          <w:sz w:val="19"/>
          <w:szCs w:val="19"/>
        </w:rPr>
        <w:t xml:space="preserve"> (booked in Investments &amp; Others). We therefore also show it ex-FX.</w:t>
      </w:r>
    </w:p>
    <w:p>
      <w:pPr>
        <w:pStyle w:val="Heading2"/>
        <w:keepNext/>
      </w:pPr>
      <w:r>
        <w:rPr>
          <w:rFonts w:ascii="Arial" w:cs="Arial" w:eastAsia="Arial" w:hAnsi="Arial"/>
        </w:rPr>
        <w:t xml:space="preserve">8.1 Group income statement, FY2021-FY2025 and LTM to Jun-2026</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3570"/>
        <w:gridCol w:w="1074"/>
        <w:gridCol w:w="1077"/>
        <w:gridCol w:w="1059"/>
        <w:gridCol w:w="1095"/>
        <w:gridCol w:w="1095"/>
        <w:gridCol w:w="1110"/>
      </w:tblGrid>
      <w:tr>
        <w:trPr>
          <w:cantSplit/>
          <w:tblHeader/>
        </w:trPr>
        <w:tc>
          <w:tcPr>
            <w:tcW w:type="dxa" w:w="357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RM m</w:t>
            </w:r>
          </w:p>
        </w:tc>
        <w:tc>
          <w:tcPr>
            <w:tcW w:type="dxa" w:w="1074"/>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FY2021</w:t>
            </w:r>
          </w:p>
        </w:tc>
        <w:tc>
          <w:tcPr>
            <w:tcW w:type="dxa" w:w="107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FY2022</w:t>
            </w:r>
          </w:p>
        </w:tc>
        <w:tc>
          <w:tcPr>
            <w:tcW w:type="dxa" w:w="105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FY2023</w:t>
            </w:r>
          </w:p>
        </w:tc>
        <w:tc>
          <w:tcPr>
            <w:tcW w:type="dxa" w:w="109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FY2024</w:t>
            </w:r>
          </w:p>
        </w:tc>
        <w:tc>
          <w:tcPr>
            <w:tcW w:type="dxa" w:w="109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FY2025</w:t>
            </w:r>
          </w:p>
        </w:tc>
        <w:tc>
          <w:tcPr>
            <w:tcW w:type="dxa" w:w="111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LTM Jun-26</w:t>
            </w:r>
          </w:p>
        </w:tc>
      </w:tr>
      <w:tr>
        <w:trPr>
          <w:cantSplit/>
        </w:trPr>
        <w:tc>
          <w:tcPr>
            <w:tcW w:type="dxa" w:w="35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Revenue</w:t>
            </w:r>
          </w:p>
        </w:tc>
        <w:tc>
          <w:tcPr>
            <w:tcW w:type="dxa" w:w="107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4,156.7</w:t>
            </w:r>
          </w:p>
        </w:tc>
        <w:tc>
          <w:tcPr>
            <w:tcW w:type="dxa" w:w="10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8,603.0</w:t>
            </w:r>
          </w:p>
        </w:tc>
        <w:tc>
          <w:tcPr>
            <w:tcW w:type="dxa" w:w="10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10,189.4</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10,911.8</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11,884.3</w:t>
            </w:r>
          </w:p>
        </w:tc>
        <w:tc>
          <w:tcPr>
            <w:tcW w:type="dxa" w:w="11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13,090.8</w:t>
            </w:r>
          </w:p>
        </w:tc>
      </w:tr>
      <w:tr>
        <w:trPr>
          <w:cantSplit/>
        </w:trPr>
        <w:tc>
          <w:tcPr>
            <w:tcW w:type="dxa" w:w="35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YoY growth</w:t>
            </w:r>
          </w:p>
        </w:tc>
        <w:tc>
          <w:tcPr>
            <w:tcW w:type="dxa" w:w="107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-8.2%</w:t>
            </w:r>
          </w:p>
        </w:tc>
        <w:tc>
          <w:tcPr>
            <w:tcW w:type="dxa" w:w="10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107.0%</w:t>
            </w:r>
          </w:p>
        </w:tc>
        <w:tc>
          <w:tcPr>
            <w:tcW w:type="dxa" w:w="10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18.4%</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7.1%</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8.9%</w:t>
            </w:r>
          </w:p>
        </w:tc>
        <w:tc>
          <w:tcPr>
            <w:tcW w:type="dxa" w:w="11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19.1% [e]</w:t>
            </w:r>
          </w:p>
        </w:tc>
      </w:tr>
      <w:tr>
        <w:trPr>
          <w:cantSplit/>
        </w:trPr>
        <w:tc>
          <w:tcPr>
            <w:tcW w:type="dxa" w:w="35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Adj. EBITDA (company)</w:t>
            </w:r>
          </w:p>
        </w:tc>
        <w:tc>
          <w:tcPr>
            <w:tcW w:type="dxa" w:w="107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727.0</w:t>
            </w:r>
          </w:p>
        </w:tc>
        <w:tc>
          <w:tcPr>
            <w:tcW w:type="dxa" w:w="10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2,116.6</w:t>
            </w:r>
          </w:p>
        </w:tc>
        <w:tc>
          <w:tcPr>
            <w:tcW w:type="dxa" w:w="10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2,632.2</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2,910.4</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3,297.6</w:t>
            </w:r>
          </w:p>
        </w:tc>
        <w:tc>
          <w:tcPr>
            <w:tcW w:type="dxa" w:w="11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3,019.5</w:t>
            </w:r>
          </w:p>
        </w:tc>
      </w:tr>
      <w:tr>
        <w:trPr>
          <w:cantSplit/>
        </w:trPr>
        <w:tc>
          <w:tcPr>
            <w:tcW w:type="dxa" w:w="35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Adj. EBITDA margin</w:t>
            </w:r>
          </w:p>
        </w:tc>
        <w:tc>
          <w:tcPr>
            <w:tcW w:type="dxa" w:w="107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17.5%</w:t>
            </w:r>
          </w:p>
        </w:tc>
        <w:tc>
          <w:tcPr>
            <w:tcW w:type="dxa" w:w="10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24.6%</w:t>
            </w:r>
          </w:p>
        </w:tc>
        <w:tc>
          <w:tcPr>
            <w:tcW w:type="dxa" w:w="10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25.8%</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26.7%</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27.7%</w:t>
            </w:r>
          </w:p>
        </w:tc>
        <w:tc>
          <w:tcPr>
            <w:tcW w:type="dxa" w:w="11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23.1%</w:t>
            </w:r>
          </w:p>
        </w:tc>
      </w:tr>
      <w:tr>
        <w:trPr>
          <w:cantSplit/>
        </w:trPr>
        <w:tc>
          <w:tcPr>
            <w:tcW w:type="dxa" w:w="35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of which unrealised FX gain</w:t>
            </w:r>
          </w:p>
        </w:tc>
        <w:tc>
          <w:tcPr>
            <w:tcW w:type="dxa" w:w="107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n/d</w:t>
            </w:r>
          </w:p>
        </w:tc>
        <w:tc>
          <w:tcPr>
            <w:tcW w:type="dxa" w:w="10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n/d</w:t>
            </w:r>
          </w:p>
        </w:tc>
        <w:tc>
          <w:tcPr>
            <w:tcW w:type="dxa" w:w="10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n/d</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115.4</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351.6</w:t>
            </w:r>
          </w:p>
        </w:tc>
        <w:tc>
          <w:tcPr>
            <w:tcW w:type="dxa" w:w="11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113.1</w:t>
            </w:r>
          </w:p>
        </w:tc>
      </w:tr>
      <w:tr>
        <w:trPr>
          <w:cantSplit/>
        </w:trPr>
        <w:tc>
          <w:tcPr>
            <w:tcW w:type="dxa" w:w="35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Adj. EBITDA ex-FX [e]</w:t>
            </w:r>
          </w:p>
        </w:tc>
        <w:tc>
          <w:tcPr>
            <w:tcW w:type="dxa" w:w="107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n/d</w:t>
            </w:r>
          </w:p>
        </w:tc>
        <w:tc>
          <w:tcPr>
            <w:tcW w:type="dxa" w:w="10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n/d</w:t>
            </w:r>
          </w:p>
        </w:tc>
        <w:tc>
          <w:tcPr>
            <w:tcW w:type="dxa" w:w="10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n/d</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2,795.0</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2,946.0</w:t>
            </w:r>
          </w:p>
        </w:tc>
        <w:tc>
          <w:tcPr>
            <w:tcW w:type="dxa" w:w="11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2,906.4</w:t>
            </w:r>
          </w:p>
        </w:tc>
      </w:tr>
      <w:tr>
        <w:trPr>
          <w:cantSplit/>
        </w:trPr>
        <w:tc>
          <w:tcPr>
            <w:tcW w:type="dxa" w:w="35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Adj. EBITDA ex-FX margin [e]</w:t>
            </w:r>
          </w:p>
        </w:tc>
        <w:tc>
          <w:tcPr>
            <w:tcW w:type="dxa" w:w="107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p>
        </w:tc>
        <w:tc>
          <w:tcPr>
            <w:tcW w:type="dxa" w:w="10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p>
        </w:tc>
        <w:tc>
          <w:tcPr>
            <w:tcW w:type="dxa" w:w="10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25.6%</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24.8%</w:t>
            </w:r>
          </w:p>
        </w:tc>
        <w:tc>
          <w:tcPr>
            <w:tcW w:type="dxa" w:w="11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22.2%</w:t>
            </w:r>
          </w:p>
        </w:tc>
      </w:tr>
      <w:tr>
        <w:trPr>
          <w:cantSplit/>
        </w:trPr>
        <w:tc>
          <w:tcPr>
            <w:tcW w:type="dxa" w:w="35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D&amp;A</w:t>
            </w:r>
          </w:p>
        </w:tc>
        <w:tc>
          <w:tcPr>
            <w:tcW w:type="dxa" w:w="107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(1,104.2)</w:t>
            </w:r>
          </w:p>
        </w:tc>
        <w:tc>
          <w:tcPr>
            <w:tcW w:type="dxa" w:w="10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(1,238.8)</w:t>
            </w:r>
          </w:p>
        </w:tc>
        <w:tc>
          <w:tcPr>
            <w:tcW w:type="dxa" w:w="10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(1,241.1)</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(1,240.3)</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(1,314.5)</w:t>
            </w:r>
          </w:p>
        </w:tc>
        <w:tc>
          <w:tcPr>
            <w:tcW w:type="dxa" w:w="11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(1,393.1)</w:t>
            </w:r>
          </w:p>
        </w:tc>
      </w:tr>
      <w:tr>
        <w:trPr>
          <w:cantSplit/>
        </w:trPr>
        <w:tc>
          <w:tcPr>
            <w:tcW w:type="dxa" w:w="35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EBIT (adj. EBITDA less D&amp;A) [e]</w:t>
            </w:r>
          </w:p>
        </w:tc>
        <w:tc>
          <w:tcPr>
            <w:tcW w:type="dxa" w:w="107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(377.2)</w:t>
            </w:r>
          </w:p>
        </w:tc>
        <w:tc>
          <w:tcPr>
            <w:tcW w:type="dxa" w:w="10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877.8</w:t>
            </w:r>
          </w:p>
        </w:tc>
        <w:tc>
          <w:tcPr>
            <w:tcW w:type="dxa" w:w="10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1,391.1</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1,670.1</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1,983.1</w:t>
            </w:r>
          </w:p>
        </w:tc>
        <w:tc>
          <w:tcPr>
            <w:tcW w:type="dxa" w:w="11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1,626.4</w:t>
            </w:r>
          </w:p>
        </w:tc>
      </w:tr>
      <w:tr>
        <w:trPr>
          <w:cantSplit/>
        </w:trPr>
        <w:tc>
          <w:tcPr>
            <w:tcW w:type="dxa" w:w="35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EBIT margin [e]</w:t>
            </w:r>
          </w:p>
        </w:tc>
        <w:tc>
          <w:tcPr>
            <w:tcW w:type="dxa" w:w="107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-9.1%</w:t>
            </w:r>
          </w:p>
        </w:tc>
        <w:tc>
          <w:tcPr>
            <w:tcW w:type="dxa" w:w="10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10.2%</w:t>
            </w:r>
          </w:p>
        </w:tc>
        <w:tc>
          <w:tcPr>
            <w:tcW w:type="dxa" w:w="10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13.7%</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15.3%</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16.7%</w:t>
            </w:r>
          </w:p>
        </w:tc>
        <w:tc>
          <w:tcPr>
            <w:tcW w:type="dxa" w:w="11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12.4%</w:t>
            </w:r>
          </w:p>
        </w:tc>
      </w:tr>
      <w:tr>
        <w:trPr>
          <w:cantSplit/>
        </w:trPr>
        <w:tc>
          <w:tcPr>
            <w:tcW w:type="dxa" w:w="35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Operating income (S&amp;P CIQ basis)</w:t>
            </w:r>
          </w:p>
        </w:tc>
        <w:tc>
          <w:tcPr>
            <w:tcW w:type="dxa" w:w="107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(543.5)</w:t>
            </w:r>
          </w:p>
        </w:tc>
        <w:tc>
          <w:tcPr>
            <w:tcW w:type="dxa" w:w="10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1,041.7</w:t>
            </w:r>
          </w:p>
        </w:tc>
        <w:tc>
          <w:tcPr>
            <w:tcW w:type="dxa" w:w="10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1,536.6</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1,329.5</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1,588.0</w:t>
            </w:r>
          </w:p>
        </w:tc>
        <w:tc>
          <w:tcPr>
            <w:tcW w:type="dxa" w:w="11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1,132.8</w:t>
            </w:r>
          </w:p>
        </w:tc>
      </w:tr>
      <w:tr>
        <w:trPr>
          <w:cantSplit/>
        </w:trPr>
        <w:tc>
          <w:tcPr>
            <w:tcW w:type="dxa" w:w="35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Finance costs</w:t>
            </w:r>
          </w:p>
        </w:tc>
        <w:tc>
          <w:tcPr>
            <w:tcW w:type="dxa" w:w="107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(321.9)</w:t>
            </w:r>
          </w:p>
        </w:tc>
        <w:tc>
          <w:tcPr>
            <w:tcW w:type="dxa" w:w="10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(522.9)</w:t>
            </w:r>
          </w:p>
        </w:tc>
        <w:tc>
          <w:tcPr>
            <w:tcW w:type="dxa" w:w="10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(599.5)</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(691.0)</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(828.2)</w:t>
            </w:r>
          </w:p>
        </w:tc>
        <w:tc>
          <w:tcPr>
            <w:tcW w:type="dxa" w:w="11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(975.7)</w:t>
            </w:r>
          </w:p>
        </w:tc>
      </w:tr>
      <w:tr>
        <w:trPr>
          <w:cantSplit/>
        </w:trPr>
        <w:tc>
          <w:tcPr>
            <w:tcW w:type="dxa" w:w="35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PBT</w:t>
            </w:r>
          </w:p>
        </w:tc>
        <w:tc>
          <w:tcPr>
            <w:tcW w:type="dxa" w:w="107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(1,147.7)</w:t>
            </w:r>
          </w:p>
        </w:tc>
        <w:tc>
          <w:tcPr>
            <w:tcW w:type="dxa" w:w="10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(342.2)</w:t>
            </w:r>
          </w:p>
        </w:tc>
        <w:tc>
          <w:tcPr>
            <w:tcW w:type="dxa" w:w="10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674.2</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486.7</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985.0</w:t>
            </w:r>
          </w:p>
        </w:tc>
        <w:tc>
          <w:tcPr>
            <w:tcW w:type="dxa" w:w="11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484.6</w:t>
            </w:r>
          </w:p>
        </w:tc>
      </w:tr>
      <w:tr>
        <w:trPr>
          <w:cantSplit/>
        </w:trPr>
        <w:tc>
          <w:tcPr>
            <w:tcW w:type="dxa" w:w="35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Tax</w:t>
            </w:r>
          </w:p>
        </w:tc>
        <w:tc>
          <w:tcPr>
            <w:tcW w:type="dxa" w:w="107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96.7</w:t>
            </w:r>
          </w:p>
        </w:tc>
        <w:tc>
          <w:tcPr>
            <w:tcW w:type="dxa" w:w="10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(325.2)</w:t>
            </w:r>
          </w:p>
        </w:tc>
        <w:tc>
          <w:tcPr>
            <w:tcW w:type="dxa" w:w="10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(313.3)</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(324.6)</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(314.3)</w:t>
            </w:r>
          </w:p>
        </w:tc>
        <w:tc>
          <w:tcPr>
            <w:tcW w:type="dxa" w:w="11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(262.2)</w:t>
            </w:r>
          </w:p>
        </w:tc>
      </w:tr>
      <w:tr>
        <w:trPr>
          <w:cantSplit/>
        </w:trPr>
        <w:tc>
          <w:tcPr>
            <w:tcW w:type="dxa" w:w="3570"/>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5"/>
                <w:szCs w:val="15"/>
              </w:rPr>
              <w:t xml:space="preserve">Net income attributable</w:t>
            </w:r>
          </w:p>
        </w:tc>
        <w:tc>
          <w:tcPr>
            <w:tcW w:type="dxa" w:w="1074"/>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(946.8)</w:t>
            </w:r>
          </w:p>
        </w:tc>
        <w:tc>
          <w:tcPr>
            <w:tcW w:type="dxa" w:w="1077"/>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(520.0)</w:t>
            </w:r>
          </w:p>
        </w:tc>
        <w:tc>
          <w:tcPr>
            <w:tcW w:type="dxa" w:w="1059"/>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436.8</w:t>
            </w:r>
          </w:p>
        </w:tc>
        <w:tc>
          <w:tcPr>
            <w:tcW w:type="dxa" w:w="1095"/>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251.2</w:t>
            </w:r>
          </w:p>
        </w:tc>
        <w:tc>
          <w:tcPr>
            <w:tcW w:type="dxa" w:w="1095"/>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754.8</w:t>
            </w:r>
          </w:p>
        </w:tc>
        <w:tc>
          <w:tcPr>
            <w:tcW w:type="dxa" w:w="1110"/>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309.1</w:t>
            </w:r>
          </w:p>
        </w:tc>
      </w:tr>
      <w:tr>
        <w:trPr>
          <w:cantSplit/>
        </w:trPr>
        <w:tc>
          <w:tcPr>
            <w:tcW w:type="dxa" w:w="35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Net margin</w:t>
            </w:r>
          </w:p>
        </w:tc>
        <w:tc>
          <w:tcPr>
            <w:tcW w:type="dxa" w:w="107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-22.8%</w:t>
            </w:r>
          </w:p>
        </w:tc>
        <w:tc>
          <w:tcPr>
            <w:tcW w:type="dxa" w:w="10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-6.0%</w:t>
            </w:r>
          </w:p>
        </w:tc>
        <w:tc>
          <w:tcPr>
            <w:tcW w:type="dxa" w:w="10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4.3%</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2.3%</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6.4%</w:t>
            </w:r>
          </w:p>
        </w:tc>
        <w:tc>
          <w:tcPr>
            <w:tcW w:type="dxa" w:w="11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2.4%</w:t>
            </w:r>
          </w:p>
        </w:tc>
      </w:tr>
      <w:tr>
        <w:trPr>
          <w:cantSplit/>
        </w:trPr>
        <w:tc>
          <w:tcPr>
            <w:tcW w:type="dxa" w:w="35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EPS (sen)</w:t>
            </w:r>
          </w:p>
        </w:tc>
        <w:tc>
          <w:tcPr>
            <w:tcW w:type="dxa" w:w="107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(16.75)</w:t>
            </w:r>
          </w:p>
        </w:tc>
        <w:tc>
          <w:tcPr>
            <w:tcW w:type="dxa" w:w="10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(9.18)</w:t>
            </w:r>
          </w:p>
        </w:tc>
        <w:tc>
          <w:tcPr>
            <w:tcW w:type="dxa" w:w="10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7.71</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4.43</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13.32</w:t>
            </w:r>
          </w:p>
        </w:tc>
        <w:tc>
          <w:tcPr>
            <w:tcW w:type="dxa" w:w="11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5.45</w:t>
            </w:r>
          </w:p>
        </w:tc>
      </w:tr>
      <w:tr>
        <w:trPr>
          <w:cantSplit/>
        </w:trPr>
        <w:tc>
          <w:tcPr>
            <w:tcW w:type="dxa" w:w="35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DPS (sen)</w:t>
            </w:r>
          </w:p>
        </w:tc>
        <w:tc>
          <w:tcPr>
            <w:tcW w:type="dxa" w:w="107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9.0</w:t>
            </w:r>
          </w:p>
        </w:tc>
        <w:tc>
          <w:tcPr>
            <w:tcW w:type="dxa" w:w="10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15.0</w:t>
            </w:r>
          </w:p>
        </w:tc>
        <w:tc>
          <w:tcPr>
            <w:tcW w:type="dxa" w:w="10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15.0</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10.0</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7.0</w:t>
            </w:r>
          </w:p>
        </w:tc>
        <w:tc>
          <w:tcPr>
            <w:tcW w:type="dxa" w:w="11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n/a</w:t>
            </w:r>
          </w:p>
        </w:tc>
      </w:tr>
    </w:tbl>
    <w:p>
      <w:pPr>
        <w:spacing w:after="80" w:before="0"/>
      </w:pPr>
    </w:p>
    <w:p>
      <w:pPr>
        <w:spacing w:after="140" w:before="0"/>
      </w:pPr>
      <w:r>
        <w:rPr>
          <w:rFonts w:ascii="Arial" w:cs="Arial" w:eastAsia="Arial" w:hAnsi="Arial"/>
          <w:color w:val="6B7280"/>
          <w:sz w:val="15"/>
          <w:szCs w:val="15"/>
        </w:rPr>
        <w:t xml:space="preserve">Source: GENM AR2025 five-year summary, quarterly reports, S&amp;P Capital IQ. [e] = derived. FY2025 net income includes a RM129.1m bargain-purchase gain (Empire) and RM351.6m of unrealised FX gains; FY2021 reflects ~5 months of RWG closure.</w:t>
      </w:r>
    </w:p>
    <w:p>
      <w:pPr>
        <w:pStyle w:val="Heading2"/>
        <w:keepNext/>
      </w:pPr>
      <w:r>
        <w:rPr>
          <w:rFonts w:ascii="Arial" w:cs="Arial" w:eastAsia="Arial" w:hAnsi="Arial"/>
        </w:rPr>
        <w:t xml:space="preserve">8.2 Revenue and adj. EBITDA by division</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3849"/>
        <w:gridCol w:w="1010"/>
        <w:gridCol w:w="1000"/>
        <w:gridCol w:w="1102"/>
        <w:gridCol w:w="1034"/>
        <w:gridCol w:w="1025"/>
        <w:gridCol w:w="1060"/>
      </w:tblGrid>
      <w:tr>
        <w:trPr>
          <w:cantSplit/>
          <w:tblHeader/>
        </w:trPr>
        <w:tc>
          <w:tcPr>
            <w:tcW w:type="dxa" w:w="384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Revenue (RM m)</w:t>
            </w:r>
          </w:p>
        </w:tc>
        <w:tc>
          <w:tcPr>
            <w:tcW w:type="dxa" w:w="101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FY2021</w:t>
            </w:r>
          </w:p>
        </w:tc>
        <w:tc>
          <w:tcPr>
            <w:tcW w:type="dxa" w:w="100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FY2022</w:t>
            </w:r>
          </w:p>
        </w:tc>
        <w:tc>
          <w:tcPr>
            <w:tcW w:type="dxa" w:w="110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FY2023</w:t>
            </w:r>
          </w:p>
        </w:tc>
        <w:tc>
          <w:tcPr>
            <w:tcW w:type="dxa" w:w="1034"/>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FY2024</w:t>
            </w:r>
          </w:p>
        </w:tc>
        <w:tc>
          <w:tcPr>
            <w:tcW w:type="dxa" w:w="102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FY2025</w:t>
            </w:r>
          </w:p>
        </w:tc>
        <w:tc>
          <w:tcPr>
            <w:tcW w:type="dxa" w:w="106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CAGR FY22-25</w:t>
            </w:r>
          </w:p>
        </w:tc>
      </w:tr>
      <w:tr>
        <w:trPr>
          <w:cantSplit/>
        </w:trPr>
        <w:tc>
          <w:tcPr>
            <w:tcW w:type="dxa" w:w="384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L&amp;H Malaysia</w:t>
            </w:r>
          </w:p>
        </w:tc>
        <w:tc>
          <w:tcPr>
            <w:tcW w:type="dxa" w:w="10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1,590.3</w:t>
            </w:r>
          </w:p>
        </w:tc>
        <w:tc>
          <w:tcPr>
            <w:tcW w:type="dxa" w:w="100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5,258.8</w:t>
            </w:r>
          </w:p>
        </w:tc>
        <w:tc>
          <w:tcPr>
            <w:tcW w:type="dxa" w:w="11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6,450.2</w:t>
            </w:r>
          </w:p>
        </w:tc>
        <w:tc>
          <w:tcPr>
            <w:tcW w:type="dxa" w:w="103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6,823.0</w:t>
            </w:r>
          </w:p>
        </w:tc>
        <w:tc>
          <w:tcPr>
            <w:tcW w:type="dxa" w:w="10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7,133.5</w:t>
            </w:r>
          </w:p>
        </w:tc>
        <w:tc>
          <w:tcPr>
            <w:tcW w:type="dxa" w:w="10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10.7%</w:t>
            </w:r>
          </w:p>
        </w:tc>
      </w:tr>
      <w:tr>
        <w:trPr>
          <w:cantSplit/>
        </w:trPr>
        <w:tc>
          <w:tcPr>
            <w:tcW w:type="dxa" w:w="384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L&amp;H UK &amp; Egypt</w:t>
            </w:r>
          </w:p>
        </w:tc>
        <w:tc>
          <w:tcPr>
            <w:tcW w:type="dxa" w:w="10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1,064.7</w:t>
            </w:r>
          </w:p>
        </w:tc>
        <w:tc>
          <w:tcPr>
            <w:tcW w:type="dxa" w:w="100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1,505.5</w:t>
            </w:r>
          </w:p>
        </w:tc>
        <w:tc>
          <w:tcPr>
            <w:tcW w:type="dxa" w:w="11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1,667.4</w:t>
            </w:r>
          </w:p>
        </w:tc>
        <w:tc>
          <w:tcPr>
            <w:tcW w:type="dxa" w:w="103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1,895.6</w:t>
            </w:r>
          </w:p>
        </w:tc>
        <w:tc>
          <w:tcPr>
            <w:tcW w:type="dxa" w:w="10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1,994.2</w:t>
            </w:r>
          </w:p>
        </w:tc>
        <w:tc>
          <w:tcPr>
            <w:tcW w:type="dxa" w:w="10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9.8%</w:t>
            </w:r>
          </w:p>
        </w:tc>
      </w:tr>
      <w:tr>
        <w:trPr>
          <w:cantSplit/>
        </w:trPr>
        <w:tc>
          <w:tcPr>
            <w:tcW w:type="dxa" w:w="384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L&amp;H US &amp; Bahamas</w:t>
            </w:r>
          </w:p>
        </w:tc>
        <w:tc>
          <w:tcPr>
            <w:tcW w:type="dxa" w:w="10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1,324.1</w:t>
            </w:r>
          </w:p>
        </w:tc>
        <w:tc>
          <w:tcPr>
            <w:tcW w:type="dxa" w:w="100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1,659.7</w:t>
            </w:r>
          </w:p>
        </w:tc>
        <w:tc>
          <w:tcPr>
            <w:tcW w:type="dxa" w:w="11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1,875.6</w:t>
            </w:r>
          </w:p>
        </w:tc>
        <w:tc>
          <w:tcPr>
            <w:tcW w:type="dxa" w:w="103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1,980.1</w:t>
            </w:r>
          </w:p>
        </w:tc>
        <w:tc>
          <w:tcPr>
            <w:tcW w:type="dxa" w:w="10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2,566.0</w:t>
            </w:r>
          </w:p>
        </w:tc>
        <w:tc>
          <w:tcPr>
            <w:tcW w:type="dxa" w:w="10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15.6%</w:t>
            </w:r>
          </w:p>
        </w:tc>
      </w:tr>
      <w:tr>
        <w:trPr>
          <w:cantSplit/>
        </w:trPr>
        <w:tc>
          <w:tcPr>
            <w:tcW w:type="dxa" w:w="384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Property</w:t>
            </w:r>
          </w:p>
        </w:tc>
        <w:tc>
          <w:tcPr>
            <w:tcW w:type="dxa" w:w="10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187.3</w:t>
            </w:r>
          </w:p>
        </w:tc>
        <w:tc>
          <w:tcPr>
            <w:tcW w:type="dxa" w:w="100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95.6</w:t>
            </w:r>
          </w:p>
        </w:tc>
        <w:tc>
          <w:tcPr>
            <w:tcW w:type="dxa" w:w="11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106.3</w:t>
            </w:r>
          </w:p>
        </w:tc>
        <w:tc>
          <w:tcPr>
            <w:tcW w:type="dxa" w:w="103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93.6</w:t>
            </w:r>
          </w:p>
        </w:tc>
        <w:tc>
          <w:tcPr>
            <w:tcW w:type="dxa" w:w="10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94.1</w:t>
            </w:r>
          </w:p>
        </w:tc>
        <w:tc>
          <w:tcPr>
            <w:tcW w:type="dxa" w:w="10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-0.5%</w:t>
            </w:r>
          </w:p>
        </w:tc>
      </w:tr>
      <w:tr>
        <w:trPr>
          <w:cantSplit/>
        </w:trPr>
        <w:tc>
          <w:tcPr>
            <w:tcW w:type="dxa" w:w="384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Investments &amp; Others</w:t>
            </w:r>
          </w:p>
        </w:tc>
        <w:tc>
          <w:tcPr>
            <w:tcW w:type="dxa" w:w="10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158.0</w:t>
            </w:r>
          </w:p>
        </w:tc>
        <w:tc>
          <w:tcPr>
            <w:tcW w:type="dxa" w:w="100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282.7</w:t>
            </w:r>
          </w:p>
        </w:tc>
        <w:tc>
          <w:tcPr>
            <w:tcW w:type="dxa" w:w="11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289.1</w:t>
            </w:r>
          </w:p>
        </w:tc>
        <w:tc>
          <w:tcPr>
            <w:tcW w:type="dxa" w:w="103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119.5</w:t>
            </w:r>
          </w:p>
        </w:tc>
        <w:tc>
          <w:tcPr>
            <w:tcW w:type="dxa" w:w="10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96.5</w:t>
            </w:r>
          </w:p>
        </w:tc>
        <w:tc>
          <w:tcPr>
            <w:tcW w:type="dxa" w:w="10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n.m.</w:t>
            </w:r>
          </w:p>
        </w:tc>
      </w:tr>
      <w:tr>
        <w:trPr>
          <w:cantSplit/>
        </w:trPr>
        <w:tc>
          <w:tcPr>
            <w:tcW w:type="dxa" w:w="384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Eliminations (FY21-23 gross basis)</w:t>
            </w:r>
          </w:p>
        </w:tc>
        <w:tc>
          <w:tcPr>
            <w:tcW w:type="dxa" w:w="10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(167.7)</w:t>
            </w:r>
          </w:p>
        </w:tc>
        <w:tc>
          <w:tcPr>
            <w:tcW w:type="dxa" w:w="100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(199.3)</w:t>
            </w:r>
          </w:p>
        </w:tc>
        <w:tc>
          <w:tcPr>
            <w:tcW w:type="dxa" w:w="11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(199.2)</w:t>
            </w:r>
          </w:p>
        </w:tc>
        <w:tc>
          <w:tcPr>
            <w:tcW w:type="dxa" w:w="103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w:t>
            </w:r>
          </w:p>
        </w:tc>
        <w:tc>
          <w:tcPr>
            <w:tcW w:type="dxa" w:w="10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w:t>
            </w:r>
          </w:p>
        </w:tc>
        <w:tc>
          <w:tcPr>
            <w:tcW w:type="dxa" w:w="10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p>
        </w:tc>
      </w:tr>
      <w:tr>
        <w:trPr>
          <w:cantSplit/>
        </w:trPr>
        <w:tc>
          <w:tcPr>
            <w:tcW w:type="dxa" w:w="3849"/>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5"/>
                <w:szCs w:val="15"/>
              </w:rPr>
              <w:t xml:space="preserve">Group</w:t>
            </w:r>
          </w:p>
        </w:tc>
        <w:tc>
          <w:tcPr>
            <w:tcW w:type="dxa" w:w="1010"/>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4,156.7</w:t>
            </w:r>
          </w:p>
        </w:tc>
        <w:tc>
          <w:tcPr>
            <w:tcW w:type="dxa" w:w="1000"/>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8,603.0</w:t>
            </w:r>
          </w:p>
        </w:tc>
        <w:tc>
          <w:tcPr>
            <w:tcW w:type="dxa" w:w="1102"/>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10,189.4</w:t>
            </w:r>
          </w:p>
        </w:tc>
        <w:tc>
          <w:tcPr>
            <w:tcW w:type="dxa" w:w="1034"/>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10,911.8</w:t>
            </w:r>
          </w:p>
        </w:tc>
        <w:tc>
          <w:tcPr>
            <w:tcW w:type="dxa" w:w="1025"/>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11,884.3</w:t>
            </w:r>
          </w:p>
        </w:tc>
        <w:tc>
          <w:tcPr>
            <w:tcW w:type="dxa" w:w="1060"/>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11.4%</w:t>
            </w:r>
          </w:p>
        </w:tc>
      </w:tr>
    </w:tbl>
    <w:p>
      <w:pPr>
        <w:spacing w:after="80" w:before="0"/>
      </w:pP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4240"/>
        <w:gridCol w:w="1048"/>
        <w:gridCol w:w="1210"/>
        <w:gridCol w:w="1200"/>
        <w:gridCol w:w="1191"/>
        <w:gridCol w:w="1191"/>
      </w:tblGrid>
      <w:tr>
        <w:trPr>
          <w:cantSplit/>
          <w:tblHeader/>
        </w:trPr>
        <w:tc>
          <w:tcPr>
            <w:tcW w:type="dxa" w:w="424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Adj. EBITDA (RM m) and margin</w:t>
            </w:r>
          </w:p>
        </w:tc>
        <w:tc>
          <w:tcPr>
            <w:tcW w:type="dxa" w:w="1048"/>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FY2021</w:t>
            </w:r>
          </w:p>
        </w:tc>
        <w:tc>
          <w:tcPr>
            <w:tcW w:type="dxa" w:w="121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FY2022</w:t>
            </w:r>
          </w:p>
        </w:tc>
        <w:tc>
          <w:tcPr>
            <w:tcW w:type="dxa" w:w="120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FY2023</w:t>
            </w:r>
          </w:p>
        </w:tc>
        <w:tc>
          <w:tcPr>
            <w:tcW w:type="dxa" w:w="119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FY2024</w:t>
            </w:r>
          </w:p>
        </w:tc>
        <w:tc>
          <w:tcPr>
            <w:tcW w:type="dxa" w:w="119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FY2025</w:t>
            </w:r>
          </w:p>
        </w:tc>
      </w:tr>
      <w:tr>
        <w:trPr>
          <w:cantSplit/>
        </w:trPr>
        <w:tc>
          <w:tcPr>
            <w:tcW w:type="dxa" w:w="424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L&amp;H Malaysia</w:t>
            </w:r>
          </w:p>
        </w:tc>
        <w:tc>
          <w:tcPr>
            <w:tcW w:type="dxa" w:w="104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15.5</w:t>
            </w:r>
          </w:p>
        </w:tc>
        <w:tc>
          <w:tcPr>
            <w:tcW w:type="dxa" w:w="12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1,634.3</w:t>
            </w:r>
          </w:p>
        </w:tc>
        <w:tc>
          <w:tcPr>
            <w:tcW w:type="dxa" w:w="120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2,062.2</w:t>
            </w:r>
          </w:p>
        </w:tc>
        <w:tc>
          <w:tcPr>
            <w:tcW w:type="dxa" w:w="119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2,092.2</w:t>
            </w:r>
          </w:p>
        </w:tc>
        <w:tc>
          <w:tcPr>
            <w:tcW w:type="dxa" w:w="119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2,138.7</w:t>
            </w:r>
          </w:p>
        </w:tc>
      </w:tr>
      <w:tr>
        <w:trPr>
          <w:cantSplit/>
        </w:trPr>
        <w:tc>
          <w:tcPr>
            <w:tcW w:type="dxa" w:w="424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i/>
                <w:iCs/>
                <w:color w:val="1F2937"/>
                <w:sz w:val="16"/>
                <w:szCs w:val="16"/>
              </w:rPr>
              <w:t xml:space="preserve">margin</w:t>
            </w:r>
          </w:p>
        </w:tc>
        <w:tc>
          <w:tcPr>
            <w:tcW w:type="dxa" w:w="104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1.0%</w:t>
            </w:r>
          </w:p>
        </w:tc>
        <w:tc>
          <w:tcPr>
            <w:tcW w:type="dxa" w:w="12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31.1%</w:t>
            </w:r>
          </w:p>
        </w:tc>
        <w:tc>
          <w:tcPr>
            <w:tcW w:type="dxa" w:w="120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32.0%</w:t>
            </w:r>
          </w:p>
        </w:tc>
        <w:tc>
          <w:tcPr>
            <w:tcW w:type="dxa" w:w="119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30.7%</w:t>
            </w:r>
          </w:p>
        </w:tc>
        <w:tc>
          <w:tcPr>
            <w:tcW w:type="dxa" w:w="119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30.0%</w:t>
            </w:r>
          </w:p>
        </w:tc>
      </w:tr>
      <w:tr>
        <w:trPr>
          <w:cantSplit/>
        </w:trPr>
        <w:tc>
          <w:tcPr>
            <w:tcW w:type="dxa" w:w="424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L&amp;H UK &amp; Egypt</w:t>
            </w:r>
          </w:p>
        </w:tc>
        <w:tc>
          <w:tcPr>
            <w:tcW w:type="dxa" w:w="104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243.5</w:t>
            </w:r>
          </w:p>
        </w:tc>
        <w:tc>
          <w:tcPr>
            <w:tcW w:type="dxa" w:w="12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300.2</w:t>
            </w:r>
          </w:p>
        </w:tc>
        <w:tc>
          <w:tcPr>
            <w:tcW w:type="dxa" w:w="120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291.2</w:t>
            </w:r>
          </w:p>
        </w:tc>
        <w:tc>
          <w:tcPr>
            <w:tcW w:type="dxa" w:w="119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297.9</w:t>
            </w:r>
          </w:p>
        </w:tc>
        <w:tc>
          <w:tcPr>
            <w:tcW w:type="dxa" w:w="119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322.1</w:t>
            </w:r>
          </w:p>
        </w:tc>
      </w:tr>
      <w:tr>
        <w:trPr>
          <w:cantSplit/>
        </w:trPr>
        <w:tc>
          <w:tcPr>
            <w:tcW w:type="dxa" w:w="424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i/>
                <w:iCs/>
                <w:color w:val="1F2937"/>
                <w:sz w:val="16"/>
                <w:szCs w:val="16"/>
              </w:rPr>
              <w:t xml:space="preserve">margin</w:t>
            </w:r>
          </w:p>
        </w:tc>
        <w:tc>
          <w:tcPr>
            <w:tcW w:type="dxa" w:w="104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22.9%</w:t>
            </w:r>
          </w:p>
        </w:tc>
        <w:tc>
          <w:tcPr>
            <w:tcW w:type="dxa" w:w="12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19.9%</w:t>
            </w:r>
          </w:p>
        </w:tc>
        <w:tc>
          <w:tcPr>
            <w:tcW w:type="dxa" w:w="120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17.5%</w:t>
            </w:r>
          </w:p>
        </w:tc>
        <w:tc>
          <w:tcPr>
            <w:tcW w:type="dxa" w:w="119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15.7%</w:t>
            </w:r>
          </w:p>
        </w:tc>
        <w:tc>
          <w:tcPr>
            <w:tcW w:type="dxa" w:w="119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16.2%</w:t>
            </w:r>
          </w:p>
        </w:tc>
      </w:tr>
      <w:tr>
        <w:trPr>
          <w:cantSplit/>
        </w:trPr>
        <w:tc>
          <w:tcPr>
            <w:tcW w:type="dxa" w:w="424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L&amp;H US &amp; Bahamas</w:t>
            </w:r>
          </w:p>
        </w:tc>
        <w:tc>
          <w:tcPr>
            <w:tcW w:type="dxa" w:w="104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415.0</w:t>
            </w:r>
          </w:p>
        </w:tc>
        <w:tc>
          <w:tcPr>
            <w:tcW w:type="dxa" w:w="12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477.6</w:t>
            </w:r>
          </w:p>
        </w:tc>
        <w:tc>
          <w:tcPr>
            <w:tcW w:type="dxa" w:w="120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550.4</w:t>
            </w:r>
          </w:p>
        </w:tc>
        <w:tc>
          <w:tcPr>
            <w:tcW w:type="dxa" w:w="119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530.2</w:t>
            </w:r>
          </w:p>
        </w:tc>
        <w:tc>
          <w:tcPr>
            <w:tcW w:type="dxa" w:w="119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472.4</w:t>
            </w:r>
          </w:p>
        </w:tc>
      </w:tr>
      <w:tr>
        <w:trPr>
          <w:cantSplit/>
        </w:trPr>
        <w:tc>
          <w:tcPr>
            <w:tcW w:type="dxa" w:w="424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i/>
                <w:iCs/>
                <w:color w:val="1F2937"/>
                <w:sz w:val="16"/>
                <w:szCs w:val="16"/>
              </w:rPr>
              <w:t xml:space="preserve">margin</w:t>
            </w:r>
          </w:p>
        </w:tc>
        <w:tc>
          <w:tcPr>
            <w:tcW w:type="dxa" w:w="104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31.3%</w:t>
            </w:r>
          </w:p>
        </w:tc>
        <w:tc>
          <w:tcPr>
            <w:tcW w:type="dxa" w:w="12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28.8%</w:t>
            </w:r>
          </w:p>
        </w:tc>
        <w:tc>
          <w:tcPr>
            <w:tcW w:type="dxa" w:w="120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29.3%</w:t>
            </w:r>
          </w:p>
        </w:tc>
        <w:tc>
          <w:tcPr>
            <w:tcW w:type="dxa" w:w="119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26.8%</w:t>
            </w:r>
          </w:p>
        </w:tc>
        <w:tc>
          <w:tcPr>
            <w:tcW w:type="dxa" w:w="119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18.4%</w:t>
            </w:r>
          </w:p>
        </w:tc>
      </w:tr>
      <w:tr>
        <w:trPr>
          <w:cantSplit/>
        </w:trPr>
        <w:tc>
          <w:tcPr>
            <w:tcW w:type="dxa" w:w="424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Property</w:t>
            </w:r>
          </w:p>
        </w:tc>
        <w:tc>
          <w:tcPr>
            <w:tcW w:type="dxa" w:w="104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113.0</w:t>
            </w:r>
          </w:p>
        </w:tc>
        <w:tc>
          <w:tcPr>
            <w:tcW w:type="dxa" w:w="12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14.9</w:t>
            </w:r>
          </w:p>
        </w:tc>
        <w:tc>
          <w:tcPr>
            <w:tcW w:type="dxa" w:w="120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5.7</w:t>
            </w:r>
          </w:p>
        </w:tc>
        <w:tc>
          <w:tcPr>
            <w:tcW w:type="dxa" w:w="119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8.2</w:t>
            </w:r>
          </w:p>
        </w:tc>
        <w:tc>
          <w:tcPr>
            <w:tcW w:type="dxa" w:w="119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15.7</w:t>
            </w:r>
          </w:p>
        </w:tc>
      </w:tr>
      <w:tr>
        <w:trPr>
          <w:cantSplit/>
        </w:trPr>
        <w:tc>
          <w:tcPr>
            <w:tcW w:type="dxa" w:w="424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Investments &amp; Others (incl. FX)</w:t>
            </w:r>
          </w:p>
        </w:tc>
        <w:tc>
          <w:tcPr>
            <w:tcW w:type="dxa" w:w="104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(60.0)</w:t>
            </w:r>
          </w:p>
        </w:tc>
        <w:tc>
          <w:tcPr>
            <w:tcW w:type="dxa" w:w="12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(310.4)</w:t>
            </w:r>
          </w:p>
        </w:tc>
        <w:tc>
          <w:tcPr>
            <w:tcW w:type="dxa" w:w="120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(277.3)</w:t>
            </w:r>
          </w:p>
        </w:tc>
        <w:tc>
          <w:tcPr>
            <w:tcW w:type="dxa" w:w="119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(18.1)</w:t>
            </w:r>
          </w:p>
        </w:tc>
        <w:tc>
          <w:tcPr>
            <w:tcW w:type="dxa" w:w="119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348.7</w:t>
            </w:r>
          </w:p>
        </w:tc>
      </w:tr>
      <w:tr>
        <w:trPr>
          <w:cantSplit/>
        </w:trPr>
        <w:tc>
          <w:tcPr>
            <w:tcW w:type="dxa" w:w="4240"/>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Group</w:t>
            </w:r>
          </w:p>
        </w:tc>
        <w:tc>
          <w:tcPr>
            <w:tcW w:type="dxa" w:w="1048"/>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727.0</w:t>
            </w:r>
          </w:p>
        </w:tc>
        <w:tc>
          <w:tcPr>
            <w:tcW w:type="dxa" w:w="1210"/>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2,116.6</w:t>
            </w:r>
          </w:p>
        </w:tc>
        <w:tc>
          <w:tcPr>
            <w:tcW w:type="dxa" w:w="1200"/>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2,632.2</w:t>
            </w:r>
          </w:p>
        </w:tc>
        <w:tc>
          <w:tcPr>
            <w:tcW w:type="dxa" w:w="1191"/>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2,910.4</w:t>
            </w:r>
          </w:p>
        </w:tc>
        <w:tc>
          <w:tcPr>
            <w:tcW w:type="dxa" w:w="1191"/>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3,297.6</w:t>
            </w:r>
          </w:p>
        </w:tc>
      </w:tr>
    </w:tbl>
    <w:p>
      <w:pPr>
        <w:spacing w:after="80" w:before="0"/>
      </w:pP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4709"/>
        <w:gridCol w:w="1049"/>
        <w:gridCol w:w="984"/>
        <w:gridCol w:w="1112"/>
        <w:gridCol w:w="1112"/>
        <w:gridCol w:w="1114"/>
      </w:tblGrid>
      <w:tr>
        <w:trPr>
          <w:cantSplit/>
          <w:tblHeader/>
        </w:trPr>
        <w:tc>
          <w:tcPr>
            <w:tcW w:type="dxa" w:w="470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Segment EBIT [e] (adj. EBITDA less segment D&amp;A)</w:t>
            </w:r>
          </w:p>
        </w:tc>
        <w:tc>
          <w:tcPr>
            <w:tcW w:type="dxa" w:w="104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FY2021</w:t>
            </w:r>
          </w:p>
        </w:tc>
        <w:tc>
          <w:tcPr>
            <w:tcW w:type="dxa" w:w="984"/>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FY2022</w:t>
            </w:r>
          </w:p>
        </w:tc>
        <w:tc>
          <w:tcPr>
            <w:tcW w:type="dxa" w:w="111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FY2023</w:t>
            </w:r>
          </w:p>
        </w:tc>
        <w:tc>
          <w:tcPr>
            <w:tcW w:type="dxa" w:w="111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FY2024</w:t>
            </w:r>
          </w:p>
        </w:tc>
        <w:tc>
          <w:tcPr>
            <w:tcW w:type="dxa" w:w="1114"/>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FY2025 [e]</w:t>
            </w:r>
          </w:p>
        </w:tc>
      </w:tr>
      <w:tr>
        <w:trPr>
          <w:cantSplit/>
        </w:trPr>
        <w:tc>
          <w:tcPr>
            <w:tcW w:type="dxa" w:w="470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L&amp;H Malaysia</w:t>
            </w:r>
          </w:p>
        </w:tc>
        <w:tc>
          <w:tcPr>
            <w:tcW w:type="dxa" w:w="104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(545.8)</w:t>
            </w:r>
          </w:p>
        </w:tc>
        <w:tc>
          <w:tcPr>
            <w:tcW w:type="dxa" w:w="98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971.6</w:t>
            </w:r>
          </w:p>
        </w:tc>
        <w:tc>
          <w:tcPr>
            <w:tcW w:type="dxa" w:w="111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1,377.5</w:t>
            </w:r>
          </w:p>
        </w:tc>
        <w:tc>
          <w:tcPr>
            <w:tcW w:type="dxa" w:w="111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1,408.9</w:t>
            </w:r>
          </w:p>
        </w:tc>
        <w:tc>
          <w:tcPr>
            <w:tcW w:type="dxa" w:w="111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~1,440</w:t>
            </w:r>
          </w:p>
        </w:tc>
      </w:tr>
      <w:tr>
        <w:trPr>
          <w:cantSplit/>
        </w:trPr>
        <w:tc>
          <w:tcPr>
            <w:tcW w:type="dxa" w:w="470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L&amp;H UK &amp; Egypt</w:t>
            </w:r>
          </w:p>
        </w:tc>
        <w:tc>
          <w:tcPr>
            <w:tcW w:type="dxa" w:w="104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45.9</w:t>
            </w:r>
          </w:p>
        </w:tc>
        <w:tc>
          <w:tcPr>
            <w:tcW w:type="dxa" w:w="98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126.4</w:t>
            </w:r>
          </w:p>
        </w:tc>
        <w:tc>
          <w:tcPr>
            <w:tcW w:type="dxa" w:w="111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111.6</w:t>
            </w:r>
          </w:p>
        </w:tc>
        <w:tc>
          <w:tcPr>
            <w:tcW w:type="dxa" w:w="111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120.3</w:t>
            </w:r>
          </w:p>
        </w:tc>
        <w:tc>
          <w:tcPr>
            <w:tcW w:type="dxa" w:w="111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~135</w:t>
            </w:r>
          </w:p>
        </w:tc>
      </w:tr>
      <w:tr>
        <w:trPr>
          <w:cantSplit/>
        </w:trPr>
        <w:tc>
          <w:tcPr>
            <w:tcW w:type="dxa" w:w="470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L&amp;H US &amp; Bahamas</w:t>
            </w:r>
          </w:p>
        </w:tc>
        <w:tc>
          <w:tcPr>
            <w:tcW w:type="dxa" w:w="104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138.7</w:t>
            </w:r>
          </w:p>
        </w:tc>
        <w:tc>
          <w:tcPr>
            <w:tcW w:type="dxa" w:w="98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152.1</w:t>
            </w:r>
          </w:p>
        </w:tc>
        <w:tc>
          <w:tcPr>
            <w:tcW w:type="dxa" w:w="111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217.7</w:t>
            </w:r>
          </w:p>
        </w:tc>
        <w:tc>
          <w:tcPr>
            <w:tcW w:type="dxa" w:w="111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184.9</w:t>
            </w:r>
          </w:p>
        </w:tc>
        <w:tc>
          <w:tcPr>
            <w:tcW w:type="dxa" w:w="111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~70</w:t>
            </w:r>
          </w:p>
        </w:tc>
      </w:tr>
      <w:tr>
        <w:trPr>
          <w:cantSplit/>
        </w:trPr>
        <w:tc>
          <w:tcPr>
            <w:tcW w:type="dxa" w:w="470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Property</w:t>
            </w:r>
          </w:p>
        </w:tc>
        <w:tc>
          <w:tcPr>
            <w:tcW w:type="dxa" w:w="104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91.1</w:t>
            </w:r>
          </w:p>
        </w:tc>
        <w:tc>
          <w:tcPr>
            <w:tcW w:type="dxa" w:w="98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(10.3)</w:t>
            </w:r>
          </w:p>
        </w:tc>
        <w:tc>
          <w:tcPr>
            <w:tcW w:type="dxa" w:w="111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(18.6)</w:t>
            </w:r>
          </w:p>
        </w:tc>
        <w:tc>
          <w:tcPr>
            <w:tcW w:type="dxa" w:w="111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(20.7)</w:t>
            </w:r>
          </w:p>
        </w:tc>
        <w:tc>
          <w:tcPr>
            <w:tcW w:type="dxa" w:w="111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~(15)</w:t>
            </w:r>
          </w:p>
        </w:tc>
      </w:tr>
      <w:tr>
        <w:trPr>
          <w:cantSplit/>
        </w:trPr>
        <w:tc>
          <w:tcPr>
            <w:tcW w:type="dxa" w:w="470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i/>
                <w:iCs/>
                <w:color w:val="1F2937"/>
                <w:sz w:val="16"/>
                <w:szCs w:val="16"/>
              </w:rPr>
              <w:t xml:space="preserve">Malaysia EBIT margin</w:t>
            </w:r>
          </w:p>
        </w:tc>
        <w:tc>
          <w:tcPr>
            <w:tcW w:type="dxa" w:w="104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n.m.</w:t>
            </w:r>
          </w:p>
        </w:tc>
        <w:tc>
          <w:tcPr>
            <w:tcW w:type="dxa" w:w="98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18.5%</w:t>
            </w:r>
          </w:p>
        </w:tc>
        <w:tc>
          <w:tcPr>
            <w:tcW w:type="dxa" w:w="111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21.4%</w:t>
            </w:r>
          </w:p>
        </w:tc>
        <w:tc>
          <w:tcPr>
            <w:tcW w:type="dxa" w:w="111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20.6%</w:t>
            </w:r>
          </w:p>
        </w:tc>
        <w:tc>
          <w:tcPr>
            <w:tcW w:type="dxa" w:w="111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~20%</w:t>
            </w:r>
          </w:p>
        </w:tc>
      </w:tr>
    </w:tbl>
    <w:p>
      <w:pPr>
        <w:spacing w:after="80" w:before="0"/>
      </w:pPr>
    </w:p>
    <w:p>
      <w:pPr>
        <w:spacing w:after="140" w:before="0"/>
      </w:pPr>
      <w:r>
        <w:rPr>
          <w:rFonts w:ascii="Arial" w:cs="Arial" w:eastAsia="Arial" w:hAnsi="Arial"/>
          <w:color w:val="6B7280"/>
          <w:sz w:val="15"/>
          <w:szCs w:val="15"/>
        </w:rPr>
        <w:t xml:space="preserve">Source: S&amp;P Capital IQ segments, GENM AR2025. GENM does not disclose segment D&amp;A for FY2025 or </w:t>
      </w:r>
      <w:r>
        <w:rPr>
          <w:rFonts w:ascii="Arial" w:cs="Arial" w:eastAsia="Arial" w:hAnsi="Arial"/>
          <w:b/>
          <w:bCs/>
          <w:color w:val="6B7280"/>
          <w:sz w:val="15"/>
          <w:szCs w:val="15"/>
        </w:rPr>
        <w:t xml:space="preserve">segment PBT/net income</w:t>
      </w:r>
      <w:r>
        <w:rPr>
          <w:rFonts w:ascii="Arial" w:cs="Arial" w:eastAsia="Arial" w:hAnsi="Arial"/>
          <w:color w:val="6B7280"/>
          <w:sz w:val="15"/>
          <w:szCs w:val="15"/>
        </w:rPr>
        <w:t xml:space="preserve">; FY2025 segment EBIT is our estimate using FY2024 D&amp;A shares. Net income is reported only at group level (see 8.1). On an indicative basis, Malaysia generates more than 100% of group net income [e]: the overseas segments' EBIT is roughly absorbed by group finance costs, which largely fund the US.</w:t>
      </w:r>
    </w:p>
    <w:p>
      <w:pPr>
        <w:keepNext/>
        <w:spacing w:after="40" w:before="120"/>
        <w:jc w:val="center"/>
      </w:pPr>
      <w:r>
        <w:drawing>
          <wp:inline distT="0" distB="0" distL="0" distR="0">
            <wp:extent cx="6400800" cy="2486025"/>
            <wp:effectExtent t="0" r="0" b="0" l="0"/>
            <wp:docPr id="1" name="fig2" descr="L&amp;H revenue and adj. EBITDA by region, FY2021-FY2025."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2486025"/>
                    </a:xfrm>
                    <a:prstGeom prst="rect">
                      <a:avLst/>
                    </a:prstGeom>
                  </pic:spPr>
                </pic:pic>
              </a:graphicData>
            </a:graphic>
          </wp:inline>
        </w:drawing>
      </w:r>
    </w:p>
    <w:p>
      <w:pPr>
        <w:spacing w:after="160" w:before="0"/>
      </w:pPr>
      <w:r>
        <w:rPr>
          <w:rFonts w:ascii="Arial" w:cs="Arial" w:eastAsia="Arial" w:hAnsi="Arial"/>
          <w:i/>
          <w:iCs/>
          <w:color w:val="6B7280"/>
          <w:sz w:val="15"/>
          <w:szCs w:val="15"/>
        </w:rPr>
        <w:t xml:space="preserve">Figure 2: L&amp;H revenue and adj. EBITDA by region, FY2021-FY2025.</w:t>
      </w:r>
    </w:p>
    <w:p>
      <w:pPr>
        <w:pStyle w:val="Heading2"/>
        <w:keepNext/>
      </w:pPr>
      <w:r>
        <w:rPr>
          <w:rFonts w:ascii="Arial" w:cs="Arial" w:eastAsia="Arial" w:hAnsi="Arial"/>
        </w:rPr>
        <w:t xml:space="preserve">8.3 Geography</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3481"/>
        <w:gridCol w:w="1379"/>
        <w:gridCol w:w="1379"/>
        <w:gridCol w:w="1132"/>
        <w:gridCol w:w="1577"/>
        <w:gridCol w:w="1132"/>
      </w:tblGrid>
      <w:tr>
        <w:trPr>
          <w:cantSplit/>
          <w:tblHeader/>
        </w:trPr>
        <w:tc>
          <w:tcPr>
            <w:tcW w:type="dxa" w:w="348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Revenue by customer location (RM m)</w:t>
            </w:r>
          </w:p>
        </w:tc>
        <w:tc>
          <w:tcPr>
            <w:tcW w:type="dxa" w:w="137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FY2024</w:t>
            </w:r>
          </w:p>
        </w:tc>
        <w:tc>
          <w:tcPr>
            <w:tcW w:type="dxa" w:w="137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FY2025</w:t>
            </w:r>
          </w:p>
        </w:tc>
        <w:tc>
          <w:tcPr>
            <w:tcW w:type="dxa" w:w="113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FY2025 share</w:t>
            </w:r>
          </w:p>
        </w:tc>
        <w:tc>
          <w:tcPr>
            <w:tcW w:type="dxa" w:w="157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1H2026</w:t>
            </w:r>
          </w:p>
        </w:tc>
        <w:tc>
          <w:tcPr>
            <w:tcW w:type="dxa" w:w="113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1H2026 share</w:t>
            </w:r>
          </w:p>
        </w:tc>
      </w:tr>
      <w:tr>
        <w:trPr>
          <w:cantSplit/>
        </w:trPr>
        <w:tc>
          <w:tcPr>
            <w:tcW w:type="dxa" w:w="34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Malaysia</w:t>
            </w:r>
          </w:p>
        </w:tc>
        <w:tc>
          <w:tcPr>
            <w:tcW w:type="dxa" w:w="13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6,950.1</w:t>
            </w:r>
          </w:p>
        </w:tc>
        <w:tc>
          <w:tcPr>
            <w:tcW w:type="dxa" w:w="13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7,245.1</w:t>
            </w:r>
          </w:p>
        </w:tc>
        <w:tc>
          <w:tcPr>
            <w:tcW w:type="dxa" w:w="113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61%</w:t>
            </w:r>
          </w:p>
        </w:tc>
        <w:tc>
          <w:tcPr>
            <w:tcW w:type="dxa" w:w="15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~3,525 [e]</w:t>
            </w:r>
          </w:p>
        </w:tc>
        <w:tc>
          <w:tcPr>
            <w:tcW w:type="dxa" w:w="113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52%</w:t>
            </w:r>
          </w:p>
        </w:tc>
      </w:tr>
      <w:tr>
        <w:trPr>
          <w:cantSplit/>
        </w:trPr>
        <w:tc>
          <w:tcPr>
            <w:tcW w:type="dxa" w:w="34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UK &amp; Egypt</w:t>
            </w:r>
          </w:p>
        </w:tc>
        <w:tc>
          <w:tcPr>
            <w:tcW w:type="dxa" w:w="13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1,895.6</w:t>
            </w:r>
          </w:p>
        </w:tc>
        <w:tc>
          <w:tcPr>
            <w:tcW w:type="dxa" w:w="13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1,994.2</w:t>
            </w:r>
          </w:p>
        </w:tc>
        <w:tc>
          <w:tcPr>
            <w:tcW w:type="dxa" w:w="113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17%</w:t>
            </w:r>
          </w:p>
        </w:tc>
        <w:tc>
          <w:tcPr>
            <w:tcW w:type="dxa" w:w="15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966.9</w:t>
            </w:r>
          </w:p>
        </w:tc>
        <w:tc>
          <w:tcPr>
            <w:tcW w:type="dxa" w:w="113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14%</w:t>
            </w:r>
          </w:p>
        </w:tc>
      </w:tr>
      <w:tr>
        <w:trPr>
          <w:cantSplit/>
        </w:trPr>
        <w:tc>
          <w:tcPr>
            <w:tcW w:type="dxa" w:w="34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US &amp; Bahamas</w:t>
            </w:r>
          </w:p>
        </w:tc>
        <w:tc>
          <w:tcPr>
            <w:tcW w:type="dxa" w:w="13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2,066.1</w:t>
            </w:r>
          </w:p>
        </w:tc>
        <w:tc>
          <w:tcPr>
            <w:tcW w:type="dxa" w:w="13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2,645.0</w:t>
            </w:r>
          </w:p>
        </w:tc>
        <w:tc>
          <w:tcPr>
            <w:tcW w:type="dxa" w:w="113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22%</w:t>
            </w:r>
          </w:p>
        </w:tc>
        <w:tc>
          <w:tcPr>
            <w:tcW w:type="dxa" w:w="15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2,228.0</w:t>
            </w:r>
          </w:p>
        </w:tc>
        <w:tc>
          <w:tcPr>
            <w:tcW w:type="dxa" w:w="113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33%</w:t>
            </w:r>
          </w:p>
        </w:tc>
      </w:tr>
      <w:tr>
        <w:trPr>
          <w:cantSplit/>
        </w:trPr>
        <w:tc>
          <w:tcPr>
            <w:tcW w:type="dxa" w:w="3481"/>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Total</w:t>
            </w:r>
          </w:p>
        </w:tc>
        <w:tc>
          <w:tcPr>
            <w:tcW w:type="dxa" w:w="1379"/>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10,911.8</w:t>
            </w:r>
          </w:p>
        </w:tc>
        <w:tc>
          <w:tcPr>
            <w:tcW w:type="dxa" w:w="1379"/>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11,884.3</w:t>
            </w:r>
          </w:p>
        </w:tc>
        <w:tc>
          <w:tcPr>
            <w:tcW w:type="dxa" w:w="1132"/>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p>
        </w:tc>
        <w:tc>
          <w:tcPr>
            <w:tcW w:type="dxa" w:w="1577"/>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6,720.2</w:t>
            </w:r>
          </w:p>
        </w:tc>
        <w:tc>
          <w:tcPr>
            <w:tcW w:type="dxa" w:w="1132"/>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p>
        </w:tc>
      </w:tr>
    </w:tbl>
    <w:p>
      <w:pPr>
        <w:spacing w:after="80" w:before="0"/>
      </w:pPr>
    </w:p>
    <w:p>
      <w:pPr>
        <w:pStyle w:val="Heading2"/>
        <w:keepNext/>
      </w:pPr>
      <w:r>
        <w:rPr>
          <w:rFonts w:ascii="Arial" w:cs="Arial" w:eastAsia="Arial" w:hAnsi="Arial"/>
        </w:rPr>
        <w:t xml:space="preserve">8.4 Trends in growth and margins: what changed and why</w:t>
      </w:r>
    </w:p>
    <w:p>
      <w:pPr>
        <w:pStyle w:val="ListParagraph"/>
        <w:numPr>
          <w:ilvl w:val="0"/>
          <w:numId w:val="3"/>
        </w:numPr>
        <w:spacing w:after="60" w:before="0" w:line="252"/>
      </w:pPr>
      <w:r>
        <w:rPr>
          <w:rFonts w:ascii="Arial" w:cs="Arial" w:eastAsia="Arial" w:hAnsi="Arial"/>
          <w:b/>
          <w:bCs/>
          <w:color w:val="1F2937"/>
          <w:sz w:val="19"/>
          <w:szCs w:val="19"/>
        </w:rPr>
        <w:t xml:space="preserve">FY2021-22: Covid and reopening.</w:t>
      </w:r>
      <w:r>
        <w:rPr>
          <w:rFonts w:ascii="Arial" w:cs="Arial" w:eastAsia="Arial" w:hAnsi="Arial"/>
          <w:color w:val="1F2937"/>
          <w:sz w:val="19"/>
          <w:szCs w:val="19"/>
        </w:rPr>
        <w:t xml:space="preserve"> RWG was shut for ~5 months in 2021 (Malaysia EBITDA RM15.5m). Revenue doubled in FY2022 as Malaysia reopened (1-Apr-2022) and Genting SkyWorlds opened (Feb-2022). Group net losses persisted on D&amp;A, interest and Empire associate losses.</w:t>
      </w:r>
    </w:p>
    <w:p>
      <w:pPr>
        <w:pStyle w:val="ListParagraph"/>
        <w:numPr>
          <w:ilvl w:val="0"/>
          <w:numId w:val="3"/>
        </w:numPr>
        <w:spacing w:after="60" w:before="0" w:line="252"/>
      </w:pPr>
      <w:r>
        <w:rPr>
          <w:rFonts w:ascii="Arial" w:cs="Arial" w:eastAsia="Arial" w:hAnsi="Arial"/>
          <w:b/>
          <w:bCs/>
          <w:color w:val="1F2937"/>
          <w:sz w:val="19"/>
          <w:szCs w:val="19"/>
        </w:rPr>
        <w:t xml:space="preserve">FY2023-24: recovery stalls at the margin line.</w:t>
      </w:r>
      <w:r>
        <w:rPr>
          <w:rFonts w:ascii="Arial" w:cs="Arial" w:eastAsia="Arial" w:hAnsi="Arial"/>
          <w:color w:val="1F2937"/>
          <w:sz w:val="19"/>
          <w:szCs w:val="19"/>
        </w:rPr>
        <w:t xml:space="preserve"> Malaysia revenue grew 23% then 6%, with visitation recovering to 98% of 2019 (28.1m in 2024), but the Malaysia margin peaked at 32% in FY2023. Payroll inflation, the service-tax rise to 8% (Mar-2024) and the closure of two of RWG's three legacy casino floors (Feb-2024) all weighed. US margins slipped as RWNYC payroll rose. FY2024 net income fell 42%, and the dividend (payout 226%) was cut.</w:t>
      </w:r>
    </w:p>
    <w:p>
      <w:pPr>
        <w:pStyle w:val="ListParagraph"/>
        <w:numPr>
          <w:ilvl w:val="0"/>
          <w:numId w:val="3"/>
        </w:numPr>
        <w:spacing w:after="60" w:before="0" w:line="252"/>
      </w:pPr>
      <w:r>
        <w:rPr>
          <w:rFonts w:ascii="Arial" w:cs="Arial" w:eastAsia="Arial" w:hAnsi="Arial"/>
          <w:b/>
          <w:bCs/>
          <w:color w:val="1F2937"/>
          <w:sz w:val="19"/>
          <w:szCs w:val="19"/>
        </w:rPr>
        <w:t xml:space="preserve">FY2025: record revenue, thinner underlying margin.</w:t>
      </w:r>
      <w:r>
        <w:rPr>
          <w:rFonts w:ascii="Arial" w:cs="Arial" w:eastAsia="Arial" w:hAnsi="Arial"/>
          <w:color w:val="1F2937"/>
          <w:sz w:val="19"/>
          <w:szCs w:val="19"/>
        </w:rPr>
        <w:t xml:space="preserve"> Revenue +9% to RM11.9bn. Adj. EBITDA +13%, but ex-FX it was +5% and the ex-FX margin fell to 24.8%. Malaysia EBITDA was +2% (mass-led; 4Q25 −21% on lower volumes and win rate). UK &amp; Egypt +8%. US &amp; Bahamas −11% as Empire's losses were consolidated from June 2025 and RWNYC prepared for conversion. Net income +200% to RM754.8m, but ~RM480m of it came from FX gains and the Empire bargain-purchase gain.</w:t>
      </w:r>
    </w:p>
    <w:p>
      <w:pPr>
        <w:pStyle w:val="ListParagraph"/>
        <w:numPr>
          <w:ilvl w:val="0"/>
          <w:numId w:val="3"/>
        </w:numPr>
        <w:spacing w:after="60" w:before="0" w:line="252"/>
      </w:pPr>
      <w:r>
        <w:rPr>
          <w:rFonts w:ascii="Arial" w:cs="Arial" w:eastAsia="Arial" w:hAnsi="Arial"/>
          <w:b/>
          <w:bCs/>
          <w:color w:val="1F2937"/>
          <w:sz w:val="19"/>
          <w:szCs w:val="19"/>
        </w:rPr>
        <w:t xml:space="preserve">1H2026: New York changes the mix.</w:t>
      </w:r>
      <w:r>
        <w:rPr>
          <w:rFonts w:ascii="Arial" w:cs="Arial" w:eastAsia="Arial" w:hAnsi="Arial"/>
          <w:color w:val="1F2937"/>
          <w:sz w:val="19"/>
          <w:szCs w:val="19"/>
        </w:rPr>
        <w:t xml:space="preserve"> Revenue +22%, with US &amp; Bahamas revenue doubling (+107%). But adj. EBITDA fell 16% (−3% ex-FX). Pre-opening costs rose to RM93.8m and finance costs +39%, so PBT fell 73% and net income 91% to RM43.6m. The US mix dilutes margins: NY gaming tax is 56% on slots against 35% in Malaysia, and the ramp-up carried 2,200+ new hires.</w:t>
      </w:r>
    </w:p>
    <w:p>
      <w:pPr>
        <w:pStyle w:val="ListParagraph"/>
        <w:numPr>
          <w:ilvl w:val="0"/>
          <w:numId w:val="3"/>
        </w:numPr>
        <w:spacing w:after="60" w:before="0" w:line="252"/>
      </w:pPr>
      <w:r>
        <w:rPr>
          <w:rFonts w:ascii="Arial" w:cs="Arial" w:eastAsia="Arial" w:hAnsi="Arial"/>
          <w:b/>
          <w:bCs/>
          <w:color w:val="1F2937"/>
          <w:sz w:val="19"/>
          <w:szCs w:val="19"/>
        </w:rPr>
        <w:t xml:space="preserve">Structural conclusion:</w:t>
      </w:r>
      <w:r>
        <w:rPr>
          <w:rFonts w:ascii="Arial" w:cs="Arial" w:eastAsia="Arial" w:hAnsi="Arial"/>
          <w:color w:val="1F2937"/>
          <w:sz w:val="19"/>
          <w:szCs w:val="19"/>
        </w:rPr>
        <w:t xml:space="preserve"> GENM is moving from a ~30%-margin Malaysian monopoly with modest leverage to a ~22-25%-margin, two-engine group with 4.7x net debt/EBITDA and peak capex. Earnings quality is noisy (FX, one-offs, hold), so we anchor on ex-FX EBITDA and cash flow.</w:t>
      </w:r>
    </w:p>
    <w:p>
      <w:pPr>
        <w:pStyle w:val="Heading2"/>
        <w:keepNext/>
      </w:pPr>
      <w:r>
        <w:rPr>
          <w:rFonts w:ascii="Arial" w:cs="Arial" w:eastAsia="Arial" w:hAnsi="Arial"/>
        </w:rPr>
        <w:t xml:space="preserve">8.5 Quarterly trend (1Q25-2Q26)</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3477"/>
        <w:gridCol w:w="1095"/>
        <w:gridCol w:w="1115"/>
        <w:gridCol w:w="1095"/>
        <w:gridCol w:w="1102"/>
        <w:gridCol w:w="1088"/>
        <w:gridCol w:w="1108"/>
      </w:tblGrid>
      <w:tr>
        <w:trPr>
          <w:cantSplit/>
          <w:tblHeader/>
        </w:trPr>
        <w:tc>
          <w:tcPr>
            <w:tcW w:type="dxa" w:w="347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RM m</w:t>
            </w:r>
          </w:p>
        </w:tc>
        <w:tc>
          <w:tcPr>
            <w:tcW w:type="dxa" w:w="109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1Q25</w:t>
            </w:r>
          </w:p>
        </w:tc>
        <w:tc>
          <w:tcPr>
            <w:tcW w:type="dxa" w:w="111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2Q25</w:t>
            </w:r>
          </w:p>
        </w:tc>
        <w:tc>
          <w:tcPr>
            <w:tcW w:type="dxa" w:w="109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3Q25</w:t>
            </w:r>
          </w:p>
        </w:tc>
        <w:tc>
          <w:tcPr>
            <w:tcW w:type="dxa" w:w="110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4Q25</w:t>
            </w:r>
          </w:p>
        </w:tc>
        <w:tc>
          <w:tcPr>
            <w:tcW w:type="dxa" w:w="1088"/>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1Q26</w:t>
            </w:r>
          </w:p>
        </w:tc>
        <w:tc>
          <w:tcPr>
            <w:tcW w:type="dxa" w:w="1108"/>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2Q26</w:t>
            </w:r>
          </w:p>
        </w:tc>
      </w:tr>
      <w:tr>
        <w:trPr>
          <w:cantSplit/>
        </w:trPr>
        <w:tc>
          <w:tcPr>
            <w:tcW w:type="dxa" w:w="34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Revenue</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2,595.2</w:t>
            </w:r>
          </w:p>
        </w:tc>
        <w:tc>
          <w:tcPr>
            <w:tcW w:type="dxa" w:w="11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2,918.5</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3,357.8</w:t>
            </w:r>
          </w:p>
        </w:tc>
        <w:tc>
          <w:tcPr>
            <w:tcW w:type="dxa" w:w="11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3,012.8</w:t>
            </w:r>
          </w:p>
        </w:tc>
        <w:tc>
          <w:tcPr>
            <w:tcW w:type="dxa" w:w="108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2,866.9</w:t>
            </w:r>
          </w:p>
        </w:tc>
        <w:tc>
          <w:tcPr>
            <w:tcW w:type="dxa" w:w="110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3,853.3</w:t>
            </w:r>
          </w:p>
        </w:tc>
      </w:tr>
      <w:tr>
        <w:trPr>
          <w:cantSplit/>
        </w:trPr>
        <w:tc>
          <w:tcPr>
            <w:tcW w:type="dxa" w:w="34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YoY</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-6.1%</w:t>
            </w:r>
          </w:p>
        </w:tc>
        <w:tc>
          <w:tcPr>
            <w:tcW w:type="dxa" w:w="11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9.3%</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22.1%</w:t>
            </w:r>
          </w:p>
        </w:tc>
        <w:tc>
          <w:tcPr>
            <w:tcW w:type="dxa" w:w="11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10.4%</w:t>
            </w:r>
          </w:p>
        </w:tc>
        <w:tc>
          <w:tcPr>
            <w:tcW w:type="dxa" w:w="108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10.5%</w:t>
            </w:r>
          </w:p>
        </w:tc>
        <w:tc>
          <w:tcPr>
            <w:tcW w:type="dxa" w:w="110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32.0%</w:t>
            </w:r>
          </w:p>
        </w:tc>
      </w:tr>
      <w:tr>
        <w:trPr>
          <w:cantSplit/>
        </w:trPr>
        <w:tc>
          <w:tcPr>
            <w:tcW w:type="dxa" w:w="34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Adj. EBITDA</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737.2</w:t>
            </w:r>
          </w:p>
        </w:tc>
        <w:tc>
          <w:tcPr>
            <w:tcW w:type="dxa" w:w="11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1,029.6</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838.1</w:t>
            </w:r>
          </w:p>
        </w:tc>
        <w:tc>
          <w:tcPr>
            <w:tcW w:type="dxa" w:w="11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692.7</w:t>
            </w:r>
          </w:p>
        </w:tc>
        <w:tc>
          <w:tcPr>
            <w:tcW w:type="dxa" w:w="108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644.7</w:t>
            </w:r>
          </w:p>
        </w:tc>
        <w:tc>
          <w:tcPr>
            <w:tcW w:type="dxa" w:w="110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844.0</w:t>
            </w:r>
          </w:p>
        </w:tc>
      </w:tr>
      <w:tr>
        <w:trPr>
          <w:cantSplit/>
        </w:trPr>
        <w:tc>
          <w:tcPr>
            <w:tcW w:type="dxa" w:w="34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of which FX</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50.4</w:t>
            </w:r>
          </w:p>
        </w:tc>
        <w:tc>
          <w:tcPr>
            <w:tcW w:type="dxa" w:w="11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184.6</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2.8</w:t>
            </w:r>
          </w:p>
        </w:tc>
        <w:tc>
          <w:tcPr>
            <w:tcW w:type="dxa" w:w="11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113.8</w:t>
            </w:r>
          </w:p>
        </w:tc>
        <w:tc>
          <w:tcPr>
            <w:tcW w:type="dxa" w:w="108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14.6</w:t>
            </w:r>
          </w:p>
        </w:tc>
        <w:tc>
          <w:tcPr>
            <w:tcW w:type="dxa" w:w="110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(18.1)</w:t>
            </w:r>
          </w:p>
        </w:tc>
      </w:tr>
      <w:tr>
        <w:trPr>
          <w:cantSplit/>
        </w:trPr>
        <w:tc>
          <w:tcPr>
            <w:tcW w:type="dxa" w:w="34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Adj. EBITDA ex-FX</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686.8</w:t>
            </w:r>
          </w:p>
        </w:tc>
        <w:tc>
          <w:tcPr>
            <w:tcW w:type="dxa" w:w="11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845.0</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835.3</w:t>
            </w:r>
          </w:p>
        </w:tc>
        <w:tc>
          <w:tcPr>
            <w:tcW w:type="dxa" w:w="11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578.9</w:t>
            </w:r>
          </w:p>
        </w:tc>
        <w:tc>
          <w:tcPr>
            <w:tcW w:type="dxa" w:w="108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630.1</w:t>
            </w:r>
          </w:p>
        </w:tc>
        <w:tc>
          <w:tcPr>
            <w:tcW w:type="dxa" w:w="110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862.1</w:t>
            </w:r>
          </w:p>
        </w:tc>
      </w:tr>
      <w:tr>
        <w:trPr>
          <w:cantSplit/>
        </w:trPr>
        <w:tc>
          <w:tcPr>
            <w:tcW w:type="dxa" w:w="34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Malaysia adj. EBITDA</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518.2</w:t>
            </w:r>
          </w:p>
        </w:tc>
        <w:tc>
          <w:tcPr>
            <w:tcW w:type="dxa" w:w="11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606.3</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627.4</w:t>
            </w:r>
          </w:p>
        </w:tc>
        <w:tc>
          <w:tcPr>
            <w:tcW w:type="dxa" w:w="11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386.8</w:t>
            </w:r>
          </w:p>
        </w:tc>
        <w:tc>
          <w:tcPr>
            <w:tcW w:type="dxa" w:w="108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512.1</w:t>
            </w:r>
          </w:p>
        </w:tc>
        <w:tc>
          <w:tcPr>
            <w:tcW w:type="dxa" w:w="110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615.0</w:t>
            </w:r>
          </w:p>
        </w:tc>
      </w:tr>
      <w:tr>
        <w:trPr>
          <w:cantSplit/>
        </w:trPr>
        <w:tc>
          <w:tcPr>
            <w:tcW w:type="dxa" w:w="34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UK &amp; Egypt adj. EBITDA</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55.5</w:t>
            </w:r>
          </w:p>
        </w:tc>
        <w:tc>
          <w:tcPr>
            <w:tcW w:type="dxa" w:w="11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70.2</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86.3</w:t>
            </w:r>
          </w:p>
        </w:tc>
        <w:tc>
          <w:tcPr>
            <w:tcW w:type="dxa" w:w="11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110.1</w:t>
            </w:r>
          </w:p>
        </w:tc>
        <w:tc>
          <w:tcPr>
            <w:tcW w:type="dxa" w:w="108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50.9</w:t>
            </w:r>
          </w:p>
        </w:tc>
        <w:tc>
          <w:tcPr>
            <w:tcW w:type="dxa" w:w="110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68.8</w:t>
            </w:r>
          </w:p>
        </w:tc>
      </w:tr>
      <w:tr>
        <w:trPr>
          <w:cantSplit/>
        </w:trPr>
        <w:tc>
          <w:tcPr>
            <w:tcW w:type="dxa" w:w="34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US &amp; Bahamas adj. EBITDA</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119.0</w:t>
            </w:r>
          </w:p>
        </w:tc>
        <w:tc>
          <w:tcPr>
            <w:tcW w:type="dxa" w:w="11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118.4</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151.2</w:t>
            </w:r>
          </w:p>
        </w:tc>
        <w:tc>
          <w:tcPr>
            <w:tcW w:type="dxa" w:w="11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83.8</w:t>
            </w:r>
          </w:p>
        </w:tc>
        <w:tc>
          <w:tcPr>
            <w:tcW w:type="dxa" w:w="108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80.5</w:t>
            </w:r>
          </w:p>
        </w:tc>
        <w:tc>
          <w:tcPr>
            <w:tcW w:type="dxa" w:w="110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216.6</w:t>
            </w:r>
          </w:p>
        </w:tc>
      </w:tr>
      <w:tr>
        <w:trPr>
          <w:cantSplit/>
        </w:trPr>
        <w:tc>
          <w:tcPr>
            <w:tcW w:type="dxa" w:w="34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Pre-opening costs</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(29.0)</w:t>
            </w:r>
          </w:p>
        </w:tc>
        <w:tc>
          <w:tcPr>
            <w:tcW w:type="dxa" w:w="11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(31.2)</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(41.7)</w:t>
            </w:r>
          </w:p>
        </w:tc>
        <w:tc>
          <w:tcPr>
            <w:tcW w:type="dxa" w:w="11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(72.5)</w:t>
            </w:r>
          </w:p>
        </w:tc>
        <w:tc>
          <w:tcPr>
            <w:tcW w:type="dxa" w:w="108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(26.8)</w:t>
            </w:r>
          </w:p>
        </w:tc>
        <w:tc>
          <w:tcPr>
            <w:tcW w:type="dxa" w:w="110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(67.0)</w:t>
            </w:r>
          </w:p>
        </w:tc>
      </w:tr>
      <w:tr>
        <w:trPr>
          <w:cantSplit/>
        </w:trPr>
        <w:tc>
          <w:tcPr>
            <w:tcW w:type="dxa" w:w="34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Finance costs</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(184.2)</w:t>
            </w:r>
          </w:p>
        </w:tc>
        <w:tc>
          <w:tcPr>
            <w:tcW w:type="dxa" w:w="11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(196.0)</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(219.9)</w:t>
            </w:r>
          </w:p>
        </w:tc>
        <w:tc>
          <w:tcPr>
            <w:tcW w:type="dxa" w:w="11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(228.1)</w:t>
            </w:r>
          </w:p>
        </w:tc>
        <w:tc>
          <w:tcPr>
            <w:tcW w:type="dxa" w:w="108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(246.7)</w:t>
            </w:r>
          </w:p>
        </w:tc>
        <w:tc>
          <w:tcPr>
            <w:tcW w:type="dxa" w:w="110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(281.0)</w:t>
            </w:r>
          </w:p>
        </w:tc>
      </w:tr>
      <w:tr>
        <w:trPr>
          <w:cantSplit/>
        </w:trPr>
        <w:tc>
          <w:tcPr>
            <w:tcW w:type="dxa" w:w="34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PBT</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184.0</w:t>
            </w:r>
          </w:p>
        </w:tc>
        <w:tc>
          <w:tcPr>
            <w:tcW w:type="dxa" w:w="11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503.3</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256.8</w:t>
            </w:r>
          </w:p>
        </w:tc>
        <w:tc>
          <w:tcPr>
            <w:tcW w:type="dxa" w:w="11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40.9</w:t>
            </w:r>
          </w:p>
        </w:tc>
        <w:tc>
          <w:tcPr>
            <w:tcW w:type="dxa" w:w="108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43.1</w:t>
            </w:r>
          </w:p>
        </w:tc>
        <w:tc>
          <w:tcPr>
            <w:tcW w:type="dxa" w:w="110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143.8</w:t>
            </w:r>
          </w:p>
        </w:tc>
      </w:tr>
      <w:tr>
        <w:trPr>
          <w:cantSplit/>
        </w:trPr>
        <w:tc>
          <w:tcPr>
            <w:tcW w:type="dxa" w:w="34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Net income attributable</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72.7</w:t>
            </w:r>
          </w:p>
        </w:tc>
        <w:tc>
          <w:tcPr>
            <w:tcW w:type="dxa" w:w="11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416.6</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119.7</w:t>
            </w:r>
          </w:p>
        </w:tc>
        <w:tc>
          <w:tcPr>
            <w:tcW w:type="dxa" w:w="11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145.9</w:t>
            </w:r>
          </w:p>
        </w:tc>
        <w:tc>
          <w:tcPr>
            <w:tcW w:type="dxa" w:w="108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(3.8)</w:t>
            </w:r>
          </w:p>
        </w:tc>
        <w:tc>
          <w:tcPr>
            <w:tcW w:type="dxa" w:w="110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47.4</w:t>
            </w:r>
          </w:p>
        </w:tc>
      </w:tr>
    </w:tbl>
    <w:p>
      <w:pPr>
        <w:spacing w:after="80" w:before="0"/>
      </w:pPr>
    </w:p>
    <w:p>
      <w:pPr>
        <w:keepNext/>
        <w:spacing w:after="40" w:before="120"/>
        <w:jc w:val="center"/>
      </w:pPr>
      <w:r>
        <w:drawing>
          <wp:inline distT="0" distB="0" distL="0" distR="0">
            <wp:extent cx="6400800" cy="3600450"/>
            <wp:effectExtent t="0" r="0" b="0" l="0"/>
            <wp:docPr id="1" name="fig3" descr="Segment adj. EBITDA by quarter; labels show group adj. EBITDA ex-FX and margi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3600450"/>
                    </a:xfrm>
                    <a:prstGeom prst="rect">
                      <a:avLst/>
                    </a:prstGeom>
                  </pic:spPr>
                </pic:pic>
              </a:graphicData>
            </a:graphic>
          </wp:inline>
        </w:drawing>
      </w:r>
    </w:p>
    <w:p>
      <w:pPr>
        <w:spacing w:after="160" w:before="0"/>
      </w:pPr>
      <w:r>
        <w:rPr>
          <w:rFonts w:ascii="Arial" w:cs="Arial" w:eastAsia="Arial" w:hAnsi="Arial"/>
          <w:i/>
          <w:iCs/>
          <w:color w:val="6B7280"/>
          <w:sz w:val="15"/>
          <w:szCs w:val="15"/>
        </w:rPr>
        <w:t xml:space="preserve">Figure 3: Segment adj. EBITDA by quarter; labels show group adj. EBITDA ex-FX and margin.</w:t>
      </w:r>
    </w:p>
    <w:p>
      <w:pPr>
        <w:pStyle w:val="Heading2"/>
        <w:keepNext/>
      </w:pPr>
      <w:r>
        <w:rPr>
          <w:rFonts w:ascii="Arial" w:cs="Arial" w:eastAsia="Arial" w:hAnsi="Arial"/>
        </w:rPr>
        <w:t xml:space="preserve">8.6 Most relevant operational KPIs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2881"/>
        <w:gridCol w:w="660"/>
        <w:gridCol w:w="663"/>
        <w:gridCol w:w="660"/>
        <w:gridCol w:w="656"/>
        <w:gridCol w:w="4560"/>
      </w:tblGrid>
      <w:tr>
        <w:trPr>
          <w:cantSplit/>
          <w:tblHeader/>
        </w:trPr>
        <w:tc>
          <w:tcPr>
            <w:tcW w:type="dxa" w:w="288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KPI</w:t>
            </w:r>
          </w:p>
        </w:tc>
        <w:tc>
          <w:tcPr>
            <w:tcW w:type="dxa" w:w="66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2022</w:t>
            </w:r>
          </w:p>
        </w:tc>
        <w:tc>
          <w:tcPr>
            <w:tcW w:type="dxa" w:w="66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2023</w:t>
            </w:r>
          </w:p>
        </w:tc>
        <w:tc>
          <w:tcPr>
            <w:tcW w:type="dxa" w:w="66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2024</w:t>
            </w:r>
          </w:p>
        </w:tc>
        <w:tc>
          <w:tcPr>
            <w:tcW w:type="dxa" w:w="65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2025</w:t>
            </w:r>
          </w:p>
        </w:tc>
        <w:tc>
          <w:tcPr>
            <w:tcW w:type="dxa" w:w="456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Latest / trend</w:t>
            </w:r>
          </w:p>
        </w:tc>
      </w:tr>
      <w:tr>
        <w:trPr>
          <w:cantSplit/>
        </w:trPr>
        <w:tc>
          <w:tcPr>
            <w:tcW w:type="dxa" w:w="28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RWG visitor arrivals (m)</w:t>
            </w:r>
          </w:p>
        </w:tc>
        <w:tc>
          <w:tcPr>
            <w:tcW w:type="dxa" w:w="6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22.2</w:t>
            </w:r>
          </w:p>
        </w:tc>
        <w:tc>
          <w:tcPr>
            <w:tcW w:type="dxa" w:w="6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24.9</w:t>
            </w:r>
          </w:p>
        </w:tc>
        <w:tc>
          <w:tcPr>
            <w:tcW w:type="dxa" w:w="6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28.1</w:t>
            </w:r>
          </w:p>
        </w:tc>
        <w:tc>
          <w:tcPr>
            <w:tcW w:type="dxa" w:w="65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28.6</w:t>
            </w:r>
          </w:p>
        </w:tc>
        <w:tc>
          <w:tcPr>
            <w:tcW w:type="dxa" w:w="45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"Softer" in 2Q26 (airfares, Middle East)</w:t>
            </w:r>
          </w:p>
        </w:tc>
      </w:tr>
      <w:tr>
        <w:trPr>
          <w:cantSplit/>
        </w:trPr>
        <w:tc>
          <w:tcPr>
            <w:tcW w:type="dxa" w:w="28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RWG hilltop hotel occupancy</w:t>
            </w:r>
          </w:p>
        </w:tc>
        <w:tc>
          <w:tcPr>
            <w:tcW w:type="dxa" w:w="6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95%</w:t>
            </w:r>
          </w:p>
        </w:tc>
        <w:tc>
          <w:tcPr>
            <w:tcW w:type="dxa" w:w="6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≥97%</w:t>
            </w:r>
          </w:p>
        </w:tc>
        <w:tc>
          <w:tcPr>
            <w:tcW w:type="dxa" w:w="6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99%</w:t>
            </w:r>
          </w:p>
        </w:tc>
        <w:tc>
          <w:tcPr>
            <w:tcW w:type="dxa" w:w="65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98%</w:t>
            </w:r>
          </w:p>
        </w:tc>
        <w:tc>
          <w:tcPr>
            <w:tcW w:type="dxa" w:w="45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Capacity-constrained</w:t>
            </w:r>
          </w:p>
        </w:tc>
      </w:tr>
      <w:tr>
        <w:trPr>
          <w:cantSplit/>
        </w:trPr>
        <w:tc>
          <w:tcPr>
            <w:tcW w:type="dxa" w:w="28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RWG room-nights sold (k)</w:t>
            </w:r>
          </w:p>
        </w:tc>
        <w:tc>
          <w:tcPr>
            <w:tcW w:type="dxa" w:w="6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2,372</w:t>
            </w:r>
          </w:p>
        </w:tc>
        <w:tc>
          <w:tcPr>
            <w:tcW w:type="dxa" w:w="6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3,527</w:t>
            </w:r>
          </w:p>
        </w:tc>
        <w:tc>
          <w:tcPr>
            <w:tcW w:type="dxa" w:w="6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3,625</w:t>
            </w:r>
          </w:p>
        </w:tc>
        <w:tc>
          <w:tcPr>
            <w:tcW w:type="dxa" w:w="65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3,537</w:t>
            </w:r>
          </w:p>
        </w:tc>
        <w:tc>
          <w:tcPr>
            <w:tcW w:type="dxa" w:w="45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−2.4% in 2025 on refurbishment</w:t>
            </w:r>
          </w:p>
        </w:tc>
      </w:tr>
      <w:tr>
        <w:trPr>
          <w:cantSplit/>
        </w:trPr>
        <w:tc>
          <w:tcPr>
            <w:tcW w:type="dxa" w:w="28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Gaming share of L&amp;H revenue</w:t>
            </w:r>
          </w:p>
        </w:tc>
        <w:tc>
          <w:tcPr>
            <w:tcW w:type="dxa" w:w="6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76%</w:t>
            </w:r>
          </w:p>
        </w:tc>
        <w:tc>
          <w:tcPr>
            <w:tcW w:type="dxa" w:w="6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74%</w:t>
            </w:r>
          </w:p>
        </w:tc>
        <w:tc>
          <w:tcPr>
            <w:tcW w:type="dxa" w:w="6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n/d</w:t>
            </w:r>
          </w:p>
        </w:tc>
        <w:tc>
          <w:tcPr>
            <w:tcW w:type="dxa" w:w="65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74%</w:t>
            </w:r>
          </w:p>
        </w:tc>
        <w:tc>
          <w:tcPr>
            <w:tcW w:type="dxa" w:w="45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77% in 1H26 (US mix)</w:t>
            </w:r>
          </w:p>
        </w:tc>
      </w:tr>
      <w:tr>
        <w:trPr>
          <w:cantSplit/>
        </w:trPr>
        <w:tc>
          <w:tcPr>
            <w:tcW w:type="dxa" w:w="28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Malaysia adj. EBITDA margin</w:t>
            </w:r>
          </w:p>
        </w:tc>
        <w:tc>
          <w:tcPr>
            <w:tcW w:type="dxa" w:w="6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31.1%</w:t>
            </w:r>
          </w:p>
        </w:tc>
        <w:tc>
          <w:tcPr>
            <w:tcW w:type="dxa" w:w="6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32.0%</w:t>
            </w:r>
          </w:p>
        </w:tc>
        <w:tc>
          <w:tcPr>
            <w:tcW w:type="dxa" w:w="6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30.7%</w:t>
            </w:r>
          </w:p>
        </w:tc>
        <w:tc>
          <w:tcPr>
            <w:tcW w:type="dxa" w:w="65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30.0%</w:t>
            </w:r>
          </w:p>
        </w:tc>
        <w:tc>
          <w:tcPr>
            <w:tcW w:type="dxa" w:w="45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32.8% in 1H26 (cost control + VIP hold)</w:t>
            </w:r>
          </w:p>
        </w:tc>
      </w:tr>
      <w:tr>
        <w:trPr>
          <w:cantSplit/>
        </w:trPr>
        <w:tc>
          <w:tcPr>
            <w:tcW w:type="dxa" w:w="28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RWNYC capacity</w:t>
            </w:r>
          </w:p>
        </w:tc>
        <w:tc>
          <w:tcPr>
            <w:tcW w:type="dxa" w:w="6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VGMs only</w:t>
            </w:r>
          </w:p>
        </w:tc>
        <w:tc>
          <w:tcPr>
            <w:tcW w:type="dxa" w:w="6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VGMs only</w:t>
            </w:r>
          </w:p>
        </w:tc>
        <w:tc>
          <w:tcPr>
            <w:tcW w:type="dxa" w:w="6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VGMs only</w:t>
            </w:r>
          </w:p>
        </w:tc>
        <w:tc>
          <w:tcPr>
            <w:tcW w:type="dxa" w:w="65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VGMs only</w:t>
            </w:r>
          </w:p>
        </w:tc>
        <w:tc>
          <w:tcPr>
            <w:tcW w:type="dxa" w:w="45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242 tables + ~3,900 slots after Jul-26</w:t>
            </w:r>
          </w:p>
        </w:tc>
      </w:tr>
      <w:tr>
        <w:trPr>
          <w:cantSplit/>
        </w:trPr>
        <w:tc>
          <w:tcPr>
            <w:tcW w:type="dxa" w:w="28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RWNYC weekly GGR (US$m)</w:t>
            </w:r>
          </w:p>
        </w:tc>
        <w:tc>
          <w:tcPr>
            <w:tcW w:type="dxa" w:w="6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n/a</w:t>
            </w:r>
          </w:p>
        </w:tc>
        <w:tc>
          <w:tcPr>
            <w:tcW w:type="dxa" w:w="6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n/a</w:t>
            </w:r>
          </w:p>
        </w:tc>
        <w:tc>
          <w:tcPr>
            <w:tcW w:type="dxa" w:w="6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n/a</w:t>
            </w:r>
          </w:p>
        </w:tc>
        <w:tc>
          <w:tcPr>
            <w:tcW w:type="dxa" w:w="65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n/a</w:t>
            </w:r>
          </w:p>
        </w:tc>
        <w:tc>
          <w:tcPr>
            <w:tcW w:type="dxa" w:w="45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~30.8 (wk to 12-Jul-26); Sep-26 month US$126.7m (~29.6 a week) = ~US$1.5bn annualised</w:t>
            </w:r>
          </w:p>
        </w:tc>
      </w:tr>
      <w:tr>
        <w:trPr>
          <w:cantSplit/>
        </w:trPr>
        <w:tc>
          <w:tcPr>
            <w:tcW w:type="dxa" w:w="28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US visitors (m)</w:t>
            </w:r>
          </w:p>
        </w:tc>
        <w:tc>
          <w:tcPr>
            <w:tcW w:type="dxa" w:w="6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n/d</w:t>
            </w:r>
          </w:p>
        </w:tc>
        <w:tc>
          <w:tcPr>
            <w:tcW w:type="dxa" w:w="6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n/d</w:t>
            </w:r>
          </w:p>
        </w:tc>
        <w:tc>
          <w:tcPr>
            <w:tcW w:type="dxa" w:w="6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7.9</w:t>
            </w:r>
          </w:p>
        </w:tc>
        <w:tc>
          <w:tcPr>
            <w:tcW w:type="dxa" w:w="65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7.4</w:t>
            </w:r>
          </w:p>
        </w:tc>
        <w:tc>
          <w:tcPr>
            <w:tcW w:type="dxa" w:w="45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Ramp under way</w:t>
            </w:r>
          </w:p>
        </w:tc>
      </w:tr>
      <w:tr>
        <w:trPr>
          <w:cantSplit/>
        </w:trPr>
        <w:tc>
          <w:tcPr>
            <w:tcW w:type="dxa" w:w="28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Capex / revenue (cash PPE)</w:t>
            </w:r>
          </w:p>
        </w:tc>
        <w:tc>
          <w:tcPr>
            <w:tcW w:type="dxa" w:w="6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7.6%</w:t>
            </w:r>
          </w:p>
        </w:tc>
        <w:tc>
          <w:tcPr>
            <w:tcW w:type="dxa" w:w="6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6.8%</w:t>
            </w:r>
          </w:p>
        </w:tc>
        <w:tc>
          <w:tcPr>
            <w:tcW w:type="dxa" w:w="6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5.2%</w:t>
            </w:r>
          </w:p>
        </w:tc>
        <w:tc>
          <w:tcPr>
            <w:tcW w:type="dxa" w:w="65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7.6%</w:t>
            </w:r>
          </w:p>
        </w:tc>
        <w:tc>
          <w:tcPr>
            <w:tcW w:type="dxa" w:w="45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~29% FY26E (consensus RM3.9bn)</w:t>
            </w:r>
          </w:p>
        </w:tc>
      </w:tr>
      <w:tr>
        <w:trPr>
          <w:cantSplit/>
        </w:trPr>
        <w:tc>
          <w:tcPr>
            <w:tcW w:type="dxa" w:w="28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Net debt incl. leases / adj. EBITDA</w:t>
            </w:r>
          </w:p>
        </w:tc>
        <w:tc>
          <w:tcPr>
            <w:tcW w:type="dxa" w:w="6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4.6x</w:t>
            </w:r>
          </w:p>
        </w:tc>
        <w:tc>
          <w:tcPr>
            <w:tcW w:type="dxa" w:w="6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3.4x</w:t>
            </w:r>
          </w:p>
        </w:tc>
        <w:tc>
          <w:tcPr>
            <w:tcW w:type="dxa" w:w="6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3.4x</w:t>
            </w:r>
          </w:p>
        </w:tc>
        <w:tc>
          <w:tcPr>
            <w:tcW w:type="dxa" w:w="65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3.1x</w:t>
            </w:r>
          </w:p>
        </w:tc>
        <w:tc>
          <w:tcPr>
            <w:tcW w:type="dxa" w:w="45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4.7x (Jun-26)</w:t>
            </w:r>
          </w:p>
        </w:tc>
      </w:tr>
      <w:tr>
        <w:trPr>
          <w:cantSplit/>
        </w:trPr>
        <w:tc>
          <w:tcPr>
            <w:tcW w:type="dxa" w:w="28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Adj. EBITDA / finance costs</w:t>
            </w:r>
          </w:p>
        </w:tc>
        <w:tc>
          <w:tcPr>
            <w:tcW w:type="dxa" w:w="6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4.0x</w:t>
            </w:r>
          </w:p>
        </w:tc>
        <w:tc>
          <w:tcPr>
            <w:tcW w:type="dxa" w:w="6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4.4x</w:t>
            </w:r>
          </w:p>
        </w:tc>
        <w:tc>
          <w:tcPr>
            <w:tcW w:type="dxa" w:w="6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4.2x</w:t>
            </w:r>
          </w:p>
        </w:tc>
        <w:tc>
          <w:tcPr>
            <w:tcW w:type="dxa" w:w="65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4.0x</w:t>
            </w:r>
          </w:p>
        </w:tc>
        <w:tc>
          <w:tcPr>
            <w:tcW w:type="dxa" w:w="45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3.1x (LTM)</w:t>
            </w:r>
          </w:p>
        </w:tc>
      </w:tr>
      <w:tr>
        <w:trPr>
          <w:cantSplit/>
        </w:trPr>
        <w:tc>
          <w:tcPr>
            <w:tcW w:type="dxa" w:w="28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Dividend payout (DPS/EPS)</w:t>
            </w:r>
          </w:p>
        </w:tc>
        <w:tc>
          <w:tcPr>
            <w:tcW w:type="dxa" w:w="6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n.m.</w:t>
            </w:r>
          </w:p>
        </w:tc>
        <w:tc>
          <w:tcPr>
            <w:tcW w:type="dxa" w:w="6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195%</w:t>
            </w:r>
          </w:p>
        </w:tc>
        <w:tc>
          <w:tcPr>
            <w:tcW w:type="dxa" w:w="6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226%</w:t>
            </w:r>
          </w:p>
        </w:tc>
        <w:tc>
          <w:tcPr>
            <w:tcW w:type="dxa" w:w="65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53%</w:t>
            </w:r>
          </w:p>
        </w:tc>
        <w:tc>
          <w:tcPr>
            <w:tcW w:type="dxa" w:w="45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No interim in FY25 or FY26</w:t>
            </w:r>
          </w:p>
        </w:tc>
      </w:tr>
      <w:tr>
        <w:trPr>
          <w:cantSplit/>
        </w:trPr>
        <w:tc>
          <w:tcPr>
            <w:tcW w:type="dxa" w:w="28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UK casinos</w:t>
            </w:r>
          </w:p>
        </w:tc>
        <w:tc>
          <w:tcPr>
            <w:tcW w:type="dxa" w:w="6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~32</w:t>
            </w:r>
          </w:p>
        </w:tc>
        <w:tc>
          <w:tcPr>
            <w:tcW w:type="dxa" w:w="6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~31</w:t>
            </w:r>
          </w:p>
        </w:tc>
        <w:tc>
          <w:tcPr>
            <w:tcW w:type="dxa" w:w="6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~31</w:t>
            </w:r>
          </w:p>
        </w:tc>
        <w:tc>
          <w:tcPr>
            <w:tcW w:type="dxa" w:w="65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~32</w:t>
            </w:r>
          </w:p>
        </w:tc>
        <w:tc>
          <w:tcPr>
            <w:tcW w:type="dxa" w:w="45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Coventry closing; 13 at risk if MGD doubles</w:t>
            </w:r>
          </w:p>
        </w:tc>
      </w:tr>
    </w:tbl>
    <w:p>
      <w:pPr>
        <w:spacing w:after="80" w:before="0"/>
      </w:pPr>
    </w:p>
    <w:p>
      <w:pPr>
        <w:spacing w:after="110" w:before="0" w:line="264"/>
      </w:pPr>
      <w:r>
        <w:rPr>
          <w:rFonts w:ascii="Arial" w:cs="Arial" w:eastAsia="Arial" w:hAnsi="Arial"/>
          <w:b/>
          <w:bCs/>
          <w:color w:val="1F2937"/>
          <w:sz w:val="19"/>
          <w:szCs w:val="19"/>
        </w:rPr>
        <w:t xml:space="preserve">KPI read-across:</w:t>
      </w:r>
      <w:r>
        <w:rPr>
          <w:rFonts w:ascii="Arial" w:cs="Arial" w:eastAsia="Arial" w:hAnsi="Arial"/>
          <w:color w:val="1F2937"/>
          <w:sz w:val="19"/>
          <w:szCs w:val="19"/>
        </w:rPr>
        <w:t xml:space="preserve"> Malaysia volumes have plateaued near 2019 levels with full hotels, so growth there depends on price, mix and reopening the two closed floors. New York is the only real volume growth, and it is capital-hungry. Capex intensity has quadrupled, and leverage and interest cover have both deteriorated since FY2025.</w:t>
      </w:r>
    </w:p>
    <w:p>
      <w:pPr>
        <w:pStyle w:val="Heading1"/>
        <w:keepNext/>
      </w:pPr>
      <w:r>
        <w:rPr>
          <w:rFonts w:ascii="Arial" w:cs="Arial" w:eastAsia="Arial" w:hAnsi="Arial"/>
        </w:rPr>
        <w:t xml:space="preserve">9. Historical Share Price Catalysts (Moves of More Than 10%)</w:t>
      </w:r>
    </w:p>
    <w:p>
      <w:pPr>
        <w:keepNext/>
        <w:spacing w:after="40" w:before="120"/>
        <w:jc w:val="center"/>
      </w:pPr>
      <w:r>
        <w:drawing>
          <wp:inline distT="0" distB="0" distL="0" distR="0">
            <wp:extent cx="6400800" cy="2933700"/>
            <wp:effectExtent t="0" r="0" b="0" l="0"/>
            <wp:docPr id="1" name="fig4" descr="GENM weekly share price, Oct-2016 to 16-Oct-2026, with key events (chart ends 16-Oct; last close RM1.19 on 21-Oct-2026)."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2933700"/>
                    </a:xfrm>
                    <a:prstGeom prst="rect">
                      <a:avLst/>
                    </a:prstGeom>
                  </pic:spPr>
                </pic:pic>
              </a:graphicData>
            </a:graphic>
          </wp:inline>
        </w:drawing>
      </w:r>
    </w:p>
    <w:p>
      <w:pPr>
        <w:spacing w:after="160" w:before="0"/>
      </w:pPr>
      <w:r>
        <w:rPr>
          <w:rFonts w:ascii="Arial" w:cs="Arial" w:eastAsia="Arial" w:hAnsi="Arial"/>
          <w:i/>
          <w:iCs/>
          <w:color w:val="6B7280"/>
          <w:sz w:val="15"/>
          <w:szCs w:val="15"/>
        </w:rPr>
        <w:t xml:space="preserve">Figure 4: GENM weekly share price, Oct-2016 to 16-Oct-2026, with key events (chart ends 16-Oct; last close RM1.19 on 21-Oct-2026).</w:t>
      </w:r>
    </w:p>
    <w:p>
      <w:pPr>
        <w:spacing w:after="110" w:before="0" w:line="264"/>
      </w:pPr>
      <w:r>
        <w:rPr>
          <w:rFonts w:ascii="Arial" w:cs="Arial" w:eastAsia="Arial" w:hAnsi="Arial"/>
          <w:b/>
          <w:bCs/>
          <w:color w:val="1F2937"/>
          <w:sz w:val="19"/>
          <w:szCs w:val="19"/>
        </w:rPr>
        <w:t xml:space="preserve">Performance (price only, to 21-Oct-2026, RM1.19):</w:t>
      </w:r>
      <w:r>
        <w:rPr>
          <w:rFonts w:ascii="Arial" w:cs="Arial" w:eastAsia="Arial" w:hAnsi="Arial"/>
          <w:color w:val="1F2937"/>
          <w:sz w:val="19"/>
          <w:szCs w:val="19"/>
        </w:rPr>
        <w:t xml:space="preserve"> −49% over 1 year, −52% over 3 years, −63% over 5 years [e], against the FBM KLCI −0.3%, +12% and +1.5% (to 16-Oct). YTD 2026: −42% vs KLCI −4.3% (to 16-Oct). GENM has underperformed in 7 of the last 9 full years. It is at a record low (RM1.18 intraday on 21-Oct-2026), 49% below Genting Bhd's lapsed RM2.35 offer and at 0.60x book value.</w:t>
      </w:r>
    </w:p>
    <w:p>
      <w:pPr>
        <w:pStyle w:val="Heading2"/>
        <w:keepNext/>
      </w:pPr>
      <w:r>
        <w:rPr>
          <w:rFonts w:ascii="Arial" w:cs="Arial" w:eastAsia="Arial" w:hAnsi="Arial"/>
        </w:rPr>
        <w:t xml:space="preserve">9.1 Single-day moves of 10% or more (last five years)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1181"/>
        <w:gridCol w:w="1782"/>
        <w:gridCol w:w="1500"/>
        <w:gridCol w:w="5617"/>
      </w:tblGrid>
      <w:tr>
        <w:trPr>
          <w:cantSplit/>
          <w:tblHeader/>
        </w:trPr>
        <w:tc>
          <w:tcPr>
            <w:tcW w:type="dxa" w:w="118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Date</w:t>
            </w:r>
          </w:p>
        </w:tc>
        <w:tc>
          <w:tcPr>
            <w:tcW w:type="dxa" w:w="178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Move</w:t>
            </w:r>
          </w:p>
        </w:tc>
        <w:tc>
          <w:tcPr>
            <w:tcW w:type="dxa" w:w="150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Volume</w:t>
            </w:r>
          </w:p>
        </w:tc>
        <w:tc>
          <w:tcPr>
            <w:tcW w:type="dxa" w:w="561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Cause</w:t>
            </w:r>
          </w:p>
        </w:tc>
      </w:tr>
      <w:tr>
        <w:trPr>
          <w:cantSplit/>
        </w:trPr>
        <w:tc>
          <w:tcPr>
            <w:tcW w:type="dxa" w:w="11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28-Feb-2025</w:t>
            </w:r>
          </w:p>
        </w:tc>
        <w:tc>
          <w:tcPr>
            <w:tcW w:type="dxa" w:w="178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−19.5%</w:t>
            </w:r>
            <w:r>
              <w:rPr>
                <w:rFonts w:ascii="Arial" w:cs="Arial" w:eastAsia="Arial" w:hAnsi="Arial"/>
                <w:b w:val="false"/>
                <w:bCs w:val="false"/>
                <w:color w:val="1F2937"/>
                <w:sz w:val="17"/>
                <w:szCs w:val="17"/>
              </w:rPr>
              <w:t xml:space="preserve"> (RM2.36 → 1.90)</w:t>
            </w:r>
          </w:p>
        </w:tc>
        <w:tc>
          <w:tcPr>
            <w:tcW w:type="dxa" w:w="150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356.8m</w:t>
            </w:r>
          </w:p>
        </w:tc>
        <w:tc>
          <w:tcPr>
            <w:tcW w:type="dxa" w:w="561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4Q24 net loss (RM458m: Empire associate losses, NY bid costs, D&amp;A, interest); </w:t>
            </w:r>
            <w:r>
              <w:rPr>
                <w:rFonts w:ascii="Arial" w:cs="Arial" w:eastAsia="Arial" w:hAnsi="Arial"/>
                <w:b/>
                <w:bCs/>
                <w:color w:val="1F2937"/>
                <w:sz w:val="17"/>
                <w:szCs w:val="17"/>
              </w:rPr>
              <w:t xml:space="preserve">final dividend cut from 9 to 4 sen</w:t>
            </w:r>
            <w:r>
              <w:rPr>
                <w:rFonts w:ascii="Arial" w:cs="Arial" w:eastAsia="Arial" w:hAnsi="Arial"/>
                <w:b w:val="false"/>
                <w:bCs w:val="false"/>
                <w:color w:val="1F2937"/>
                <w:sz w:val="17"/>
                <w:szCs w:val="17"/>
              </w:rPr>
              <w:t xml:space="preserve">; MSCI Malaysia (standard) deletion effective at the close</w:t>
            </w:r>
          </w:p>
        </w:tc>
      </w:tr>
      <w:tr>
        <w:trPr>
          <w:cantSplit/>
        </w:trPr>
        <w:tc>
          <w:tcPr>
            <w:tcW w:type="dxa" w:w="11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12-Oct-2026</w:t>
            </w:r>
          </w:p>
        </w:tc>
        <w:tc>
          <w:tcPr>
            <w:tcW w:type="dxa" w:w="178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−17.4%</w:t>
            </w:r>
            <w:r>
              <w:rPr>
                <w:rFonts w:ascii="Arial" w:cs="Arial" w:eastAsia="Arial" w:hAnsi="Arial"/>
                <w:b w:val="false"/>
                <w:bCs w:val="false"/>
                <w:color w:val="1F2937"/>
                <w:sz w:val="17"/>
                <w:szCs w:val="17"/>
              </w:rPr>
              <w:t xml:space="preserve"> (RM1.49 → 1.23)</w:t>
            </w:r>
          </w:p>
        </w:tc>
        <w:tc>
          <w:tcPr>
            <w:tcW w:type="dxa" w:w="150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30.0m (~10-20x normal)</w:t>
            </w:r>
          </w:p>
        </w:tc>
        <w:tc>
          <w:tcPr>
            <w:tcW w:type="dxa" w:w="561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Parent Genting Bhd's </w:t>
            </w:r>
            <w:r>
              <w:rPr>
                <w:rFonts w:ascii="Arial" w:cs="Arial" w:eastAsia="Arial" w:hAnsi="Arial"/>
                <w:b/>
                <w:bCs/>
                <w:color w:val="1F2937"/>
                <w:sz w:val="17"/>
                <w:szCs w:val="17"/>
              </w:rPr>
              <w:t xml:space="preserve">RM1.25bn rights issue</w:t>
            </w:r>
            <w:r>
              <w:rPr>
                <w:rFonts w:ascii="Arial" w:cs="Arial" w:eastAsia="Arial" w:hAnsi="Arial"/>
                <w:b w:val="false"/>
                <w:bCs w:val="false"/>
                <w:color w:val="1F2937"/>
                <w:sz w:val="17"/>
                <w:szCs w:val="17"/>
              </w:rPr>
              <w:t xml:space="preserve"> (announced after the close on 9-Oct); Genting Bhd −22.9%. Read-across: parent cannot fund a second privatisation, and GENM must self-fund New York</w:t>
            </w:r>
          </w:p>
        </w:tc>
      </w:tr>
    </w:tbl>
    <w:p>
      <w:pPr>
        <w:spacing w:after="80" w:before="0"/>
      </w:pPr>
    </w:p>
    <w:p>
      <w:pPr>
        <w:spacing w:after="110" w:before="0" w:line="264"/>
      </w:pPr>
      <w:r>
        <w:rPr>
          <w:rFonts w:ascii="Arial" w:cs="Arial" w:eastAsia="Arial" w:hAnsi="Arial"/>
          <w:color w:val="1F2937"/>
          <w:sz w:val="19"/>
          <w:szCs w:val="19"/>
        </w:rPr>
        <w:t xml:space="preserve">Near misses: 21-Nov-2022 (GE15 hung parliament; −10.7% at the open, −5.5% close); 14-Oct-2025 (+8.4% on the RM2.35 offer); 9-Jun-2025 (+8.7%, unexplained [u]); 7-Apr-2025 (−8.0%, US tariff shock).</w:t>
      </w:r>
    </w:p>
    <w:p>
      <w:pPr>
        <w:pStyle w:val="Heading2"/>
        <w:keepNext/>
      </w:pPr>
      <w:r>
        <w:rPr>
          <w:rFonts w:ascii="Arial" w:cs="Arial" w:eastAsia="Arial" w:hAnsi="Arial"/>
        </w:rPr>
        <w:t xml:space="preserve">9.2 Multi-week swings of 10% or more since Oct-2021</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1872"/>
        <w:gridCol w:w="1365"/>
        <w:gridCol w:w="6843"/>
      </w:tblGrid>
      <w:tr>
        <w:trPr>
          <w:cantSplit/>
          <w:tblHeader/>
        </w:trPr>
        <w:tc>
          <w:tcPr>
            <w:tcW w:type="dxa" w:w="187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Period</w:t>
            </w:r>
          </w:p>
        </w:tc>
        <w:tc>
          <w:tcPr>
            <w:tcW w:type="dxa" w:w="136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7"/>
                <w:szCs w:val="17"/>
              </w:rPr>
              <w:t xml:space="preserve">Move</w:t>
            </w:r>
          </w:p>
        </w:tc>
        <w:tc>
          <w:tcPr>
            <w:tcW w:type="dxa" w:w="684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Drivers</w:t>
            </w:r>
          </w:p>
        </w:tc>
      </w:tr>
      <w:tr>
        <w:trPr>
          <w:cantSplit/>
        </w:trPr>
        <w:tc>
          <w:tcPr>
            <w:tcW w:type="dxa" w:w="187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Oct-21 → Jan-22</w:t>
            </w:r>
          </w:p>
        </w:tc>
        <w:tc>
          <w:tcPr>
            <w:tcW w:type="dxa" w:w="13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−14%</w:t>
            </w:r>
          </w:p>
        </w:tc>
        <w:tc>
          <w:tcPr>
            <w:tcW w:type="dxa" w:w="6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Omicron; Budget 2022 one-off "Cukai Makmur" (33% on income above RM100m)</w:t>
            </w:r>
          </w:p>
        </w:tc>
      </w:tr>
      <w:tr>
        <w:trPr>
          <w:cantSplit/>
        </w:trPr>
        <w:tc>
          <w:tcPr>
            <w:tcW w:type="dxa" w:w="187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Jan-22 → May-22</w:t>
            </w:r>
          </w:p>
        </w:tc>
        <w:tc>
          <w:tcPr>
            <w:tcW w:type="dxa" w:w="13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+12%</w:t>
            </w:r>
          </w:p>
        </w:tc>
        <w:tc>
          <w:tcPr>
            <w:tcW w:type="dxa" w:w="6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Genting SkyWorlds opened (8-Feb-22); Malaysian borders reopened (1-Apr-22)</w:t>
            </w:r>
          </w:p>
        </w:tc>
      </w:tr>
      <w:tr>
        <w:trPr>
          <w:cantSplit/>
        </w:trPr>
        <w:tc>
          <w:tcPr>
            <w:tcW w:type="dxa" w:w="187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May-22 → Oct-22</w:t>
            </w:r>
          </w:p>
        </w:tc>
        <w:tc>
          <w:tcPr>
            <w:tcW w:type="dxa" w:w="13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−16%</w:t>
            </w:r>
          </w:p>
        </w:tc>
        <w:tc>
          <w:tcPr>
            <w:tcW w:type="dxa" w:w="6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Global rate shock; Parliament dissolved (GE15, PAS risk)</w:t>
            </w:r>
          </w:p>
        </w:tc>
      </w:tr>
      <w:tr>
        <w:trPr>
          <w:cantSplit/>
        </w:trPr>
        <w:tc>
          <w:tcPr>
            <w:tcW w:type="dxa" w:w="187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Oct-22 → Jan-23</w:t>
            </w:r>
          </w:p>
        </w:tc>
        <w:tc>
          <w:tcPr>
            <w:tcW w:type="dxa" w:w="13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+13%</w:t>
            </w:r>
          </w:p>
        </w:tc>
        <w:tc>
          <w:tcPr>
            <w:tcW w:type="dxa" w:w="6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Post-GE15 relief (Anwar PM); China reopening</w:t>
            </w:r>
          </w:p>
        </w:tc>
      </w:tr>
      <w:tr>
        <w:trPr>
          <w:cantSplit/>
        </w:trPr>
        <w:tc>
          <w:tcPr>
            <w:tcW w:type="dxa" w:w="187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Jan-23 → Oct-23</w:t>
            </w:r>
          </w:p>
        </w:tc>
        <w:tc>
          <w:tcPr>
            <w:tcW w:type="dxa" w:w="13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−17%</w:t>
            </w:r>
          </w:p>
        </w:tc>
        <w:tc>
          <w:tcPr>
            <w:tcW w:type="dxa" w:w="6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Slow China recovery, cost inflation, Empire related-party cash calls</w:t>
            </w:r>
          </w:p>
        </w:tc>
      </w:tr>
      <w:tr>
        <w:trPr>
          <w:cantSplit/>
        </w:trPr>
        <w:tc>
          <w:tcPr>
            <w:tcW w:type="dxa" w:w="187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Oct-23 → Mar-24</w:t>
            </w:r>
          </w:p>
        </w:tc>
        <w:tc>
          <w:tcPr>
            <w:tcW w:type="dxa" w:w="13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+19%</w:t>
            </w:r>
          </w:p>
        </w:tc>
        <w:tc>
          <w:tcPr>
            <w:tcW w:type="dxa" w:w="6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China/India visa-free entry (Dec-23); NY licence optionality</w:t>
            </w:r>
          </w:p>
        </w:tc>
      </w:tr>
      <w:tr>
        <w:trPr>
          <w:cantSplit/>
        </w:trPr>
        <w:tc>
          <w:tcPr>
            <w:tcW w:type="dxa" w:w="187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Mar-24 → Nov-24</w:t>
            </w:r>
          </w:p>
        </w:tc>
        <w:tc>
          <w:tcPr>
            <w:tcW w:type="dxa" w:w="13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7"/>
                <w:szCs w:val="17"/>
              </w:rPr>
              <w:t xml:space="preserve">−27%</w:t>
            </w:r>
          </w:p>
        </w:tc>
        <w:tc>
          <w:tcPr>
            <w:tcW w:type="dxa" w:w="6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Weaker RWG margins (3Q24 RWG EBITDA −13%), Empire losses, FBM KLCI deletion (Dec-24)</w:t>
            </w:r>
          </w:p>
        </w:tc>
      </w:tr>
      <w:tr>
        <w:trPr>
          <w:cantSplit/>
        </w:trPr>
        <w:tc>
          <w:tcPr>
            <w:tcW w:type="dxa" w:w="187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Nov-24 → Feb-25</w:t>
            </w:r>
          </w:p>
        </w:tc>
        <w:tc>
          <w:tcPr>
            <w:tcW w:type="dxa" w:w="13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+14%</w:t>
            </w:r>
          </w:p>
        </w:tc>
        <w:tc>
          <w:tcPr>
            <w:tcW w:type="dxa" w:w="6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Year-end / CNY recovery</w:t>
            </w:r>
          </w:p>
        </w:tc>
      </w:tr>
      <w:tr>
        <w:trPr>
          <w:cantSplit/>
        </w:trPr>
        <w:tc>
          <w:tcPr>
            <w:tcW w:type="dxa" w:w="187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Feb-25 → Apr-25</w:t>
            </w:r>
          </w:p>
        </w:tc>
        <w:tc>
          <w:tcPr>
            <w:tcW w:type="dxa" w:w="13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7"/>
                <w:szCs w:val="17"/>
              </w:rPr>
              <w:t xml:space="preserve">−38%</w:t>
            </w:r>
          </w:p>
        </w:tc>
        <w:tc>
          <w:tcPr>
            <w:tcW w:type="dxa" w:w="6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28-Feb crash (loss, dividend cut, MSCI deletion), then US tariff shock</w:t>
            </w:r>
          </w:p>
        </w:tc>
      </w:tr>
      <w:tr>
        <w:trPr>
          <w:cantSplit/>
        </w:trPr>
        <w:tc>
          <w:tcPr>
            <w:tcW w:type="dxa" w:w="187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Apr-25 → Nov-25</w:t>
            </w:r>
          </w:p>
        </w:tc>
        <w:tc>
          <w:tcPr>
            <w:tcW w:type="dxa" w:w="13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7"/>
                <w:szCs w:val="17"/>
              </w:rPr>
              <w:t xml:space="preserve">+60%</w:t>
            </w:r>
          </w:p>
        </w:tc>
        <w:tc>
          <w:tcPr>
            <w:tcW w:type="dxa" w:w="6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Tariff-pause rebound; 2Q25 FX-driven profit; NY bid; </w:t>
            </w:r>
            <w:r>
              <w:rPr>
                <w:rFonts w:ascii="Arial" w:cs="Arial" w:eastAsia="Arial" w:hAnsi="Arial"/>
                <w:b/>
                <w:bCs/>
                <w:color w:val="1F2937"/>
                <w:sz w:val="17"/>
                <w:szCs w:val="17"/>
              </w:rPr>
              <w:t xml:space="preserve">Genting Bhd RM2.35 offer (13-Oct-25)</w:t>
            </w:r>
            <w:r>
              <w:rPr>
                <w:rFonts w:ascii="Arial" w:cs="Arial" w:eastAsia="Arial" w:hAnsi="Arial"/>
                <w:b w:val="false"/>
                <w:bCs w:val="false"/>
                <w:color w:val="1F2937"/>
                <w:sz w:val="17"/>
                <w:szCs w:val="17"/>
              </w:rPr>
              <w:t xml:space="preserve"> pinned the price</w:t>
            </w:r>
          </w:p>
        </w:tc>
      </w:tr>
      <w:tr>
        <w:trPr>
          <w:cantSplit/>
        </w:trPr>
        <w:tc>
          <w:tcPr>
            <w:tcW w:type="dxa" w:w="187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1-Dec-25 → 10-Dec-25</w:t>
            </w:r>
          </w:p>
        </w:tc>
        <w:tc>
          <w:tcPr>
            <w:tcW w:type="dxa" w:w="13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−14%</w:t>
            </w:r>
          </w:p>
        </w:tc>
        <w:tc>
          <w:tcPr>
            <w:tcW w:type="dxa" w:w="6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Offer closed at 73.13%</w:t>
            </w:r>
            <w:r>
              <w:rPr>
                <w:rFonts w:ascii="Arial" w:cs="Arial" w:eastAsia="Arial" w:hAnsi="Arial"/>
                <w:b w:val="false"/>
                <w:bCs w:val="false"/>
                <w:color w:val="1F2937"/>
                <w:sz w:val="17"/>
                <w:szCs w:val="17"/>
              </w:rPr>
              <w:t xml:space="preserve"> (below 75% delisting / 90% squeeze-out); bid floor removed despite the NY licence the same day</w:t>
            </w:r>
          </w:p>
        </w:tc>
      </w:tr>
      <w:tr>
        <w:trPr>
          <w:cantSplit/>
        </w:trPr>
        <w:tc>
          <w:tcPr>
            <w:tcW w:type="dxa" w:w="187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Feb-26 → Mar-26</w:t>
            </w:r>
          </w:p>
        </w:tc>
        <w:tc>
          <w:tcPr>
            <w:tcW w:type="dxa" w:w="13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−16%</w:t>
            </w:r>
          </w:p>
        </w:tc>
        <w:tc>
          <w:tcPr>
            <w:tcW w:type="dxa" w:w="6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Ex-dividend 7 sen; group-wide weakness (Genting Bhd at a 23-year low); President Lee Choong Yan stepped down</w:t>
            </w:r>
          </w:p>
        </w:tc>
      </w:tr>
      <w:tr>
        <w:trPr>
          <w:cantSplit/>
        </w:trPr>
        <w:tc>
          <w:tcPr>
            <w:tcW w:type="dxa" w:w="187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Mar-26 → Apr-26</w:t>
            </w:r>
          </w:p>
        </w:tc>
        <w:tc>
          <w:tcPr>
            <w:tcW w:type="dxa" w:w="13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+16%</w:t>
            </w:r>
          </w:p>
        </w:tc>
        <w:tc>
          <w:tcPr>
            <w:tcW w:type="dxa" w:w="6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RWNYC live tables announced and opened (28-Apr-26)</w:t>
            </w:r>
          </w:p>
        </w:tc>
      </w:tr>
      <w:tr>
        <w:trPr>
          <w:cantSplit/>
        </w:trPr>
        <w:tc>
          <w:tcPr>
            <w:tcW w:type="dxa" w:w="187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Apr-26 → Sep-26</w:t>
            </w:r>
          </w:p>
        </w:tc>
        <w:tc>
          <w:tcPr>
            <w:tcW w:type="dxa" w:w="13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7"/>
                <w:szCs w:val="17"/>
              </w:rPr>
              <w:t xml:space="preserve">−28%</w:t>
            </w:r>
          </w:p>
        </w:tc>
        <w:tc>
          <w:tcPr>
            <w:tcW w:type="dxa" w:w="6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1Q26 miss (pre-opening loss), 2Q26 net profit −89%, no interim dividend, debt +RM3.8bn, Fitch downgrade to BBB- (Sep-26), parent-leverage worries</w:t>
            </w:r>
          </w:p>
        </w:tc>
      </w:tr>
      <w:tr>
        <w:trPr>
          <w:cantSplit/>
        </w:trPr>
        <w:tc>
          <w:tcPr>
            <w:tcW w:type="dxa" w:w="187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9-Oct-26 → 12-Oct-26</w:t>
            </w:r>
          </w:p>
        </w:tc>
        <w:tc>
          <w:tcPr>
            <w:tcW w:type="dxa" w:w="13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−17%</w:t>
            </w:r>
          </w:p>
        </w:tc>
        <w:tc>
          <w:tcPr>
            <w:tcW w:type="dxa" w:w="6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Genting Bhd rights issue</w:t>
            </w:r>
          </w:p>
        </w:tc>
      </w:tr>
      <w:tr>
        <w:trPr>
          <w:cantSplit/>
        </w:trPr>
        <w:tc>
          <w:tcPr>
            <w:tcW w:type="dxa" w:w="187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9-Oct-26 → 21-Oct-26</w:t>
            </w:r>
          </w:p>
        </w:tc>
        <w:tc>
          <w:tcPr>
            <w:tcW w:type="dxa" w:w="13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7"/>
                <w:szCs w:val="17"/>
              </w:rPr>
              <w:t xml:space="preserve">−20%</w:t>
            </w:r>
            <w:r>
              <w:rPr>
                <w:rFonts w:ascii="Arial" w:cs="Arial" w:eastAsia="Arial" w:hAnsi="Arial"/>
                <w:b w:val="false"/>
                <w:bCs w:val="false"/>
                <w:color w:val="1F2937"/>
                <w:sz w:val="17"/>
                <w:szCs w:val="17"/>
              </w:rPr>
              <w:t xml:space="preserve"> (RM1.49 → 1.19)</w:t>
            </w:r>
          </w:p>
        </w:tc>
        <w:tc>
          <w:tcPr>
            <w:tcW w:type="dxa" w:w="6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Rights issue, then Affin's Sell call (TP RM1.00); record low with no GENM-specific news</w:t>
            </w:r>
          </w:p>
        </w:tc>
      </w:tr>
    </w:tbl>
    <w:p>
      <w:pPr>
        <w:spacing w:after="80" w:before="0"/>
      </w:pPr>
    </w:p>
    <w:p>
      <w:pPr>
        <w:pStyle w:val="Heading2"/>
        <w:keepNext/>
      </w:pPr>
      <w:r>
        <w:rPr>
          <w:rFonts w:ascii="Arial" w:cs="Arial" w:eastAsia="Arial" w:hAnsi="Arial"/>
        </w:rPr>
        <w:t xml:space="preserve">9.3 Ten-year context</w:t>
      </w:r>
    </w:p>
    <w:p>
      <w:pPr>
        <w:spacing w:after="110" w:before="0" w:line="264"/>
      </w:pPr>
      <w:r>
        <w:rPr>
          <w:rFonts w:ascii="Arial" w:cs="Arial" w:eastAsia="Arial" w:hAnsi="Arial"/>
          <w:color w:val="1F2937"/>
          <w:sz w:val="19"/>
          <w:szCs w:val="19"/>
        </w:rPr>
        <w:t xml:space="preserve">The 10-year high (RM6.14 close, Aug-2017) reflected the GITP re-rating and net cash. The de-rating since has come in discrete steps, each tied to </w:t>
      </w:r>
      <w:r>
        <w:rPr>
          <w:rFonts w:ascii="Arial" w:cs="Arial" w:eastAsia="Arial" w:hAnsi="Arial"/>
          <w:b/>
          <w:bCs/>
          <w:color w:val="1F2937"/>
          <w:sz w:val="19"/>
          <w:szCs w:val="19"/>
        </w:rPr>
        <w:t xml:space="preserve">government or related-party decisions rather than operations</w:t>
      </w:r>
      <w:r>
        <w:rPr>
          <w:rFonts w:ascii="Arial" w:cs="Arial" w:eastAsia="Arial" w:hAnsi="Arial"/>
          <w:color w:val="1F2937"/>
          <w:sz w:val="19"/>
          <w:szCs w:val="19"/>
        </w:rPr>
        <w:t xml:space="preserve">: the Budget 2019 casino-duty hike (−21% in a week), Fox/Disney's termination of the theme-park licence (−20% in a week, Nov-2018), the Empire Resorts related-party deal with Kien Huat (−12% in a day, Aug-2019), Covid, the 2025 dividend cut, and the 2026 parent rights issue. </w:t>
      </w:r>
      <w:r>
        <w:rPr>
          <w:rFonts w:ascii="Arial" w:cs="Arial" w:eastAsia="Arial" w:hAnsi="Arial"/>
          <w:b/>
          <w:bCs/>
          <w:color w:val="1F2937"/>
          <w:sz w:val="19"/>
          <w:szCs w:val="19"/>
        </w:rPr>
        <w:t xml:space="preserve">Lesson for positioning: GENM's large moves are policy- and parent-driven. Operations explain the drift; governance explains the gaps.</w:t>
      </w:r>
    </w:p>
    <w:p>
      <w:pPr>
        <w:pStyle w:val="Heading1"/>
        <w:keepNext/>
      </w:pPr>
      <w:r>
        <w:rPr>
          <w:rFonts w:ascii="Arial" w:cs="Arial" w:eastAsia="Arial" w:hAnsi="Arial"/>
        </w:rPr>
        <w:t xml:space="preserve">10. Earnings Calls, Management Focus and Sentiment</w:t>
      </w:r>
    </w:p>
    <w:p>
      <w:pPr>
        <w:spacing w:after="110" w:before="0" w:line="264"/>
      </w:pPr>
      <w:r>
        <w:rPr>
          <w:rFonts w:ascii="Arial" w:cs="Arial" w:eastAsia="Arial" w:hAnsi="Arial"/>
          <w:b/>
          <w:bCs/>
          <w:color w:val="1F2937"/>
          <w:sz w:val="19"/>
          <w:szCs w:val="19"/>
        </w:rPr>
        <w:t xml:space="preserve">Method note.</w:t>
      </w:r>
      <w:r>
        <w:rPr>
          <w:rFonts w:ascii="Arial" w:cs="Arial" w:eastAsia="Arial" w:hAnsi="Arial"/>
          <w:color w:val="1F2937"/>
          <w:sz w:val="19"/>
          <w:szCs w:val="19"/>
        </w:rPr>
        <w:t xml:space="preserve"> GENM does not publish call transcripts on S&amp;P Capital IQ, and the ProntoNLP connector is not authorised in this session. We therefore built a transparent sentiment score from results press releases, Bursa quarterly-report commentary, analyst-briefing coverage and broker notes. Each quarter's score (−1 to +1) is the average of four sub-scores: (a) management tone and outlook, (b) capital-return action, (c) result vs expectations, (d) emphasis on forward catalysts. Topic intensity counts distinct statements per theme across the evidence set.</w:t>
      </w:r>
    </w:p>
    <w:p>
      <w:pPr>
        <w:pStyle w:val="Heading2"/>
        <w:keepNext/>
      </w:pPr>
      <w:r>
        <w:rPr>
          <w:rFonts w:ascii="Arial" w:cs="Arial" w:eastAsia="Arial" w:hAnsi="Arial"/>
        </w:rPr>
        <w:t xml:space="preserve">10.1 Quarter-by-quarter summary</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1065"/>
        <w:gridCol w:w="2396"/>
        <w:gridCol w:w="2962"/>
        <w:gridCol w:w="1239"/>
        <w:gridCol w:w="839"/>
        <w:gridCol w:w="952"/>
        <w:gridCol w:w="627"/>
      </w:tblGrid>
      <w:tr>
        <w:trPr>
          <w:cantSplit/>
          <w:tblHeader/>
        </w:trPr>
        <w:tc>
          <w:tcPr>
            <w:tcW w:type="dxa" w:w="106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Quarter (release)</w:t>
            </w:r>
          </w:p>
        </w:tc>
        <w:tc>
          <w:tcPr>
            <w:tcW w:type="dxa" w:w="239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Headline numbers</w:t>
            </w:r>
          </w:p>
        </w:tc>
        <w:tc>
          <w:tcPr>
            <w:tcW w:type="dxa" w:w="296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What management focused on</w:t>
            </w:r>
          </w:p>
        </w:tc>
        <w:tc>
          <w:tcPr>
            <w:tcW w:type="dxa" w:w="123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vs expectations</w:t>
            </w:r>
          </w:p>
        </w:tc>
        <w:tc>
          <w:tcPr>
            <w:tcW w:type="dxa" w:w="83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Capital action</w:t>
            </w:r>
          </w:p>
        </w:tc>
        <w:tc>
          <w:tcPr>
            <w:tcW w:type="dxa" w:w="95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Share reaction</w:t>
            </w:r>
          </w:p>
        </w:tc>
        <w:tc>
          <w:tcPr>
            <w:tcW w:type="dxa" w:w="62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Score</w:t>
            </w:r>
          </w:p>
        </w:tc>
      </w:tr>
      <w:tr>
        <w:trPr>
          <w:cantSplit/>
        </w:trPr>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3Q24 (28-Nov-24)</w:t>
            </w:r>
          </w:p>
        </w:tc>
        <w:tc>
          <w:tcPr>
            <w:tcW w:type="dxa" w:w="239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Rev RM2,749m; NP RM569m incl. RM602m FX gain; RWG EBITDA −13%</w:t>
            </w:r>
          </w:p>
        </w:tc>
        <w:tc>
          <w:tcPr>
            <w:tcW w:type="dxa" w:w="29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Visitation +12%, occupancy 99%, China visitors doubled; payroll and casino opex up; "cautiously optimistic"</w:t>
            </w:r>
          </w:p>
        </w:tc>
        <w:tc>
          <w:tcPr>
            <w:tcW w:type="dxa" w:w="123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Headline beat, underlying weaker</w:t>
            </w:r>
          </w:p>
        </w:tc>
        <w:tc>
          <w:tcPr>
            <w:tcW w:type="dxa" w:w="83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Interim 6 sen (paid)</w:t>
            </w:r>
          </w:p>
        </w:tc>
        <w:tc>
          <w:tcPr>
            <w:tcW w:type="dxa" w:w="9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+1.4% (week)</w:t>
            </w:r>
          </w:p>
        </w:tc>
        <w:tc>
          <w:tcPr>
            <w:tcW w:type="dxa" w:w="6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+0.1</w:t>
            </w:r>
          </w:p>
        </w:tc>
      </w:tr>
      <w:tr>
        <w:trPr>
          <w:cantSplit/>
        </w:trPr>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4Q24 (27-Feb-25)</w:t>
            </w:r>
          </w:p>
        </w:tc>
        <w:tc>
          <w:tcPr>
            <w:tcW w:type="dxa" w:w="239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Net loss RM458m</w:t>
            </w:r>
          </w:p>
        </w:tc>
        <w:tc>
          <w:tcPr>
            <w:tcW w:type="dxa" w:w="29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Empire losses, NY bid costs, D&amp;A and interest; cash preserved for expansion</w:t>
            </w:r>
          </w:p>
        </w:tc>
        <w:tc>
          <w:tcPr>
            <w:tcW w:type="dxa" w:w="123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Miss</w:t>
            </w:r>
          </w:p>
        </w:tc>
        <w:tc>
          <w:tcPr>
            <w:tcW w:type="dxa" w:w="83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5"/>
                <w:szCs w:val="15"/>
              </w:rPr>
              <w:t xml:space="preserve">Final cut to 4 sen</w:t>
            </w:r>
          </w:p>
        </w:tc>
        <w:tc>
          <w:tcPr>
            <w:tcW w:type="dxa" w:w="9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5"/>
                <w:szCs w:val="15"/>
              </w:rPr>
              <w:t xml:space="preserve">−19.5%</w:t>
            </w:r>
          </w:p>
        </w:tc>
        <w:tc>
          <w:tcPr>
            <w:tcW w:type="dxa" w:w="6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−0.5</w:t>
            </w:r>
          </w:p>
        </w:tc>
      </w:tr>
      <w:tr>
        <w:trPr>
          <w:cantSplit/>
        </w:trPr>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1Q25 (29-May-25)</w:t>
            </w:r>
          </w:p>
        </w:tc>
        <w:tc>
          <w:tcPr>
            <w:tcW w:type="dxa" w:w="239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Rev −6%; VIP GGR −18%; core NP −78%</w:t>
            </w:r>
          </w:p>
        </w:tc>
        <w:tc>
          <w:tcPr>
            <w:tcW w:type="dxa" w:w="29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Premium softness; mass floor reopening; Empire losses</w:t>
            </w:r>
          </w:p>
        </w:tc>
        <w:tc>
          <w:tcPr>
            <w:tcW w:type="dxa" w:w="123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Miss; forecasts cut</w:t>
            </w:r>
          </w:p>
        </w:tc>
        <w:tc>
          <w:tcPr>
            <w:tcW w:type="dxa" w:w="83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w:t>
            </w:r>
          </w:p>
        </w:tc>
        <w:tc>
          <w:tcPr>
            <w:tcW w:type="dxa" w:w="9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Flat</w:t>
            </w:r>
          </w:p>
        </w:tc>
        <w:tc>
          <w:tcPr>
            <w:tcW w:type="dxa" w:w="6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−0.3</w:t>
            </w:r>
          </w:p>
        </w:tc>
      </w:tr>
      <w:tr>
        <w:trPr>
          <w:cantSplit/>
        </w:trPr>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2Q25 (28-Aug-25)</w:t>
            </w:r>
          </w:p>
        </w:tc>
        <w:tc>
          <w:tcPr>
            <w:tcW w:type="dxa" w:w="239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Rev +9%; NP +407% (FX); RWG EBITDA +16%</w:t>
            </w:r>
          </w:p>
        </w:tc>
        <w:tc>
          <w:tcPr>
            <w:tcW w:type="dxa" w:w="29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Volumes and margins up, but 2H margin "will not hold" on tax and marketing; NY bid submitted</w:t>
            </w:r>
          </w:p>
        </w:tc>
        <w:tc>
          <w:tcPr>
            <w:tcW w:type="dxa" w:w="123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In line</w:t>
            </w:r>
          </w:p>
        </w:tc>
        <w:tc>
          <w:tcPr>
            <w:tcW w:type="dxa" w:w="83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5"/>
                <w:szCs w:val="15"/>
              </w:rPr>
              <w:t xml:space="preserve">No interim dividend</w:t>
            </w:r>
          </w:p>
        </w:tc>
        <w:tc>
          <w:tcPr>
            <w:tcW w:type="dxa" w:w="9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+2.5% (week)</w:t>
            </w:r>
          </w:p>
        </w:tc>
        <w:tc>
          <w:tcPr>
            <w:tcW w:type="dxa" w:w="6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0.0</w:t>
            </w:r>
          </w:p>
        </w:tc>
      </w:tr>
      <w:tr>
        <w:trPr>
          <w:cantSplit/>
        </w:trPr>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3Q25 (27-Nov-25)</w:t>
            </w:r>
          </w:p>
        </w:tc>
        <w:tc>
          <w:tcPr>
            <w:tcW w:type="dxa" w:w="239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Rev +22%; ex-FX EBITDA +19%; RWG EBITDA +27%</w:t>
            </w:r>
          </w:p>
        </w:tc>
        <w:tc>
          <w:tcPr>
            <w:tcW w:type="dxa" w:w="29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RWG gaming recovery; NY licence decision imminent</w:t>
            </w:r>
          </w:p>
        </w:tc>
        <w:tc>
          <w:tcPr>
            <w:tcW w:type="dxa" w:w="123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Beat (ex-FX)</w:t>
            </w:r>
          </w:p>
        </w:tc>
        <w:tc>
          <w:tcPr>
            <w:tcW w:type="dxa" w:w="83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Offer period</w:t>
            </w:r>
          </w:p>
        </w:tc>
        <w:tc>
          <w:tcPr>
            <w:tcW w:type="dxa" w:w="9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Pinned at RM2.35</w:t>
            </w:r>
          </w:p>
        </w:tc>
        <w:tc>
          <w:tcPr>
            <w:tcW w:type="dxa" w:w="6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+0.4</w:t>
            </w:r>
          </w:p>
        </w:tc>
      </w:tr>
      <w:tr>
        <w:trPr>
          <w:cantSplit/>
        </w:trPr>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4Q25 (26-Feb-26)</w:t>
            </w:r>
          </w:p>
        </w:tc>
        <w:tc>
          <w:tcPr>
            <w:tcW w:type="dxa" w:w="239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Rev +10%; ex-FX EBITDA +8%; Malaysia EBITDA −21%</w:t>
            </w:r>
          </w:p>
        </w:tc>
        <w:tc>
          <w:tcPr>
            <w:tcW w:type="dxa" w:w="29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NY licence won; "rewarding shareholders while deleveraging"</w:t>
            </w:r>
          </w:p>
        </w:tc>
        <w:tc>
          <w:tcPr>
            <w:tcW w:type="dxa" w:w="123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Mixed</w:t>
            </w:r>
          </w:p>
        </w:tc>
        <w:tc>
          <w:tcPr>
            <w:tcW w:type="dxa" w:w="83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5"/>
                <w:szCs w:val="15"/>
              </w:rPr>
              <w:t xml:space="preserve">Final 7 sen</w:t>
            </w:r>
          </w:p>
        </w:tc>
        <w:tc>
          <w:tcPr>
            <w:tcW w:type="dxa" w:w="9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+3.4%</w:t>
            </w:r>
          </w:p>
        </w:tc>
        <w:tc>
          <w:tcPr>
            <w:tcW w:type="dxa" w:w="6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+0.5</w:t>
            </w:r>
          </w:p>
        </w:tc>
      </w:tr>
      <w:tr>
        <w:trPr>
          <w:cantSplit/>
        </w:trPr>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1Q26 (21-May-26)</w:t>
            </w:r>
          </w:p>
        </w:tc>
        <w:tc>
          <w:tcPr>
            <w:tcW w:type="dxa" w:w="239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Rev +10%; net loss RM3.8m</w:t>
            </w:r>
          </w:p>
        </w:tc>
        <w:tc>
          <w:tcPr>
            <w:tcW w:type="dxa" w:w="29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RWNYC pre-opening and conversion costs; lower NY tax ahead</w:t>
            </w:r>
          </w:p>
        </w:tc>
        <w:tc>
          <w:tcPr>
            <w:tcW w:type="dxa" w:w="123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Miss</w:t>
            </w:r>
          </w:p>
        </w:tc>
        <w:tc>
          <w:tcPr>
            <w:tcW w:type="dxa" w:w="83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w:t>
            </w:r>
          </w:p>
        </w:tc>
        <w:tc>
          <w:tcPr>
            <w:tcW w:type="dxa" w:w="9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−3.0%</w:t>
            </w:r>
          </w:p>
        </w:tc>
        <w:tc>
          <w:tcPr>
            <w:tcW w:type="dxa" w:w="6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−0.2</w:t>
            </w:r>
          </w:p>
        </w:tc>
      </w:tr>
      <w:tr>
        <w:trPr>
          <w:cantSplit/>
        </w:trPr>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2Q26 (20-Aug-26)</w:t>
            </w:r>
          </w:p>
        </w:tc>
        <w:tc>
          <w:tcPr>
            <w:tcW w:type="dxa" w:w="239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Rev +32% (record); adj. EBITDA −18% (+13% ex-FX per UOBKH); NP −89%</w:t>
            </w:r>
          </w:p>
        </w:tc>
        <w:tc>
          <w:tcPr>
            <w:tcW w:type="dxa" w:w="29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RWNYC ramp (US revenue +166%); RWG VIP hold; FX loss</w:t>
            </w:r>
          </w:p>
        </w:tc>
        <w:tc>
          <w:tcPr>
            <w:tcW w:type="dxa" w:w="123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EBITDA in line; NP miss</w:t>
            </w:r>
          </w:p>
        </w:tc>
        <w:tc>
          <w:tcPr>
            <w:tcW w:type="dxa" w:w="83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5"/>
                <w:szCs w:val="15"/>
              </w:rPr>
              <w:t xml:space="preserve">No interim</w:t>
            </w:r>
          </w:p>
        </w:tc>
        <w:tc>
          <w:tcPr>
            <w:tcW w:type="dxa" w:w="9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−0.6%, then −13.5% in Sep</w:t>
            </w:r>
          </w:p>
        </w:tc>
        <w:tc>
          <w:tcPr>
            <w:tcW w:type="dxa" w:w="6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+0.2</w:t>
            </w:r>
          </w:p>
        </w:tc>
      </w:tr>
    </w:tbl>
    <w:p>
      <w:pPr>
        <w:spacing w:after="80" w:before="0"/>
      </w:pPr>
    </w:p>
    <w:p>
      <w:pPr>
        <w:spacing w:after="140" w:before="0"/>
      </w:pPr>
      <w:r>
        <w:rPr>
          <w:rFonts w:ascii="Arial" w:cs="Arial" w:eastAsia="Arial" w:hAnsi="Arial"/>
          <w:color w:val="6B7280"/>
          <w:sz w:val="15"/>
          <w:szCs w:val="15"/>
        </w:rPr>
        <w:t xml:space="preserve">Source: S&amp;P Capital IQ key developments; GENM press releases; ASGAM, GGRAsia, The Edge, The Star, NST, Bernama, AGBrief; UOB Kay Hian, Maybank IB, HLIB, Kenanga, TA notes.</w:t>
      </w:r>
    </w:p>
    <w:p>
      <w:pPr>
        <w:keepNext/>
        <w:spacing w:after="40" w:before="120"/>
        <w:jc w:val="center"/>
      </w:pPr>
      <w:r>
        <w:drawing>
          <wp:inline distT="0" distB="0" distL="0" distR="0">
            <wp:extent cx="6400800" cy="2390775"/>
            <wp:effectExtent t="0" r="0" b="0" l="0"/>
            <wp:docPr id="1" name="fig5" descr="Results-tone score and topic intensity, 3Q24-2Q26."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2390775"/>
                    </a:xfrm>
                    <a:prstGeom prst="rect">
                      <a:avLst/>
                    </a:prstGeom>
                  </pic:spPr>
                </pic:pic>
              </a:graphicData>
            </a:graphic>
          </wp:inline>
        </w:drawing>
      </w:r>
    </w:p>
    <w:p>
      <w:pPr>
        <w:spacing w:after="160" w:before="0"/>
      </w:pPr>
      <w:r>
        <w:rPr>
          <w:rFonts w:ascii="Arial" w:cs="Arial" w:eastAsia="Arial" w:hAnsi="Arial"/>
          <w:i/>
          <w:iCs/>
          <w:color w:val="6B7280"/>
          <w:sz w:val="15"/>
          <w:szCs w:val="15"/>
        </w:rPr>
        <w:t xml:space="preserve">Figure 5: Results-tone score and topic intensity, 3Q24-2Q26.</w:t>
      </w:r>
    </w:p>
    <w:p>
      <w:pPr>
        <w:pStyle w:val="Heading2"/>
        <w:keepNext/>
      </w:pPr>
      <w:r>
        <w:rPr>
          <w:rFonts w:ascii="Arial" w:cs="Arial" w:eastAsia="Arial" w:hAnsi="Arial"/>
        </w:rPr>
        <w:t xml:space="preserve">10.2 What management is focused on</w:t>
      </w:r>
    </w:p>
    <w:p>
      <w:pPr>
        <w:pStyle w:val="ListParagraph"/>
        <w:numPr>
          <w:ilvl w:val="0"/>
          <w:numId w:val="4"/>
        </w:numPr>
        <w:spacing w:after="70" w:before="0" w:line="252"/>
      </w:pPr>
      <w:r>
        <w:rPr>
          <w:rFonts w:ascii="Arial" w:cs="Arial" w:eastAsia="Arial" w:hAnsi="Arial"/>
          <w:b/>
          <w:bCs/>
          <w:color w:val="1F2937"/>
          <w:sz w:val="19"/>
          <w:szCs w:val="19"/>
        </w:rPr>
        <w:t xml:space="preserve">New York execution.</w:t>
      </w:r>
      <w:r>
        <w:rPr>
          <w:rFonts w:ascii="Arial" w:cs="Arial" w:eastAsia="Arial" w:hAnsi="Arial"/>
          <w:color w:val="1F2937"/>
          <w:sz w:val="19"/>
          <w:szCs w:val="19"/>
        </w:rPr>
        <w:t xml:space="preserve"> Ramping RWNYC (242 tables, ~3,900 slots), phase 2 (hotel tower, arena; groundbreaking Jul-2026), staffing (2,200+ hires), and the tax fight (racing-support payments). NY now dominates every briefing.</w:t>
      </w:r>
    </w:p>
    <w:p>
      <w:pPr>
        <w:pStyle w:val="ListParagraph"/>
        <w:numPr>
          <w:ilvl w:val="0"/>
          <w:numId w:val="4"/>
        </w:numPr>
        <w:spacing w:after="70" w:before="0" w:line="252"/>
      </w:pPr>
      <w:r>
        <w:rPr>
          <w:rFonts w:ascii="Arial" w:cs="Arial" w:eastAsia="Arial" w:hAnsi="Arial"/>
          <w:b/>
          <w:bCs/>
          <w:color w:val="1F2937"/>
          <w:sz w:val="19"/>
          <w:szCs w:val="19"/>
        </w:rPr>
        <w:t xml:space="preserve">Protecting Malaysian margins.</w:t>
      </w:r>
      <w:r>
        <w:rPr>
          <w:rFonts w:ascii="Arial" w:cs="Arial" w:eastAsia="Arial" w:hAnsi="Arial"/>
          <w:color w:val="1F2937"/>
          <w:sz w:val="19"/>
          <w:szCs w:val="19"/>
        </w:rPr>
        <w:t xml:space="preserve"> Cost control, payroll, the mass-market floor, refurbishment, new attractions (Eufloria, golf), and managing VIP volatility.</w:t>
      </w:r>
    </w:p>
    <w:p>
      <w:pPr>
        <w:pStyle w:val="ListParagraph"/>
        <w:numPr>
          <w:ilvl w:val="0"/>
          <w:numId w:val="4"/>
        </w:numPr>
        <w:spacing w:after="70" w:before="0" w:line="252"/>
      </w:pPr>
      <w:r>
        <w:rPr>
          <w:rFonts w:ascii="Arial" w:cs="Arial" w:eastAsia="Arial" w:hAnsi="Arial"/>
          <w:b/>
          <w:bCs/>
          <w:color w:val="1F2937"/>
          <w:sz w:val="19"/>
          <w:szCs w:val="19"/>
        </w:rPr>
        <w:t xml:space="preserve">Funding and the balance sheet.</w:t>
      </w:r>
      <w:r>
        <w:rPr>
          <w:rFonts w:ascii="Arial" w:cs="Arial" w:eastAsia="Arial" w:hAnsi="Arial"/>
          <w:color w:val="1F2937"/>
          <w:sz w:val="19"/>
          <w:szCs w:val="19"/>
        </w:rPr>
        <w:t xml:space="preserve"> The US$2.0bn Genting Americas facility (Jun-2026), the Empire note take-out, perpetual securities (Fitch said these alone would not prevent a downgrade), and preserving the BBB- rating.</w:t>
      </w:r>
    </w:p>
    <w:p>
      <w:pPr>
        <w:pStyle w:val="ListParagraph"/>
        <w:numPr>
          <w:ilvl w:val="0"/>
          <w:numId w:val="4"/>
        </w:numPr>
        <w:spacing w:after="70" w:before="0" w:line="252"/>
      </w:pPr>
      <w:r>
        <w:rPr>
          <w:rFonts w:ascii="Arial" w:cs="Arial" w:eastAsia="Arial" w:hAnsi="Arial"/>
          <w:b/>
          <w:bCs/>
          <w:color w:val="1F2937"/>
          <w:sz w:val="19"/>
          <w:szCs w:val="19"/>
        </w:rPr>
        <w:t xml:space="preserve">Capital returns de-prioritised.</w:t>
      </w:r>
      <w:r>
        <w:rPr>
          <w:rFonts w:ascii="Arial" w:cs="Arial" w:eastAsia="Arial" w:hAnsi="Arial"/>
          <w:color w:val="1F2937"/>
          <w:sz w:val="19"/>
          <w:szCs w:val="19"/>
        </w:rPr>
        <w:t xml:space="preserve"> No interim dividend in either FY25 or FY26; final 7 sen for FY25 framed as "rewarding shareholders while maintaining deleveraging"; buyback "commenced" 17-Sep-2026 under the AGM mandate; the first disclosed purchase was 550,000 shares at ~RM1.27 on 12-Oct-2026 (RM0.7m), a token amount.</w:t>
      </w:r>
    </w:p>
    <w:p>
      <w:pPr>
        <w:pStyle w:val="Heading2"/>
        <w:keepNext/>
      </w:pPr>
      <w:r>
        <w:rPr>
          <w:rFonts w:ascii="Arial" w:cs="Arial" w:eastAsia="Arial" w:hAnsi="Arial"/>
        </w:rPr>
        <w:t xml:space="preserve">10.3 How sentiment has shifted</w:t>
      </w:r>
    </w:p>
    <w:p>
      <w:pPr>
        <w:pStyle w:val="ListParagraph"/>
        <w:numPr>
          <w:ilvl w:val="0"/>
          <w:numId w:val="3"/>
        </w:numPr>
        <w:spacing w:after="60" w:before="0" w:line="252"/>
      </w:pPr>
      <w:r>
        <w:rPr>
          <w:rFonts w:ascii="Arial" w:cs="Arial" w:eastAsia="Arial" w:hAnsi="Arial"/>
          <w:b/>
          <w:bCs/>
          <w:color w:val="1F2937"/>
          <w:sz w:val="19"/>
          <w:szCs w:val="19"/>
        </w:rPr>
        <w:t xml:space="preserve">Late 2024 to mid-2025: defensive.</w:t>
      </w:r>
      <w:r>
        <w:rPr>
          <w:rFonts w:ascii="Arial" w:cs="Arial" w:eastAsia="Arial" w:hAnsi="Arial"/>
          <w:color w:val="1F2937"/>
          <w:sz w:val="19"/>
          <w:szCs w:val="19"/>
        </w:rPr>
        <w:t xml:space="preserve"> Cost inflation, VIP softness and Empire losses; cash hoarding (dividend cut, skipped interim). FX gains masked weak trends.</w:t>
      </w:r>
    </w:p>
    <w:p>
      <w:pPr>
        <w:pStyle w:val="ListParagraph"/>
        <w:numPr>
          <w:ilvl w:val="0"/>
          <w:numId w:val="3"/>
        </w:numPr>
        <w:spacing w:after="60" w:before="0" w:line="252"/>
      </w:pPr>
      <w:r>
        <w:rPr>
          <w:rFonts w:ascii="Arial" w:cs="Arial" w:eastAsia="Arial" w:hAnsi="Arial"/>
          <w:b/>
          <w:bCs/>
          <w:color w:val="1F2937"/>
          <w:sz w:val="19"/>
          <w:szCs w:val="19"/>
        </w:rPr>
        <w:t xml:space="preserve">3Q25-4Q25: expansion optimism.</w:t>
      </w:r>
      <w:r>
        <w:rPr>
          <w:rFonts w:ascii="Arial" w:cs="Arial" w:eastAsia="Arial" w:hAnsi="Arial"/>
          <w:color w:val="1F2937"/>
          <w:sz w:val="19"/>
          <w:szCs w:val="19"/>
        </w:rPr>
        <w:t xml:space="preserve"> RWG recovered and the NY licence was won. The tone was the most constructive of the period, but the share price was pinned by the offer and then lost its support.</w:t>
      </w:r>
    </w:p>
    <w:p>
      <w:pPr>
        <w:pStyle w:val="ListParagraph"/>
        <w:numPr>
          <w:ilvl w:val="0"/>
          <w:numId w:val="3"/>
        </w:numPr>
        <w:spacing w:after="60" w:before="0" w:line="252"/>
      </w:pPr>
      <w:r>
        <w:rPr>
          <w:rFonts w:ascii="Arial" w:cs="Arial" w:eastAsia="Arial" w:hAnsi="Arial"/>
          <w:b/>
          <w:bCs/>
          <w:color w:val="1F2937"/>
          <w:sz w:val="19"/>
          <w:szCs w:val="19"/>
        </w:rPr>
        <w:t xml:space="preserve">1H26: "temporary earnings dilution".</w:t>
      </w:r>
      <w:r>
        <w:rPr>
          <w:rFonts w:ascii="Arial" w:cs="Arial" w:eastAsia="Arial" w:hAnsi="Arial"/>
          <w:color w:val="1F2937"/>
          <w:sz w:val="19"/>
          <w:szCs w:val="19"/>
        </w:rPr>
        <w:t xml:space="preserve"> Pre-opening costs, interest, D&amp;A and FX losses; the group P&amp;L and dividend are subordinated to the NY build.</w:t>
      </w:r>
    </w:p>
    <w:p>
      <w:pPr>
        <w:pStyle w:val="ListParagraph"/>
        <w:numPr>
          <w:ilvl w:val="0"/>
          <w:numId w:val="3"/>
        </w:numPr>
        <w:spacing w:after="60" w:before="0" w:line="252"/>
      </w:pPr>
      <w:r>
        <w:rPr>
          <w:rFonts w:ascii="Arial" w:cs="Arial" w:eastAsia="Arial" w:hAnsi="Arial"/>
          <w:b/>
          <w:bCs/>
          <w:color w:val="1F2937"/>
          <w:sz w:val="19"/>
          <w:szCs w:val="19"/>
        </w:rPr>
        <w:t xml:space="preserve">Market read:</w:t>
      </w:r>
      <w:r>
        <w:rPr>
          <w:rFonts w:ascii="Arial" w:cs="Arial" w:eastAsia="Arial" w:hAnsi="Arial"/>
          <w:color w:val="1F2937"/>
          <w:sz w:val="19"/>
          <w:szCs w:val="19"/>
        </w:rPr>
        <w:t xml:space="preserve"> the market has stopped crediting the "jam tomorrow" narrative. The stock fell 13.5% in September with no company news, 17% on the parent's rights issue, and a further 3% to a record low after Affin's Sell call. Sentiment is now driven by balance-sheet risk at both GENM and its parent.</w:t>
      </w:r>
    </w:p>
    <w:p>
      <w:pPr>
        <w:pStyle w:val="Heading1"/>
        <w:keepNext/>
      </w:pPr>
      <w:r>
        <w:rPr>
          <w:rFonts w:ascii="Arial" w:cs="Arial" w:eastAsia="Arial" w:hAnsi="Arial"/>
        </w:rPr>
        <w:t xml:space="preserve">11. Latest Result: 2Q26 / 1H26 (released 20-Aug-2026)</w:t>
      </w:r>
    </w:p>
    <w:p>
      <w:pPr>
        <w:pStyle w:val="Heading2"/>
        <w:keepNext/>
      </w:pPr>
      <w:r>
        <w:rPr>
          <w:rFonts w:ascii="Arial" w:cs="Arial" w:eastAsia="Arial" w:hAnsi="Arial"/>
        </w:rPr>
        <w:t xml:space="preserve">11.1 Revenue and profit vs expectations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2906"/>
        <w:gridCol w:w="991"/>
        <w:gridCol w:w="1027"/>
        <w:gridCol w:w="650"/>
        <w:gridCol w:w="1015"/>
        <w:gridCol w:w="751"/>
        <w:gridCol w:w="1039"/>
        <w:gridCol w:w="1051"/>
        <w:gridCol w:w="650"/>
      </w:tblGrid>
      <w:tr>
        <w:trPr>
          <w:cantSplit/>
          <w:tblHeader/>
        </w:trPr>
        <w:tc>
          <w:tcPr>
            <w:tcW w:type="dxa" w:w="290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4"/>
                <w:szCs w:val="14"/>
              </w:rPr>
              <w:t xml:space="preserve">RM m</w:t>
            </w:r>
          </w:p>
        </w:tc>
        <w:tc>
          <w:tcPr>
            <w:tcW w:type="dxa" w:w="99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2Q26</w:t>
            </w:r>
          </w:p>
        </w:tc>
        <w:tc>
          <w:tcPr>
            <w:tcW w:type="dxa" w:w="102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2Q25</w:t>
            </w:r>
          </w:p>
        </w:tc>
        <w:tc>
          <w:tcPr>
            <w:tcW w:type="dxa" w:w="65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YoY</w:t>
            </w:r>
          </w:p>
        </w:tc>
        <w:tc>
          <w:tcPr>
            <w:tcW w:type="dxa" w:w="101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1Q26</w:t>
            </w:r>
          </w:p>
        </w:tc>
        <w:tc>
          <w:tcPr>
            <w:tcW w:type="dxa" w:w="75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QoQ</w:t>
            </w:r>
          </w:p>
        </w:tc>
        <w:tc>
          <w:tcPr>
            <w:tcW w:type="dxa" w:w="103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1H26</w:t>
            </w:r>
          </w:p>
        </w:tc>
        <w:tc>
          <w:tcPr>
            <w:tcW w:type="dxa" w:w="105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1H25</w:t>
            </w:r>
          </w:p>
        </w:tc>
        <w:tc>
          <w:tcPr>
            <w:tcW w:type="dxa" w:w="65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YoY</w:t>
            </w:r>
          </w:p>
        </w:tc>
      </w:tr>
      <w:tr>
        <w:trPr>
          <w:cantSplit/>
        </w:trPr>
        <w:tc>
          <w:tcPr>
            <w:tcW w:type="dxa" w:w="29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Revenue</w:t>
            </w:r>
          </w:p>
        </w:tc>
        <w:tc>
          <w:tcPr>
            <w:tcW w:type="dxa" w:w="99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3,853.3</w:t>
            </w:r>
          </w:p>
        </w:tc>
        <w:tc>
          <w:tcPr>
            <w:tcW w:type="dxa" w:w="10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2,918.5</w:t>
            </w:r>
          </w:p>
        </w:tc>
        <w:tc>
          <w:tcPr>
            <w:tcW w:type="dxa" w:w="6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+32%</w:t>
            </w:r>
          </w:p>
        </w:tc>
        <w:tc>
          <w:tcPr>
            <w:tcW w:type="dxa" w:w="10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2,866.9</w:t>
            </w:r>
          </w:p>
        </w:tc>
        <w:tc>
          <w:tcPr>
            <w:tcW w:type="dxa" w:w="7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+34%</w:t>
            </w:r>
          </w:p>
        </w:tc>
        <w:tc>
          <w:tcPr>
            <w:tcW w:type="dxa" w:w="103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6,720.2</w:t>
            </w:r>
          </w:p>
        </w:tc>
        <w:tc>
          <w:tcPr>
            <w:tcW w:type="dxa" w:w="10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5,513.7</w:t>
            </w:r>
          </w:p>
        </w:tc>
        <w:tc>
          <w:tcPr>
            <w:tcW w:type="dxa" w:w="6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+22%</w:t>
            </w:r>
          </w:p>
        </w:tc>
      </w:tr>
      <w:tr>
        <w:trPr>
          <w:cantSplit/>
        </w:trPr>
        <w:tc>
          <w:tcPr>
            <w:tcW w:type="dxa" w:w="29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Adj. EBITDA</w:t>
            </w:r>
          </w:p>
        </w:tc>
        <w:tc>
          <w:tcPr>
            <w:tcW w:type="dxa" w:w="99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844.0</w:t>
            </w:r>
          </w:p>
        </w:tc>
        <w:tc>
          <w:tcPr>
            <w:tcW w:type="dxa" w:w="10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1,029.6</w:t>
            </w:r>
          </w:p>
        </w:tc>
        <w:tc>
          <w:tcPr>
            <w:tcW w:type="dxa" w:w="6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−18%</w:t>
            </w:r>
          </w:p>
        </w:tc>
        <w:tc>
          <w:tcPr>
            <w:tcW w:type="dxa" w:w="10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644.7</w:t>
            </w:r>
          </w:p>
        </w:tc>
        <w:tc>
          <w:tcPr>
            <w:tcW w:type="dxa" w:w="7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+31%</w:t>
            </w:r>
          </w:p>
        </w:tc>
        <w:tc>
          <w:tcPr>
            <w:tcW w:type="dxa" w:w="103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1,488.7</w:t>
            </w:r>
          </w:p>
        </w:tc>
        <w:tc>
          <w:tcPr>
            <w:tcW w:type="dxa" w:w="10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1,766.8</w:t>
            </w:r>
          </w:p>
        </w:tc>
        <w:tc>
          <w:tcPr>
            <w:tcW w:type="dxa" w:w="6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−16%</w:t>
            </w:r>
          </w:p>
        </w:tc>
      </w:tr>
      <w:tr>
        <w:trPr>
          <w:cantSplit/>
        </w:trPr>
        <w:tc>
          <w:tcPr>
            <w:tcW w:type="dxa" w:w="29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Adj. EBITDA ex-FX</w:t>
            </w:r>
          </w:p>
        </w:tc>
        <w:tc>
          <w:tcPr>
            <w:tcW w:type="dxa" w:w="99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862.1</w:t>
            </w:r>
          </w:p>
        </w:tc>
        <w:tc>
          <w:tcPr>
            <w:tcW w:type="dxa" w:w="10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845.0</w:t>
            </w:r>
          </w:p>
        </w:tc>
        <w:tc>
          <w:tcPr>
            <w:tcW w:type="dxa" w:w="6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w:t>
            </w:r>
          </w:p>
        </w:tc>
        <w:tc>
          <w:tcPr>
            <w:tcW w:type="dxa" w:w="10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630.1</w:t>
            </w:r>
          </w:p>
        </w:tc>
        <w:tc>
          <w:tcPr>
            <w:tcW w:type="dxa" w:w="7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+37%</w:t>
            </w:r>
          </w:p>
        </w:tc>
        <w:tc>
          <w:tcPr>
            <w:tcW w:type="dxa" w:w="103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1,492.2</w:t>
            </w:r>
          </w:p>
        </w:tc>
        <w:tc>
          <w:tcPr>
            <w:tcW w:type="dxa" w:w="10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1,531.8</w:t>
            </w:r>
          </w:p>
        </w:tc>
        <w:tc>
          <w:tcPr>
            <w:tcW w:type="dxa" w:w="6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w:t>
            </w:r>
          </w:p>
        </w:tc>
      </w:tr>
      <w:tr>
        <w:trPr>
          <w:cantSplit/>
        </w:trPr>
        <w:tc>
          <w:tcPr>
            <w:tcW w:type="dxa" w:w="29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PBT</w:t>
            </w:r>
          </w:p>
        </w:tc>
        <w:tc>
          <w:tcPr>
            <w:tcW w:type="dxa" w:w="99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143.8</w:t>
            </w:r>
          </w:p>
        </w:tc>
        <w:tc>
          <w:tcPr>
            <w:tcW w:type="dxa" w:w="10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503.3</w:t>
            </w:r>
          </w:p>
        </w:tc>
        <w:tc>
          <w:tcPr>
            <w:tcW w:type="dxa" w:w="6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−71%</w:t>
            </w:r>
          </w:p>
        </w:tc>
        <w:tc>
          <w:tcPr>
            <w:tcW w:type="dxa" w:w="10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43.1</w:t>
            </w:r>
          </w:p>
        </w:tc>
        <w:tc>
          <w:tcPr>
            <w:tcW w:type="dxa" w:w="7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+234%</w:t>
            </w:r>
          </w:p>
        </w:tc>
        <w:tc>
          <w:tcPr>
            <w:tcW w:type="dxa" w:w="103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186.9</w:t>
            </w:r>
          </w:p>
        </w:tc>
        <w:tc>
          <w:tcPr>
            <w:tcW w:type="dxa" w:w="10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687.3</w:t>
            </w:r>
          </w:p>
        </w:tc>
        <w:tc>
          <w:tcPr>
            <w:tcW w:type="dxa" w:w="6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−73%</w:t>
            </w:r>
          </w:p>
        </w:tc>
      </w:tr>
      <w:tr>
        <w:trPr>
          <w:cantSplit/>
        </w:trPr>
        <w:tc>
          <w:tcPr>
            <w:tcW w:type="dxa" w:w="29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Net income attributable</w:t>
            </w:r>
          </w:p>
        </w:tc>
        <w:tc>
          <w:tcPr>
            <w:tcW w:type="dxa" w:w="99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47.4</w:t>
            </w:r>
          </w:p>
        </w:tc>
        <w:tc>
          <w:tcPr>
            <w:tcW w:type="dxa" w:w="10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416.6</w:t>
            </w:r>
          </w:p>
        </w:tc>
        <w:tc>
          <w:tcPr>
            <w:tcW w:type="dxa" w:w="6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−89%</w:t>
            </w:r>
          </w:p>
        </w:tc>
        <w:tc>
          <w:tcPr>
            <w:tcW w:type="dxa" w:w="10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(3.8)</w:t>
            </w:r>
          </w:p>
        </w:tc>
        <w:tc>
          <w:tcPr>
            <w:tcW w:type="dxa" w:w="7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n.m.</w:t>
            </w:r>
          </w:p>
        </w:tc>
        <w:tc>
          <w:tcPr>
            <w:tcW w:type="dxa" w:w="103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43.6</w:t>
            </w:r>
          </w:p>
        </w:tc>
        <w:tc>
          <w:tcPr>
            <w:tcW w:type="dxa" w:w="10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489.3</w:t>
            </w:r>
          </w:p>
        </w:tc>
        <w:tc>
          <w:tcPr>
            <w:tcW w:type="dxa" w:w="6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−91%</w:t>
            </w:r>
          </w:p>
        </w:tc>
      </w:tr>
      <w:tr>
        <w:trPr>
          <w:cantSplit/>
        </w:trPr>
        <w:tc>
          <w:tcPr>
            <w:tcW w:type="dxa" w:w="29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EPS (sen)</w:t>
            </w:r>
          </w:p>
        </w:tc>
        <w:tc>
          <w:tcPr>
            <w:tcW w:type="dxa" w:w="99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0.84</w:t>
            </w:r>
          </w:p>
        </w:tc>
        <w:tc>
          <w:tcPr>
            <w:tcW w:type="dxa" w:w="10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7.35</w:t>
            </w:r>
          </w:p>
        </w:tc>
        <w:tc>
          <w:tcPr>
            <w:tcW w:type="dxa" w:w="6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−89%</w:t>
            </w:r>
          </w:p>
        </w:tc>
        <w:tc>
          <w:tcPr>
            <w:tcW w:type="dxa" w:w="10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(0.07)</w:t>
            </w:r>
          </w:p>
        </w:tc>
        <w:tc>
          <w:tcPr>
            <w:tcW w:type="dxa" w:w="7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n.m.</w:t>
            </w:r>
          </w:p>
        </w:tc>
        <w:tc>
          <w:tcPr>
            <w:tcW w:type="dxa" w:w="103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0.77</w:t>
            </w:r>
          </w:p>
        </w:tc>
        <w:tc>
          <w:tcPr>
            <w:tcW w:type="dxa" w:w="10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8.63</w:t>
            </w:r>
          </w:p>
        </w:tc>
        <w:tc>
          <w:tcPr>
            <w:tcW w:type="dxa" w:w="6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−91%</w:t>
            </w:r>
          </w:p>
        </w:tc>
      </w:tr>
    </w:tbl>
    <w:p>
      <w:pPr>
        <w:spacing w:after="80" w:before="0"/>
      </w:pPr>
    </w:p>
    <w:p>
      <w:pPr>
        <w:spacing w:after="110" w:before="0" w:line="264"/>
      </w:pPr>
      <w:r>
        <w:rPr>
          <w:rFonts w:ascii="Arial" w:cs="Arial" w:eastAsia="Arial" w:hAnsi="Arial"/>
          <w:b/>
          <w:bCs/>
          <w:color w:val="1F2937"/>
          <w:sz w:val="19"/>
          <w:szCs w:val="19"/>
        </w:rPr>
        <w:t xml:space="preserve">Beat or miss?</w:t>
      </w:r>
      <w:r>
        <w:rPr>
          <w:rFonts w:ascii="Arial" w:cs="Arial" w:eastAsia="Arial" w:hAnsi="Arial"/>
          <w:color w:val="1F2937"/>
          <w:sz w:val="19"/>
          <w:szCs w:val="19"/>
        </w:rPr>
        <w:t xml:space="preserve"> S&amp;P holds no quarterly consensus for GENM, so the surprise is measured against full-year run-rates and broker commentary:</w:t>
      </w:r>
    </w:p>
    <w:p>
      <w:pPr>
        <w:pStyle w:val="ListParagraph"/>
        <w:numPr>
          <w:ilvl w:val="0"/>
          <w:numId w:val="3"/>
        </w:numPr>
        <w:spacing w:after="60" w:before="0" w:line="252"/>
      </w:pPr>
      <w:r>
        <w:rPr>
          <w:rFonts w:ascii="Arial" w:cs="Arial" w:eastAsia="Arial" w:hAnsi="Arial"/>
          <w:b/>
          <w:bCs/>
          <w:color w:val="1F2937"/>
          <w:sz w:val="19"/>
          <w:szCs w:val="19"/>
        </w:rPr>
        <w:t xml:space="preserve">EBITDA: in line.</w:t>
      </w:r>
      <w:r>
        <w:rPr>
          <w:rFonts w:ascii="Arial" w:cs="Arial" w:eastAsia="Arial" w:hAnsi="Arial"/>
          <w:color w:val="1F2937"/>
          <w:sz w:val="19"/>
          <w:szCs w:val="19"/>
        </w:rPr>
        <w:t xml:space="preserve"> 1H26 EBITDA was 52% of FY26 consensus (UOBKH).</w:t>
      </w:r>
    </w:p>
    <w:p>
      <w:pPr>
        <w:pStyle w:val="ListParagraph"/>
        <w:numPr>
          <w:ilvl w:val="0"/>
          <w:numId w:val="3"/>
        </w:numPr>
        <w:spacing w:after="60" w:before="0" w:line="252"/>
      </w:pPr>
      <w:r>
        <w:rPr>
          <w:rFonts w:ascii="Arial" w:cs="Arial" w:eastAsia="Arial" w:hAnsi="Arial"/>
          <w:b/>
          <w:bCs/>
          <w:color w:val="1F2937"/>
          <w:sz w:val="19"/>
          <w:szCs w:val="19"/>
        </w:rPr>
        <w:t xml:space="preserve">Net profit: a clear miss.</w:t>
      </w:r>
      <w:r>
        <w:rPr>
          <w:rFonts w:ascii="Arial" w:cs="Arial" w:eastAsia="Arial" w:hAnsi="Arial"/>
          <w:color w:val="1F2937"/>
          <w:sz w:val="19"/>
          <w:szCs w:val="19"/>
        </w:rPr>
        <w:t xml:space="preserve"> Kenanga put 1H26 core net profit at </w:t>
      </w:r>
      <w:r>
        <w:rPr>
          <w:rFonts w:ascii="Arial" w:cs="Arial" w:eastAsia="Arial" w:hAnsi="Arial"/>
          <w:b/>
          <w:bCs/>
          <w:color w:val="1F2937"/>
          <w:sz w:val="19"/>
          <w:szCs w:val="19"/>
        </w:rPr>
        <w:t xml:space="preserve">29% of FY26 consensus</w:t>
      </w:r>
      <w:r>
        <w:rPr>
          <w:rFonts w:ascii="Arial" w:cs="Arial" w:eastAsia="Arial" w:hAnsi="Arial"/>
          <w:color w:val="1F2937"/>
          <w:sz w:val="19"/>
          <w:szCs w:val="19"/>
        </w:rPr>
        <w:t xml:space="preserve">. HLIB cut FY26-28 forecasts by 40%, 30% and 18%. Consensus FY26 net profit fell from ~RM687m (August, as cited by UOBKH) to RM432m (October), about −37%.</w:t>
      </w:r>
    </w:p>
    <w:p>
      <w:pPr>
        <w:pStyle w:val="Heading2"/>
        <w:keepNext/>
      </w:pPr>
      <w:r>
        <w:rPr>
          <w:rFonts w:ascii="Arial" w:cs="Arial" w:eastAsia="Arial" w:hAnsi="Arial"/>
        </w:rPr>
        <w:t xml:space="preserve">11.2 Segment drivers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1719"/>
        <w:gridCol w:w="699"/>
        <w:gridCol w:w="614"/>
        <w:gridCol w:w="529"/>
        <w:gridCol w:w="6519"/>
      </w:tblGrid>
      <w:tr>
        <w:trPr>
          <w:cantSplit/>
          <w:tblHeader/>
        </w:trPr>
        <w:tc>
          <w:tcPr>
            <w:tcW w:type="dxa" w:w="171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Segment adj. EBITDA (RM m)</w:t>
            </w:r>
          </w:p>
        </w:tc>
        <w:tc>
          <w:tcPr>
            <w:tcW w:type="dxa" w:w="69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2Q26</w:t>
            </w:r>
          </w:p>
        </w:tc>
        <w:tc>
          <w:tcPr>
            <w:tcW w:type="dxa" w:w="614"/>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2Q25</w:t>
            </w:r>
          </w:p>
        </w:tc>
        <w:tc>
          <w:tcPr>
            <w:tcW w:type="dxa" w:w="52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YoY</w:t>
            </w:r>
          </w:p>
        </w:tc>
        <w:tc>
          <w:tcPr>
            <w:tcW w:type="dxa" w:w="651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Driver</w:t>
            </w:r>
          </w:p>
        </w:tc>
      </w:tr>
      <w:tr>
        <w:trPr>
          <w:cantSplit/>
        </w:trPr>
        <w:tc>
          <w:tcPr>
            <w:tcW w:type="dxa" w:w="171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Malaysia</w:t>
            </w:r>
          </w:p>
        </w:tc>
        <w:tc>
          <w:tcPr>
            <w:tcW w:type="dxa" w:w="69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615.0</w:t>
            </w:r>
          </w:p>
        </w:tc>
        <w:tc>
          <w:tcPr>
            <w:tcW w:type="dxa" w:w="61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606.3</w:t>
            </w:r>
          </w:p>
        </w:tc>
        <w:tc>
          <w:tcPr>
            <w:tcW w:type="dxa" w:w="52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w:t>
            </w:r>
          </w:p>
        </w:tc>
        <w:tc>
          <w:tcPr>
            <w:tcW w:type="dxa" w:w="651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Cost management; higher VIP win rate (press); visitation softer. QoQ +20%</w:t>
            </w:r>
          </w:p>
        </w:tc>
      </w:tr>
      <w:tr>
        <w:trPr>
          <w:cantSplit/>
        </w:trPr>
        <w:tc>
          <w:tcPr>
            <w:tcW w:type="dxa" w:w="171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UK &amp; Egypt</w:t>
            </w:r>
          </w:p>
        </w:tc>
        <w:tc>
          <w:tcPr>
            <w:tcW w:type="dxa" w:w="69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68.8</w:t>
            </w:r>
          </w:p>
        </w:tc>
        <w:tc>
          <w:tcPr>
            <w:tcW w:type="dxa" w:w="61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70.2</w:t>
            </w:r>
          </w:p>
        </w:tc>
        <w:tc>
          <w:tcPr>
            <w:tcW w:type="dxa" w:w="52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w:t>
            </w:r>
          </w:p>
        </w:tc>
        <w:tc>
          <w:tcPr>
            <w:tcW w:type="dxa" w:w="651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Middle East conflict hit premium play in London and Cairo; higher minimum wages</w:t>
            </w:r>
          </w:p>
        </w:tc>
      </w:tr>
      <w:tr>
        <w:trPr>
          <w:cantSplit/>
        </w:trPr>
        <w:tc>
          <w:tcPr>
            <w:tcW w:type="dxa" w:w="171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US &amp; Bahamas</w:t>
            </w:r>
          </w:p>
        </w:tc>
        <w:tc>
          <w:tcPr>
            <w:tcW w:type="dxa" w:w="69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216.6</w:t>
            </w:r>
          </w:p>
        </w:tc>
        <w:tc>
          <w:tcPr>
            <w:tcW w:type="dxa" w:w="61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118.4</w:t>
            </w:r>
          </w:p>
        </w:tc>
        <w:tc>
          <w:tcPr>
            <w:tcW w:type="dxa" w:w="52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+83%</w:t>
            </w:r>
          </w:p>
        </w:tc>
        <w:tc>
          <w:tcPr>
            <w:tcW w:type="dxa" w:w="651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RWNYC commercial casino from 28-Apr-26 (tables + lower 56% slot tax); US revenue +166% to RM1,534m</w:t>
            </w:r>
          </w:p>
        </w:tc>
      </w:tr>
      <w:tr>
        <w:trPr>
          <w:cantSplit/>
        </w:trPr>
        <w:tc>
          <w:tcPr>
            <w:tcW w:type="dxa" w:w="171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Investments &amp; Others</w:t>
            </w:r>
          </w:p>
        </w:tc>
        <w:tc>
          <w:tcPr>
            <w:tcW w:type="dxa" w:w="69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(55.1)</w:t>
            </w:r>
          </w:p>
        </w:tc>
        <w:tc>
          <w:tcPr>
            <w:tcW w:type="dxa" w:w="61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230.2</w:t>
            </w:r>
          </w:p>
        </w:tc>
        <w:tc>
          <w:tcPr>
            <w:tcW w:type="dxa" w:w="52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n.m.</w:t>
            </w:r>
          </w:p>
        </w:tc>
        <w:tc>
          <w:tcPr>
            <w:tcW w:type="dxa" w:w="651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FX translation loss vs large gain a year earlier</w:t>
            </w:r>
          </w:p>
        </w:tc>
      </w:tr>
    </w:tbl>
    <w:p>
      <w:pPr>
        <w:spacing w:after="80" w:before="0"/>
      </w:pPr>
    </w:p>
    <w:p>
      <w:pPr>
        <w:spacing w:after="110" w:before="0" w:line="264"/>
      </w:pPr>
      <w:r>
        <w:rPr>
          <w:rFonts w:ascii="Arial" w:cs="Arial" w:eastAsia="Arial" w:hAnsi="Arial"/>
          <w:b/>
          <w:bCs/>
          <w:color w:val="1F2937"/>
          <w:sz w:val="19"/>
          <w:szCs w:val="19"/>
        </w:rPr>
        <w:t xml:space="preserve">Acceleration / deceleration:</w:t>
      </w:r>
      <w:r>
        <w:rPr>
          <w:rFonts w:ascii="Arial" w:cs="Arial" w:eastAsia="Arial" w:hAnsi="Arial"/>
          <w:color w:val="1F2937"/>
          <w:sz w:val="19"/>
          <w:szCs w:val="19"/>
        </w:rPr>
        <w:t xml:space="preserve"> US is accelerating sharply (revenue 2.7x). Malaysia is flat YoY, with QoQ improvement partly luck-driven. UK is decelerating.</w:t>
      </w:r>
    </w:p>
    <w:p>
      <w:pPr>
        <w:pStyle w:val="Heading2"/>
        <w:keepNext/>
      </w:pPr>
      <w:r>
        <w:rPr>
          <w:rFonts w:ascii="Arial" w:cs="Arial" w:eastAsia="Arial" w:hAnsi="Arial"/>
        </w:rPr>
        <w:t xml:space="preserve">11.3 Margin trends</w:t>
      </w:r>
    </w:p>
    <w:p>
      <w:pPr>
        <w:pStyle w:val="ListParagraph"/>
        <w:numPr>
          <w:ilvl w:val="0"/>
          <w:numId w:val="3"/>
        </w:numPr>
        <w:spacing w:after="60" w:before="0" w:line="252"/>
      </w:pPr>
      <w:r>
        <w:rPr>
          <w:rFonts w:ascii="Arial" w:cs="Arial" w:eastAsia="Arial" w:hAnsi="Arial"/>
          <w:color w:val="1F2937"/>
          <w:sz w:val="19"/>
          <w:szCs w:val="19"/>
        </w:rPr>
        <w:t xml:space="preserve">Reported adj. EBITDA margin </w:t>
      </w:r>
      <w:r>
        <w:rPr>
          <w:rFonts w:ascii="Arial" w:cs="Arial" w:eastAsia="Arial" w:hAnsi="Arial"/>
          <w:b/>
          <w:bCs/>
          <w:color w:val="1F2937"/>
          <w:sz w:val="19"/>
          <w:szCs w:val="19"/>
        </w:rPr>
        <w:t xml:space="preserve">21.9%</w:t>
      </w:r>
      <w:r>
        <w:rPr>
          <w:rFonts w:ascii="Arial" w:cs="Arial" w:eastAsia="Arial" w:hAnsi="Arial"/>
          <w:color w:val="1F2937"/>
          <w:sz w:val="19"/>
          <w:szCs w:val="19"/>
        </w:rPr>
        <w:t xml:space="preserve"> vs ~35% in 2Q25. Ex-FX: 22.4% vs 29.0%.</w:t>
      </w:r>
    </w:p>
    <w:p>
      <w:pPr>
        <w:pStyle w:val="ListParagraph"/>
        <w:numPr>
          <w:ilvl w:val="0"/>
          <w:numId w:val="3"/>
        </w:numPr>
        <w:spacing w:after="60" w:before="0" w:line="252"/>
      </w:pPr>
      <w:r>
        <w:rPr>
          <w:rFonts w:ascii="Arial" w:cs="Arial" w:eastAsia="Arial" w:hAnsi="Arial"/>
          <w:color w:val="1F2937"/>
          <w:sz w:val="19"/>
          <w:szCs w:val="19"/>
        </w:rPr>
        <w:t xml:space="preserve">Causes: (1) </w:t>
      </w:r>
      <w:r>
        <w:rPr>
          <w:rFonts w:ascii="Arial" w:cs="Arial" w:eastAsia="Arial" w:hAnsi="Arial"/>
          <w:b/>
          <w:bCs/>
          <w:color w:val="1F2937"/>
          <w:sz w:val="19"/>
          <w:szCs w:val="19"/>
        </w:rPr>
        <w:t xml:space="preserve">mix</w:t>
      </w:r>
      <w:r>
        <w:rPr>
          <w:rFonts w:ascii="Arial" w:cs="Arial" w:eastAsia="Arial" w:hAnsi="Arial"/>
          <w:color w:val="1F2937"/>
          <w:sz w:val="19"/>
          <w:szCs w:val="19"/>
        </w:rPr>
        <w:t xml:space="preserve">, as NY slots are taxed at 56% (and tables at 30%) against Malaysian duty of 35%; (2) </w:t>
      </w:r>
      <w:r>
        <w:rPr>
          <w:rFonts w:ascii="Arial" w:cs="Arial" w:eastAsia="Arial" w:hAnsi="Arial"/>
          <w:b/>
          <w:bCs/>
          <w:color w:val="1F2937"/>
          <w:sz w:val="19"/>
          <w:szCs w:val="19"/>
        </w:rPr>
        <w:t xml:space="preserve">ramp-up payroll</w:t>
      </w:r>
      <w:r>
        <w:rPr>
          <w:rFonts w:ascii="Arial" w:cs="Arial" w:eastAsia="Arial" w:hAnsi="Arial"/>
          <w:color w:val="1F2937"/>
          <w:sz w:val="19"/>
          <w:szCs w:val="19"/>
        </w:rPr>
        <w:t xml:space="preserve"> and pre-opening costs (RM67.0m in 2Q26); (3) </w:t>
      </w:r>
      <w:r>
        <w:rPr>
          <w:rFonts w:ascii="Arial" w:cs="Arial" w:eastAsia="Arial" w:hAnsi="Arial"/>
          <w:b/>
          <w:bCs/>
          <w:color w:val="1F2937"/>
          <w:sz w:val="19"/>
          <w:szCs w:val="19"/>
        </w:rPr>
        <w:t xml:space="preserve">FX</w:t>
      </w:r>
      <w:r>
        <w:rPr>
          <w:rFonts w:ascii="Arial" w:cs="Arial" w:eastAsia="Arial" w:hAnsi="Arial"/>
          <w:color w:val="1F2937"/>
          <w:sz w:val="19"/>
          <w:szCs w:val="19"/>
        </w:rPr>
        <w:t xml:space="preserve"> swinging from a +RM184.6m gain to a −RM18.1m loss.</w:t>
      </w:r>
    </w:p>
    <w:p>
      <w:pPr>
        <w:pStyle w:val="ListParagraph"/>
        <w:numPr>
          <w:ilvl w:val="0"/>
          <w:numId w:val="3"/>
        </w:numPr>
        <w:spacing w:after="60" w:before="0" w:line="252"/>
      </w:pPr>
      <w:r>
        <w:rPr>
          <w:rFonts w:ascii="Arial" w:cs="Arial" w:eastAsia="Arial" w:hAnsi="Arial"/>
          <w:color w:val="1F2937"/>
          <w:sz w:val="19"/>
          <w:szCs w:val="19"/>
        </w:rPr>
        <w:t xml:space="preserve">Below EBITDA, finance costs rose 43% YoY to RM281m and D&amp;A rose 12%.</w:t>
      </w:r>
    </w:p>
    <w:p>
      <w:pPr>
        <w:pStyle w:val="Heading2"/>
        <w:keepNext/>
      </w:pPr>
      <w:r>
        <w:rPr>
          <w:rFonts w:ascii="Arial" w:cs="Arial" w:eastAsia="Arial" w:hAnsi="Arial"/>
        </w:rPr>
        <w:t xml:space="preserve">11.4 Guidance and outlook</w:t>
      </w:r>
    </w:p>
    <w:p>
      <w:pPr>
        <w:spacing w:after="110" w:before="0" w:line="264"/>
      </w:pPr>
      <w:r>
        <w:rPr>
          <w:rFonts w:ascii="Arial" w:cs="Arial" w:eastAsia="Arial" w:hAnsi="Arial"/>
          <w:color w:val="1F2937"/>
          <w:sz w:val="19"/>
          <w:szCs w:val="19"/>
        </w:rPr>
        <w:t xml:space="preserve">GENM does not give numeric guidance. The prospects statement points to continued RWNYC ramp-up ("thousands more slot machines" added in July 2026), phase-2 construction and full completion in 2029, and a cautious Malaysian outlook given travel costs and softer visitation [paraphrased; u]. Brokers read the tone as "</w:t>
      </w:r>
      <w:r>
        <w:rPr>
          <w:rFonts w:ascii="Arial" w:cs="Arial" w:eastAsia="Arial" w:hAnsi="Arial"/>
          <w:b/>
          <w:bCs/>
          <w:color w:val="1F2937"/>
          <w:sz w:val="19"/>
          <w:szCs w:val="19"/>
        </w:rPr>
        <w:t xml:space="preserve">better 2H26 ahead</w:t>
      </w:r>
      <w:r>
        <w:rPr>
          <w:rFonts w:ascii="Arial" w:cs="Arial" w:eastAsia="Arial" w:hAnsi="Arial"/>
          <w:color w:val="1F2937"/>
          <w:sz w:val="19"/>
          <w:szCs w:val="19"/>
        </w:rPr>
        <w:t xml:space="preserve">" (UOBKH), with the lower NY tax rate a FY26-27 tailwind (Maybank: up to +US$100m a year). The tone change is more caution on Malaysia and on dividends, and more confidence on NY volumes.</w:t>
      </w:r>
    </w:p>
    <w:p>
      <w:pPr>
        <w:pStyle w:val="Heading2"/>
        <w:keepNext/>
      </w:pPr>
      <w:r>
        <w:rPr>
          <w:rFonts w:ascii="Arial" w:cs="Arial" w:eastAsia="Arial" w:hAnsi="Arial"/>
        </w:rPr>
        <w:t xml:space="preserve">11.5 Balance sheet flags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4880"/>
        <w:gridCol w:w="1002"/>
        <w:gridCol w:w="1002"/>
        <w:gridCol w:w="1164"/>
        <w:gridCol w:w="1002"/>
        <w:gridCol w:w="1030"/>
      </w:tblGrid>
      <w:tr>
        <w:trPr>
          <w:cantSplit/>
          <w:tblHeader/>
        </w:trPr>
        <w:tc>
          <w:tcPr>
            <w:tcW w:type="dxa" w:w="488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RM m</w:t>
            </w:r>
          </w:p>
        </w:tc>
        <w:tc>
          <w:tcPr>
            <w:tcW w:type="dxa" w:w="100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Jun-25</w:t>
            </w:r>
          </w:p>
        </w:tc>
        <w:tc>
          <w:tcPr>
            <w:tcW w:type="dxa" w:w="100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Sep-25</w:t>
            </w:r>
          </w:p>
        </w:tc>
        <w:tc>
          <w:tcPr>
            <w:tcW w:type="dxa" w:w="1164"/>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Dec-25</w:t>
            </w:r>
          </w:p>
        </w:tc>
        <w:tc>
          <w:tcPr>
            <w:tcW w:type="dxa" w:w="100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Mar-26</w:t>
            </w:r>
          </w:p>
        </w:tc>
        <w:tc>
          <w:tcPr>
            <w:tcW w:type="dxa" w:w="103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Jun-26</w:t>
            </w:r>
          </w:p>
        </w:tc>
      </w:tr>
      <w:tr>
        <w:trPr>
          <w:cantSplit/>
        </w:trPr>
        <w:tc>
          <w:tcPr>
            <w:tcW w:type="dxa" w:w="48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Total debt incl. leases</w:t>
            </w:r>
          </w:p>
        </w:tc>
        <w:tc>
          <w:tcPr>
            <w:tcW w:type="dxa" w:w="10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14,641</w:t>
            </w:r>
          </w:p>
        </w:tc>
        <w:tc>
          <w:tcPr>
            <w:tcW w:type="dxa" w:w="10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14,695</w:t>
            </w:r>
          </w:p>
        </w:tc>
        <w:tc>
          <w:tcPr>
            <w:tcW w:type="dxa" w:w="116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14,219</w:t>
            </w:r>
          </w:p>
        </w:tc>
        <w:tc>
          <w:tcPr>
            <w:tcW w:type="dxa" w:w="10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17,146</w:t>
            </w:r>
          </w:p>
        </w:tc>
        <w:tc>
          <w:tcPr>
            <w:tcW w:type="dxa" w:w="103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17,988</w:t>
            </w:r>
          </w:p>
        </w:tc>
      </w:tr>
      <w:tr>
        <w:trPr>
          <w:cantSplit/>
        </w:trPr>
        <w:tc>
          <w:tcPr>
            <w:tcW w:type="dxa" w:w="48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Cash &amp; ST investments</w:t>
            </w:r>
          </w:p>
        </w:tc>
        <w:tc>
          <w:tcPr>
            <w:tcW w:type="dxa" w:w="10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3,903</w:t>
            </w:r>
          </w:p>
        </w:tc>
        <w:tc>
          <w:tcPr>
            <w:tcW w:type="dxa" w:w="10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4,259</w:t>
            </w:r>
          </w:p>
        </w:tc>
        <w:tc>
          <w:tcPr>
            <w:tcW w:type="dxa" w:w="116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3,919</w:t>
            </w:r>
          </w:p>
        </w:tc>
        <w:tc>
          <w:tcPr>
            <w:tcW w:type="dxa" w:w="10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4,344</w:t>
            </w:r>
          </w:p>
        </w:tc>
        <w:tc>
          <w:tcPr>
            <w:tcW w:type="dxa" w:w="103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3,822</w:t>
            </w:r>
          </w:p>
        </w:tc>
      </w:tr>
      <w:tr>
        <w:trPr>
          <w:cantSplit/>
        </w:trPr>
        <w:tc>
          <w:tcPr>
            <w:tcW w:type="dxa" w:w="48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Net debt incl. leases</w:t>
            </w:r>
          </w:p>
        </w:tc>
        <w:tc>
          <w:tcPr>
            <w:tcW w:type="dxa" w:w="10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10,738</w:t>
            </w:r>
          </w:p>
        </w:tc>
        <w:tc>
          <w:tcPr>
            <w:tcW w:type="dxa" w:w="10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10,436</w:t>
            </w:r>
          </w:p>
        </w:tc>
        <w:tc>
          <w:tcPr>
            <w:tcW w:type="dxa" w:w="116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10,300</w:t>
            </w:r>
          </w:p>
        </w:tc>
        <w:tc>
          <w:tcPr>
            <w:tcW w:type="dxa" w:w="10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12,802</w:t>
            </w:r>
          </w:p>
        </w:tc>
        <w:tc>
          <w:tcPr>
            <w:tcW w:type="dxa" w:w="103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14,166</w:t>
            </w:r>
          </w:p>
        </w:tc>
      </w:tr>
      <w:tr>
        <w:trPr>
          <w:cantSplit/>
        </w:trPr>
        <w:tc>
          <w:tcPr>
            <w:tcW w:type="dxa" w:w="48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Receivables</w:t>
            </w:r>
          </w:p>
        </w:tc>
        <w:tc>
          <w:tcPr>
            <w:tcW w:type="dxa" w:w="10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739</w:t>
            </w:r>
          </w:p>
        </w:tc>
        <w:tc>
          <w:tcPr>
            <w:tcW w:type="dxa" w:w="10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686</w:t>
            </w:r>
          </w:p>
        </w:tc>
        <w:tc>
          <w:tcPr>
            <w:tcW w:type="dxa" w:w="116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287 [u]</w:t>
            </w:r>
          </w:p>
        </w:tc>
        <w:tc>
          <w:tcPr>
            <w:tcW w:type="dxa" w:w="10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684</w:t>
            </w:r>
          </w:p>
        </w:tc>
        <w:tc>
          <w:tcPr>
            <w:tcW w:type="dxa" w:w="103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672</w:t>
            </w:r>
          </w:p>
        </w:tc>
      </w:tr>
      <w:tr>
        <w:trPr>
          <w:cantSplit/>
        </w:trPr>
        <w:tc>
          <w:tcPr>
            <w:tcW w:type="dxa" w:w="48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Capex (quarter)</w:t>
            </w:r>
          </w:p>
        </w:tc>
        <w:tc>
          <w:tcPr>
            <w:tcW w:type="dxa" w:w="10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221</w:t>
            </w:r>
          </w:p>
        </w:tc>
        <w:tc>
          <w:tcPr>
            <w:tcW w:type="dxa" w:w="10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245</w:t>
            </w:r>
          </w:p>
        </w:tc>
        <w:tc>
          <w:tcPr>
            <w:tcW w:type="dxa" w:w="116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213</w:t>
            </w:r>
          </w:p>
        </w:tc>
        <w:tc>
          <w:tcPr>
            <w:tcW w:type="dxa" w:w="10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413</w:t>
            </w:r>
          </w:p>
        </w:tc>
        <w:tc>
          <w:tcPr>
            <w:tcW w:type="dxa" w:w="103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721</w:t>
            </w:r>
          </w:p>
        </w:tc>
      </w:tr>
      <w:tr>
        <w:trPr>
          <w:cantSplit/>
        </w:trPr>
        <w:tc>
          <w:tcPr>
            <w:tcW w:type="dxa" w:w="48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Cash from operations (quarter)</w:t>
            </w:r>
          </w:p>
        </w:tc>
        <w:tc>
          <w:tcPr>
            <w:tcW w:type="dxa" w:w="10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666</w:t>
            </w:r>
          </w:p>
        </w:tc>
        <w:tc>
          <w:tcPr>
            <w:tcW w:type="dxa" w:w="10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708</w:t>
            </w:r>
          </w:p>
        </w:tc>
        <w:tc>
          <w:tcPr>
            <w:tcW w:type="dxa" w:w="116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232</w:t>
            </w:r>
          </w:p>
        </w:tc>
        <w:tc>
          <w:tcPr>
            <w:tcW w:type="dxa" w:w="10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139</w:t>
            </w:r>
          </w:p>
        </w:tc>
        <w:tc>
          <w:tcPr>
            <w:tcW w:type="dxa" w:w="103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1,038</w:t>
            </w:r>
          </w:p>
        </w:tc>
      </w:tr>
    </w:tbl>
    <w:p>
      <w:pPr>
        <w:spacing w:after="80" w:before="0"/>
      </w:pPr>
    </w:p>
    <w:p>
      <w:pPr>
        <w:spacing w:after="110" w:before="0" w:line="264"/>
      </w:pPr>
      <w:r>
        <w:rPr>
          <w:rFonts w:ascii="Arial" w:cs="Arial" w:eastAsia="Arial" w:hAnsi="Arial"/>
          <w:color w:val="1F2937"/>
          <w:sz w:val="19"/>
          <w:szCs w:val="19"/>
        </w:rPr>
        <w:t xml:space="preserve">Flags:</w:t>
      </w:r>
    </w:p>
    <w:p>
      <w:pPr>
        <w:pStyle w:val="ListParagraph"/>
        <w:numPr>
          <w:ilvl w:val="0"/>
          <w:numId w:val="3"/>
        </w:numPr>
        <w:spacing w:after="60" w:before="0" w:line="252"/>
      </w:pPr>
      <w:r>
        <w:rPr>
          <w:rFonts w:ascii="Arial" w:cs="Arial" w:eastAsia="Arial" w:hAnsi="Arial"/>
          <w:b/>
          <w:bCs/>
          <w:color w:val="1F2937"/>
          <w:sz w:val="19"/>
          <w:szCs w:val="19"/>
        </w:rPr>
        <w:t xml:space="preserve">Debt +RM3.8bn (+26.5%) in six months</w:t>
      </w:r>
      <w:r>
        <w:rPr>
          <w:rFonts w:ascii="Arial" w:cs="Arial" w:eastAsia="Arial" w:hAnsi="Arial"/>
          <w:color w:val="1F2937"/>
          <w:sz w:val="19"/>
          <w:szCs w:val="19"/>
        </w:rPr>
        <w:t xml:space="preserve">, driven by the US$500m licence fee (RM2,044m) and capex of RM1.13bn in 1H26.</w:t>
      </w:r>
    </w:p>
    <w:p>
      <w:pPr>
        <w:pStyle w:val="ListParagraph"/>
        <w:numPr>
          <w:ilvl w:val="0"/>
          <w:numId w:val="3"/>
        </w:numPr>
        <w:spacing w:after="60" w:before="0" w:line="252"/>
      </w:pPr>
      <w:r>
        <w:rPr>
          <w:rFonts w:ascii="Arial" w:cs="Arial" w:eastAsia="Arial" w:hAnsi="Arial"/>
          <w:b/>
          <w:bCs/>
          <w:color w:val="1F2937"/>
          <w:sz w:val="19"/>
          <w:szCs w:val="19"/>
        </w:rPr>
        <w:t xml:space="preserve">Lease liabilities +RM0.78bn</w:t>
      </w:r>
      <w:r>
        <w:rPr>
          <w:rFonts w:ascii="Arial" w:cs="Arial" w:eastAsia="Arial" w:hAnsi="Arial"/>
          <w:color w:val="1F2937"/>
          <w:sz w:val="19"/>
          <w:szCs w:val="19"/>
        </w:rPr>
        <w:t xml:space="preserve"> (right-of-use assets +RM1.03bn), probably the Aqueduct lease re-set on conversion [e].</w:t>
      </w:r>
    </w:p>
    <w:p>
      <w:pPr>
        <w:pStyle w:val="ListParagraph"/>
        <w:numPr>
          <w:ilvl w:val="0"/>
          <w:numId w:val="3"/>
        </w:numPr>
        <w:spacing w:after="60" w:before="0" w:line="252"/>
      </w:pPr>
      <w:r>
        <w:rPr>
          <w:rFonts w:ascii="Arial" w:cs="Arial" w:eastAsia="Arial" w:hAnsi="Arial"/>
          <w:b/>
          <w:bCs/>
          <w:color w:val="1F2937"/>
          <w:sz w:val="19"/>
          <w:szCs w:val="19"/>
        </w:rPr>
        <w:t xml:space="preserve">Short-term debt RM2.47bn</w:t>
      </w:r>
      <w:r>
        <w:rPr>
          <w:rFonts w:ascii="Arial" w:cs="Arial" w:eastAsia="Arial" w:hAnsi="Arial"/>
          <w:color w:val="1F2937"/>
          <w:sz w:val="19"/>
          <w:szCs w:val="19"/>
        </w:rPr>
        <w:t xml:space="preserve">: Empire's US$300m notes (repaid 2-Jul-26 via the new facility) and the RM1.1bn MTN due Mar-2027.</w:t>
      </w:r>
    </w:p>
    <w:p>
      <w:pPr>
        <w:pStyle w:val="ListParagraph"/>
        <w:numPr>
          <w:ilvl w:val="0"/>
          <w:numId w:val="3"/>
        </w:numPr>
        <w:spacing w:after="60" w:before="0" w:line="252"/>
      </w:pPr>
      <w:r>
        <w:rPr>
          <w:rFonts w:ascii="Arial" w:cs="Arial" w:eastAsia="Arial" w:hAnsi="Arial"/>
          <w:color w:val="1F2937"/>
          <w:sz w:val="19"/>
          <w:szCs w:val="19"/>
        </w:rPr>
        <w:t xml:space="preserve">Receivables are stable, so there is no sign of VIP credit stretch. Inventory is immaterial.</w:t>
      </w:r>
    </w:p>
    <w:p>
      <w:pPr>
        <w:pStyle w:val="ListParagraph"/>
        <w:numPr>
          <w:ilvl w:val="0"/>
          <w:numId w:val="3"/>
        </w:numPr>
        <w:spacing w:after="60" w:before="0" w:line="252"/>
      </w:pPr>
      <w:r>
        <w:rPr>
          <w:rFonts w:ascii="Arial" w:cs="Arial" w:eastAsia="Arial" w:hAnsi="Arial"/>
          <w:color w:val="1F2937"/>
          <w:sz w:val="19"/>
          <w:szCs w:val="19"/>
        </w:rPr>
        <w:t xml:space="preserve">1Q26 CFO of only RM139m is unusually weak (working-capital timing, tax).</w:t>
      </w:r>
    </w:p>
    <w:p>
      <w:pPr>
        <w:pStyle w:val="Heading2"/>
        <w:keepNext/>
      </w:pPr>
      <w:r>
        <w:rPr>
          <w:rFonts w:ascii="Arial" w:cs="Arial" w:eastAsia="Arial" w:hAnsi="Arial"/>
        </w:rPr>
        <w:t xml:space="preserve">11.6 Market reaction and what was priced in</w:t>
      </w:r>
    </w:p>
    <w:p>
      <w:pPr>
        <w:spacing w:after="110" w:before="0" w:line="264"/>
      </w:pPr>
      <w:r>
        <w:rPr>
          <w:rFonts w:ascii="Arial" w:cs="Arial" w:eastAsia="Arial" w:hAnsi="Arial"/>
          <w:color w:val="1F2937"/>
          <w:sz w:val="19"/>
          <w:szCs w:val="19"/>
        </w:rPr>
        <w:t xml:space="preserve">The stock slipped 0.6% the next day and 1.7% the next week: "in line" EBITDA had been expected. It then fell 13.5% in September without company news, before the parent's rights issue knocked it down another 17% and Affin's downgrade took it to a record low of RM1.19. The muted initial reaction shows that the NY revenue ramp was priced in. The later slide shows that the market is pricing </w:t>
      </w:r>
      <w:r>
        <w:rPr>
          <w:rFonts w:ascii="Arial" w:cs="Arial" w:eastAsia="Arial" w:hAnsi="Arial"/>
          <w:b/>
          <w:bCs/>
          <w:color w:val="1F2937"/>
          <w:sz w:val="19"/>
          <w:szCs w:val="19"/>
        </w:rPr>
        <w:t xml:space="preserve">the balance sheet, the dividend and the parent</w:t>
      </w:r>
      <w:r>
        <w:rPr>
          <w:rFonts w:ascii="Arial" w:cs="Arial" w:eastAsia="Arial" w:hAnsi="Arial"/>
          <w:color w:val="1F2937"/>
          <w:sz w:val="19"/>
          <w:szCs w:val="19"/>
        </w:rPr>
        <w:t xml:space="preserve">, not the NY top line.</w:t>
      </w:r>
    </w:p>
    <w:p>
      <w:pPr>
        <w:pStyle w:val="Heading2"/>
        <w:keepNext/>
      </w:pPr>
      <w:r>
        <w:rPr>
          <w:rFonts w:ascii="Arial" w:cs="Arial" w:eastAsia="Arial" w:hAnsi="Arial"/>
        </w:rPr>
        <w:t xml:space="preserve">11.7 Unusual vs recent history</w:t>
      </w:r>
    </w:p>
    <w:p>
      <w:pPr>
        <w:pStyle w:val="ListParagraph"/>
        <w:numPr>
          <w:ilvl w:val="0"/>
          <w:numId w:val="5"/>
        </w:numPr>
        <w:spacing w:after="70" w:before="0" w:line="252"/>
      </w:pPr>
      <w:r>
        <w:rPr>
          <w:rFonts w:ascii="Arial" w:cs="Arial" w:eastAsia="Arial" w:hAnsi="Arial"/>
          <w:color w:val="1F2937"/>
          <w:sz w:val="19"/>
          <w:szCs w:val="19"/>
        </w:rPr>
        <w:t xml:space="preserve">Record revenue alongside a near-record-low margin (adj. EBITDA margin ~22% vs a 30-35% history).</w:t>
      </w:r>
    </w:p>
    <w:p>
      <w:pPr>
        <w:pStyle w:val="ListParagraph"/>
        <w:numPr>
          <w:ilvl w:val="0"/>
          <w:numId w:val="5"/>
        </w:numPr>
        <w:spacing w:after="70" w:before="0" w:line="252"/>
      </w:pPr>
      <w:r>
        <w:rPr>
          <w:rFonts w:ascii="Arial" w:cs="Arial" w:eastAsia="Arial" w:hAnsi="Arial"/>
          <w:color w:val="1F2937"/>
          <w:sz w:val="19"/>
          <w:szCs w:val="19"/>
        </w:rPr>
        <w:t xml:space="preserve">Two consecutive years without an interim dividend, against a decade of 6-sen interims.</w:t>
      </w:r>
    </w:p>
    <w:p>
      <w:pPr>
        <w:pStyle w:val="ListParagraph"/>
        <w:numPr>
          <w:ilvl w:val="0"/>
          <w:numId w:val="5"/>
        </w:numPr>
        <w:spacing w:after="70" w:before="0" w:line="252"/>
      </w:pPr>
      <w:r>
        <w:rPr>
          <w:rFonts w:ascii="Arial" w:cs="Arial" w:eastAsia="Arial" w:hAnsi="Arial"/>
          <w:color w:val="1F2937"/>
          <w:sz w:val="19"/>
          <w:szCs w:val="19"/>
        </w:rPr>
        <w:t xml:space="preserve">A 26% jump in gross debt in six months.</w:t>
      </w:r>
    </w:p>
    <w:p>
      <w:pPr>
        <w:pStyle w:val="ListParagraph"/>
        <w:numPr>
          <w:ilvl w:val="0"/>
          <w:numId w:val="5"/>
        </w:numPr>
        <w:spacing w:after="70" w:before="0" w:line="252"/>
      </w:pPr>
      <w:r>
        <w:rPr>
          <w:rFonts w:ascii="Arial" w:cs="Arial" w:eastAsia="Arial" w:hAnsi="Arial"/>
          <w:color w:val="1F2937"/>
          <w:sz w:val="19"/>
          <w:szCs w:val="19"/>
        </w:rPr>
        <w:t xml:space="preserve">Net profit swings of hundreds of millions of ringgit from unrealised FX on USD debt.</w:t>
      </w:r>
    </w:p>
    <w:p>
      <w:pPr>
        <w:pStyle w:val="ListParagraph"/>
        <w:numPr>
          <w:ilvl w:val="0"/>
          <w:numId w:val="5"/>
        </w:numPr>
        <w:spacing w:after="70" w:before="0" w:line="252"/>
      </w:pPr>
      <w:r>
        <w:rPr>
          <w:rFonts w:ascii="Arial" w:cs="Arial" w:eastAsia="Arial" w:hAnsi="Arial"/>
          <w:color w:val="1F2937"/>
          <w:sz w:val="19"/>
          <w:szCs w:val="19"/>
        </w:rPr>
        <w:t xml:space="preserve">The President (Lee Choong Yan, in role since 2006) stepped down on 1-Mar-2026, mid-ramp.</w:t>
      </w:r>
    </w:p>
    <w:p>
      <w:pPr>
        <w:pStyle w:val="Heading2"/>
        <w:keepNext/>
      </w:pPr>
      <w:r>
        <w:rPr>
          <w:rFonts w:ascii="Arial" w:cs="Arial" w:eastAsia="Arial" w:hAnsi="Arial"/>
        </w:rPr>
        <w:t xml:space="preserve">11.8 3Q26 preview (results ~19-26 Nov-2026) [e]</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1973"/>
        <w:gridCol w:w="686"/>
        <w:gridCol w:w="2659"/>
        <w:gridCol w:w="4762"/>
      </w:tblGrid>
      <w:tr>
        <w:trPr>
          <w:cantSplit/>
          <w:tblHeader/>
        </w:trPr>
        <w:tc>
          <w:tcPr>
            <w:tcW w:type="dxa" w:w="197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RM m</w:t>
            </w:r>
          </w:p>
        </w:tc>
        <w:tc>
          <w:tcPr>
            <w:tcW w:type="dxa" w:w="68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7"/>
                <w:szCs w:val="17"/>
              </w:rPr>
              <w:t xml:space="preserve">3Q25A</w:t>
            </w:r>
          </w:p>
        </w:tc>
        <w:tc>
          <w:tcPr>
            <w:tcW w:type="dxa" w:w="265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3Q26E (ours)</w:t>
            </w:r>
          </w:p>
        </w:tc>
        <w:tc>
          <w:tcPr>
            <w:tcW w:type="dxa" w:w="476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What to watch</w:t>
            </w:r>
          </w:p>
        </w:tc>
      </w:tr>
      <w:tr>
        <w:trPr>
          <w:cantSplit/>
        </w:trPr>
        <w:tc>
          <w:tcPr>
            <w:tcW w:type="dxa" w:w="197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RWNYC GGR (US$m)</w:t>
            </w:r>
          </w:p>
        </w:tc>
        <w:tc>
          <w:tcPr>
            <w:tcW w:type="dxa" w:w="6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VLT only</w:t>
            </w:r>
          </w:p>
        </w:tc>
        <w:tc>
          <w:tcPr>
            <w:tcW w:type="dxa" w:w="26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~400 (Jul ~135 [e], Aug ~133 [e], Sep 126.7)</w:t>
            </w:r>
          </w:p>
        </w:tc>
        <w:tc>
          <w:tcPr>
            <w:tcW w:type="dxa" w:w="47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First full quarter of tables; free-play intensity</w:t>
            </w:r>
          </w:p>
        </w:tc>
      </w:tr>
      <w:tr>
        <w:trPr>
          <w:cantSplit/>
        </w:trPr>
        <w:tc>
          <w:tcPr>
            <w:tcW w:type="dxa" w:w="197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Malaysia adj. EBITDA</w:t>
            </w:r>
          </w:p>
        </w:tc>
        <w:tc>
          <w:tcPr>
            <w:tcW w:type="dxa" w:w="6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627.4</w:t>
            </w:r>
          </w:p>
        </w:tc>
        <w:tc>
          <w:tcPr>
            <w:tcW w:type="dxa" w:w="26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~580-620</w:t>
            </w:r>
          </w:p>
        </w:tc>
        <w:tc>
          <w:tcPr>
            <w:tcW w:type="dxa" w:w="47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VIP hold normalising after a lucky 2Q; visitation vs Middle East airfares</w:t>
            </w:r>
          </w:p>
        </w:tc>
      </w:tr>
      <w:tr>
        <w:trPr>
          <w:cantSplit/>
        </w:trPr>
        <w:tc>
          <w:tcPr>
            <w:tcW w:type="dxa" w:w="197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UK &amp; Egypt adj. EBITDA</w:t>
            </w:r>
          </w:p>
        </w:tc>
        <w:tc>
          <w:tcPr>
            <w:tcW w:type="dxa" w:w="6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86.3</w:t>
            </w:r>
          </w:p>
        </w:tc>
        <w:tc>
          <w:tcPr>
            <w:tcW w:type="dxa" w:w="26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~70-85</w:t>
            </w:r>
          </w:p>
        </w:tc>
        <w:tc>
          <w:tcPr>
            <w:tcW w:type="dxa" w:w="47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Coventry closure costs; Budget (28-Oct) commentary</w:t>
            </w:r>
          </w:p>
        </w:tc>
      </w:tr>
      <w:tr>
        <w:trPr>
          <w:cantSplit/>
        </w:trPr>
        <w:tc>
          <w:tcPr>
            <w:tcW w:type="dxa" w:w="197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US &amp; Bahamas adj. EBITDA</w:t>
            </w:r>
          </w:p>
        </w:tc>
        <w:tc>
          <w:tcPr>
            <w:tcW w:type="dxa" w:w="6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151.2</w:t>
            </w:r>
          </w:p>
        </w:tc>
        <w:tc>
          <w:tcPr>
            <w:tcW w:type="dxa" w:w="26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~240-270</w:t>
            </w:r>
          </w:p>
        </w:tc>
        <w:tc>
          <w:tcPr>
            <w:tcW w:type="dxa" w:w="47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Key number: ≥RM250m (≈US$62m) supports our FY26-27E</w:t>
            </w:r>
          </w:p>
        </w:tc>
      </w:tr>
      <w:tr>
        <w:trPr>
          <w:cantSplit/>
        </w:trPr>
        <w:tc>
          <w:tcPr>
            <w:tcW w:type="dxa" w:w="197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Group adj. EBITDA ex-FX</w:t>
            </w:r>
          </w:p>
        </w:tc>
        <w:tc>
          <w:tcPr>
            <w:tcW w:type="dxa" w:w="6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835.3</w:t>
            </w:r>
          </w:p>
        </w:tc>
        <w:tc>
          <w:tcPr>
            <w:tcW w:type="dxa" w:w="26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~880-920</w:t>
            </w:r>
          </w:p>
        </w:tc>
        <w:tc>
          <w:tcPr>
            <w:tcW w:type="dxa" w:w="47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Margin ~23-24% vs 22.4% in 2Q26</w:t>
            </w:r>
          </w:p>
        </w:tc>
      </w:tr>
      <w:tr>
        <w:trPr>
          <w:cantSplit/>
        </w:trPr>
        <w:tc>
          <w:tcPr>
            <w:tcW w:type="dxa" w:w="197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Net income (before FX)</w:t>
            </w:r>
          </w:p>
        </w:tc>
        <w:tc>
          <w:tcPr>
            <w:tcW w:type="dxa" w:w="6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119.7</w:t>
            </w:r>
          </w:p>
        </w:tc>
        <w:tc>
          <w:tcPr>
            <w:tcW w:type="dxa" w:w="26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~90-140</w:t>
            </w:r>
          </w:p>
        </w:tc>
        <w:tc>
          <w:tcPr>
            <w:tcW w:type="dxa" w:w="47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Interest (~RM270m), D&amp;A, tax rate</w:t>
            </w:r>
          </w:p>
        </w:tc>
      </w:tr>
      <w:tr>
        <w:trPr>
          <w:cantSplit/>
        </w:trPr>
        <w:tc>
          <w:tcPr>
            <w:tcW w:type="dxa" w:w="197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Interim dividend</w:t>
            </w:r>
          </w:p>
        </w:tc>
        <w:tc>
          <w:tcPr>
            <w:tcW w:type="dxa" w:w="6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none</w:t>
            </w:r>
          </w:p>
        </w:tc>
        <w:tc>
          <w:tcPr>
            <w:tcW w:type="dxa" w:w="26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none expected</w:t>
            </w:r>
          </w:p>
        </w:tc>
        <w:tc>
          <w:tcPr>
            <w:tcW w:type="dxa" w:w="47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 surprise interim would be a strong signal</w:t>
            </w:r>
          </w:p>
        </w:tc>
      </w:tr>
    </w:tbl>
    <w:p>
      <w:pPr>
        <w:spacing w:after="80" w:before="0"/>
      </w:pPr>
    </w:p>
    <w:p>
      <w:pPr>
        <w:spacing w:after="110" w:before="0" w:line="264"/>
      </w:pPr>
      <w:r>
        <w:rPr>
          <w:rFonts w:ascii="Arial" w:cs="Arial" w:eastAsia="Arial" w:hAnsi="Arial"/>
          <w:color w:val="1F2937"/>
          <w:sz w:val="19"/>
          <w:szCs w:val="19"/>
        </w:rPr>
        <w:t xml:space="preserve">A US&amp;B print below ~RM220m, or any provision for racing support, would be the first fundamental crack in the NY leg of the thesis.</w:t>
      </w:r>
    </w:p>
    <w:p>
      <w:pPr>
        <w:pStyle w:val="Heading1"/>
        <w:keepNext/>
      </w:pPr>
      <w:r>
        <w:rPr>
          <w:rFonts w:ascii="Arial" w:cs="Arial" w:eastAsia="Arial" w:hAnsi="Arial"/>
        </w:rPr>
        <w:t xml:space="preserve">12. Earnings Estimates, FY2026E-FY2028E</w:t>
      </w:r>
    </w:p>
    <w:p>
      <w:pPr>
        <w:pStyle w:val="Heading2"/>
        <w:keepNext/>
      </w:pPr>
      <w:r>
        <w:rPr>
          <w:rFonts w:ascii="Arial" w:cs="Arial" w:eastAsia="Arial" w:hAnsi="Arial"/>
        </w:rPr>
        <w:t xml:space="preserve">12.1 Our forecasts vs consensus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5538"/>
        <w:gridCol w:w="1065"/>
        <w:gridCol w:w="1153"/>
        <w:gridCol w:w="1162"/>
        <w:gridCol w:w="1162"/>
      </w:tblGrid>
      <w:tr>
        <w:trPr>
          <w:cantSplit/>
          <w:tblHeader/>
        </w:trPr>
        <w:tc>
          <w:tcPr>
            <w:tcW w:type="dxa" w:w="5538"/>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RM m</w:t>
            </w:r>
          </w:p>
        </w:tc>
        <w:tc>
          <w:tcPr>
            <w:tcW w:type="dxa" w:w="106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FY2025A</w:t>
            </w:r>
          </w:p>
        </w:tc>
        <w:tc>
          <w:tcPr>
            <w:tcW w:type="dxa" w:w="115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FY2026E</w:t>
            </w:r>
          </w:p>
        </w:tc>
        <w:tc>
          <w:tcPr>
            <w:tcW w:type="dxa" w:w="116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FY2027E</w:t>
            </w:r>
          </w:p>
        </w:tc>
        <w:tc>
          <w:tcPr>
            <w:tcW w:type="dxa" w:w="116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FY2028E</w:t>
            </w:r>
          </w:p>
        </w:tc>
      </w:tr>
      <w:tr>
        <w:trPr>
          <w:cantSplit/>
        </w:trPr>
        <w:tc>
          <w:tcPr>
            <w:tcW w:type="dxa" w:w="553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Revenue</w:t>
            </w:r>
          </w:p>
        </w:tc>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11,884</w:t>
            </w:r>
          </w:p>
        </w:tc>
        <w:tc>
          <w:tcPr>
            <w:tcW w:type="dxa" w:w="11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13,720</w:t>
            </w:r>
          </w:p>
        </w:tc>
        <w:tc>
          <w:tcPr>
            <w:tcW w:type="dxa" w:w="11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15,200</w:t>
            </w:r>
          </w:p>
        </w:tc>
        <w:tc>
          <w:tcPr>
            <w:tcW w:type="dxa" w:w="11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16,300</w:t>
            </w:r>
          </w:p>
        </w:tc>
      </w:tr>
      <w:tr>
        <w:trPr>
          <w:cantSplit/>
        </w:trPr>
        <w:tc>
          <w:tcPr>
            <w:tcW w:type="dxa" w:w="553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i/>
                <w:iCs/>
                <w:color w:val="1F2937"/>
                <w:sz w:val="16"/>
                <w:szCs w:val="16"/>
              </w:rPr>
              <w:t xml:space="preserve">Consensus revenue</w:t>
            </w:r>
          </w:p>
        </w:tc>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p>
        </w:tc>
        <w:tc>
          <w:tcPr>
            <w:tcW w:type="dxa" w:w="11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i/>
                <w:iCs/>
                <w:color w:val="1F2937"/>
                <w:sz w:val="16"/>
                <w:szCs w:val="16"/>
              </w:rPr>
              <w:t xml:space="preserve">13,541</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i/>
                <w:iCs/>
                <w:color w:val="1F2937"/>
                <w:sz w:val="16"/>
                <w:szCs w:val="16"/>
              </w:rPr>
              <w:t xml:space="preserve">14,859</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i/>
                <w:iCs/>
                <w:color w:val="1F2937"/>
                <w:sz w:val="16"/>
                <w:szCs w:val="16"/>
              </w:rPr>
              <w:t xml:space="preserve">16,600</w:t>
            </w:r>
          </w:p>
        </w:tc>
      </w:tr>
      <w:tr>
        <w:trPr>
          <w:cantSplit/>
        </w:trPr>
        <w:tc>
          <w:tcPr>
            <w:tcW w:type="dxa" w:w="553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Adj. EBITDA ex-FX</w:t>
            </w:r>
          </w:p>
        </w:tc>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2,946</w:t>
            </w:r>
          </w:p>
        </w:tc>
        <w:tc>
          <w:tcPr>
            <w:tcW w:type="dxa" w:w="11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3,139</w:t>
            </w:r>
          </w:p>
        </w:tc>
        <w:tc>
          <w:tcPr>
            <w:tcW w:type="dxa" w:w="11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3,415</w:t>
            </w:r>
          </w:p>
        </w:tc>
        <w:tc>
          <w:tcPr>
            <w:tcW w:type="dxa" w:w="11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3,680</w:t>
            </w:r>
          </w:p>
        </w:tc>
      </w:tr>
      <w:tr>
        <w:trPr>
          <w:cantSplit/>
        </w:trPr>
        <w:tc>
          <w:tcPr>
            <w:tcW w:type="dxa" w:w="553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 Malaysia</w:t>
            </w:r>
          </w:p>
        </w:tc>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2,139</w:t>
            </w:r>
          </w:p>
        </w:tc>
        <w:tc>
          <w:tcPr>
            <w:tcW w:type="dxa" w:w="11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2,157</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2,190</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2,260</w:t>
            </w:r>
          </w:p>
        </w:tc>
      </w:tr>
      <w:tr>
        <w:trPr>
          <w:cantSplit/>
        </w:trPr>
        <w:tc>
          <w:tcPr>
            <w:tcW w:type="dxa" w:w="553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 UK &amp; Egypt</w:t>
            </w:r>
          </w:p>
        </w:tc>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322</w:t>
            </w:r>
          </w:p>
        </w:tc>
        <w:tc>
          <w:tcPr>
            <w:tcW w:type="dxa" w:w="11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285</w:t>
            </w:r>
          </w:p>
        </w:tc>
        <w:tc>
          <w:tcPr>
            <w:tcW w:type="dxa" w:w="11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250</w:t>
            </w:r>
          </w:p>
        </w:tc>
        <w:tc>
          <w:tcPr>
            <w:tcW w:type="dxa" w:w="11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260</w:t>
            </w:r>
          </w:p>
        </w:tc>
      </w:tr>
      <w:tr>
        <w:trPr>
          <w:cantSplit/>
        </w:trPr>
        <w:tc>
          <w:tcPr>
            <w:tcW w:type="dxa" w:w="553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 US &amp; Bahamas</w:t>
            </w:r>
          </w:p>
        </w:tc>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472</w:t>
            </w:r>
          </w:p>
        </w:tc>
        <w:tc>
          <w:tcPr>
            <w:tcW w:type="dxa" w:w="11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797</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1,060</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1,250</w:t>
            </w:r>
          </w:p>
        </w:tc>
      </w:tr>
      <w:tr>
        <w:trPr>
          <w:cantSplit/>
        </w:trPr>
        <w:tc>
          <w:tcPr>
            <w:tcW w:type="dxa" w:w="553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 Property, corporate &amp; other</w:t>
            </w:r>
          </w:p>
        </w:tc>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13</w:t>
            </w:r>
          </w:p>
        </w:tc>
        <w:tc>
          <w:tcPr>
            <w:tcW w:type="dxa" w:w="11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(100)</w:t>
            </w:r>
          </w:p>
        </w:tc>
        <w:tc>
          <w:tcPr>
            <w:tcW w:type="dxa" w:w="11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(85)</w:t>
            </w:r>
          </w:p>
        </w:tc>
        <w:tc>
          <w:tcPr>
            <w:tcW w:type="dxa" w:w="11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(90)</w:t>
            </w:r>
          </w:p>
        </w:tc>
      </w:tr>
      <w:tr>
        <w:trPr>
          <w:cantSplit/>
        </w:trPr>
        <w:tc>
          <w:tcPr>
            <w:tcW w:type="dxa" w:w="553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i/>
                <w:iCs/>
                <w:color w:val="1F2937"/>
                <w:sz w:val="16"/>
                <w:szCs w:val="16"/>
              </w:rPr>
              <w:t xml:space="preserve">Consensus EBITDA</w:t>
            </w:r>
          </w:p>
        </w:tc>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p>
        </w:tc>
        <w:tc>
          <w:tcPr>
            <w:tcW w:type="dxa" w:w="11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i/>
                <w:iCs/>
                <w:color w:val="1F2937"/>
                <w:sz w:val="16"/>
                <w:szCs w:val="16"/>
              </w:rPr>
              <w:t xml:space="preserve">2,974</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i/>
                <w:iCs/>
                <w:color w:val="1F2937"/>
                <w:sz w:val="16"/>
                <w:szCs w:val="16"/>
              </w:rPr>
              <w:t xml:space="preserve">3,455</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i/>
                <w:iCs/>
                <w:color w:val="1F2937"/>
                <w:sz w:val="16"/>
                <w:szCs w:val="16"/>
              </w:rPr>
              <w:t xml:space="preserve">3,765</w:t>
            </w:r>
          </w:p>
        </w:tc>
      </w:tr>
      <w:tr>
        <w:trPr>
          <w:cantSplit/>
        </w:trPr>
        <w:tc>
          <w:tcPr>
            <w:tcW w:type="dxa" w:w="553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Pre-opening and one-offs</w:t>
            </w:r>
          </w:p>
        </w:tc>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(161)</w:t>
            </w:r>
          </w:p>
        </w:tc>
        <w:tc>
          <w:tcPr>
            <w:tcW w:type="dxa" w:w="11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(174)</w:t>
            </w:r>
          </w:p>
        </w:tc>
        <w:tc>
          <w:tcPr>
            <w:tcW w:type="dxa" w:w="11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(110)</w:t>
            </w:r>
          </w:p>
        </w:tc>
        <w:tc>
          <w:tcPr>
            <w:tcW w:type="dxa" w:w="11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(100)</w:t>
            </w:r>
          </w:p>
        </w:tc>
      </w:tr>
      <w:tr>
        <w:trPr>
          <w:cantSplit/>
        </w:trPr>
        <w:tc>
          <w:tcPr>
            <w:tcW w:type="dxa" w:w="553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D&amp;A</w:t>
            </w:r>
          </w:p>
        </w:tc>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(1,315)</w:t>
            </w:r>
          </w:p>
        </w:tc>
        <w:tc>
          <w:tcPr>
            <w:tcW w:type="dxa" w:w="11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(1,433)</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(1,520)</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(1,620)</w:t>
            </w:r>
          </w:p>
        </w:tc>
      </w:tr>
      <w:tr>
        <w:trPr>
          <w:cantSplit/>
        </w:trPr>
        <w:tc>
          <w:tcPr>
            <w:tcW w:type="dxa" w:w="553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Finance costs (net of interest income)</w:t>
            </w:r>
          </w:p>
        </w:tc>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(726)</w:t>
            </w:r>
          </w:p>
        </w:tc>
        <w:tc>
          <w:tcPr>
            <w:tcW w:type="dxa" w:w="11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(1,029)</w:t>
            </w:r>
          </w:p>
        </w:tc>
        <w:tc>
          <w:tcPr>
            <w:tcW w:type="dxa" w:w="11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(1,045)</w:t>
            </w:r>
          </w:p>
        </w:tc>
        <w:tc>
          <w:tcPr>
            <w:tcW w:type="dxa" w:w="11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(1,110)</w:t>
            </w:r>
          </w:p>
        </w:tc>
      </w:tr>
      <w:tr>
        <w:trPr>
          <w:cantSplit/>
        </w:trPr>
        <w:tc>
          <w:tcPr>
            <w:tcW w:type="dxa" w:w="553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PBT</w:t>
            </w:r>
          </w:p>
        </w:tc>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985</w:t>
            </w:r>
          </w:p>
        </w:tc>
        <w:tc>
          <w:tcPr>
            <w:tcW w:type="dxa" w:w="11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491</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735</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845</w:t>
            </w:r>
          </w:p>
        </w:tc>
      </w:tr>
      <w:tr>
        <w:trPr>
          <w:cantSplit/>
        </w:trPr>
        <w:tc>
          <w:tcPr>
            <w:tcW w:type="dxa" w:w="553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Tax</w:t>
            </w:r>
          </w:p>
        </w:tc>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(314)</w:t>
            </w:r>
          </w:p>
        </w:tc>
        <w:tc>
          <w:tcPr>
            <w:tcW w:type="dxa" w:w="11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(335)</w:t>
            </w:r>
          </w:p>
        </w:tc>
        <w:tc>
          <w:tcPr>
            <w:tcW w:type="dxa" w:w="11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(330)</w:t>
            </w:r>
          </w:p>
        </w:tc>
        <w:tc>
          <w:tcPr>
            <w:tcW w:type="dxa" w:w="11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(380)</w:t>
            </w:r>
          </w:p>
        </w:tc>
      </w:tr>
      <w:tr>
        <w:trPr>
          <w:cantSplit/>
        </w:trPr>
        <w:tc>
          <w:tcPr>
            <w:tcW w:type="dxa" w:w="553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Non-controlling interests</w:t>
            </w:r>
          </w:p>
        </w:tc>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84</w:t>
            </w:r>
          </w:p>
        </w:tc>
        <w:tc>
          <w:tcPr>
            <w:tcW w:type="dxa" w:w="11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87</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80</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80</w:t>
            </w:r>
          </w:p>
        </w:tc>
      </w:tr>
      <w:tr>
        <w:trPr>
          <w:cantSplit/>
        </w:trPr>
        <w:tc>
          <w:tcPr>
            <w:tcW w:type="dxa" w:w="5538"/>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Net income attributable</w:t>
            </w:r>
          </w:p>
        </w:tc>
        <w:tc>
          <w:tcPr>
            <w:tcW w:type="dxa" w:w="1065"/>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755</w:t>
            </w:r>
          </w:p>
        </w:tc>
        <w:tc>
          <w:tcPr>
            <w:tcW w:type="dxa" w:w="1153"/>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243</w:t>
            </w:r>
          </w:p>
        </w:tc>
        <w:tc>
          <w:tcPr>
            <w:tcW w:type="dxa" w:w="1162"/>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485</w:t>
            </w:r>
          </w:p>
        </w:tc>
        <w:tc>
          <w:tcPr>
            <w:tcW w:type="dxa" w:w="1162"/>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545</w:t>
            </w:r>
          </w:p>
        </w:tc>
      </w:tr>
      <w:tr>
        <w:trPr>
          <w:cantSplit/>
        </w:trPr>
        <w:tc>
          <w:tcPr>
            <w:tcW w:type="dxa" w:w="553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Shares (m)</w:t>
            </w:r>
          </w:p>
        </w:tc>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5,667.7</w:t>
            </w:r>
          </w:p>
        </w:tc>
        <w:tc>
          <w:tcPr>
            <w:tcW w:type="dxa" w:w="11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5,667.7</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5,667.7</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5,667.7</w:t>
            </w:r>
          </w:p>
        </w:tc>
      </w:tr>
      <w:tr>
        <w:trPr>
          <w:cantSplit/>
        </w:trPr>
        <w:tc>
          <w:tcPr>
            <w:tcW w:type="dxa" w:w="5538"/>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EPS (sen)</w:t>
            </w:r>
          </w:p>
        </w:tc>
        <w:tc>
          <w:tcPr>
            <w:tcW w:type="dxa" w:w="1065"/>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13.3</w:t>
            </w:r>
          </w:p>
        </w:tc>
        <w:tc>
          <w:tcPr>
            <w:tcW w:type="dxa" w:w="1153"/>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4.3</w:t>
            </w:r>
          </w:p>
        </w:tc>
        <w:tc>
          <w:tcPr>
            <w:tcW w:type="dxa" w:w="1162"/>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8.6</w:t>
            </w:r>
          </w:p>
        </w:tc>
        <w:tc>
          <w:tcPr>
            <w:tcW w:type="dxa" w:w="1162"/>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9.6</w:t>
            </w:r>
          </w:p>
        </w:tc>
      </w:tr>
      <w:tr>
        <w:trPr>
          <w:cantSplit/>
        </w:trPr>
        <w:tc>
          <w:tcPr>
            <w:tcW w:type="dxa" w:w="553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i/>
                <w:iCs/>
                <w:color w:val="1F2937"/>
                <w:sz w:val="16"/>
                <w:szCs w:val="16"/>
              </w:rPr>
              <w:t xml:space="preserve">Consensus EPS (sen)</w:t>
            </w:r>
          </w:p>
        </w:tc>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p>
        </w:tc>
        <w:tc>
          <w:tcPr>
            <w:tcW w:type="dxa" w:w="11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i/>
                <w:iCs/>
                <w:color w:val="1F2937"/>
                <w:sz w:val="16"/>
                <w:szCs w:val="16"/>
              </w:rPr>
              <w:t xml:space="preserve">7.5</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i/>
                <w:iCs/>
                <w:color w:val="1F2937"/>
                <w:sz w:val="16"/>
                <w:szCs w:val="16"/>
              </w:rPr>
              <w:t xml:space="preserve">11.8</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i/>
                <w:iCs/>
                <w:color w:val="1F2937"/>
                <w:sz w:val="16"/>
                <w:szCs w:val="16"/>
              </w:rPr>
              <w:t xml:space="preserve">14.8</w:t>
            </w:r>
          </w:p>
        </w:tc>
      </w:tr>
      <w:tr>
        <w:trPr>
          <w:cantSplit/>
        </w:trPr>
        <w:tc>
          <w:tcPr>
            <w:tcW w:type="dxa" w:w="553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Our EPS vs consensus</w:t>
            </w:r>
          </w:p>
        </w:tc>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p>
        </w:tc>
        <w:tc>
          <w:tcPr>
            <w:tcW w:type="dxa" w:w="11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−42%</w:t>
            </w:r>
          </w:p>
        </w:tc>
        <w:tc>
          <w:tcPr>
            <w:tcW w:type="dxa" w:w="11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−27%</w:t>
            </w:r>
          </w:p>
        </w:tc>
        <w:tc>
          <w:tcPr>
            <w:tcW w:type="dxa" w:w="11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−35%</w:t>
            </w:r>
          </w:p>
        </w:tc>
      </w:tr>
      <w:tr>
        <w:trPr>
          <w:cantSplit/>
        </w:trPr>
        <w:tc>
          <w:tcPr>
            <w:tcW w:type="dxa" w:w="553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DPS (sen)</w:t>
            </w:r>
          </w:p>
        </w:tc>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7.0</w:t>
            </w:r>
          </w:p>
        </w:tc>
        <w:tc>
          <w:tcPr>
            <w:tcW w:type="dxa" w:w="11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5.0</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5.0</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6.0</w:t>
            </w:r>
          </w:p>
        </w:tc>
      </w:tr>
      <w:tr>
        <w:trPr>
          <w:cantSplit/>
        </w:trPr>
        <w:tc>
          <w:tcPr>
            <w:tcW w:type="dxa" w:w="553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Net debt incl. leases (year-end)</w:t>
            </w:r>
          </w:p>
        </w:tc>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10,300</w:t>
            </w:r>
          </w:p>
        </w:tc>
        <w:tc>
          <w:tcPr>
            <w:tcW w:type="dxa" w:w="11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15,716</w:t>
            </w:r>
          </w:p>
        </w:tc>
        <w:tc>
          <w:tcPr>
            <w:tcW w:type="dxa" w:w="11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16,796</w:t>
            </w:r>
          </w:p>
        </w:tc>
        <w:tc>
          <w:tcPr>
            <w:tcW w:type="dxa" w:w="116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17,386</w:t>
            </w:r>
          </w:p>
        </w:tc>
      </w:tr>
      <w:tr>
        <w:trPr>
          <w:cantSplit/>
        </w:trPr>
        <w:tc>
          <w:tcPr>
            <w:tcW w:type="dxa" w:w="553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Net debt / adj. EBITDA</w:t>
            </w:r>
          </w:p>
        </w:tc>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3.5x</w:t>
            </w:r>
          </w:p>
        </w:tc>
        <w:tc>
          <w:tcPr>
            <w:tcW w:type="dxa" w:w="11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5.0x</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4.9x</w:t>
            </w:r>
          </w:p>
        </w:tc>
        <w:tc>
          <w:tcPr>
            <w:tcW w:type="dxa" w:w="116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4.7x</w:t>
            </w:r>
          </w:p>
        </w:tc>
      </w:tr>
    </w:tbl>
    <w:p>
      <w:pPr>
        <w:spacing w:after="80" w:before="0"/>
      </w:pPr>
    </w:p>
    <w:p>
      <w:pPr>
        <w:spacing w:after="140" w:before="0"/>
      </w:pPr>
      <w:r>
        <w:rPr>
          <w:rFonts w:ascii="Arial" w:cs="Arial" w:eastAsia="Arial" w:hAnsi="Arial"/>
          <w:color w:val="6B7280"/>
          <w:sz w:val="15"/>
          <w:szCs w:val="15"/>
        </w:rPr>
        <w:t xml:space="preserve">[e] Our estimates; consensus is S&amp;P Capital IQ (Oct-2026). FY2025 one-offs reconcile reported EBITDA (RM3,136.8m) to adjusted EBITDA (RM3,297.6m).</w:t>
      </w:r>
    </w:p>
    <w:p>
      <w:pPr>
        <w:pStyle w:val="Heading2"/>
        <w:keepNext/>
      </w:pPr>
      <w:r>
        <w:rPr>
          <w:rFonts w:ascii="Arial" w:cs="Arial" w:eastAsia="Arial" w:hAnsi="Arial"/>
        </w:rPr>
        <w:t xml:space="preserve">12.2 Key assumptions</w:t>
      </w:r>
    </w:p>
    <w:p>
      <w:pPr>
        <w:pStyle w:val="ListParagraph"/>
        <w:numPr>
          <w:ilvl w:val="0"/>
          <w:numId w:val="3"/>
        </w:numPr>
        <w:spacing w:after="60" w:before="0" w:line="252"/>
      </w:pPr>
      <w:r>
        <w:rPr>
          <w:rFonts w:ascii="Arial" w:cs="Arial" w:eastAsia="Arial" w:hAnsi="Arial"/>
          <w:b/>
          <w:bCs/>
          <w:color w:val="1F2937"/>
          <w:sz w:val="19"/>
          <w:szCs w:val="19"/>
        </w:rPr>
        <w:t xml:space="preserve">Industry growth.</w:t>
      </w:r>
      <w:r>
        <w:rPr>
          <w:rFonts w:ascii="Arial" w:cs="Arial" w:eastAsia="Arial" w:hAnsi="Arial"/>
          <w:color w:val="1F2937"/>
          <w:sz w:val="19"/>
          <w:szCs w:val="19"/>
        </w:rPr>
        <w:t xml:space="preserve"> Malaysian visitation flat to +2% a year; RWG mature and room-constrained. NYC metro GGR grows with RWNYC's capacity until rivals open (~2030); CBRE sizes the three-licence market at US$4.7-5.6bn.</w:t>
      </w:r>
    </w:p>
    <w:p>
      <w:pPr>
        <w:pStyle w:val="ListParagraph"/>
        <w:numPr>
          <w:ilvl w:val="0"/>
          <w:numId w:val="3"/>
        </w:numPr>
        <w:spacing w:after="60" w:before="0" w:line="252"/>
      </w:pPr>
      <w:r>
        <w:rPr>
          <w:rFonts w:ascii="Arial" w:cs="Arial" w:eastAsia="Arial" w:hAnsi="Arial"/>
          <w:b/>
          <w:bCs/>
          <w:color w:val="1F2937"/>
          <w:sz w:val="19"/>
          <w:szCs w:val="19"/>
        </w:rPr>
        <w:t xml:space="preserve">Market share gains.</w:t>
      </w:r>
      <w:r>
        <w:rPr>
          <w:rFonts w:ascii="Arial" w:cs="Arial" w:eastAsia="Arial" w:hAnsi="Arial"/>
          <w:color w:val="1F2937"/>
          <w:sz w:val="19"/>
          <w:szCs w:val="19"/>
        </w:rPr>
        <w:t xml:space="preserve"> RWNYC takes share from Atlantic City, Connecticut and Pennsylvania as NYC's only table casino. Annualised GGR ~US$1.6bn in July 2026; we assume US&amp;B EBITDA of ~US$62m a quarter in 2H26, rising to ~US$262m in FY27 and ~US$310m in FY28. </w:t>
      </w:r>
      <w:r>
        <w:rPr>
          <w:rFonts w:ascii="Arial" w:cs="Arial" w:eastAsia="Arial" w:hAnsi="Arial"/>
          <w:b/>
          <w:bCs/>
          <w:color w:val="1F2937"/>
          <w:sz w:val="19"/>
          <w:szCs w:val="19"/>
        </w:rPr>
        <w:t xml:space="preserve">Net of a ~US$40m a year racing-support compromise</w:t>
      </w:r>
      <w:r>
        <w:rPr>
          <w:rFonts w:ascii="Arial" w:cs="Arial" w:eastAsia="Arial" w:hAnsi="Arial"/>
          <w:color w:val="1F2937"/>
          <w:sz w:val="19"/>
          <w:szCs w:val="19"/>
        </w:rPr>
        <w:t xml:space="preserve"> [e].</w:t>
      </w:r>
    </w:p>
    <w:p>
      <w:pPr>
        <w:pStyle w:val="ListParagraph"/>
        <w:numPr>
          <w:ilvl w:val="0"/>
          <w:numId w:val="3"/>
        </w:numPr>
        <w:spacing w:after="60" w:before="0" w:line="252"/>
      </w:pPr>
      <w:r>
        <w:rPr>
          <w:rFonts w:ascii="Arial" w:cs="Arial" w:eastAsia="Arial" w:hAnsi="Arial"/>
          <w:b/>
          <w:bCs/>
          <w:color w:val="1F2937"/>
          <w:sz w:val="19"/>
          <w:szCs w:val="19"/>
        </w:rPr>
        <w:t xml:space="preserve">Price increases.</w:t>
      </w:r>
      <w:r>
        <w:rPr>
          <w:rFonts w:ascii="Arial" w:cs="Arial" w:eastAsia="Arial" w:hAnsi="Arial"/>
          <w:color w:val="1F2937"/>
          <w:sz w:val="19"/>
          <w:szCs w:val="19"/>
        </w:rPr>
        <w:t xml:space="preserve"> Hotel ADR growth at RWG (98% occupancy) ~3%; gaming pricing via rebates and comps is flat.</w:t>
      </w:r>
    </w:p>
    <w:p>
      <w:pPr>
        <w:pStyle w:val="ListParagraph"/>
        <w:numPr>
          <w:ilvl w:val="0"/>
          <w:numId w:val="3"/>
        </w:numPr>
        <w:spacing w:after="60" w:before="0" w:line="252"/>
      </w:pPr>
      <w:r>
        <w:rPr>
          <w:rFonts w:ascii="Arial" w:cs="Arial" w:eastAsia="Arial" w:hAnsi="Arial"/>
          <w:b/>
          <w:bCs/>
          <w:color w:val="1F2937"/>
          <w:sz w:val="19"/>
          <w:szCs w:val="19"/>
        </w:rPr>
        <w:t xml:space="preserve">Cost pressures.</w:t>
      </w:r>
      <w:r>
        <w:rPr>
          <w:rFonts w:ascii="Arial" w:cs="Arial" w:eastAsia="Arial" w:hAnsi="Arial"/>
          <w:color w:val="1F2937"/>
          <w:sz w:val="19"/>
          <w:szCs w:val="19"/>
        </w:rPr>
        <w:t xml:space="preserve"> Malaysian minimum wage +17.6% from Jun-2027 (~RM30-40m a year [e]); UK NLW/NIC; NY union wages; energy (Brent &gt;US$100). UK EBITDA falls to RM250m in FY27 on cost and duty risk.</w:t>
      </w:r>
    </w:p>
    <w:p>
      <w:pPr>
        <w:pStyle w:val="ListParagraph"/>
        <w:numPr>
          <w:ilvl w:val="0"/>
          <w:numId w:val="3"/>
        </w:numPr>
        <w:spacing w:after="60" w:before="0" w:line="252"/>
      </w:pPr>
      <w:r>
        <w:rPr>
          <w:rFonts w:ascii="Arial" w:cs="Arial" w:eastAsia="Arial" w:hAnsi="Arial"/>
          <w:b/>
          <w:bCs/>
          <w:color w:val="1F2937"/>
          <w:sz w:val="19"/>
          <w:szCs w:val="19"/>
        </w:rPr>
        <w:t xml:space="preserve">Operating leverage.</w:t>
      </w:r>
      <w:r>
        <w:rPr>
          <w:rFonts w:ascii="Arial" w:cs="Arial" w:eastAsia="Arial" w:hAnsi="Arial"/>
          <w:color w:val="1F2937"/>
          <w:sz w:val="19"/>
          <w:szCs w:val="19"/>
        </w:rPr>
        <w:t xml:space="preserve"> Positive in NY (fixed payroll over rising GGR); negative in Malaysia from wage inflation; the group margin recovers to ~22-23% ex-FX.</w:t>
      </w:r>
    </w:p>
    <w:p>
      <w:pPr>
        <w:pStyle w:val="ListParagraph"/>
        <w:numPr>
          <w:ilvl w:val="0"/>
          <w:numId w:val="3"/>
        </w:numPr>
        <w:spacing w:after="60" w:before="0" w:line="252"/>
      </w:pPr>
      <w:r>
        <w:rPr>
          <w:rFonts w:ascii="Arial" w:cs="Arial" w:eastAsia="Arial" w:hAnsi="Arial"/>
          <w:b/>
          <w:bCs/>
          <w:color w:val="1F2937"/>
          <w:sz w:val="19"/>
          <w:szCs w:val="19"/>
        </w:rPr>
        <w:t xml:space="preserve">Financing costs.</w:t>
      </w:r>
      <w:r>
        <w:rPr>
          <w:rFonts w:ascii="Arial" w:cs="Arial" w:eastAsia="Arial" w:hAnsi="Arial"/>
          <w:color w:val="1F2937"/>
          <w:sz w:val="19"/>
          <w:szCs w:val="19"/>
        </w:rPr>
        <w:t xml:space="preserve"> Gross debt rises to ~RM20bn by FY28 as capex (consensus RM3.1-3.9bn a year) exceeds cash flow. We assume ~RM100m a year of interest capitalised on phase-2 work in progress.</w:t>
      </w:r>
    </w:p>
    <w:p>
      <w:pPr>
        <w:pStyle w:val="ListParagraph"/>
        <w:numPr>
          <w:ilvl w:val="0"/>
          <w:numId w:val="3"/>
        </w:numPr>
        <w:spacing w:after="60" w:before="0" w:line="252"/>
      </w:pPr>
      <w:r>
        <w:rPr>
          <w:rFonts w:ascii="Arial" w:cs="Arial" w:eastAsia="Arial" w:hAnsi="Arial"/>
          <w:b/>
          <w:bCs/>
          <w:color w:val="1F2937"/>
          <w:sz w:val="19"/>
          <w:szCs w:val="19"/>
        </w:rPr>
        <w:t xml:space="preserve">Share count.</w:t>
      </w:r>
      <w:r>
        <w:rPr>
          <w:rFonts w:ascii="Arial" w:cs="Arial" w:eastAsia="Arial" w:hAnsi="Arial"/>
          <w:color w:val="1F2937"/>
          <w:sz w:val="19"/>
          <w:szCs w:val="19"/>
        </w:rPr>
        <w:t xml:space="preserve"> We assume no dilution. Risks are skewed towards dilution (a 10% general mandate or a GENM rights issue) if NY capex overruns; a buyback is immaterial.</w:t>
      </w:r>
    </w:p>
    <w:p>
      <w:pPr>
        <w:pStyle w:val="ListParagraph"/>
        <w:numPr>
          <w:ilvl w:val="0"/>
          <w:numId w:val="3"/>
        </w:numPr>
        <w:spacing w:after="60" w:before="0" w:line="252"/>
      </w:pPr>
      <w:r>
        <w:rPr>
          <w:rFonts w:ascii="Arial" w:cs="Arial" w:eastAsia="Arial" w:hAnsi="Arial"/>
          <w:b/>
          <w:bCs/>
          <w:color w:val="1F2937"/>
          <w:sz w:val="19"/>
          <w:szCs w:val="19"/>
        </w:rPr>
        <w:t xml:space="preserve">Tax.</w:t>
      </w:r>
      <w:r>
        <w:rPr>
          <w:rFonts w:ascii="Arial" w:cs="Arial" w:eastAsia="Arial" w:hAnsi="Arial"/>
          <w:color w:val="1F2937"/>
          <w:sz w:val="19"/>
          <w:szCs w:val="19"/>
        </w:rPr>
        <w:t xml:space="preserve"> Malaysian profits taxed at 24%; US losses and the NCI deficit give little shelter, so the effective tax rate stays at 45-68% [e].</w:t>
      </w:r>
    </w:p>
    <w:p>
      <w:pPr>
        <w:spacing w:after="110" w:before="0" w:line="264"/>
      </w:pPr>
      <w:r>
        <w:rPr>
          <w:rFonts w:ascii="Arial" w:cs="Arial" w:eastAsia="Arial" w:hAnsi="Arial"/>
          <w:b/>
          <w:bCs/>
          <w:color w:val="1F2937"/>
          <w:sz w:val="19"/>
          <w:szCs w:val="19"/>
        </w:rPr>
        <w:t xml:space="preserve">Why we are below consensus:</w:t>
      </w:r>
      <w:r>
        <w:rPr>
          <w:rFonts w:ascii="Arial" w:cs="Arial" w:eastAsia="Arial" w:hAnsi="Arial"/>
          <w:color w:val="1F2937"/>
          <w:sz w:val="19"/>
          <w:szCs w:val="19"/>
        </w:rPr>
        <w:t xml:space="preserve"> our EBITDA is close to consensus (+6% FY26, −1% FY27, −2% FY28). The gap is below the line: brokers' FY27 interest expense (RM910m) looks too low given gross debt of RM18bn at Jun-26 and rising, their net debt forecasts look stale (FY26E RM10.0bn vs RM14.2bn actual at Jun-26), and the tax rate on a Malaysia-heavy profit base stays high.</w:t>
      </w:r>
    </w:p>
    <w:p>
      <w:pPr>
        <w:pStyle w:val="Heading1"/>
        <w:keepNext/>
      </w:pPr>
      <w:r>
        <w:rPr>
          <w:rFonts w:ascii="Arial" w:cs="Arial" w:eastAsia="Arial" w:hAnsi="Arial"/>
        </w:rPr>
        <w:t xml:space="preserve">13. Capital Structure, Debt, Covenants and Liquidity</w:t>
      </w:r>
    </w:p>
    <w:p>
      <w:pPr>
        <w:pStyle w:val="Heading2"/>
        <w:keepNext/>
      </w:pPr>
      <w:r>
        <w:rPr>
          <w:rFonts w:ascii="Arial" w:cs="Arial" w:eastAsia="Arial" w:hAnsi="Arial"/>
        </w:rPr>
        <w:t xml:space="preserve">13.1 Summary (30-Jun-2026)</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8953"/>
        <w:gridCol w:w="1127"/>
      </w:tblGrid>
      <w:tr>
        <w:trPr>
          <w:cantSplit/>
          <w:tblHeader/>
        </w:trPr>
        <w:tc>
          <w:tcPr>
            <w:tcW w:type="dxa" w:w="895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RM m</w:t>
            </w:r>
          </w:p>
        </w:tc>
        <w:tc>
          <w:tcPr>
            <w:tcW w:type="dxa" w:w="112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7"/>
                <w:szCs w:val="17"/>
              </w:rPr>
              <w:t xml:space="preserve">Amount</w:t>
            </w:r>
          </w:p>
        </w:tc>
      </w:tr>
      <w:tr>
        <w:trPr>
          <w:cantSplit/>
        </w:trPr>
        <w:tc>
          <w:tcPr>
            <w:tcW w:type="dxa" w:w="89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Ringgit MTNs (GENM Capital Bhd, 13 tranches, 4.92-5.58%)</w:t>
            </w:r>
          </w:p>
        </w:tc>
        <w:tc>
          <w:tcPr>
            <w:tcW w:type="dxa" w:w="11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4,802</w:t>
            </w:r>
          </w:p>
        </w:tc>
      </w:tr>
      <w:tr>
        <w:trPr>
          <w:cantSplit/>
        </w:trPr>
        <w:tc>
          <w:tcPr>
            <w:tcW w:type="dxa" w:w="89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US$1bn 3.882% senior notes due 2031 (GENM Capital Labuan)</w:t>
            </w:r>
          </w:p>
        </w:tc>
        <w:tc>
          <w:tcPr>
            <w:tcW w:type="dxa" w:w="11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~4,080</w:t>
            </w:r>
          </w:p>
        </w:tc>
      </w:tr>
      <w:tr>
        <w:trPr>
          <w:cantSplit/>
        </w:trPr>
        <w:tc>
          <w:tcPr>
            <w:tcW w:type="dxa" w:w="89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US$625m 7.25% senior notes due 2029 (Genting NY / GENNY Capital)</w:t>
            </w:r>
          </w:p>
        </w:tc>
        <w:tc>
          <w:tcPr>
            <w:tcW w:type="dxa" w:w="11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~2,550</w:t>
            </w:r>
          </w:p>
        </w:tc>
      </w:tr>
      <w:tr>
        <w:trPr>
          <w:cantSplit/>
        </w:trPr>
        <w:tc>
          <w:tcPr>
            <w:tcW w:type="dxa" w:w="89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US$2.0bn Genting Americas secured facility (Jun-26; ~US$737.5m drawn at Jun-26)</w:t>
            </w:r>
          </w:p>
        </w:tc>
        <w:tc>
          <w:tcPr>
            <w:tcW w:type="dxa" w:w="11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3,009</w:t>
            </w:r>
          </w:p>
        </w:tc>
      </w:tr>
      <w:tr>
        <w:trPr>
          <w:cantSplit/>
        </w:trPr>
        <w:tc>
          <w:tcPr>
            <w:tcW w:type="dxa" w:w="89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Empire US$300m 7.75% notes (redeemed 2-Jul-26 via the GAI facility)</w:t>
            </w:r>
          </w:p>
        </w:tc>
        <w:tc>
          <w:tcPr>
            <w:tcW w:type="dxa" w:w="11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1,235</w:t>
            </w:r>
          </w:p>
        </w:tc>
      </w:tr>
      <w:tr>
        <w:trPr>
          <w:cantSplit/>
        </w:trPr>
        <w:tc>
          <w:tcPr>
            <w:tcW w:type="dxa" w:w="89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Other</w:t>
            </w:r>
          </w:p>
        </w:tc>
        <w:tc>
          <w:tcPr>
            <w:tcW w:type="dxa" w:w="11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~27</w:t>
            </w:r>
          </w:p>
        </w:tc>
      </w:tr>
      <w:tr>
        <w:trPr>
          <w:cantSplit/>
        </w:trPr>
        <w:tc>
          <w:tcPr>
            <w:tcW w:type="dxa" w:w="8953"/>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Gross borrowings</w:t>
            </w:r>
          </w:p>
        </w:tc>
        <w:tc>
          <w:tcPr>
            <w:tcW w:type="dxa" w:w="1127"/>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7"/>
                <w:szCs w:val="17"/>
              </w:rPr>
              <w:t xml:space="preserve">15,703</w:t>
            </w:r>
          </w:p>
        </w:tc>
      </w:tr>
      <w:tr>
        <w:trPr>
          <w:cantSplit/>
        </w:trPr>
        <w:tc>
          <w:tcPr>
            <w:tcW w:type="dxa" w:w="89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Lease liabilities</w:t>
            </w:r>
          </w:p>
        </w:tc>
        <w:tc>
          <w:tcPr>
            <w:tcW w:type="dxa" w:w="11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2,231</w:t>
            </w:r>
          </w:p>
        </w:tc>
      </w:tr>
      <w:tr>
        <w:trPr>
          <w:cantSplit/>
        </w:trPr>
        <w:tc>
          <w:tcPr>
            <w:tcW w:type="dxa" w:w="8953"/>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Total debt incl. leases</w:t>
            </w:r>
          </w:p>
        </w:tc>
        <w:tc>
          <w:tcPr>
            <w:tcW w:type="dxa" w:w="1127"/>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7"/>
                <w:szCs w:val="17"/>
              </w:rPr>
              <w:t xml:space="preserve">17,988</w:t>
            </w:r>
          </w:p>
        </w:tc>
      </w:tr>
      <w:tr>
        <w:trPr>
          <w:cantSplit/>
        </w:trPr>
        <w:tc>
          <w:tcPr>
            <w:tcW w:type="dxa" w:w="89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Cash 2,674 + money-market funds 1,148</w:t>
            </w:r>
          </w:p>
        </w:tc>
        <w:tc>
          <w:tcPr>
            <w:tcW w:type="dxa" w:w="11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(3,822)</w:t>
            </w:r>
          </w:p>
        </w:tc>
      </w:tr>
      <w:tr>
        <w:trPr>
          <w:cantSplit/>
        </w:trPr>
        <w:tc>
          <w:tcPr>
            <w:tcW w:type="dxa" w:w="8953"/>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Net debt incl. leases</w:t>
            </w:r>
          </w:p>
        </w:tc>
        <w:tc>
          <w:tcPr>
            <w:tcW w:type="dxa" w:w="1127"/>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7"/>
                <w:szCs w:val="17"/>
              </w:rPr>
              <w:t xml:space="preserve">14,166</w:t>
            </w:r>
          </w:p>
        </w:tc>
      </w:tr>
      <w:tr>
        <w:trPr>
          <w:cantSplit/>
        </w:trPr>
        <w:tc>
          <w:tcPr>
            <w:tcW w:type="dxa" w:w="89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Net debt excl. leases</w:t>
            </w:r>
          </w:p>
        </w:tc>
        <w:tc>
          <w:tcPr>
            <w:tcW w:type="dxa" w:w="11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11,881</w:t>
            </w:r>
          </w:p>
        </w:tc>
      </w:tr>
      <w:tr>
        <w:trPr>
          <w:cantSplit/>
        </w:trPr>
        <w:tc>
          <w:tcPr>
            <w:tcW w:type="dxa" w:w="89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Net debt incl. leases / LTM adj. EBITDA ex-FX</w:t>
            </w:r>
          </w:p>
        </w:tc>
        <w:tc>
          <w:tcPr>
            <w:tcW w:type="dxa" w:w="11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4.9x</w:t>
            </w:r>
          </w:p>
        </w:tc>
      </w:tr>
      <w:tr>
        <w:trPr>
          <w:cantSplit/>
        </w:trPr>
        <w:tc>
          <w:tcPr>
            <w:tcW w:type="dxa" w:w="89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Equity (attributable)</w:t>
            </w:r>
          </w:p>
        </w:tc>
        <w:tc>
          <w:tcPr>
            <w:tcW w:type="dxa" w:w="11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11,269</w:t>
            </w:r>
          </w:p>
        </w:tc>
      </w:tr>
    </w:tbl>
    <w:p>
      <w:pPr>
        <w:spacing w:after="80" w:before="0"/>
      </w:pPr>
    </w:p>
    <w:p>
      <w:pPr>
        <w:spacing w:after="110" w:before="0" w:line="264"/>
      </w:pPr>
      <w:r>
        <w:rPr>
          <w:rFonts w:ascii="Arial" w:cs="Arial" w:eastAsia="Arial" w:hAnsi="Arial"/>
          <w:color w:val="1F2937"/>
          <w:sz w:val="19"/>
          <w:szCs w:val="19"/>
        </w:rPr>
        <w:t xml:space="preserve">Currency mix: USD ~69% of borrowings (secured USD RM4.2bn, unsecured USD RM6.7bn), RM ~31%. Fair value of borrowings at Dec-25: RM12.49bn vs book RM12.72bn.</w:t>
      </w:r>
    </w:p>
    <w:p>
      <w:pPr>
        <w:pStyle w:val="Heading2"/>
        <w:keepNext/>
      </w:pPr>
      <w:r>
        <w:rPr>
          <w:rFonts w:ascii="Arial" w:cs="Arial" w:eastAsia="Arial" w:hAnsi="Arial"/>
        </w:rPr>
        <w:t xml:space="preserve">13.2 Maturity profile (nominal, RM m) [e]</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1665"/>
        <w:gridCol w:w="1073"/>
        <w:gridCol w:w="3022"/>
        <w:gridCol w:w="815"/>
        <w:gridCol w:w="3505"/>
      </w:tblGrid>
      <w:tr>
        <w:trPr>
          <w:cantSplit/>
          <w:tblHeader/>
        </w:trPr>
        <w:tc>
          <w:tcPr>
            <w:tcW w:type="dxa" w:w="166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Year</w:t>
            </w:r>
          </w:p>
        </w:tc>
        <w:tc>
          <w:tcPr>
            <w:tcW w:type="dxa" w:w="107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RM MTNs</w:t>
            </w:r>
          </w:p>
        </w:tc>
        <w:tc>
          <w:tcPr>
            <w:tcW w:type="dxa" w:w="302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USD bonds</w:t>
            </w:r>
          </w:p>
        </w:tc>
        <w:tc>
          <w:tcPr>
            <w:tcW w:type="dxa" w:w="81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Total</w:t>
            </w:r>
          </w:p>
        </w:tc>
        <w:tc>
          <w:tcPr>
            <w:tcW w:type="dxa" w:w="350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Comment</w:t>
            </w:r>
          </w:p>
        </w:tc>
      </w:tr>
      <w:tr>
        <w:trPr>
          <w:cantSplit/>
        </w:trPr>
        <w:tc>
          <w:tcPr>
            <w:tcW w:type="dxa" w:w="16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2026 (remaining)</w:t>
            </w:r>
          </w:p>
        </w:tc>
        <w:tc>
          <w:tcPr>
            <w:tcW w:type="dxa" w:w="107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w:t>
            </w:r>
          </w:p>
        </w:tc>
        <w:tc>
          <w:tcPr>
            <w:tcW w:type="dxa" w:w="30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Empire US$300m (repaid Jul-26)</w:t>
            </w:r>
          </w:p>
        </w:tc>
        <w:tc>
          <w:tcPr>
            <w:tcW w:type="dxa" w:w="8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0</w:t>
            </w:r>
          </w:p>
        </w:tc>
        <w:tc>
          <w:tcPr>
            <w:tcW w:type="dxa" w:w="350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Refinanced into the GAI facility</w:t>
            </w:r>
          </w:p>
        </w:tc>
      </w:tr>
      <w:tr>
        <w:trPr>
          <w:cantSplit/>
        </w:trPr>
        <w:tc>
          <w:tcPr>
            <w:tcW w:type="dxa" w:w="16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2027</w:t>
            </w:r>
          </w:p>
        </w:tc>
        <w:tc>
          <w:tcPr>
            <w:tcW w:type="dxa" w:w="107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1,100 (Mar)</w:t>
            </w:r>
          </w:p>
        </w:tc>
        <w:tc>
          <w:tcPr>
            <w:tcW w:type="dxa" w:w="30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w:t>
            </w:r>
          </w:p>
        </w:tc>
        <w:tc>
          <w:tcPr>
            <w:tcW w:type="dxa" w:w="8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1,100</w:t>
            </w:r>
          </w:p>
        </w:tc>
        <w:tc>
          <w:tcPr>
            <w:tcW w:type="dxa" w:w="350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First refinancing test</w:t>
            </w:r>
          </w:p>
        </w:tc>
      </w:tr>
      <w:tr>
        <w:trPr>
          <w:cantSplit/>
        </w:trPr>
        <w:tc>
          <w:tcPr>
            <w:tcW w:type="dxa" w:w="16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2028</w:t>
            </w:r>
          </w:p>
        </w:tc>
        <w:tc>
          <w:tcPr>
            <w:tcW w:type="dxa" w:w="107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1,000</w:t>
            </w:r>
          </w:p>
        </w:tc>
        <w:tc>
          <w:tcPr>
            <w:tcW w:type="dxa" w:w="30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w:t>
            </w:r>
          </w:p>
        </w:tc>
        <w:tc>
          <w:tcPr>
            <w:tcW w:type="dxa" w:w="8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1,000</w:t>
            </w:r>
          </w:p>
        </w:tc>
        <w:tc>
          <w:tcPr>
            <w:tcW w:type="dxa" w:w="350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p>
        </w:tc>
      </w:tr>
      <w:tr>
        <w:trPr>
          <w:cantSplit/>
        </w:trPr>
        <w:tc>
          <w:tcPr>
            <w:tcW w:type="dxa" w:w="16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2029</w:t>
            </w:r>
          </w:p>
        </w:tc>
        <w:tc>
          <w:tcPr>
            <w:tcW w:type="dxa" w:w="107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800</w:t>
            </w:r>
          </w:p>
        </w:tc>
        <w:tc>
          <w:tcPr>
            <w:tcW w:type="dxa" w:w="30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US$625m (~2,550)</w:t>
            </w:r>
          </w:p>
        </w:tc>
        <w:tc>
          <w:tcPr>
            <w:tcW w:type="dxa" w:w="8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3,350</w:t>
            </w:r>
          </w:p>
        </w:tc>
        <w:tc>
          <w:tcPr>
            <w:tcW w:type="dxa" w:w="350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Wall year</w:t>
            </w:r>
          </w:p>
        </w:tc>
      </w:tr>
      <w:tr>
        <w:trPr>
          <w:cantSplit/>
        </w:trPr>
        <w:tc>
          <w:tcPr>
            <w:tcW w:type="dxa" w:w="16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2030</w:t>
            </w:r>
          </w:p>
        </w:tc>
        <w:tc>
          <w:tcPr>
            <w:tcW w:type="dxa" w:w="107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150</w:t>
            </w:r>
          </w:p>
        </w:tc>
        <w:tc>
          <w:tcPr>
            <w:tcW w:type="dxa" w:w="30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w:t>
            </w:r>
          </w:p>
        </w:tc>
        <w:tc>
          <w:tcPr>
            <w:tcW w:type="dxa" w:w="8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150</w:t>
            </w:r>
          </w:p>
        </w:tc>
        <w:tc>
          <w:tcPr>
            <w:tcW w:type="dxa" w:w="350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p>
        </w:tc>
      </w:tr>
      <w:tr>
        <w:trPr>
          <w:cantSplit/>
        </w:trPr>
        <w:tc>
          <w:tcPr>
            <w:tcW w:type="dxa" w:w="16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2031</w:t>
            </w:r>
          </w:p>
        </w:tc>
        <w:tc>
          <w:tcPr>
            <w:tcW w:type="dxa" w:w="107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w:t>
            </w:r>
          </w:p>
        </w:tc>
        <w:tc>
          <w:tcPr>
            <w:tcW w:type="dxa" w:w="30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US$1bn (~4,080)</w:t>
            </w:r>
          </w:p>
        </w:tc>
        <w:tc>
          <w:tcPr>
            <w:tcW w:type="dxa" w:w="8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4,080</w:t>
            </w:r>
          </w:p>
        </w:tc>
        <w:tc>
          <w:tcPr>
            <w:tcW w:type="dxa" w:w="350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Wall year</w:t>
            </w:r>
          </w:p>
        </w:tc>
      </w:tr>
      <w:tr>
        <w:trPr>
          <w:cantSplit/>
        </w:trPr>
        <w:tc>
          <w:tcPr>
            <w:tcW w:type="dxa" w:w="16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2032-2038</w:t>
            </w:r>
          </w:p>
        </w:tc>
        <w:tc>
          <w:tcPr>
            <w:tcW w:type="dxa" w:w="107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1,700</w:t>
            </w:r>
          </w:p>
        </w:tc>
        <w:tc>
          <w:tcPr>
            <w:tcW w:type="dxa" w:w="30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w:t>
            </w:r>
          </w:p>
        </w:tc>
        <w:tc>
          <w:tcPr>
            <w:tcW w:type="dxa" w:w="8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1,700</w:t>
            </w:r>
          </w:p>
        </w:tc>
        <w:tc>
          <w:tcPr>
            <w:tcW w:type="dxa" w:w="350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p>
        </w:tc>
      </w:tr>
      <w:tr>
        <w:trPr>
          <w:cantSplit/>
        </w:trPr>
        <w:tc>
          <w:tcPr>
            <w:tcW w:type="dxa" w:w="16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GAI facility</w:t>
            </w:r>
          </w:p>
        </w:tc>
        <w:tc>
          <w:tcPr>
            <w:tcW w:type="dxa" w:w="107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w:t>
            </w:r>
          </w:p>
        </w:tc>
        <w:tc>
          <w:tcPr>
            <w:tcW w:type="dxa" w:w="30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~US$1.0bn+ drawn after Jul-26</w:t>
            </w:r>
          </w:p>
        </w:tc>
        <w:tc>
          <w:tcPr>
            <w:tcW w:type="dxa" w:w="8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~4,200+</w:t>
            </w:r>
          </w:p>
        </w:tc>
        <w:tc>
          <w:tcPr>
            <w:tcW w:type="dxa" w:w="350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Tenor and pricing not disclosed [u]</w:t>
            </w:r>
          </w:p>
        </w:tc>
      </w:tr>
    </w:tbl>
    <w:p>
      <w:pPr>
        <w:spacing w:after="80" w:before="0"/>
      </w:pPr>
    </w:p>
    <w:p>
      <w:pPr>
        <w:pStyle w:val="Heading2"/>
        <w:keepNext/>
      </w:pPr>
      <w:r>
        <w:rPr>
          <w:rFonts w:ascii="Arial" w:cs="Arial" w:eastAsia="Arial" w:hAnsi="Arial"/>
        </w:rPr>
        <w:t xml:space="preserve">13.3 Cost of debt, covenants and ratings</w:t>
      </w:r>
    </w:p>
    <w:p>
      <w:pPr>
        <w:pStyle w:val="ListParagraph"/>
        <w:numPr>
          <w:ilvl w:val="0"/>
          <w:numId w:val="3"/>
        </w:numPr>
        <w:spacing w:after="60" w:before="0" w:line="252"/>
      </w:pPr>
      <w:r>
        <w:rPr>
          <w:rFonts w:ascii="Arial" w:cs="Arial" w:eastAsia="Arial" w:hAnsi="Arial"/>
          <w:b/>
          <w:bCs/>
          <w:color w:val="1F2937"/>
          <w:sz w:val="19"/>
          <w:szCs w:val="19"/>
        </w:rPr>
        <w:t xml:space="preserve">Interest cost:</w:t>
      </w:r>
      <w:r>
        <w:rPr>
          <w:rFonts w:ascii="Arial" w:cs="Arial" w:eastAsia="Arial" w:hAnsi="Arial"/>
          <w:color w:val="1F2937"/>
          <w:sz w:val="19"/>
          <w:szCs w:val="19"/>
        </w:rPr>
        <w:t xml:space="preserve"> 1H26 interest on borrowings RM413.8m (~5.8% annualised on average borrowings) plus RM117m of other finance costs (mainly lease interest). LTM finance costs RM976m; adj. EBITDA/finance costs </w:t>
      </w:r>
      <w:r>
        <w:rPr>
          <w:rFonts w:ascii="Arial" w:cs="Arial" w:eastAsia="Arial" w:hAnsi="Arial"/>
          <w:b/>
          <w:bCs/>
          <w:color w:val="1F2937"/>
          <w:sz w:val="19"/>
          <w:szCs w:val="19"/>
        </w:rPr>
        <w:t xml:space="preserve">3.1x</w:t>
      </w:r>
      <w:r>
        <w:rPr>
          <w:rFonts w:ascii="Arial" w:cs="Arial" w:eastAsia="Arial" w:hAnsi="Arial"/>
          <w:color w:val="1F2937"/>
          <w:sz w:val="19"/>
          <w:szCs w:val="19"/>
        </w:rPr>
        <w:t xml:space="preserve"> (4.0x in FY25).</w:t>
      </w:r>
    </w:p>
    <w:p>
      <w:pPr>
        <w:pStyle w:val="ListParagraph"/>
        <w:numPr>
          <w:ilvl w:val="0"/>
          <w:numId w:val="3"/>
        </w:numPr>
        <w:spacing w:after="60" w:before="0" w:line="252"/>
      </w:pPr>
      <w:r>
        <w:rPr>
          <w:rFonts w:ascii="Arial" w:cs="Arial" w:eastAsia="Arial" w:hAnsi="Arial"/>
          <w:b/>
          <w:bCs/>
          <w:color w:val="1F2937"/>
          <w:sz w:val="19"/>
          <w:szCs w:val="19"/>
        </w:rPr>
        <w:t xml:space="preserve">Covenants:</w:t>
      </w:r>
      <w:r>
        <w:rPr>
          <w:rFonts w:ascii="Arial" w:cs="Arial" w:eastAsia="Arial" w:hAnsi="Arial"/>
          <w:color w:val="1F2937"/>
          <w:sz w:val="19"/>
          <w:szCs w:val="19"/>
        </w:rPr>
        <w:t xml:space="preserve"> not disclosed in the annual report or quarterly filings [u]. The GAI facility is secured on the US restricted group (GENNY, Empire, RW Omni), so leverage and coverage covenants are likely at that level [e]. The USD notes are senior unsecured with standard change-of-control and negative-pledge clauses [e].</w:t>
      </w:r>
    </w:p>
    <w:p>
      <w:pPr>
        <w:pStyle w:val="ListParagraph"/>
        <w:numPr>
          <w:ilvl w:val="0"/>
          <w:numId w:val="3"/>
        </w:numPr>
        <w:spacing w:after="60" w:before="0" w:line="252"/>
      </w:pPr>
      <w:r>
        <w:rPr>
          <w:rFonts w:ascii="Arial" w:cs="Arial" w:eastAsia="Arial" w:hAnsi="Arial"/>
          <w:b/>
          <w:bCs/>
          <w:color w:val="1F2937"/>
          <w:sz w:val="19"/>
          <w:szCs w:val="19"/>
        </w:rPr>
        <w:t xml:space="preserve">Ratings:</w:t>
      </w:r>
      <w:r>
        <w:rPr>
          <w:rFonts w:ascii="Arial" w:cs="Arial" w:eastAsia="Arial" w:hAnsi="Arial"/>
          <w:color w:val="1F2937"/>
          <w:sz w:val="19"/>
          <w:szCs w:val="19"/>
        </w:rPr>
        <w:t xml:space="preserve"> Fitch BBB-/Stable (cut from BBB, Sep-26). RAM AA1/Stable (domestic). S&amp;P rates the Genting NY notes BB+ (negative outlook). The parent is Moody's Baa3 (cut Dec-25), Fitch BBB- (cut Sep-26) and S&amp;P BBB-/Negative ("fallen angel" risk).</w:t>
      </w:r>
    </w:p>
    <w:p>
      <w:pPr>
        <w:pStyle w:val="ListParagraph"/>
        <w:numPr>
          <w:ilvl w:val="0"/>
          <w:numId w:val="3"/>
        </w:numPr>
        <w:spacing w:after="60" w:before="0" w:line="252"/>
      </w:pPr>
      <w:r>
        <w:rPr>
          <w:rFonts w:ascii="Arial" w:cs="Arial" w:eastAsia="Arial" w:hAnsi="Arial"/>
          <w:b/>
          <w:bCs/>
          <w:color w:val="1F2937"/>
          <w:sz w:val="19"/>
          <w:szCs w:val="19"/>
        </w:rPr>
        <w:t xml:space="preserve">Liquidity:</w:t>
      </w:r>
      <w:r>
        <w:rPr>
          <w:rFonts w:ascii="Arial" w:cs="Arial" w:eastAsia="Arial" w:hAnsi="Arial"/>
          <w:color w:val="1F2937"/>
          <w:sz w:val="19"/>
          <w:szCs w:val="19"/>
        </w:rPr>
        <w:t xml:space="preserve"> ~RM3.9bn of cash and money-market funds, plus undrawn GAI capacity of ~US$0.9-1.0bn [e], against near-term maturities of RM1.1bn (Mar-27) and 2H26-FY27 capex of ~RM6.2bn. Liquidity is adequate for 12-18 months, but the FY29 and FY31 bond walls and phase-2 capex need refinancing, asset sales or equity.</w:t>
      </w:r>
    </w:p>
    <w:p>
      <w:pPr>
        <w:pStyle w:val="Heading2"/>
        <w:keepNext/>
      </w:pPr>
      <w:r>
        <w:rPr>
          <w:rFonts w:ascii="Arial" w:cs="Arial" w:eastAsia="Arial" w:hAnsi="Arial"/>
        </w:rPr>
        <w:t xml:space="preserve">13.4 Assessment</w:t>
      </w:r>
    </w:p>
    <w:p>
      <w:pPr>
        <w:spacing w:after="110" w:before="0" w:line="264"/>
      </w:pPr>
      <w:r>
        <w:rPr>
          <w:rFonts w:ascii="Arial" w:cs="Arial" w:eastAsia="Arial" w:hAnsi="Arial"/>
          <w:color w:val="1F2937"/>
          <w:sz w:val="19"/>
          <w:szCs w:val="19"/>
        </w:rPr>
        <w:t xml:space="preserve">The balance sheet has moved from "comfortable" (3.1x in FY25) to </w:t>
      </w:r>
      <w:r>
        <w:rPr>
          <w:rFonts w:ascii="Arial" w:cs="Arial" w:eastAsia="Arial" w:hAnsi="Arial"/>
          <w:b/>
          <w:bCs/>
          <w:color w:val="1F2937"/>
          <w:sz w:val="19"/>
          <w:szCs w:val="19"/>
        </w:rPr>
        <w:t xml:space="preserve">"stretched but financeable"</w:t>
      </w:r>
      <w:r>
        <w:rPr>
          <w:rFonts w:ascii="Arial" w:cs="Arial" w:eastAsia="Arial" w:hAnsi="Arial"/>
          <w:color w:val="1F2937"/>
          <w:sz w:val="19"/>
          <w:szCs w:val="19"/>
        </w:rPr>
        <w:t xml:space="preserve"> (~5x through FY27E). The key vulnerabilities:</w:t>
      </w:r>
    </w:p>
    <w:p>
      <w:pPr>
        <w:pStyle w:val="ListParagraph"/>
        <w:numPr>
          <w:ilvl w:val="0"/>
          <w:numId w:val="6"/>
        </w:numPr>
        <w:spacing w:after="70" w:before="0" w:line="252"/>
      </w:pPr>
      <w:r>
        <w:rPr>
          <w:rFonts w:ascii="Arial" w:cs="Arial" w:eastAsia="Arial" w:hAnsi="Arial"/>
          <w:color w:val="1F2937"/>
          <w:sz w:val="19"/>
          <w:szCs w:val="19"/>
        </w:rPr>
        <w:t xml:space="preserve">The structural subordination of GENM's ringgit and Labuan bonds to the secured US facility.</w:t>
      </w:r>
    </w:p>
    <w:p>
      <w:pPr>
        <w:pStyle w:val="ListParagraph"/>
        <w:numPr>
          <w:ilvl w:val="0"/>
          <w:numId w:val="6"/>
        </w:numPr>
        <w:spacing w:after="70" w:before="0" w:line="252"/>
      </w:pPr>
      <w:r>
        <w:rPr>
          <w:rFonts w:ascii="Arial" w:cs="Arial" w:eastAsia="Arial" w:hAnsi="Arial"/>
          <w:color w:val="1F2937"/>
          <w:sz w:val="19"/>
          <w:szCs w:val="19"/>
        </w:rPr>
        <w:t xml:space="preserve">USD exposure: ~69% of debt is in USD against ~33% of revenue (a natural hedge only once NY matures).</w:t>
      </w:r>
    </w:p>
    <w:p>
      <w:pPr>
        <w:pStyle w:val="ListParagraph"/>
        <w:numPr>
          <w:ilvl w:val="0"/>
          <w:numId w:val="6"/>
        </w:numPr>
        <w:spacing w:after="70" w:before="0" w:line="252"/>
      </w:pPr>
      <w:r>
        <w:rPr>
          <w:rFonts w:ascii="Arial" w:cs="Arial" w:eastAsia="Arial" w:hAnsi="Arial"/>
          <w:color w:val="1F2937"/>
          <w:sz w:val="19"/>
          <w:szCs w:val="19"/>
        </w:rPr>
        <w:t xml:space="preserve">A parent that is itself stretched and may extract cash through fees and dividends.</w:t>
      </w:r>
    </w:p>
    <w:p>
      <w:pPr>
        <w:spacing w:after="110" w:before="0" w:line="264"/>
      </w:pPr>
      <w:r>
        <w:rPr>
          <w:rFonts w:ascii="Arial" w:cs="Arial" w:eastAsia="Arial" w:hAnsi="Arial"/>
          <w:color w:val="1F2937"/>
          <w:sz w:val="19"/>
          <w:szCs w:val="19"/>
        </w:rPr>
        <w:t xml:space="preserve">Covenant headroom cannot be assessed from public data, and we flag this as a diligence item.</w:t>
      </w:r>
    </w:p>
    <w:p>
      <w:pPr>
        <w:pStyle w:val="Heading1"/>
        <w:keepNext/>
      </w:pPr>
      <w:r>
        <w:rPr>
          <w:rFonts w:ascii="Arial" w:cs="Arial" w:eastAsia="Arial" w:hAnsi="Arial"/>
        </w:rPr>
        <w:t xml:space="preserve">14. Valuation vs Peers and vs History</w:t>
      </w:r>
    </w:p>
    <w:p>
      <w:pPr>
        <w:spacing w:after="110" w:before="0" w:line="264"/>
      </w:pPr>
      <w:r>
        <w:rPr>
          <w:rFonts w:ascii="Arial" w:cs="Arial" w:eastAsia="Arial" w:hAnsi="Arial"/>
          <w:b/>
          <w:bCs/>
          <w:color w:val="1F2937"/>
          <w:sz w:val="19"/>
          <w:szCs w:val="19"/>
        </w:rPr>
        <w:t xml:space="preserve">Bottom line: cheap on EV/EBITDA, sales and book, expensive on earnings, and roughly fair against peers at today's margins.</w:t>
      </w:r>
      <w:r>
        <w:rPr>
          <w:rFonts w:ascii="Arial" w:cs="Arial" w:eastAsia="Arial" w:hAnsi="Arial"/>
          <w:color w:val="1F2937"/>
          <w:sz w:val="19"/>
          <w:szCs w:val="19"/>
        </w:rPr>
        <w:t xml:space="preserve"> At RM1.19, GENM trades at ~6.5x NTM EBITDA (CIQ basis; peers 7.5x; own 10-year median 8.8x; bottom decile [e]), 1.52x sales (near its 10-year low of 1.50x) and 0.60x book (record low). But it trades at 14.0x NTM P/E (peers 10.1x) because leverage (5.6x net debt/EBITDA vs a 4.3x peer median), D&amp;A and finance costs absorb most of the EBITDA. </w:t>
      </w:r>
      <w:r>
        <w:rPr>
          <w:rFonts w:ascii="Arial" w:cs="Arial" w:eastAsia="Arial" w:hAnsi="Arial"/>
          <w:b/>
          <w:bCs/>
          <w:color w:val="1F2937"/>
          <w:sz w:val="19"/>
          <w:szCs w:val="19"/>
        </w:rPr>
        <w:t xml:space="preserve">The stock screens cheap only if the EBITDA converts into equity value, which depends on New York.</w:t>
      </w:r>
    </w:p>
    <w:p>
      <w:pPr>
        <w:pStyle w:val="Heading2"/>
        <w:keepNext/>
      </w:pPr>
      <w:r>
        <w:rPr>
          <w:rFonts w:ascii="Arial" w:cs="Arial" w:eastAsia="Arial" w:hAnsi="Arial"/>
        </w:rPr>
        <w:t xml:space="preserve">14.1 Headline valuation (GENM at RM1.19, 21-Oct-2026; peers 16-Oct-2026)</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2123"/>
        <w:gridCol w:w="1920"/>
        <w:gridCol w:w="827"/>
        <w:gridCol w:w="890"/>
        <w:gridCol w:w="985"/>
        <w:gridCol w:w="1095"/>
        <w:gridCol w:w="2240"/>
      </w:tblGrid>
      <w:tr>
        <w:trPr>
          <w:cantSplit/>
          <w:tblHeader/>
        </w:trPr>
        <w:tc>
          <w:tcPr>
            <w:tcW w:type="dxa" w:w="212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Metric</w:t>
            </w:r>
          </w:p>
        </w:tc>
        <w:tc>
          <w:tcPr>
            <w:tcW w:type="dxa" w:w="192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GENM</w:t>
            </w:r>
          </w:p>
        </w:tc>
        <w:tc>
          <w:tcPr>
            <w:tcW w:type="dxa" w:w="82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Peer median (31)</w:t>
            </w:r>
          </w:p>
        </w:tc>
        <w:tc>
          <w:tcPr>
            <w:tcW w:type="dxa" w:w="89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Asia-Pac median</w:t>
            </w:r>
          </w:p>
        </w:tc>
        <w:tc>
          <w:tcPr>
            <w:tcW w:type="dxa" w:w="98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GENM 10-yr median</w:t>
            </w:r>
          </w:p>
        </w:tc>
        <w:tc>
          <w:tcPr>
            <w:tcW w:type="dxa" w:w="109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GENM percentile (10-yr)</w:t>
            </w:r>
          </w:p>
        </w:tc>
        <w:tc>
          <w:tcPr>
            <w:tcW w:type="dxa" w:w="224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Signal</w:t>
            </w:r>
          </w:p>
        </w:tc>
      </w:tr>
      <w:tr>
        <w:trPr>
          <w:cantSplit/>
        </w:trPr>
        <w:tc>
          <w:tcPr>
            <w:tcW w:type="dxa" w:w="21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TEV/Sales (LTM)</w:t>
            </w:r>
          </w:p>
        </w:tc>
        <w:tc>
          <w:tcPr>
            <w:tcW w:type="dxa" w:w="192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1.52x</w:t>
            </w:r>
          </w:p>
        </w:tc>
        <w:tc>
          <w:tcPr>
            <w:tcW w:type="dxa" w:w="8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1.86x</w:t>
            </w:r>
          </w:p>
        </w:tc>
        <w:tc>
          <w:tcPr>
            <w:tcW w:type="dxa" w:w="89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1.66x</w:t>
            </w:r>
          </w:p>
        </w:tc>
        <w:tc>
          <w:tcPr>
            <w:tcW w:type="dxa" w:w="98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2.65x</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~1st</w:t>
            </w:r>
          </w:p>
        </w:tc>
        <w:tc>
          <w:tcPr>
            <w:tcW w:type="dxa" w:w="224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Cheap</w:t>
            </w:r>
          </w:p>
        </w:tc>
      </w:tr>
      <w:tr>
        <w:trPr>
          <w:cantSplit/>
        </w:trPr>
        <w:tc>
          <w:tcPr>
            <w:tcW w:type="dxa" w:w="21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TEV/EBITDA (LTM)</w:t>
            </w:r>
          </w:p>
        </w:tc>
        <w:tc>
          <w:tcPr>
            <w:tcW w:type="dxa" w:w="192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7.9x</w:t>
            </w:r>
          </w:p>
        </w:tc>
        <w:tc>
          <w:tcPr>
            <w:tcW w:type="dxa" w:w="8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7.9x</w:t>
            </w:r>
          </w:p>
        </w:tc>
        <w:tc>
          <w:tcPr>
            <w:tcW w:type="dxa" w:w="89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7.6x</w:t>
            </w:r>
          </w:p>
        </w:tc>
        <w:tc>
          <w:tcPr>
            <w:tcW w:type="dxa" w:w="98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9.4x (ex-Covid)</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~35th [e]</w:t>
            </w:r>
          </w:p>
        </w:tc>
        <w:tc>
          <w:tcPr>
            <w:tcW w:type="dxa" w:w="224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Fair</w:t>
            </w:r>
          </w:p>
        </w:tc>
      </w:tr>
      <w:tr>
        <w:trPr>
          <w:cantSplit/>
        </w:trPr>
        <w:tc>
          <w:tcPr>
            <w:tcW w:type="dxa" w:w="21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TEV/EBITDA (NTM)</w:t>
            </w:r>
          </w:p>
        </w:tc>
        <w:tc>
          <w:tcPr>
            <w:tcW w:type="dxa" w:w="192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6.5x</w:t>
            </w:r>
          </w:p>
        </w:tc>
        <w:tc>
          <w:tcPr>
            <w:tcW w:type="dxa" w:w="8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7.5x</w:t>
            </w:r>
          </w:p>
        </w:tc>
        <w:tc>
          <w:tcPr>
            <w:tcW w:type="dxa" w:w="89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7.4x</w:t>
            </w:r>
          </w:p>
        </w:tc>
        <w:tc>
          <w:tcPr>
            <w:tcW w:type="dxa" w:w="98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8.8x</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~7th [e]</w:t>
            </w:r>
          </w:p>
        </w:tc>
        <w:tc>
          <w:tcPr>
            <w:tcW w:type="dxa" w:w="224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5"/>
                <w:szCs w:val="15"/>
              </w:rPr>
              <w:t xml:space="preserve">Cheap</w:t>
            </w:r>
          </w:p>
        </w:tc>
      </w:tr>
      <w:tr>
        <w:trPr>
          <w:cantSplit/>
        </w:trPr>
        <w:tc>
          <w:tcPr>
            <w:tcW w:type="dxa" w:w="21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TEV/EBIT (LTM)</w:t>
            </w:r>
          </w:p>
        </w:tc>
        <w:tc>
          <w:tcPr>
            <w:tcW w:type="dxa" w:w="192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17.8x</w:t>
            </w:r>
          </w:p>
        </w:tc>
        <w:tc>
          <w:tcPr>
            <w:tcW w:type="dxa" w:w="8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12.8x</w:t>
            </w:r>
          </w:p>
        </w:tc>
        <w:tc>
          <w:tcPr>
            <w:tcW w:type="dxa" w:w="89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13.2x</w:t>
            </w:r>
          </w:p>
        </w:tc>
        <w:tc>
          <w:tcPr>
            <w:tcW w:type="dxa" w:w="98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n/a</w:t>
            </w: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n/a</w:t>
            </w:r>
          </w:p>
        </w:tc>
        <w:tc>
          <w:tcPr>
            <w:tcW w:type="dxa" w:w="224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Expensive</w:t>
            </w:r>
          </w:p>
        </w:tc>
      </w:tr>
      <w:tr>
        <w:trPr>
          <w:cantSplit/>
        </w:trPr>
        <w:tc>
          <w:tcPr>
            <w:tcW w:type="dxa" w:w="21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P/E (LTM / NTM)</w:t>
            </w:r>
          </w:p>
        </w:tc>
        <w:tc>
          <w:tcPr>
            <w:tcW w:type="dxa" w:w="192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21.6x / 14.0x</w:t>
            </w:r>
          </w:p>
        </w:tc>
        <w:tc>
          <w:tcPr>
            <w:tcW w:type="dxa" w:w="8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13.4x / 10.1x</w:t>
            </w:r>
          </w:p>
        </w:tc>
        <w:tc>
          <w:tcPr>
            <w:tcW w:type="dxa" w:w="89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11.2x / 9.5x</w:t>
            </w:r>
          </w:p>
        </w:tc>
        <w:tc>
          <w:tcPr>
            <w:tcW w:type="dxa" w:w="98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19.8x (LTM)</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~70th [e]</w:t>
            </w:r>
          </w:p>
        </w:tc>
        <w:tc>
          <w:tcPr>
            <w:tcW w:type="dxa" w:w="224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5"/>
                <w:szCs w:val="15"/>
              </w:rPr>
              <w:t xml:space="preserve">Expensive</w:t>
            </w:r>
          </w:p>
        </w:tc>
      </w:tr>
      <w:tr>
        <w:trPr>
          <w:cantSplit/>
        </w:trPr>
        <w:tc>
          <w:tcPr>
            <w:tcW w:type="dxa" w:w="21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P/E on our FY27E EPS (8.6 sen)</w:t>
            </w:r>
          </w:p>
        </w:tc>
        <w:tc>
          <w:tcPr>
            <w:tcW w:type="dxa" w:w="192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13.8x</w:t>
            </w:r>
          </w:p>
        </w:tc>
        <w:tc>
          <w:tcPr>
            <w:tcW w:type="dxa" w:w="8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p>
        </w:tc>
        <w:tc>
          <w:tcPr>
            <w:tcW w:type="dxa" w:w="89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p>
        </w:tc>
        <w:tc>
          <w:tcPr>
            <w:tcW w:type="dxa" w:w="98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p>
        </w:tc>
        <w:tc>
          <w:tcPr>
            <w:tcW w:type="dxa" w:w="224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Expensive</w:t>
            </w:r>
          </w:p>
        </w:tc>
      </w:tr>
      <w:tr>
        <w:trPr>
          <w:cantSplit/>
        </w:trPr>
        <w:tc>
          <w:tcPr>
            <w:tcW w:type="dxa" w:w="21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Net debt / EBITDA</w:t>
            </w:r>
          </w:p>
        </w:tc>
        <w:tc>
          <w:tcPr>
            <w:tcW w:type="dxa" w:w="192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5.6x (CIQ) / 4.9x (ex-FX adj.)</w:t>
            </w:r>
          </w:p>
        </w:tc>
        <w:tc>
          <w:tcPr>
            <w:tcW w:type="dxa" w:w="8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4.3x</w:t>
            </w:r>
          </w:p>
        </w:tc>
        <w:tc>
          <w:tcPr>
            <w:tcW w:type="dxa" w:w="89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3.9x</w:t>
            </w:r>
          </w:p>
        </w:tc>
        <w:tc>
          <w:tcPr>
            <w:tcW w:type="dxa" w:w="98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~3.4x (FY23-25)</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high</w:t>
            </w:r>
          </w:p>
        </w:tc>
        <w:tc>
          <w:tcPr>
            <w:tcW w:type="dxa" w:w="224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5"/>
                <w:szCs w:val="15"/>
              </w:rPr>
              <w:t xml:space="preserve">Stretched</w:t>
            </w:r>
          </w:p>
        </w:tc>
      </w:tr>
      <w:tr>
        <w:trPr>
          <w:cantSplit/>
        </w:trPr>
        <w:tc>
          <w:tcPr>
            <w:tcW w:type="dxa" w:w="21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EBITDA margin (CIQ basis)</w:t>
            </w:r>
          </w:p>
        </w:tc>
        <w:tc>
          <w:tcPr>
            <w:tcW w:type="dxa" w:w="192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19.2%</w:t>
            </w:r>
          </w:p>
        </w:tc>
        <w:tc>
          <w:tcPr>
            <w:tcW w:type="dxa" w:w="8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24.7%</w:t>
            </w:r>
          </w:p>
        </w:tc>
        <w:tc>
          <w:tcPr>
            <w:tcW w:type="dxa" w:w="89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23.5%</w:t>
            </w:r>
          </w:p>
        </w:tc>
        <w:tc>
          <w:tcPr>
            <w:tcW w:type="dxa" w:w="98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p>
        </w:tc>
        <w:tc>
          <w:tcPr>
            <w:tcW w:type="dxa" w:w="224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Below peers</w:t>
            </w:r>
          </w:p>
        </w:tc>
      </w:tr>
      <w:tr>
        <w:trPr>
          <w:cantSplit/>
        </w:trPr>
        <w:tc>
          <w:tcPr>
            <w:tcW w:type="dxa" w:w="21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EBIT margin (CIQ basis)</w:t>
            </w:r>
          </w:p>
        </w:tc>
        <w:tc>
          <w:tcPr>
            <w:tcW w:type="dxa" w:w="192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8.6%</w:t>
            </w:r>
          </w:p>
        </w:tc>
        <w:tc>
          <w:tcPr>
            <w:tcW w:type="dxa" w:w="8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13.0%</w:t>
            </w:r>
          </w:p>
        </w:tc>
        <w:tc>
          <w:tcPr>
            <w:tcW w:type="dxa" w:w="89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12.6%</w:t>
            </w:r>
          </w:p>
        </w:tc>
        <w:tc>
          <w:tcPr>
            <w:tcW w:type="dxa" w:w="98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p>
        </w:tc>
        <w:tc>
          <w:tcPr>
            <w:tcW w:type="dxa" w:w="224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Below peers</w:t>
            </w:r>
          </w:p>
        </w:tc>
      </w:tr>
      <w:tr>
        <w:trPr>
          <w:cantSplit/>
        </w:trPr>
        <w:tc>
          <w:tcPr>
            <w:tcW w:type="dxa" w:w="21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Sales growth (LTM)</w:t>
            </w:r>
          </w:p>
        </w:tc>
        <w:tc>
          <w:tcPr>
            <w:tcW w:type="dxa" w:w="192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19.1%</w:t>
            </w:r>
          </w:p>
        </w:tc>
        <w:tc>
          <w:tcPr>
            <w:tcW w:type="dxa" w:w="8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5.9%</w:t>
            </w:r>
          </w:p>
        </w:tc>
        <w:tc>
          <w:tcPr>
            <w:tcW w:type="dxa" w:w="89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7.9%</w:t>
            </w:r>
          </w:p>
        </w:tc>
        <w:tc>
          <w:tcPr>
            <w:tcW w:type="dxa" w:w="98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p>
        </w:tc>
        <w:tc>
          <w:tcPr>
            <w:tcW w:type="dxa" w:w="224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Above peers (NY, Empire consolidation)</w:t>
            </w:r>
          </w:p>
        </w:tc>
      </w:tr>
      <w:tr>
        <w:trPr>
          <w:cantSplit/>
        </w:trPr>
        <w:tc>
          <w:tcPr>
            <w:tcW w:type="dxa" w:w="21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Dividend yield</w:t>
            </w:r>
          </w:p>
        </w:tc>
        <w:tc>
          <w:tcPr>
            <w:tcW w:type="dxa" w:w="192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5.9% (FY25 DPS)</w:t>
            </w:r>
          </w:p>
        </w:tc>
        <w:tc>
          <w:tcPr>
            <w:tcW w:type="dxa" w:w="8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0.8%</w:t>
            </w:r>
          </w:p>
        </w:tc>
        <w:tc>
          <w:tcPr>
            <w:tcW w:type="dxa" w:w="89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3.3%</w:t>
            </w:r>
          </w:p>
        </w:tc>
        <w:tc>
          <w:tcPr>
            <w:tcW w:type="dxa" w:w="98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3.5%</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~85th [e]</w:t>
            </w:r>
          </w:p>
        </w:tc>
        <w:tc>
          <w:tcPr>
            <w:tcW w:type="dxa" w:w="224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High, but at risk</w:t>
            </w:r>
          </w:p>
        </w:tc>
      </w:tr>
      <w:tr>
        <w:trPr>
          <w:cantSplit/>
        </w:trPr>
        <w:tc>
          <w:tcPr>
            <w:tcW w:type="dxa" w:w="21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FCF yield (CFO − capex)</w:t>
            </w:r>
          </w:p>
        </w:tc>
        <w:tc>
          <w:tcPr>
            <w:tcW w:type="dxa" w:w="192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7.8% (−22% incl. NY licence fee)</w:t>
            </w:r>
          </w:p>
        </w:tc>
        <w:tc>
          <w:tcPr>
            <w:tcW w:type="dxa" w:w="82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10.0%</w:t>
            </w:r>
          </w:p>
        </w:tc>
        <w:tc>
          <w:tcPr>
            <w:tcW w:type="dxa" w:w="89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10.6%</w:t>
            </w:r>
          </w:p>
        </w:tc>
        <w:tc>
          <w:tcPr>
            <w:tcW w:type="dxa" w:w="98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p>
        </w:tc>
        <w:tc>
          <w:tcPr>
            <w:tcW w:type="dxa" w:w="109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p>
        </w:tc>
        <w:tc>
          <w:tcPr>
            <w:tcW w:type="dxa" w:w="224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Weak</w:t>
            </w:r>
          </w:p>
        </w:tc>
      </w:tr>
      <w:tr>
        <w:trPr>
          <w:cantSplit/>
        </w:trPr>
        <w:tc>
          <w:tcPr>
            <w:tcW w:type="dxa" w:w="21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P/B</w:t>
            </w:r>
          </w:p>
        </w:tc>
        <w:tc>
          <w:tcPr>
            <w:tcW w:type="dxa" w:w="192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0.60x</w:t>
            </w:r>
          </w:p>
        </w:tc>
        <w:tc>
          <w:tcPr>
            <w:tcW w:type="dxa" w:w="82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1.16x</w:t>
            </w:r>
          </w:p>
        </w:tc>
        <w:tc>
          <w:tcPr>
            <w:tcW w:type="dxa" w:w="89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0.64x</w:t>
            </w:r>
          </w:p>
        </w:tc>
        <w:tc>
          <w:tcPr>
            <w:tcW w:type="dxa" w:w="98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1.15x</w:t>
            </w:r>
          </w:p>
        </w:tc>
        <w:tc>
          <w:tcPr>
            <w:tcW w:type="dxa" w:w="109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&lt;1st (record low)</w:t>
            </w:r>
          </w:p>
        </w:tc>
        <w:tc>
          <w:tcPr>
            <w:tcW w:type="dxa" w:w="224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Cheap</w:t>
            </w:r>
          </w:p>
        </w:tc>
      </w:tr>
    </w:tbl>
    <w:p>
      <w:pPr>
        <w:spacing w:after="80" w:before="0"/>
      </w:pPr>
    </w:p>
    <w:p>
      <w:pPr>
        <w:spacing w:after="140" w:before="0"/>
      </w:pPr>
      <w:r>
        <w:rPr>
          <w:rFonts w:ascii="Arial" w:cs="Arial" w:eastAsia="Arial" w:hAnsi="Arial"/>
          <w:color w:val="6B7280"/>
          <w:sz w:val="15"/>
          <w:szCs w:val="15"/>
        </w:rPr>
        <w:t xml:space="preserve">Source: S&amp;P Capital IQ (peer multiples as of 16-Oct-2026; financials LTM to 30-Jun-2026); GENM multiples re-based to RM1.19 by us (CIQ TEV less RM0.45bn of market cap). TEV includes leases. The CIQ LTM EBITDA (~RM2.5bn) is below company adj. EBITDA (RM3.0bn) because of classification; on the company basis, TEV/LTM adj. EBITDA is 6.6x (6.9x ex-FX; 7.2x on market cap plus net debt incl. leases).</w:t>
      </w:r>
    </w:p>
    <w:p>
      <w:pPr>
        <w:pStyle w:val="Heading2"/>
        <w:keepNext/>
      </w:pPr>
      <w:r>
        <w:rPr>
          <w:rFonts w:ascii="Arial" w:cs="Arial" w:eastAsia="Arial" w:hAnsi="Arial"/>
        </w:rPr>
        <w:t xml:space="preserve">14.2 Listed peer comparison (multiples)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2489"/>
        <w:gridCol w:w="1257"/>
        <w:gridCol w:w="680"/>
        <w:gridCol w:w="750"/>
        <w:gridCol w:w="925"/>
        <w:gridCol w:w="1006"/>
        <w:gridCol w:w="1006"/>
        <w:gridCol w:w="843"/>
        <w:gridCol w:w="561"/>
        <w:gridCol w:w="563"/>
      </w:tblGrid>
      <w:tr>
        <w:trPr>
          <w:cantSplit/>
          <w:tblHeader/>
        </w:trPr>
        <w:tc>
          <w:tcPr>
            <w:tcW w:type="dxa" w:w="248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4"/>
                <w:szCs w:val="14"/>
              </w:rPr>
              <w:t xml:space="preserve">Company</w:t>
            </w:r>
          </w:p>
        </w:tc>
        <w:tc>
          <w:tcPr>
            <w:tcW w:type="dxa" w:w="125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4"/>
                <w:szCs w:val="14"/>
              </w:rPr>
              <w:t xml:space="preserve">Ticker</w:t>
            </w:r>
          </w:p>
        </w:tc>
        <w:tc>
          <w:tcPr>
            <w:tcW w:type="dxa" w:w="68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4"/>
                <w:szCs w:val="14"/>
              </w:rPr>
              <w:t xml:space="preserve">Listed</w:t>
            </w:r>
          </w:p>
        </w:tc>
        <w:tc>
          <w:tcPr>
            <w:tcW w:type="dxa" w:w="75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Mkt cap US$m</w:t>
            </w:r>
          </w:p>
        </w:tc>
        <w:tc>
          <w:tcPr>
            <w:tcW w:type="dxa" w:w="92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TEV/Sales</w:t>
            </w:r>
          </w:p>
        </w:tc>
        <w:tc>
          <w:tcPr>
            <w:tcW w:type="dxa" w:w="100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TEV/EBITDA LTM</w:t>
            </w:r>
          </w:p>
        </w:tc>
        <w:tc>
          <w:tcPr>
            <w:tcW w:type="dxa" w:w="100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TEV/EBITDA NTM</w:t>
            </w:r>
          </w:p>
        </w:tc>
        <w:tc>
          <w:tcPr>
            <w:tcW w:type="dxa" w:w="84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TEV/EBIT</w:t>
            </w:r>
          </w:p>
        </w:tc>
        <w:tc>
          <w:tcPr>
            <w:tcW w:type="dxa" w:w="56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P/E LTM</w:t>
            </w:r>
          </w:p>
        </w:tc>
        <w:tc>
          <w:tcPr>
            <w:tcW w:type="dxa" w:w="56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P/E NTM</w:t>
            </w:r>
          </w:p>
        </w:tc>
      </w:tr>
      <w:tr>
        <w:trPr>
          <w:cantSplit/>
        </w:trPr>
        <w:tc>
          <w:tcPr>
            <w:tcW w:type="dxa" w:w="24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4"/>
                <w:szCs w:val="14"/>
              </w:rPr>
              <w:t xml:space="preserve">Genting Malaysia</w:t>
            </w:r>
          </w:p>
        </w:tc>
        <w:tc>
          <w:tcPr>
            <w:tcW w:type="dxa" w:w="12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KLSE:GENM</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1,652</w:t>
            </w:r>
          </w:p>
        </w:tc>
        <w:tc>
          <w:tcPr>
            <w:tcW w:type="dxa" w:w="9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1.52x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7.9x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6.5x</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17.8x</w:t>
            </w:r>
          </w:p>
        </w:tc>
        <w:tc>
          <w:tcPr>
            <w:tcW w:type="dxa" w:w="5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21.6x</w:t>
            </w:r>
          </w:p>
        </w:tc>
        <w:tc>
          <w:tcPr>
            <w:tcW w:type="dxa" w:w="5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14.0x</w:t>
            </w:r>
          </w:p>
        </w:tc>
      </w:tr>
      <w:tr>
        <w:trPr>
          <w:cantSplit/>
        </w:trPr>
        <w:tc>
          <w:tcPr>
            <w:tcW w:type="dxa" w:w="24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Genting Bhd</w:t>
            </w:r>
          </w:p>
        </w:tc>
        <w:tc>
          <w:tcPr>
            <w:tcW w:type="dxa" w:w="12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KLSE:GENTING</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1,368</w:t>
            </w:r>
          </w:p>
        </w:tc>
        <w:tc>
          <w:tcPr>
            <w:tcW w:type="dxa" w:w="9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1.78x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6.4x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6.1x</w:t>
            </w:r>
          </w:p>
        </w:tc>
        <w:tc>
          <w:tcPr>
            <w:tcW w:type="dxa" w:w="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12.4x</w:t>
            </w:r>
          </w:p>
        </w:tc>
        <w:tc>
          <w:tcPr>
            <w:tcW w:type="dxa" w:w="5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5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8.8x</w:t>
            </w:r>
          </w:p>
        </w:tc>
      </w:tr>
      <w:tr>
        <w:trPr>
          <w:cantSplit/>
        </w:trPr>
        <w:tc>
          <w:tcPr>
            <w:tcW w:type="dxa" w:w="24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Genting Singapore</w:t>
            </w:r>
          </w:p>
        </w:tc>
        <w:tc>
          <w:tcPr>
            <w:tcW w:type="dxa" w:w="12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SGX:G13</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5,750</w:t>
            </w:r>
          </w:p>
        </w:tc>
        <w:tc>
          <w:tcPr>
            <w:tcW w:type="dxa" w:w="9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1.81x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5.6x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5.1x</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11.7x</w:t>
            </w:r>
          </w:p>
        </w:tc>
        <w:tc>
          <w:tcPr>
            <w:tcW w:type="dxa" w:w="5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23.5x</w:t>
            </w:r>
          </w:p>
        </w:tc>
        <w:tc>
          <w:tcPr>
            <w:tcW w:type="dxa" w:w="5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17.0x</w:t>
            </w:r>
          </w:p>
        </w:tc>
      </w:tr>
      <w:tr>
        <w:trPr>
          <w:cantSplit/>
        </w:trPr>
        <w:tc>
          <w:tcPr>
            <w:tcW w:type="dxa" w:w="24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Las Vegas Sands</w:t>
            </w:r>
          </w:p>
        </w:tc>
        <w:tc>
          <w:tcPr>
            <w:tcW w:type="dxa" w:w="12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NYSE:LVS</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24,618</w:t>
            </w:r>
          </w:p>
        </w:tc>
        <w:tc>
          <w:tcPr>
            <w:tcW w:type="dxa" w:w="9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2.69x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7.8x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6.9x</w:t>
            </w:r>
          </w:p>
        </w:tc>
        <w:tc>
          <w:tcPr>
            <w:tcW w:type="dxa" w:w="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11.6x</w:t>
            </w:r>
          </w:p>
        </w:tc>
        <w:tc>
          <w:tcPr>
            <w:tcW w:type="dxa" w:w="5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14.7x</w:t>
            </w:r>
          </w:p>
        </w:tc>
        <w:tc>
          <w:tcPr>
            <w:tcW w:type="dxa" w:w="5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11.7x</w:t>
            </w:r>
          </w:p>
        </w:tc>
      </w:tr>
      <w:tr>
        <w:trPr>
          <w:cantSplit/>
        </w:trPr>
        <w:tc>
          <w:tcPr>
            <w:tcW w:type="dxa" w:w="24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Sands China</w:t>
            </w:r>
          </w:p>
        </w:tc>
        <w:tc>
          <w:tcPr>
            <w:tcW w:type="dxa" w:w="12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SEHK:1928</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11,849</w:t>
            </w:r>
          </w:p>
        </w:tc>
        <w:tc>
          <w:tcPr>
            <w:tcW w:type="dxa" w:w="9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2.23x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8.5x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7.8x</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13.7x</w:t>
            </w:r>
          </w:p>
        </w:tc>
        <w:tc>
          <w:tcPr>
            <w:tcW w:type="dxa" w:w="5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13.4x</w:t>
            </w:r>
          </w:p>
        </w:tc>
        <w:tc>
          <w:tcPr>
            <w:tcW w:type="dxa" w:w="5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11.3x</w:t>
            </w:r>
          </w:p>
        </w:tc>
      </w:tr>
      <w:tr>
        <w:trPr>
          <w:cantSplit/>
        </w:trPr>
        <w:tc>
          <w:tcPr>
            <w:tcW w:type="dxa" w:w="24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Galaxy Entertainment</w:t>
            </w:r>
          </w:p>
        </w:tc>
        <w:tc>
          <w:tcPr>
            <w:tcW w:type="dxa" w:w="12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SEHK:27</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18,714</w:t>
            </w:r>
          </w:p>
        </w:tc>
        <w:tc>
          <w:tcPr>
            <w:tcW w:type="dxa" w:w="9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2.71x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10.1x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9.2x</w:t>
            </w:r>
          </w:p>
        </w:tc>
        <w:tc>
          <w:tcPr>
            <w:tcW w:type="dxa" w:w="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14.1x</w:t>
            </w:r>
          </w:p>
        </w:tc>
        <w:tc>
          <w:tcPr>
            <w:tcW w:type="dxa" w:w="5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13.7x</w:t>
            </w:r>
          </w:p>
        </w:tc>
        <w:tc>
          <w:tcPr>
            <w:tcW w:type="dxa" w:w="5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13.2x</w:t>
            </w:r>
          </w:p>
        </w:tc>
      </w:tr>
      <w:tr>
        <w:trPr>
          <w:cantSplit/>
        </w:trPr>
        <w:tc>
          <w:tcPr>
            <w:tcW w:type="dxa" w:w="24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Wynn Resorts</w:t>
            </w:r>
          </w:p>
        </w:tc>
        <w:tc>
          <w:tcPr>
            <w:tcW w:type="dxa" w:w="12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NasdaqGS:WYNN</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7,670</w:t>
            </w:r>
          </w:p>
        </w:tc>
        <w:tc>
          <w:tcPr>
            <w:tcW w:type="dxa" w:w="9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2.32x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9.2x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7.6x</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14.5x</w:t>
            </w:r>
          </w:p>
        </w:tc>
        <w:tc>
          <w:tcPr>
            <w:tcW w:type="dxa" w:w="5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18.1x</w:t>
            </w:r>
          </w:p>
        </w:tc>
        <w:tc>
          <w:tcPr>
            <w:tcW w:type="dxa" w:w="5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17.8x</w:t>
            </w:r>
          </w:p>
        </w:tc>
      </w:tr>
      <w:tr>
        <w:trPr>
          <w:cantSplit/>
        </w:trPr>
        <w:tc>
          <w:tcPr>
            <w:tcW w:type="dxa" w:w="24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Wynn Macau</w:t>
            </w:r>
          </w:p>
        </w:tc>
        <w:tc>
          <w:tcPr>
            <w:tcW w:type="dxa" w:w="12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SEHK:1128</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3,391</w:t>
            </w:r>
          </w:p>
        </w:tc>
        <w:tc>
          <w:tcPr>
            <w:tcW w:type="dxa" w:w="9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1.95x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7.9x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7.5x</w:t>
            </w:r>
          </w:p>
        </w:tc>
        <w:tc>
          <w:tcPr>
            <w:tcW w:type="dxa" w:w="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12.0x</w:t>
            </w:r>
          </w:p>
        </w:tc>
        <w:tc>
          <w:tcPr>
            <w:tcW w:type="dxa" w:w="5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9.5x</w:t>
            </w:r>
          </w:p>
        </w:tc>
        <w:tc>
          <w:tcPr>
            <w:tcW w:type="dxa" w:w="5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10.1x</w:t>
            </w:r>
          </w:p>
        </w:tc>
      </w:tr>
      <w:tr>
        <w:trPr>
          <w:cantSplit/>
        </w:trPr>
        <w:tc>
          <w:tcPr>
            <w:tcW w:type="dxa" w:w="24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MGM Resorts</w:t>
            </w:r>
          </w:p>
        </w:tc>
        <w:tc>
          <w:tcPr>
            <w:tcW w:type="dxa" w:w="12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NYSE:MGM</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7,196</w:t>
            </w:r>
          </w:p>
        </w:tc>
        <w:tc>
          <w:tcPr>
            <w:tcW w:type="dxa" w:w="9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2.00x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7.8x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7.8x</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28.4x</w:t>
            </w:r>
          </w:p>
        </w:tc>
        <w:tc>
          <w:tcPr>
            <w:tcW w:type="dxa" w:w="5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17.9x</w:t>
            </w:r>
          </w:p>
        </w:tc>
        <w:tc>
          <w:tcPr>
            <w:tcW w:type="dxa" w:w="5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18.5x</w:t>
            </w:r>
          </w:p>
        </w:tc>
      </w:tr>
      <w:tr>
        <w:trPr>
          <w:cantSplit/>
        </w:trPr>
        <w:tc>
          <w:tcPr>
            <w:tcW w:type="dxa" w:w="24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MGM China</w:t>
            </w:r>
          </w:p>
        </w:tc>
        <w:tc>
          <w:tcPr>
            <w:tcW w:type="dxa" w:w="12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SEHK:2282</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4,770</w:t>
            </w:r>
          </w:p>
        </w:tc>
        <w:tc>
          <w:tcPr>
            <w:tcW w:type="dxa" w:w="9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1.45x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6.2x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5.2x</w:t>
            </w:r>
          </w:p>
        </w:tc>
        <w:tc>
          <w:tcPr>
            <w:tcW w:type="dxa" w:w="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8.5x</w:t>
            </w:r>
          </w:p>
        </w:tc>
        <w:tc>
          <w:tcPr>
            <w:tcW w:type="dxa" w:w="5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8.2x</w:t>
            </w:r>
          </w:p>
        </w:tc>
        <w:tc>
          <w:tcPr>
            <w:tcW w:type="dxa" w:w="5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8.3x</w:t>
            </w:r>
          </w:p>
        </w:tc>
      </w:tr>
      <w:tr>
        <w:trPr>
          <w:cantSplit/>
        </w:trPr>
        <w:tc>
          <w:tcPr>
            <w:tcW w:type="dxa" w:w="24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Melco Resorts &amp; Ent.</w:t>
            </w:r>
          </w:p>
        </w:tc>
        <w:tc>
          <w:tcPr>
            <w:tcW w:type="dxa" w:w="12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NasdaqGS:MLCO</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1,578</w:t>
            </w:r>
          </w:p>
        </w:tc>
        <w:tc>
          <w:tcPr>
            <w:tcW w:type="dxa" w:w="9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1.59x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6.4x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6.2x</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11.8x</w:t>
            </w:r>
          </w:p>
        </w:tc>
        <w:tc>
          <w:tcPr>
            <w:tcW w:type="dxa" w:w="5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6.9x</w:t>
            </w:r>
          </w:p>
        </w:tc>
        <w:tc>
          <w:tcPr>
            <w:tcW w:type="dxa" w:w="5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7.7x</w:t>
            </w:r>
          </w:p>
        </w:tc>
      </w:tr>
      <w:tr>
        <w:trPr>
          <w:cantSplit/>
        </w:trPr>
        <w:tc>
          <w:tcPr>
            <w:tcW w:type="dxa" w:w="24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Melco International Dev.</w:t>
            </w:r>
          </w:p>
        </w:tc>
        <w:tc>
          <w:tcPr>
            <w:tcW w:type="dxa" w:w="12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SEHK:200</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757</w:t>
            </w:r>
          </w:p>
        </w:tc>
        <w:tc>
          <w:tcPr>
            <w:tcW w:type="dxa" w:w="9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1.59x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6.8x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6.5x</w:t>
            </w:r>
          </w:p>
        </w:tc>
        <w:tc>
          <w:tcPr>
            <w:tcW w:type="dxa" w:w="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12.6x</w:t>
            </w:r>
          </w:p>
        </w:tc>
        <w:tc>
          <w:tcPr>
            <w:tcW w:type="dxa" w:w="5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6.1x</w:t>
            </w:r>
          </w:p>
        </w:tc>
        <w:tc>
          <w:tcPr>
            <w:tcW w:type="dxa" w:w="5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7.5x</w:t>
            </w:r>
          </w:p>
        </w:tc>
      </w:tr>
      <w:tr>
        <w:trPr>
          <w:cantSplit/>
        </w:trPr>
        <w:tc>
          <w:tcPr>
            <w:tcW w:type="dxa" w:w="24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SJM Holdings</w:t>
            </w:r>
          </w:p>
        </w:tc>
        <w:tc>
          <w:tcPr>
            <w:tcW w:type="dxa" w:w="12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SEHK:880</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1,081</w:t>
            </w:r>
          </w:p>
        </w:tc>
        <w:tc>
          <w:tcPr>
            <w:tcW w:type="dxa" w:w="9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1.50x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12.4x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10.3x</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44.9x</w:t>
            </w:r>
          </w:p>
        </w:tc>
        <w:tc>
          <w:tcPr>
            <w:tcW w:type="dxa" w:w="5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5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n.m.</w:t>
            </w:r>
          </w:p>
        </w:tc>
      </w:tr>
      <w:tr>
        <w:trPr>
          <w:cantSplit/>
        </w:trPr>
        <w:tc>
          <w:tcPr>
            <w:tcW w:type="dxa" w:w="24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Studio City Intl</w:t>
            </w:r>
          </w:p>
        </w:tc>
        <w:tc>
          <w:tcPr>
            <w:tcW w:type="dxa" w:w="12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NYSE:MSC</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188</w:t>
            </w:r>
          </w:p>
        </w:tc>
        <w:tc>
          <w:tcPr>
            <w:tcW w:type="dxa" w:w="9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3.08x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7.2x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27.5x</w:t>
            </w:r>
          </w:p>
        </w:tc>
        <w:tc>
          <w:tcPr>
            <w:tcW w:type="dxa" w:w="5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5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r>
      <w:tr>
        <w:trPr>
          <w:cantSplit/>
        </w:trPr>
        <w:tc>
          <w:tcPr>
            <w:tcW w:type="dxa" w:w="24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NagaCorp</w:t>
            </w:r>
          </w:p>
        </w:tc>
        <w:tc>
          <w:tcPr>
            <w:tcW w:type="dxa" w:w="12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SEHK:3918</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1,367</w:t>
            </w:r>
          </w:p>
        </w:tc>
        <w:tc>
          <w:tcPr>
            <w:tcW w:type="dxa" w:w="9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1.64x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2.6x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3.1x</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3.5x</w:t>
            </w:r>
          </w:p>
        </w:tc>
        <w:tc>
          <w:tcPr>
            <w:tcW w:type="dxa" w:w="5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4.5x</w:t>
            </w:r>
          </w:p>
        </w:tc>
        <w:tc>
          <w:tcPr>
            <w:tcW w:type="dxa" w:w="5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5.1x</w:t>
            </w:r>
          </w:p>
        </w:tc>
      </w:tr>
      <w:tr>
        <w:trPr>
          <w:cantSplit/>
        </w:trPr>
        <w:tc>
          <w:tcPr>
            <w:tcW w:type="dxa" w:w="24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Bloomberry Resorts</w:t>
            </w:r>
          </w:p>
        </w:tc>
        <w:tc>
          <w:tcPr>
            <w:tcW w:type="dxa" w:w="12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PSE:BLOOM</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347</w:t>
            </w:r>
          </w:p>
        </w:tc>
        <w:tc>
          <w:tcPr>
            <w:tcW w:type="dxa" w:w="9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1.92x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10.7x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7.4x</w:t>
            </w:r>
          </w:p>
        </w:tc>
        <w:tc>
          <w:tcPr>
            <w:tcW w:type="dxa" w:w="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52.5x</w:t>
            </w:r>
          </w:p>
        </w:tc>
        <w:tc>
          <w:tcPr>
            <w:tcW w:type="dxa" w:w="5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5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r>
      <w:tr>
        <w:trPr>
          <w:cantSplit/>
        </w:trPr>
        <w:tc>
          <w:tcPr>
            <w:tcW w:type="dxa" w:w="24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Paradise Co</w:t>
            </w:r>
          </w:p>
        </w:tc>
        <w:tc>
          <w:tcPr>
            <w:tcW w:type="dxa" w:w="12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KOSE:A034230</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644</w:t>
            </w:r>
          </w:p>
        </w:tc>
        <w:tc>
          <w:tcPr>
            <w:tcW w:type="dxa" w:w="9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1.66x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9.6x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7.5x</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15.4x</w:t>
            </w:r>
          </w:p>
        </w:tc>
        <w:tc>
          <w:tcPr>
            <w:tcW w:type="dxa" w:w="5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11.6x</w:t>
            </w:r>
          </w:p>
        </w:tc>
        <w:tc>
          <w:tcPr>
            <w:tcW w:type="dxa" w:w="5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9.8x</w:t>
            </w:r>
          </w:p>
        </w:tc>
      </w:tr>
      <w:tr>
        <w:trPr>
          <w:cantSplit/>
        </w:trPr>
        <w:tc>
          <w:tcPr>
            <w:tcW w:type="dxa" w:w="24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Kangwon Land</w:t>
            </w:r>
          </w:p>
        </w:tc>
        <w:tc>
          <w:tcPr>
            <w:tcW w:type="dxa" w:w="12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KOSE:A035250</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2,117</w:t>
            </w:r>
          </w:p>
        </w:tc>
        <w:tc>
          <w:tcPr>
            <w:tcW w:type="dxa" w:w="9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n.m.</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5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8.7x</w:t>
            </w:r>
          </w:p>
        </w:tc>
        <w:tc>
          <w:tcPr>
            <w:tcW w:type="dxa" w:w="5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10.1x</w:t>
            </w:r>
          </w:p>
        </w:tc>
      </w:tr>
      <w:tr>
        <w:trPr>
          <w:cantSplit/>
        </w:trPr>
        <w:tc>
          <w:tcPr>
            <w:tcW w:type="dxa" w:w="24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Grand Korea Leisure</w:t>
            </w:r>
          </w:p>
        </w:tc>
        <w:tc>
          <w:tcPr>
            <w:tcW w:type="dxa" w:w="12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KOSE:A114090</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394</w:t>
            </w:r>
          </w:p>
        </w:tc>
        <w:tc>
          <w:tcPr>
            <w:tcW w:type="dxa" w:w="9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0.33x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1.7x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1.6x</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2.7x</w:t>
            </w:r>
          </w:p>
        </w:tc>
        <w:tc>
          <w:tcPr>
            <w:tcW w:type="dxa" w:w="5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11.2x</w:t>
            </w:r>
          </w:p>
        </w:tc>
        <w:tc>
          <w:tcPr>
            <w:tcW w:type="dxa" w:w="5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9.3x</w:t>
            </w:r>
          </w:p>
        </w:tc>
      </w:tr>
      <w:tr>
        <w:trPr>
          <w:cantSplit/>
        </w:trPr>
        <w:tc>
          <w:tcPr>
            <w:tcW w:type="dxa" w:w="24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Universal Entertainment (Okada Manila)</w:t>
            </w:r>
          </w:p>
        </w:tc>
        <w:tc>
          <w:tcPr>
            <w:tcW w:type="dxa" w:w="12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TSE:6425</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330</w:t>
            </w:r>
          </w:p>
        </w:tc>
        <w:tc>
          <w:tcPr>
            <w:tcW w:type="dxa" w:w="9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1.48x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9.2x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28.7x</w:t>
            </w:r>
          </w:p>
        </w:tc>
        <w:tc>
          <w:tcPr>
            <w:tcW w:type="dxa" w:w="5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5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r>
      <w:tr>
        <w:trPr>
          <w:cantSplit/>
        </w:trPr>
        <w:tc>
          <w:tcPr>
            <w:tcW w:type="dxa" w:w="24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Star Entertainment</w:t>
            </w:r>
          </w:p>
        </w:tc>
        <w:tc>
          <w:tcPr>
            <w:tcW w:type="dxa" w:w="12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ASX:SGR</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553</w:t>
            </w:r>
          </w:p>
        </w:tc>
        <w:tc>
          <w:tcPr>
            <w:tcW w:type="dxa" w:w="9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0.84x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43.8x</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5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5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r>
      <w:tr>
        <w:trPr>
          <w:cantSplit/>
        </w:trPr>
        <w:tc>
          <w:tcPr>
            <w:tcW w:type="dxa" w:w="24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SkyCity Entertainment</w:t>
            </w:r>
          </w:p>
        </w:tc>
        <w:tc>
          <w:tcPr>
            <w:tcW w:type="dxa" w:w="12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NZSE:SKC</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424</w:t>
            </w:r>
          </w:p>
        </w:tc>
        <w:tc>
          <w:tcPr>
            <w:tcW w:type="dxa" w:w="9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1.66x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9.7x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7.7x</w:t>
            </w:r>
          </w:p>
        </w:tc>
        <w:tc>
          <w:tcPr>
            <w:tcW w:type="dxa" w:w="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28.7x</w:t>
            </w:r>
          </w:p>
        </w:tc>
        <w:tc>
          <w:tcPr>
            <w:tcW w:type="dxa" w:w="5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37.8x</w:t>
            </w:r>
          </w:p>
        </w:tc>
        <w:tc>
          <w:tcPr>
            <w:tcW w:type="dxa" w:w="5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44.8x</w:t>
            </w:r>
          </w:p>
        </w:tc>
      </w:tr>
      <w:tr>
        <w:trPr>
          <w:cantSplit/>
        </w:trPr>
        <w:tc>
          <w:tcPr>
            <w:tcW w:type="dxa" w:w="24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Caesars Entertainment</w:t>
            </w:r>
          </w:p>
        </w:tc>
        <w:tc>
          <w:tcPr>
            <w:tcW w:type="dxa" w:w="12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NasdaqGS:CZR</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5,867</w:t>
            </w:r>
          </w:p>
        </w:tc>
        <w:tc>
          <w:tcPr>
            <w:tcW w:type="dxa" w:w="9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2.66x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8.4x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8.3x</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15.1x</w:t>
            </w:r>
          </w:p>
        </w:tc>
        <w:tc>
          <w:tcPr>
            <w:tcW w:type="dxa" w:w="5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5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r>
      <w:tr>
        <w:trPr>
          <w:cantSplit/>
        </w:trPr>
        <w:tc>
          <w:tcPr>
            <w:tcW w:type="dxa" w:w="24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PENN Entertainment</w:t>
            </w:r>
          </w:p>
        </w:tc>
        <w:tc>
          <w:tcPr>
            <w:tcW w:type="dxa" w:w="12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NasdaqGS:PENN</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1,903</w:t>
            </w:r>
          </w:p>
        </w:tc>
        <w:tc>
          <w:tcPr>
            <w:tcW w:type="dxa" w:w="9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1.69x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7.2x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6.4x</w:t>
            </w:r>
          </w:p>
        </w:tc>
        <w:tc>
          <w:tcPr>
            <w:tcW w:type="dxa" w:w="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27.2x</w:t>
            </w:r>
          </w:p>
        </w:tc>
        <w:tc>
          <w:tcPr>
            <w:tcW w:type="dxa" w:w="5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5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9.4x</w:t>
            </w:r>
          </w:p>
        </w:tc>
      </w:tr>
      <w:tr>
        <w:trPr>
          <w:cantSplit/>
        </w:trPr>
        <w:tc>
          <w:tcPr>
            <w:tcW w:type="dxa" w:w="24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Boyd Gaming</w:t>
            </w:r>
          </w:p>
        </w:tc>
        <w:tc>
          <w:tcPr>
            <w:tcW w:type="dxa" w:w="12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NYSE:BYD</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5,089</w:t>
            </w:r>
          </w:p>
        </w:tc>
        <w:tc>
          <w:tcPr>
            <w:tcW w:type="dxa" w:w="9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1.96x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6.0x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6.6x</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9.7x</w:t>
            </w:r>
          </w:p>
        </w:tc>
        <w:tc>
          <w:tcPr>
            <w:tcW w:type="dxa" w:w="5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3.0x</w:t>
            </w:r>
          </w:p>
        </w:tc>
        <w:tc>
          <w:tcPr>
            <w:tcW w:type="dxa" w:w="5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9.7x</w:t>
            </w:r>
          </w:p>
        </w:tc>
      </w:tr>
      <w:tr>
        <w:trPr>
          <w:cantSplit/>
        </w:trPr>
        <w:tc>
          <w:tcPr>
            <w:tcW w:type="dxa" w:w="24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Red Rock Resorts</w:t>
            </w:r>
          </w:p>
        </w:tc>
        <w:tc>
          <w:tcPr>
            <w:tcW w:type="dxa" w:w="12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NasdaqGS:RRR</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2,854</w:t>
            </w:r>
          </w:p>
        </w:tc>
        <w:tc>
          <w:tcPr>
            <w:tcW w:type="dxa" w:w="9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3.23x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7.9x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7.5x</w:t>
            </w:r>
          </w:p>
        </w:tc>
        <w:tc>
          <w:tcPr>
            <w:tcW w:type="dxa" w:w="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11.2x</w:t>
            </w:r>
          </w:p>
        </w:tc>
        <w:tc>
          <w:tcPr>
            <w:tcW w:type="dxa" w:w="5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17.4x</w:t>
            </w:r>
          </w:p>
        </w:tc>
        <w:tc>
          <w:tcPr>
            <w:tcW w:type="dxa" w:w="5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20.2x</w:t>
            </w:r>
          </w:p>
        </w:tc>
      </w:tr>
      <w:tr>
        <w:trPr>
          <w:cantSplit/>
        </w:trPr>
        <w:tc>
          <w:tcPr>
            <w:tcW w:type="dxa" w:w="24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Monarch Casino &amp; Resort</w:t>
            </w:r>
          </w:p>
        </w:tc>
        <w:tc>
          <w:tcPr>
            <w:tcW w:type="dxa" w:w="12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NasdaqGS:MCRI</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2,036</w:t>
            </w:r>
          </w:p>
        </w:tc>
        <w:tc>
          <w:tcPr>
            <w:tcW w:type="dxa" w:w="9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3.40x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9.6x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8.9x</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12.8x</w:t>
            </w:r>
          </w:p>
        </w:tc>
        <w:tc>
          <w:tcPr>
            <w:tcW w:type="dxa" w:w="5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18.2x</w:t>
            </w:r>
          </w:p>
        </w:tc>
        <w:tc>
          <w:tcPr>
            <w:tcW w:type="dxa" w:w="5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16.6x</w:t>
            </w:r>
          </w:p>
        </w:tc>
      </w:tr>
      <w:tr>
        <w:trPr>
          <w:cantSplit/>
        </w:trPr>
        <w:tc>
          <w:tcPr>
            <w:tcW w:type="dxa" w:w="24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Churchill Downs</w:t>
            </w:r>
          </w:p>
        </w:tc>
        <w:tc>
          <w:tcPr>
            <w:tcW w:type="dxa" w:w="12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NasdaqGS:CHDN</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5,694</w:t>
            </w:r>
          </w:p>
        </w:tc>
        <w:tc>
          <w:tcPr>
            <w:tcW w:type="dxa" w:w="9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3.48x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8.9x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8.3x</w:t>
            </w:r>
          </w:p>
        </w:tc>
        <w:tc>
          <w:tcPr>
            <w:tcW w:type="dxa" w:w="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11.3x</w:t>
            </w:r>
          </w:p>
        </w:tc>
        <w:tc>
          <w:tcPr>
            <w:tcW w:type="dxa" w:w="5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13.9x</w:t>
            </w:r>
          </w:p>
        </w:tc>
        <w:tc>
          <w:tcPr>
            <w:tcW w:type="dxa" w:w="5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11.6x</w:t>
            </w:r>
          </w:p>
        </w:tc>
      </w:tr>
      <w:tr>
        <w:trPr>
          <w:cantSplit/>
        </w:trPr>
        <w:tc>
          <w:tcPr>
            <w:tcW w:type="dxa" w:w="24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Bally's Corp</w:t>
            </w:r>
          </w:p>
        </w:tc>
        <w:tc>
          <w:tcPr>
            <w:tcW w:type="dxa" w:w="12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NYSE:BALY</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657</w:t>
            </w:r>
          </w:p>
        </w:tc>
        <w:tc>
          <w:tcPr>
            <w:tcW w:type="dxa" w:w="9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2.94x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13.4x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17.6x</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5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5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r>
      <w:tr>
        <w:trPr>
          <w:cantSplit/>
        </w:trPr>
        <w:tc>
          <w:tcPr>
            <w:tcW w:type="dxa" w:w="24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Century Casinos</w:t>
            </w:r>
          </w:p>
        </w:tc>
        <w:tc>
          <w:tcPr>
            <w:tcW w:type="dxa" w:w="12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NasdaqCM:CNTY</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22</w:t>
            </w:r>
          </w:p>
        </w:tc>
        <w:tc>
          <w:tcPr>
            <w:tcW w:type="dxa" w:w="9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1.93x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9.5x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9.3x</w:t>
            </w:r>
          </w:p>
        </w:tc>
        <w:tc>
          <w:tcPr>
            <w:tcW w:type="dxa" w:w="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19.6x</w:t>
            </w:r>
          </w:p>
        </w:tc>
        <w:tc>
          <w:tcPr>
            <w:tcW w:type="dxa" w:w="5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5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r>
      <w:tr>
        <w:trPr>
          <w:cantSplit/>
        </w:trPr>
        <w:tc>
          <w:tcPr>
            <w:tcW w:type="dxa" w:w="24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Full House Resorts</w:t>
            </w:r>
          </w:p>
        </w:tc>
        <w:tc>
          <w:tcPr>
            <w:tcW w:type="dxa" w:w="12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NasdaqCM:FLL</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40</w:t>
            </w:r>
          </w:p>
        </w:tc>
        <w:tc>
          <w:tcPr>
            <w:tcW w:type="dxa" w:w="9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1.74x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9.0x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8.6x</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n.m.</w:t>
            </w:r>
          </w:p>
        </w:tc>
        <w:tc>
          <w:tcPr>
            <w:tcW w:type="dxa" w:w="5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5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r>
      <w:tr>
        <w:trPr>
          <w:cantSplit/>
        </w:trPr>
        <w:tc>
          <w:tcPr>
            <w:tcW w:type="dxa" w:w="24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Rank Group</w:t>
            </w:r>
          </w:p>
        </w:tc>
        <w:tc>
          <w:tcPr>
            <w:tcW w:type="dxa" w:w="12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LSE:RNK</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Yes</w:t>
            </w:r>
          </w:p>
        </w:tc>
        <w:tc>
          <w:tcPr>
            <w:tcW w:type="dxa" w:w="75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470</w:t>
            </w:r>
          </w:p>
        </w:tc>
        <w:tc>
          <w:tcPr>
            <w:tcW w:type="dxa" w:w="9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0.61x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4.0x</w:t>
            </w:r>
          </w:p>
        </w:tc>
        <w:tc>
          <w:tcPr>
            <w:tcW w:type="dxa" w:w="10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3.9x</w:t>
            </w:r>
          </w:p>
        </w:tc>
        <w:tc>
          <w:tcPr>
            <w:tcW w:type="dxa" w:w="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6.6x</w:t>
            </w:r>
          </w:p>
        </w:tc>
        <w:tc>
          <w:tcPr>
            <w:tcW w:type="dxa" w:w="5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12.0x</w:t>
            </w:r>
          </w:p>
        </w:tc>
        <w:tc>
          <w:tcPr>
            <w:tcW w:type="dxa" w:w="5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8.4x</w:t>
            </w:r>
          </w:p>
        </w:tc>
      </w:tr>
      <w:tr>
        <w:trPr>
          <w:cantSplit/>
        </w:trPr>
        <w:tc>
          <w:tcPr>
            <w:tcW w:type="dxa" w:w="24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Golden Entertainment</w:t>
            </w:r>
          </w:p>
        </w:tc>
        <w:tc>
          <w:tcPr>
            <w:tcW w:type="dxa" w:w="12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NasdaqGM:GDEN</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No*</w:t>
            </w:r>
          </w:p>
        </w:tc>
        <w:tc>
          <w:tcPr>
            <w:tcW w:type="dxa" w:w="75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754</w:t>
            </w:r>
          </w:p>
        </w:tc>
        <w:tc>
          <w:tcPr>
            <w:tcW w:type="dxa" w:w="9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1.92x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7.5x</w:t>
            </w:r>
          </w:p>
        </w:tc>
        <w:tc>
          <w:tcPr>
            <w:tcW w:type="dxa" w:w="10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38.3x</w:t>
            </w:r>
          </w:p>
        </w:tc>
        <w:tc>
          <w:tcPr>
            <w:tcW w:type="dxa" w:w="5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c>
          <w:tcPr>
            <w:tcW w:type="dxa" w:w="5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n/a</w:t>
            </w:r>
          </w:p>
        </w:tc>
      </w:tr>
      <w:tr>
        <w:trPr>
          <w:cantSplit/>
        </w:trPr>
        <w:tc>
          <w:tcPr>
            <w:tcW w:type="dxa" w:w="2489"/>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4"/>
                <w:szCs w:val="14"/>
              </w:rPr>
              <w:t xml:space="preserve">Peer median (ex-GENM)</w:t>
            </w:r>
          </w:p>
        </w:tc>
        <w:tc>
          <w:tcPr>
            <w:tcW w:type="dxa" w:w="1257"/>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p>
        </w:tc>
        <w:tc>
          <w:tcPr>
            <w:tcW w:type="dxa" w:w="680"/>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p>
        </w:tc>
        <w:tc>
          <w:tcPr>
            <w:tcW w:type="dxa" w:w="750"/>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p>
        </w:tc>
        <w:tc>
          <w:tcPr>
            <w:tcW w:type="dxa" w:w="925"/>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4"/>
                <w:szCs w:val="14"/>
              </w:rPr>
              <w:t xml:space="preserve">1.86x</w:t>
            </w:r>
          </w:p>
        </w:tc>
        <w:tc>
          <w:tcPr>
            <w:tcW w:type="dxa" w:w="1006"/>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4"/>
                <w:szCs w:val="14"/>
              </w:rPr>
              <w:t xml:space="preserve">7.9x</w:t>
            </w:r>
          </w:p>
        </w:tc>
        <w:tc>
          <w:tcPr>
            <w:tcW w:type="dxa" w:w="1006"/>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4"/>
                <w:szCs w:val="14"/>
              </w:rPr>
              <w:t xml:space="preserve">7.5x</w:t>
            </w:r>
          </w:p>
        </w:tc>
        <w:tc>
          <w:tcPr>
            <w:tcW w:type="dxa" w:w="843"/>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4"/>
                <w:szCs w:val="14"/>
              </w:rPr>
              <w:t xml:space="preserve">12.8x</w:t>
            </w:r>
          </w:p>
        </w:tc>
        <w:tc>
          <w:tcPr>
            <w:tcW w:type="dxa" w:w="561"/>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4"/>
                <w:szCs w:val="14"/>
              </w:rPr>
              <w:t xml:space="preserve">13.4x</w:t>
            </w:r>
          </w:p>
        </w:tc>
        <w:tc>
          <w:tcPr>
            <w:tcW w:type="dxa" w:w="563"/>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4"/>
                <w:szCs w:val="14"/>
              </w:rPr>
              <w:t xml:space="preserve">10.1x</w:t>
            </w:r>
          </w:p>
        </w:tc>
      </w:tr>
    </w:tbl>
    <w:p>
      <w:pPr>
        <w:spacing w:after="80" w:before="0"/>
      </w:pPr>
    </w:p>
    <w:p>
      <w:pPr>
        <w:spacing w:after="140" w:before="0"/>
      </w:pPr>
      <w:r>
        <w:rPr>
          <w:rFonts w:ascii="Arial" w:cs="Arial" w:eastAsia="Arial" w:hAnsi="Arial"/>
          <w:color w:val="6B7280"/>
          <w:sz w:val="15"/>
          <w:szCs w:val="15"/>
        </w:rPr>
        <w:t xml:space="preserve">Source: S&amp;P Capital IQ, 16-Oct-2026 (GENM re-based to RM1.19, 21-Oct-2026); financials LTM to 30-Jun-2026. *Golden Entertainment was taken private in Apr-2026 (VICI/Sartini) and is shown at its last multiples, excluded from medians. n.m. = negative or &gt;60x.</w:t>
      </w:r>
    </w:p>
    <w:p>
      <w:pPr>
        <w:pStyle w:val="Heading2"/>
        <w:keepNext/>
      </w:pPr>
      <w:r>
        <w:rPr>
          <w:rFonts w:ascii="Arial" w:cs="Arial" w:eastAsia="Arial" w:hAnsi="Arial"/>
        </w:rPr>
        <w:t xml:space="preserve">14.3 Listed peer comparison (operating and balance-sheet metrics)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2822"/>
        <w:gridCol w:w="2098"/>
        <w:gridCol w:w="859"/>
        <w:gridCol w:w="763"/>
        <w:gridCol w:w="1037"/>
        <w:gridCol w:w="1152"/>
        <w:gridCol w:w="679"/>
        <w:gridCol w:w="670"/>
      </w:tblGrid>
      <w:tr>
        <w:trPr>
          <w:cantSplit/>
          <w:tblHeader/>
        </w:trPr>
        <w:tc>
          <w:tcPr>
            <w:tcW w:type="dxa" w:w="282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Company</w:t>
            </w:r>
          </w:p>
        </w:tc>
        <w:tc>
          <w:tcPr>
            <w:tcW w:type="dxa" w:w="2098"/>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Country</w:t>
            </w:r>
          </w:p>
        </w:tc>
        <w:tc>
          <w:tcPr>
            <w:tcW w:type="dxa" w:w="85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EBITDA margin</w:t>
            </w:r>
          </w:p>
        </w:tc>
        <w:tc>
          <w:tcPr>
            <w:tcW w:type="dxa" w:w="76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EBIT margin</w:t>
            </w:r>
          </w:p>
        </w:tc>
        <w:tc>
          <w:tcPr>
            <w:tcW w:type="dxa" w:w="103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Sales growth (LTM)</w:t>
            </w:r>
          </w:p>
        </w:tc>
        <w:tc>
          <w:tcPr>
            <w:tcW w:type="dxa" w:w="115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Net debt/EBITDA</w:t>
            </w:r>
          </w:p>
        </w:tc>
        <w:tc>
          <w:tcPr>
            <w:tcW w:type="dxa" w:w="67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Div. yield</w:t>
            </w:r>
          </w:p>
        </w:tc>
        <w:tc>
          <w:tcPr>
            <w:tcW w:type="dxa" w:w="67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FCF yield</w:t>
            </w:r>
          </w:p>
        </w:tc>
      </w:tr>
      <w:tr>
        <w:trPr>
          <w:cantSplit/>
        </w:trPr>
        <w:tc>
          <w:tcPr>
            <w:tcW w:type="dxa" w:w="28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5"/>
                <w:szCs w:val="15"/>
              </w:rPr>
              <w:t xml:space="preserve">Genting Malaysia</w:t>
            </w:r>
          </w:p>
        </w:tc>
        <w:tc>
          <w:tcPr>
            <w:tcW w:type="dxa" w:w="20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Malaysia</w:t>
            </w:r>
          </w:p>
        </w:tc>
        <w:tc>
          <w:tcPr>
            <w:tcW w:type="dxa" w:w="8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19.2%</w:t>
            </w:r>
          </w:p>
        </w:tc>
        <w:tc>
          <w:tcPr>
            <w:tcW w:type="dxa" w:w="7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8.6%</w:t>
            </w:r>
          </w:p>
        </w:tc>
        <w:tc>
          <w:tcPr>
            <w:tcW w:type="dxa" w:w="10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19.1%</w:t>
            </w:r>
          </w:p>
        </w:tc>
        <w:tc>
          <w:tcPr>
            <w:tcW w:type="dxa" w:w="11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5.6x</w:t>
            </w:r>
          </w:p>
        </w:tc>
        <w:tc>
          <w:tcPr>
            <w:tcW w:type="dxa" w:w="6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5.9%</w:t>
            </w:r>
          </w:p>
        </w:tc>
        <w:tc>
          <w:tcPr>
            <w:tcW w:type="dxa" w:w="6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7.8%</w:t>
            </w:r>
          </w:p>
        </w:tc>
      </w:tr>
      <w:tr>
        <w:trPr>
          <w:cantSplit/>
        </w:trPr>
        <w:tc>
          <w:tcPr>
            <w:tcW w:type="dxa" w:w="28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Genting Bhd</w:t>
            </w:r>
          </w:p>
        </w:tc>
        <w:tc>
          <w:tcPr>
            <w:tcW w:type="dxa" w:w="20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Malaysia</w:t>
            </w:r>
          </w:p>
        </w:tc>
        <w:tc>
          <w:tcPr>
            <w:tcW w:type="dxa" w:w="8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28.0%</w:t>
            </w:r>
          </w:p>
        </w:tc>
        <w:tc>
          <w:tcPr>
            <w:tcW w:type="dxa" w:w="7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14.3%</w:t>
            </w:r>
          </w:p>
        </w:tc>
        <w:tc>
          <w:tcPr>
            <w:tcW w:type="dxa" w:w="10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7.9%</w:t>
            </w:r>
          </w:p>
        </w:tc>
        <w:tc>
          <w:tcPr>
            <w:tcW w:type="dxa" w:w="11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3.6x</w:t>
            </w:r>
          </w:p>
        </w:tc>
        <w:tc>
          <w:tcPr>
            <w:tcW w:type="dxa" w:w="6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3.5%</w:t>
            </w:r>
          </w:p>
        </w:tc>
        <w:tc>
          <w:tcPr>
            <w:tcW w:type="dxa" w:w="6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4.6%</w:t>
            </w:r>
          </w:p>
        </w:tc>
      </w:tr>
      <w:tr>
        <w:trPr>
          <w:cantSplit/>
        </w:trPr>
        <w:tc>
          <w:tcPr>
            <w:tcW w:type="dxa" w:w="28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Genting Singapore</w:t>
            </w:r>
          </w:p>
        </w:tc>
        <w:tc>
          <w:tcPr>
            <w:tcW w:type="dxa" w:w="20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Singapore</w:t>
            </w:r>
          </w:p>
        </w:tc>
        <w:tc>
          <w:tcPr>
            <w:tcW w:type="dxa" w:w="8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32.4%</w:t>
            </w:r>
          </w:p>
        </w:tc>
        <w:tc>
          <w:tcPr>
            <w:tcW w:type="dxa" w:w="7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15.4%</w:t>
            </w:r>
          </w:p>
        </w:tc>
        <w:tc>
          <w:tcPr>
            <w:tcW w:type="dxa" w:w="10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2.2%</w:t>
            </w:r>
          </w:p>
        </w:tc>
        <w:tc>
          <w:tcPr>
            <w:tcW w:type="dxa" w:w="11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-3.7x</w:t>
            </w:r>
          </w:p>
        </w:tc>
        <w:tc>
          <w:tcPr>
            <w:tcW w:type="dxa" w:w="6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6.6%</w:t>
            </w:r>
          </w:p>
        </w:tc>
        <w:tc>
          <w:tcPr>
            <w:tcW w:type="dxa" w:w="6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2.3%</w:t>
            </w:r>
          </w:p>
        </w:tc>
      </w:tr>
      <w:tr>
        <w:trPr>
          <w:cantSplit/>
        </w:trPr>
        <w:tc>
          <w:tcPr>
            <w:tcW w:type="dxa" w:w="28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Las Vegas Sands</w:t>
            </w:r>
          </w:p>
        </w:tc>
        <w:tc>
          <w:tcPr>
            <w:tcW w:type="dxa" w:w="20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USA/Macau/Singapore</w:t>
            </w:r>
          </w:p>
        </w:tc>
        <w:tc>
          <w:tcPr>
            <w:tcW w:type="dxa" w:w="8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34.6%</w:t>
            </w:r>
          </w:p>
        </w:tc>
        <w:tc>
          <w:tcPr>
            <w:tcW w:type="dxa" w:w="7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23.3%</w:t>
            </w:r>
          </w:p>
        </w:tc>
        <w:tc>
          <w:tcPr>
            <w:tcW w:type="dxa" w:w="10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18.1%</w:t>
            </w:r>
          </w:p>
        </w:tc>
        <w:tc>
          <w:tcPr>
            <w:tcW w:type="dxa" w:w="11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2.5x</w:t>
            </w:r>
          </w:p>
        </w:tc>
        <w:tc>
          <w:tcPr>
            <w:tcW w:type="dxa" w:w="6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2.7%</w:t>
            </w:r>
          </w:p>
        </w:tc>
        <w:tc>
          <w:tcPr>
            <w:tcW w:type="dxa" w:w="6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11.0%</w:t>
            </w:r>
          </w:p>
        </w:tc>
      </w:tr>
      <w:tr>
        <w:trPr>
          <w:cantSplit/>
        </w:trPr>
        <w:tc>
          <w:tcPr>
            <w:tcW w:type="dxa" w:w="28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Sands China</w:t>
            </w:r>
          </w:p>
        </w:tc>
        <w:tc>
          <w:tcPr>
            <w:tcW w:type="dxa" w:w="20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Macau</w:t>
            </w:r>
          </w:p>
        </w:tc>
        <w:tc>
          <w:tcPr>
            <w:tcW w:type="dxa" w:w="8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26.3%</w:t>
            </w:r>
          </w:p>
        </w:tc>
        <w:tc>
          <w:tcPr>
            <w:tcW w:type="dxa" w:w="7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16.3%</w:t>
            </w:r>
          </w:p>
        </w:tc>
        <w:tc>
          <w:tcPr>
            <w:tcW w:type="dxa" w:w="10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11.5%</w:t>
            </w:r>
          </w:p>
        </w:tc>
        <w:tc>
          <w:tcPr>
            <w:tcW w:type="dxa" w:w="11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2.7x</w:t>
            </w:r>
          </w:p>
        </w:tc>
        <w:tc>
          <w:tcPr>
            <w:tcW w:type="dxa" w:w="6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6.5%</w:t>
            </w:r>
          </w:p>
        </w:tc>
        <w:tc>
          <w:tcPr>
            <w:tcW w:type="dxa" w:w="6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14.4%</w:t>
            </w:r>
          </w:p>
        </w:tc>
      </w:tr>
      <w:tr>
        <w:trPr>
          <w:cantSplit/>
        </w:trPr>
        <w:tc>
          <w:tcPr>
            <w:tcW w:type="dxa" w:w="28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Galaxy Entertainment</w:t>
            </w:r>
          </w:p>
        </w:tc>
        <w:tc>
          <w:tcPr>
            <w:tcW w:type="dxa" w:w="20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Macau</w:t>
            </w:r>
          </w:p>
        </w:tc>
        <w:tc>
          <w:tcPr>
            <w:tcW w:type="dxa" w:w="8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26.9%</w:t>
            </w:r>
          </w:p>
        </w:tc>
        <w:tc>
          <w:tcPr>
            <w:tcW w:type="dxa" w:w="7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19.2%</w:t>
            </w:r>
          </w:p>
        </w:tc>
        <w:tc>
          <w:tcPr>
            <w:tcW w:type="dxa" w:w="10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11.1%</w:t>
            </w:r>
          </w:p>
        </w:tc>
        <w:tc>
          <w:tcPr>
            <w:tcW w:type="dxa" w:w="11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-0.8x</w:t>
            </w:r>
          </w:p>
        </w:tc>
        <w:tc>
          <w:tcPr>
            <w:tcW w:type="dxa" w:w="6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4.5%</w:t>
            </w:r>
          </w:p>
        </w:tc>
        <w:tc>
          <w:tcPr>
            <w:tcW w:type="dxa" w:w="6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7.6%</w:t>
            </w:r>
          </w:p>
        </w:tc>
      </w:tr>
      <w:tr>
        <w:trPr>
          <w:cantSplit/>
        </w:trPr>
        <w:tc>
          <w:tcPr>
            <w:tcW w:type="dxa" w:w="28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Wynn Resorts</w:t>
            </w:r>
          </w:p>
        </w:tc>
        <w:tc>
          <w:tcPr>
            <w:tcW w:type="dxa" w:w="20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USA/Macau</w:t>
            </w:r>
          </w:p>
        </w:tc>
        <w:tc>
          <w:tcPr>
            <w:tcW w:type="dxa" w:w="8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25.2%</w:t>
            </w:r>
          </w:p>
        </w:tc>
        <w:tc>
          <w:tcPr>
            <w:tcW w:type="dxa" w:w="7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16.0%</w:t>
            </w:r>
          </w:p>
        </w:tc>
        <w:tc>
          <w:tcPr>
            <w:tcW w:type="dxa" w:w="10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6.4%</w:t>
            </w:r>
          </w:p>
        </w:tc>
        <w:tc>
          <w:tcPr>
            <w:tcW w:type="dxa" w:w="11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5.5x</w:t>
            </w:r>
          </w:p>
        </w:tc>
        <w:tc>
          <w:tcPr>
            <w:tcW w:type="dxa" w:w="6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2.4%</w:t>
            </w:r>
          </w:p>
        </w:tc>
        <w:tc>
          <w:tcPr>
            <w:tcW w:type="dxa" w:w="6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10.3%</w:t>
            </w:r>
          </w:p>
        </w:tc>
      </w:tr>
      <w:tr>
        <w:trPr>
          <w:cantSplit/>
        </w:trPr>
        <w:tc>
          <w:tcPr>
            <w:tcW w:type="dxa" w:w="28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Wynn Macau</w:t>
            </w:r>
          </w:p>
        </w:tc>
        <w:tc>
          <w:tcPr>
            <w:tcW w:type="dxa" w:w="20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Macau</w:t>
            </w:r>
          </w:p>
        </w:tc>
        <w:tc>
          <w:tcPr>
            <w:tcW w:type="dxa" w:w="8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24.6%</w:t>
            </w:r>
          </w:p>
        </w:tc>
        <w:tc>
          <w:tcPr>
            <w:tcW w:type="dxa" w:w="7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16.2%</w:t>
            </w:r>
          </w:p>
        </w:tc>
        <w:tc>
          <w:tcPr>
            <w:tcW w:type="dxa" w:w="10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12.0%</w:t>
            </w:r>
          </w:p>
        </w:tc>
        <w:tc>
          <w:tcPr>
            <w:tcW w:type="dxa" w:w="11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4.4x</w:t>
            </w:r>
          </w:p>
        </w:tc>
        <w:tc>
          <w:tcPr>
            <w:tcW w:type="dxa" w:w="6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8.0%</w:t>
            </w:r>
          </w:p>
        </w:tc>
        <w:tc>
          <w:tcPr>
            <w:tcW w:type="dxa" w:w="6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19.8%</w:t>
            </w:r>
          </w:p>
        </w:tc>
      </w:tr>
      <w:tr>
        <w:trPr>
          <w:cantSplit/>
        </w:trPr>
        <w:tc>
          <w:tcPr>
            <w:tcW w:type="dxa" w:w="28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MGM Resorts</w:t>
            </w:r>
          </w:p>
        </w:tc>
        <w:tc>
          <w:tcPr>
            <w:tcW w:type="dxa" w:w="20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USA/Macau</w:t>
            </w:r>
          </w:p>
        </w:tc>
        <w:tc>
          <w:tcPr>
            <w:tcW w:type="dxa" w:w="8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25.8%</w:t>
            </w:r>
          </w:p>
        </w:tc>
        <w:tc>
          <w:tcPr>
            <w:tcW w:type="dxa" w:w="7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7.0%</w:t>
            </w:r>
          </w:p>
        </w:tc>
        <w:tc>
          <w:tcPr>
            <w:tcW w:type="dxa" w:w="10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3.2%</w:t>
            </w:r>
          </w:p>
        </w:tc>
        <w:tc>
          <w:tcPr>
            <w:tcW w:type="dxa" w:w="11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6.0x</w:t>
            </w:r>
          </w:p>
        </w:tc>
        <w:tc>
          <w:tcPr>
            <w:tcW w:type="dxa" w:w="6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0.0%</w:t>
            </w:r>
          </w:p>
        </w:tc>
        <w:tc>
          <w:tcPr>
            <w:tcW w:type="dxa" w:w="6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20.8%</w:t>
            </w:r>
          </w:p>
        </w:tc>
      </w:tr>
      <w:tr>
        <w:trPr>
          <w:cantSplit/>
        </w:trPr>
        <w:tc>
          <w:tcPr>
            <w:tcW w:type="dxa" w:w="28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MGM China</w:t>
            </w:r>
          </w:p>
        </w:tc>
        <w:tc>
          <w:tcPr>
            <w:tcW w:type="dxa" w:w="20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Macau</w:t>
            </w:r>
          </w:p>
        </w:tc>
        <w:tc>
          <w:tcPr>
            <w:tcW w:type="dxa" w:w="8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23.5%</w:t>
            </w:r>
          </w:p>
        </w:tc>
        <w:tc>
          <w:tcPr>
            <w:tcW w:type="dxa" w:w="7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17.1%</w:t>
            </w:r>
          </w:p>
        </w:tc>
        <w:tc>
          <w:tcPr>
            <w:tcW w:type="dxa" w:w="10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11.6%</w:t>
            </w:r>
          </w:p>
        </w:tc>
        <w:tc>
          <w:tcPr>
            <w:tcW w:type="dxa" w:w="11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1.7x</w:t>
            </w:r>
          </w:p>
        </w:tc>
        <w:tc>
          <w:tcPr>
            <w:tcW w:type="dxa" w:w="6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6.8%</w:t>
            </w:r>
          </w:p>
        </w:tc>
        <w:tc>
          <w:tcPr>
            <w:tcW w:type="dxa" w:w="6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17.7%</w:t>
            </w:r>
          </w:p>
        </w:tc>
      </w:tr>
      <w:tr>
        <w:trPr>
          <w:cantSplit/>
        </w:trPr>
        <w:tc>
          <w:tcPr>
            <w:tcW w:type="dxa" w:w="28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Melco Resorts &amp; Ent.</w:t>
            </w:r>
          </w:p>
        </w:tc>
        <w:tc>
          <w:tcPr>
            <w:tcW w:type="dxa" w:w="20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Macau/Philippines/Cyprus</w:t>
            </w:r>
          </w:p>
        </w:tc>
        <w:tc>
          <w:tcPr>
            <w:tcW w:type="dxa" w:w="8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24.9%</w:t>
            </w:r>
          </w:p>
        </w:tc>
        <w:tc>
          <w:tcPr>
            <w:tcW w:type="dxa" w:w="7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13.4%</w:t>
            </w:r>
          </w:p>
        </w:tc>
        <w:tc>
          <w:tcPr>
            <w:tcW w:type="dxa" w:w="10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6.0%</w:t>
            </w:r>
          </w:p>
        </w:tc>
        <w:tc>
          <w:tcPr>
            <w:tcW w:type="dxa" w:w="11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4.9x</w:t>
            </w:r>
          </w:p>
        </w:tc>
        <w:tc>
          <w:tcPr>
            <w:tcW w:type="dxa" w:w="6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0.0%</w:t>
            </w:r>
          </w:p>
        </w:tc>
        <w:tc>
          <w:tcPr>
            <w:tcW w:type="dxa" w:w="6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31.4%</w:t>
            </w:r>
          </w:p>
        </w:tc>
      </w:tr>
      <w:tr>
        <w:trPr>
          <w:cantSplit/>
        </w:trPr>
        <w:tc>
          <w:tcPr>
            <w:tcW w:type="dxa" w:w="28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Melco International Dev.</w:t>
            </w:r>
          </w:p>
        </w:tc>
        <w:tc>
          <w:tcPr>
            <w:tcW w:type="dxa" w:w="20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Macau (holdco)</w:t>
            </w:r>
          </w:p>
        </w:tc>
        <w:tc>
          <w:tcPr>
            <w:tcW w:type="dxa" w:w="8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23.5%</w:t>
            </w:r>
          </w:p>
        </w:tc>
        <w:tc>
          <w:tcPr>
            <w:tcW w:type="dxa" w:w="7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12.6%</w:t>
            </w:r>
          </w:p>
        </w:tc>
        <w:tc>
          <w:tcPr>
            <w:tcW w:type="dxa" w:w="10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6.3%</w:t>
            </w:r>
          </w:p>
        </w:tc>
        <w:tc>
          <w:tcPr>
            <w:tcW w:type="dxa" w:w="11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5.4x</w:t>
            </w:r>
          </w:p>
        </w:tc>
        <w:tc>
          <w:tcPr>
            <w:tcW w:type="dxa" w:w="6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0.0%</w:t>
            </w:r>
          </w:p>
        </w:tc>
        <w:tc>
          <w:tcPr>
            <w:tcW w:type="dxa" w:w="6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n.m.</w:t>
            </w:r>
          </w:p>
        </w:tc>
      </w:tr>
      <w:tr>
        <w:trPr>
          <w:cantSplit/>
        </w:trPr>
        <w:tc>
          <w:tcPr>
            <w:tcW w:type="dxa" w:w="28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SJM Holdings</w:t>
            </w:r>
          </w:p>
        </w:tc>
        <w:tc>
          <w:tcPr>
            <w:tcW w:type="dxa" w:w="20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Macau</w:t>
            </w:r>
          </w:p>
        </w:tc>
        <w:tc>
          <w:tcPr>
            <w:tcW w:type="dxa" w:w="8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12.1%</w:t>
            </w:r>
          </w:p>
        </w:tc>
        <w:tc>
          <w:tcPr>
            <w:tcW w:type="dxa" w:w="7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3.3%</w:t>
            </w:r>
          </w:p>
        </w:tc>
        <w:tc>
          <w:tcPr>
            <w:tcW w:type="dxa" w:w="10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-15.2%</w:t>
            </w:r>
          </w:p>
        </w:tc>
        <w:tc>
          <w:tcPr>
            <w:tcW w:type="dxa" w:w="11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9.5x</w:t>
            </w:r>
          </w:p>
        </w:tc>
        <w:tc>
          <w:tcPr>
            <w:tcW w:type="dxa" w:w="6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0.0%</w:t>
            </w:r>
          </w:p>
        </w:tc>
        <w:tc>
          <w:tcPr>
            <w:tcW w:type="dxa" w:w="6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10.6%</w:t>
            </w:r>
          </w:p>
        </w:tc>
      </w:tr>
      <w:tr>
        <w:trPr>
          <w:cantSplit/>
        </w:trPr>
        <w:tc>
          <w:tcPr>
            <w:tcW w:type="dxa" w:w="28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Studio City Intl</w:t>
            </w:r>
          </w:p>
        </w:tc>
        <w:tc>
          <w:tcPr>
            <w:tcW w:type="dxa" w:w="20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Macau</w:t>
            </w:r>
          </w:p>
        </w:tc>
        <w:tc>
          <w:tcPr>
            <w:tcW w:type="dxa" w:w="8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42.9%</w:t>
            </w:r>
          </w:p>
        </w:tc>
        <w:tc>
          <w:tcPr>
            <w:tcW w:type="dxa" w:w="7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11.2%</w:t>
            </w:r>
          </w:p>
        </w:tc>
        <w:tc>
          <w:tcPr>
            <w:tcW w:type="dxa" w:w="10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0.7%</w:t>
            </w:r>
          </w:p>
        </w:tc>
        <w:tc>
          <w:tcPr>
            <w:tcW w:type="dxa" w:w="11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6.4x</w:t>
            </w:r>
          </w:p>
        </w:tc>
        <w:tc>
          <w:tcPr>
            <w:tcW w:type="dxa" w:w="6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0.0%</w:t>
            </w:r>
          </w:p>
        </w:tc>
        <w:tc>
          <w:tcPr>
            <w:tcW w:type="dxa" w:w="6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n.m.</w:t>
            </w:r>
          </w:p>
        </w:tc>
      </w:tr>
      <w:tr>
        <w:trPr>
          <w:cantSplit/>
        </w:trPr>
        <w:tc>
          <w:tcPr>
            <w:tcW w:type="dxa" w:w="28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NagaCorp</w:t>
            </w:r>
          </w:p>
        </w:tc>
        <w:tc>
          <w:tcPr>
            <w:tcW w:type="dxa" w:w="20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Cambodia</w:t>
            </w:r>
          </w:p>
        </w:tc>
        <w:tc>
          <w:tcPr>
            <w:tcW w:type="dxa" w:w="8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61.9%</w:t>
            </w:r>
          </w:p>
        </w:tc>
        <w:tc>
          <w:tcPr>
            <w:tcW w:type="dxa" w:w="7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46.5%</w:t>
            </w:r>
          </w:p>
        </w:tc>
        <w:tc>
          <w:tcPr>
            <w:tcW w:type="dxa" w:w="10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11.4%</w:t>
            </w:r>
          </w:p>
        </w:tc>
        <w:tc>
          <w:tcPr>
            <w:tcW w:type="dxa" w:w="11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-0.8x</w:t>
            </w:r>
          </w:p>
        </w:tc>
        <w:tc>
          <w:tcPr>
            <w:tcW w:type="dxa" w:w="6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3.3%</w:t>
            </w:r>
          </w:p>
        </w:tc>
        <w:tc>
          <w:tcPr>
            <w:tcW w:type="dxa" w:w="6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22.4%</w:t>
            </w:r>
          </w:p>
        </w:tc>
      </w:tr>
      <w:tr>
        <w:trPr>
          <w:cantSplit/>
        </w:trPr>
        <w:tc>
          <w:tcPr>
            <w:tcW w:type="dxa" w:w="28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Bloomberry Resorts</w:t>
            </w:r>
          </w:p>
        </w:tc>
        <w:tc>
          <w:tcPr>
            <w:tcW w:type="dxa" w:w="20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Philippines</w:t>
            </w:r>
          </w:p>
        </w:tc>
        <w:tc>
          <w:tcPr>
            <w:tcW w:type="dxa" w:w="8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18.0%</w:t>
            </w:r>
          </w:p>
        </w:tc>
        <w:tc>
          <w:tcPr>
            <w:tcW w:type="dxa" w:w="7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3.7%</w:t>
            </w:r>
          </w:p>
        </w:tc>
        <w:tc>
          <w:tcPr>
            <w:tcW w:type="dxa" w:w="10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-4.9%</w:t>
            </w:r>
          </w:p>
        </w:tc>
        <w:tc>
          <w:tcPr>
            <w:tcW w:type="dxa" w:w="11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8.3x</w:t>
            </w:r>
          </w:p>
        </w:tc>
        <w:tc>
          <w:tcPr>
            <w:tcW w:type="dxa" w:w="6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0.0%</w:t>
            </w:r>
          </w:p>
        </w:tc>
        <w:tc>
          <w:tcPr>
            <w:tcW w:type="dxa" w:w="6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22.4%</w:t>
            </w:r>
          </w:p>
        </w:tc>
      </w:tr>
      <w:tr>
        <w:trPr>
          <w:cantSplit/>
        </w:trPr>
        <w:tc>
          <w:tcPr>
            <w:tcW w:type="dxa" w:w="28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Paradise Co</w:t>
            </w:r>
          </w:p>
        </w:tc>
        <w:tc>
          <w:tcPr>
            <w:tcW w:type="dxa" w:w="20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South Korea</w:t>
            </w:r>
          </w:p>
        </w:tc>
        <w:tc>
          <w:tcPr>
            <w:tcW w:type="dxa" w:w="8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17.4%</w:t>
            </w:r>
          </w:p>
        </w:tc>
        <w:tc>
          <w:tcPr>
            <w:tcW w:type="dxa" w:w="7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10.8%</w:t>
            </w:r>
          </w:p>
        </w:tc>
        <w:tc>
          <w:tcPr>
            <w:tcW w:type="dxa" w:w="10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8.4%</w:t>
            </w:r>
          </w:p>
        </w:tc>
        <w:tc>
          <w:tcPr>
            <w:tcW w:type="dxa" w:w="11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3.0x</w:t>
            </w:r>
          </w:p>
        </w:tc>
        <w:tc>
          <w:tcPr>
            <w:tcW w:type="dxa" w:w="6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1.5%</w:t>
            </w:r>
          </w:p>
        </w:tc>
        <w:tc>
          <w:tcPr>
            <w:tcW w:type="dxa" w:w="6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-19.8%</w:t>
            </w:r>
          </w:p>
        </w:tc>
      </w:tr>
      <w:tr>
        <w:trPr>
          <w:cantSplit/>
        </w:trPr>
        <w:tc>
          <w:tcPr>
            <w:tcW w:type="dxa" w:w="28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Kangwon Land</w:t>
            </w:r>
          </w:p>
        </w:tc>
        <w:tc>
          <w:tcPr>
            <w:tcW w:type="dxa" w:w="20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South Korea</w:t>
            </w:r>
          </w:p>
        </w:tc>
        <w:tc>
          <w:tcPr>
            <w:tcW w:type="dxa" w:w="8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20.7%</w:t>
            </w:r>
          </w:p>
        </w:tc>
        <w:tc>
          <w:tcPr>
            <w:tcW w:type="dxa" w:w="7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14.6%</w:t>
            </w:r>
          </w:p>
        </w:tc>
        <w:tc>
          <w:tcPr>
            <w:tcW w:type="dxa" w:w="10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1.8%</w:t>
            </w:r>
          </w:p>
        </w:tc>
        <w:tc>
          <w:tcPr>
            <w:tcW w:type="dxa" w:w="11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-9.6x</w:t>
            </w:r>
          </w:p>
        </w:tc>
        <w:tc>
          <w:tcPr>
            <w:tcW w:type="dxa" w:w="6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6.7%</w:t>
            </w:r>
          </w:p>
        </w:tc>
        <w:tc>
          <w:tcPr>
            <w:tcW w:type="dxa" w:w="6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4.3%</w:t>
            </w:r>
          </w:p>
        </w:tc>
      </w:tr>
      <w:tr>
        <w:trPr>
          <w:cantSplit/>
        </w:trPr>
        <w:tc>
          <w:tcPr>
            <w:tcW w:type="dxa" w:w="28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Grand Korea Leisure</w:t>
            </w:r>
          </w:p>
        </w:tc>
        <w:tc>
          <w:tcPr>
            <w:tcW w:type="dxa" w:w="20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South Korea</w:t>
            </w:r>
          </w:p>
        </w:tc>
        <w:tc>
          <w:tcPr>
            <w:tcW w:type="dxa" w:w="8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19.8%</w:t>
            </w:r>
          </w:p>
        </w:tc>
        <w:tc>
          <w:tcPr>
            <w:tcW w:type="dxa" w:w="7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12.4%</w:t>
            </w:r>
          </w:p>
        </w:tc>
        <w:tc>
          <w:tcPr>
            <w:tcW w:type="dxa" w:w="10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8.0%</w:t>
            </w:r>
          </w:p>
        </w:tc>
        <w:tc>
          <w:tcPr>
            <w:tcW w:type="dxa" w:w="11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-4.3x</w:t>
            </w:r>
          </w:p>
        </w:tc>
        <w:tc>
          <w:tcPr>
            <w:tcW w:type="dxa" w:w="6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4.9%</w:t>
            </w:r>
          </w:p>
        </w:tc>
        <w:tc>
          <w:tcPr>
            <w:tcW w:type="dxa" w:w="6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19.3%</w:t>
            </w:r>
          </w:p>
        </w:tc>
      </w:tr>
      <w:tr>
        <w:trPr>
          <w:cantSplit/>
        </w:trPr>
        <w:tc>
          <w:tcPr>
            <w:tcW w:type="dxa" w:w="28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Universal Entertainment (Okada Manila)</w:t>
            </w:r>
          </w:p>
        </w:tc>
        <w:tc>
          <w:tcPr>
            <w:tcW w:type="dxa" w:w="20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Japan/Philippines</w:t>
            </w:r>
          </w:p>
        </w:tc>
        <w:tc>
          <w:tcPr>
            <w:tcW w:type="dxa" w:w="8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16.1%</w:t>
            </w:r>
          </w:p>
        </w:tc>
        <w:tc>
          <w:tcPr>
            <w:tcW w:type="dxa" w:w="7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5.2%</w:t>
            </w:r>
          </w:p>
        </w:tc>
        <w:tc>
          <w:tcPr>
            <w:tcW w:type="dxa" w:w="10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9.2%</w:t>
            </w:r>
          </w:p>
        </w:tc>
        <w:tc>
          <w:tcPr>
            <w:tcW w:type="dxa" w:w="11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6.9x</w:t>
            </w:r>
          </w:p>
        </w:tc>
        <w:tc>
          <w:tcPr>
            <w:tcW w:type="dxa" w:w="6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4.5%</w:t>
            </w:r>
          </w:p>
        </w:tc>
        <w:tc>
          <w:tcPr>
            <w:tcW w:type="dxa" w:w="6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6.8%</w:t>
            </w:r>
          </w:p>
        </w:tc>
      </w:tr>
      <w:tr>
        <w:trPr>
          <w:cantSplit/>
        </w:trPr>
        <w:tc>
          <w:tcPr>
            <w:tcW w:type="dxa" w:w="28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Star Entertainment</w:t>
            </w:r>
          </w:p>
        </w:tc>
        <w:tc>
          <w:tcPr>
            <w:tcW w:type="dxa" w:w="20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Australia</w:t>
            </w:r>
          </w:p>
        </w:tc>
        <w:tc>
          <w:tcPr>
            <w:tcW w:type="dxa" w:w="8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-3.4%</w:t>
            </w:r>
          </w:p>
        </w:tc>
        <w:tc>
          <w:tcPr>
            <w:tcW w:type="dxa" w:w="7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-7.1%</w:t>
            </w:r>
          </w:p>
        </w:tc>
        <w:tc>
          <w:tcPr>
            <w:tcW w:type="dxa" w:w="10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0.5%</w:t>
            </w:r>
          </w:p>
        </w:tc>
        <w:tc>
          <w:tcPr>
            <w:tcW w:type="dxa" w:w="11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n/a</w:t>
            </w:r>
          </w:p>
        </w:tc>
        <w:tc>
          <w:tcPr>
            <w:tcW w:type="dxa" w:w="6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0.0%</w:t>
            </w:r>
          </w:p>
        </w:tc>
        <w:tc>
          <w:tcPr>
            <w:tcW w:type="dxa" w:w="6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-9.7%</w:t>
            </w:r>
          </w:p>
        </w:tc>
      </w:tr>
      <w:tr>
        <w:trPr>
          <w:cantSplit/>
        </w:trPr>
        <w:tc>
          <w:tcPr>
            <w:tcW w:type="dxa" w:w="28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SkyCity Entertainment</w:t>
            </w:r>
          </w:p>
        </w:tc>
        <w:tc>
          <w:tcPr>
            <w:tcW w:type="dxa" w:w="20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New Zealand/Australia</w:t>
            </w:r>
          </w:p>
        </w:tc>
        <w:tc>
          <w:tcPr>
            <w:tcW w:type="dxa" w:w="8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17.1%</w:t>
            </w:r>
          </w:p>
        </w:tc>
        <w:tc>
          <w:tcPr>
            <w:tcW w:type="dxa" w:w="7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5.8%</w:t>
            </w:r>
          </w:p>
        </w:tc>
        <w:tc>
          <w:tcPr>
            <w:tcW w:type="dxa" w:w="10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-0.9%</w:t>
            </w:r>
          </w:p>
        </w:tc>
        <w:tc>
          <w:tcPr>
            <w:tcW w:type="dxa" w:w="11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4.3x</w:t>
            </w:r>
          </w:p>
        </w:tc>
        <w:tc>
          <w:tcPr>
            <w:tcW w:type="dxa" w:w="6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0.0%</w:t>
            </w:r>
          </w:p>
        </w:tc>
        <w:tc>
          <w:tcPr>
            <w:tcW w:type="dxa" w:w="6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2.5%</w:t>
            </w:r>
          </w:p>
        </w:tc>
      </w:tr>
      <w:tr>
        <w:trPr>
          <w:cantSplit/>
        </w:trPr>
        <w:tc>
          <w:tcPr>
            <w:tcW w:type="dxa" w:w="28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Caesars Entertainment</w:t>
            </w:r>
          </w:p>
        </w:tc>
        <w:tc>
          <w:tcPr>
            <w:tcW w:type="dxa" w:w="20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USA</w:t>
            </w:r>
          </w:p>
        </w:tc>
        <w:tc>
          <w:tcPr>
            <w:tcW w:type="dxa" w:w="8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31.6%</w:t>
            </w:r>
          </w:p>
        </w:tc>
        <w:tc>
          <w:tcPr>
            <w:tcW w:type="dxa" w:w="7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17.6%</w:t>
            </w:r>
          </w:p>
        </w:tc>
        <w:tc>
          <w:tcPr>
            <w:tcW w:type="dxa" w:w="10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2.4%</w:t>
            </w:r>
          </w:p>
        </w:tc>
        <w:tc>
          <w:tcPr>
            <w:tcW w:type="dxa" w:w="11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6.8x</w:t>
            </w:r>
          </w:p>
        </w:tc>
        <w:tc>
          <w:tcPr>
            <w:tcW w:type="dxa" w:w="6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0.0%</w:t>
            </w:r>
          </w:p>
        </w:tc>
        <w:tc>
          <w:tcPr>
            <w:tcW w:type="dxa" w:w="6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10.4%</w:t>
            </w:r>
          </w:p>
        </w:tc>
      </w:tr>
      <w:tr>
        <w:trPr>
          <w:cantSplit/>
        </w:trPr>
        <w:tc>
          <w:tcPr>
            <w:tcW w:type="dxa" w:w="28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PENN Entertainment</w:t>
            </w:r>
          </w:p>
        </w:tc>
        <w:tc>
          <w:tcPr>
            <w:tcW w:type="dxa" w:w="20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USA</w:t>
            </w:r>
          </w:p>
        </w:tc>
        <w:tc>
          <w:tcPr>
            <w:tcW w:type="dxa" w:w="8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23.5%</w:t>
            </w:r>
          </w:p>
        </w:tc>
        <w:tc>
          <w:tcPr>
            <w:tcW w:type="dxa" w:w="7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6.2%</w:t>
            </w:r>
          </w:p>
        </w:tc>
        <w:tc>
          <w:tcPr>
            <w:tcW w:type="dxa" w:w="10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6.1%</w:t>
            </w:r>
          </w:p>
        </w:tc>
        <w:tc>
          <w:tcPr>
            <w:tcW w:type="dxa" w:w="11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6.1x</w:t>
            </w:r>
          </w:p>
        </w:tc>
        <w:tc>
          <w:tcPr>
            <w:tcW w:type="dxa" w:w="6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0.0%</w:t>
            </w:r>
          </w:p>
        </w:tc>
        <w:tc>
          <w:tcPr>
            <w:tcW w:type="dxa" w:w="6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5.1%</w:t>
            </w:r>
          </w:p>
        </w:tc>
      </w:tr>
      <w:tr>
        <w:trPr>
          <w:cantSplit/>
        </w:trPr>
        <w:tc>
          <w:tcPr>
            <w:tcW w:type="dxa" w:w="28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Boyd Gaming</w:t>
            </w:r>
          </w:p>
        </w:tc>
        <w:tc>
          <w:tcPr>
            <w:tcW w:type="dxa" w:w="20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USA</w:t>
            </w:r>
          </w:p>
        </w:tc>
        <w:tc>
          <w:tcPr>
            <w:tcW w:type="dxa" w:w="8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32.6%</w:t>
            </w:r>
          </w:p>
        </w:tc>
        <w:tc>
          <w:tcPr>
            <w:tcW w:type="dxa" w:w="7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20.3%</w:t>
            </w:r>
          </w:p>
        </w:tc>
        <w:tc>
          <w:tcPr>
            <w:tcW w:type="dxa" w:w="10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1.8%</w:t>
            </w:r>
          </w:p>
        </w:tc>
        <w:tc>
          <w:tcPr>
            <w:tcW w:type="dxa" w:w="11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2.2x</w:t>
            </w:r>
          </w:p>
        </w:tc>
        <w:tc>
          <w:tcPr>
            <w:tcW w:type="dxa" w:w="6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w:t>
            </w:r>
          </w:p>
        </w:tc>
        <w:tc>
          <w:tcPr>
            <w:tcW w:type="dxa" w:w="6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0.7%</w:t>
            </w:r>
          </w:p>
        </w:tc>
      </w:tr>
      <w:tr>
        <w:trPr>
          <w:cantSplit/>
        </w:trPr>
        <w:tc>
          <w:tcPr>
            <w:tcW w:type="dxa" w:w="28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Red Rock Resorts</w:t>
            </w:r>
          </w:p>
        </w:tc>
        <w:tc>
          <w:tcPr>
            <w:tcW w:type="dxa" w:w="20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USA</w:t>
            </w:r>
          </w:p>
        </w:tc>
        <w:tc>
          <w:tcPr>
            <w:tcW w:type="dxa" w:w="8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41.1%</w:t>
            </w:r>
          </w:p>
        </w:tc>
        <w:tc>
          <w:tcPr>
            <w:tcW w:type="dxa" w:w="7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28.8%</w:t>
            </w:r>
          </w:p>
        </w:tc>
        <w:tc>
          <w:tcPr>
            <w:tcW w:type="dxa" w:w="10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0.9%</w:t>
            </w:r>
          </w:p>
        </w:tc>
        <w:tc>
          <w:tcPr>
            <w:tcW w:type="dxa" w:w="11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4.2x</w:t>
            </w:r>
          </w:p>
        </w:tc>
        <w:tc>
          <w:tcPr>
            <w:tcW w:type="dxa" w:w="6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0.0%</w:t>
            </w:r>
          </w:p>
        </w:tc>
        <w:tc>
          <w:tcPr>
            <w:tcW w:type="dxa" w:w="6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6.8%</w:t>
            </w:r>
          </w:p>
        </w:tc>
      </w:tr>
      <w:tr>
        <w:trPr>
          <w:cantSplit/>
        </w:trPr>
        <w:tc>
          <w:tcPr>
            <w:tcW w:type="dxa" w:w="28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Monarch Casino &amp; Resort</w:t>
            </w:r>
          </w:p>
        </w:tc>
        <w:tc>
          <w:tcPr>
            <w:tcW w:type="dxa" w:w="20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USA</w:t>
            </w:r>
          </w:p>
        </w:tc>
        <w:tc>
          <w:tcPr>
            <w:tcW w:type="dxa" w:w="8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35.5%</w:t>
            </w:r>
          </w:p>
        </w:tc>
        <w:tc>
          <w:tcPr>
            <w:tcW w:type="dxa" w:w="7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26.6%</w:t>
            </w:r>
          </w:p>
        </w:tc>
        <w:tc>
          <w:tcPr>
            <w:tcW w:type="dxa" w:w="10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5.1%</w:t>
            </w:r>
          </w:p>
        </w:tc>
        <w:tc>
          <w:tcPr>
            <w:tcW w:type="dxa" w:w="11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-0.6x</w:t>
            </w:r>
          </w:p>
        </w:tc>
        <w:tc>
          <w:tcPr>
            <w:tcW w:type="dxa" w:w="6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w:t>
            </w:r>
          </w:p>
        </w:tc>
        <w:tc>
          <w:tcPr>
            <w:tcW w:type="dxa" w:w="6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7.6%</w:t>
            </w:r>
          </w:p>
        </w:tc>
      </w:tr>
      <w:tr>
        <w:trPr>
          <w:cantSplit/>
        </w:trPr>
        <w:tc>
          <w:tcPr>
            <w:tcW w:type="dxa" w:w="28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Churchill Downs</w:t>
            </w:r>
          </w:p>
        </w:tc>
        <w:tc>
          <w:tcPr>
            <w:tcW w:type="dxa" w:w="20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USA</w:t>
            </w:r>
          </w:p>
        </w:tc>
        <w:tc>
          <w:tcPr>
            <w:tcW w:type="dxa" w:w="8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39.1%</w:t>
            </w:r>
          </w:p>
        </w:tc>
        <w:tc>
          <w:tcPr>
            <w:tcW w:type="dxa" w:w="7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30.7%</w:t>
            </w:r>
          </w:p>
        </w:tc>
        <w:tc>
          <w:tcPr>
            <w:tcW w:type="dxa" w:w="10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5.7%</w:t>
            </w:r>
          </w:p>
        </w:tc>
        <w:tc>
          <w:tcPr>
            <w:tcW w:type="dxa" w:w="11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4.0x</w:t>
            </w:r>
          </w:p>
        </w:tc>
        <w:tc>
          <w:tcPr>
            <w:tcW w:type="dxa" w:w="6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0.6%</w:t>
            </w:r>
          </w:p>
        </w:tc>
        <w:tc>
          <w:tcPr>
            <w:tcW w:type="dxa" w:w="6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10.0%</w:t>
            </w:r>
          </w:p>
        </w:tc>
      </w:tr>
      <w:tr>
        <w:trPr>
          <w:cantSplit/>
        </w:trPr>
        <w:tc>
          <w:tcPr>
            <w:tcW w:type="dxa" w:w="28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Bally's Corp</w:t>
            </w:r>
          </w:p>
        </w:tc>
        <w:tc>
          <w:tcPr>
            <w:tcW w:type="dxa" w:w="20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USA/UK</w:t>
            </w:r>
          </w:p>
        </w:tc>
        <w:tc>
          <w:tcPr>
            <w:tcW w:type="dxa" w:w="8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21.9%</w:t>
            </w:r>
          </w:p>
        </w:tc>
        <w:tc>
          <w:tcPr>
            <w:tcW w:type="dxa" w:w="7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-0.3%</w:t>
            </w:r>
          </w:p>
        </w:tc>
        <w:tc>
          <w:tcPr>
            <w:tcW w:type="dxa" w:w="10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20.4%</w:t>
            </w:r>
          </w:p>
        </w:tc>
        <w:tc>
          <w:tcPr>
            <w:tcW w:type="dxa" w:w="11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10.1x</w:t>
            </w:r>
          </w:p>
        </w:tc>
        <w:tc>
          <w:tcPr>
            <w:tcW w:type="dxa" w:w="6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0.0%</w:t>
            </w:r>
          </w:p>
        </w:tc>
        <w:tc>
          <w:tcPr>
            <w:tcW w:type="dxa" w:w="6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n.m.</w:t>
            </w:r>
          </w:p>
        </w:tc>
      </w:tr>
      <w:tr>
        <w:trPr>
          <w:cantSplit/>
        </w:trPr>
        <w:tc>
          <w:tcPr>
            <w:tcW w:type="dxa" w:w="28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Century Casinos</w:t>
            </w:r>
          </w:p>
        </w:tc>
        <w:tc>
          <w:tcPr>
            <w:tcW w:type="dxa" w:w="20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USA/Canada/Poland</w:t>
            </w:r>
          </w:p>
        </w:tc>
        <w:tc>
          <w:tcPr>
            <w:tcW w:type="dxa" w:w="8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20.2%</w:t>
            </w:r>
          </w:p>
        </w:tc>
        <w:tc>
          <w:tcPr>
            <w:tcW w:type="dxa" w:w="7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9.8%</w:t>
            </w:r>
          </w:p>
        </w:tc>
        <w:tc>
          <w:tcPr>
            <w:tcW w:type="dxa" w:w="10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w:t>
            </w:r>
          </w:p>
        </w:tc>
        <w:tc>
          <w:tcPr>
            <w:tcW w:type="dxa" w:w="11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8.6x</w:t>
            </w:r>
          </w:p>
        </w:tc>
        <w:tc>
          <w:tcPr>
            <w:tcW w:type="dxa" w:w="6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0.0%</w:t>
            </w:r>
          </w:p>
        </w:tc>
        <w:tc>
          <w:tcPr>
            <w:tcW w:type="dxa" w:w="6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-35.7%</w:t>
            </w:r>
          </w:p>
        </w:tc>
      </w:tr>
      <w:tr>
        <w:trPr>
          <w:cantSplit/>
        </w:trPr>
        <w:tc>
          <w:tcPr>
            <w:tcW w:type="dxa" w:w="28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Full House Resorts</w:t>
            </w:r>
          </w:p>
        </w:tc>
        <w:tc>
          <w:tcPr>
            <w:tcW w:type="dxa" w:w="20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USA</w:t>
            </w:r>
          </w:p>
        </w:tc>
        <w:tc>
          <w:tcPr>
            <w:tcW w:type="dxa" w:w="8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19.2%</w:t>
            </w:r>
          </w:p>
        </w:tc>
        <w:tc>
          <w:tcPr>
            <w:tcW w:type="dxa" w:w="7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2.4%</w:t>
            </w:r>
          </w:p>
        </w:tc>
        <w:tc>
          <w:tcPr>
            <w:tcW w:type="dxa" w:w="10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2.8%</w:t>
            </w:r>
          </w:p>
        </w:tc>
        <w:tc>
          <w:tcPr>
            <w:tcW w:type="dxa" w:w="11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8.4x</w:t>
            </w:r>
          </w:p>
        </w:tc>
        <w:tc>
          <w:tcPr>
            <w:tcW w:type="dxa" w:w="6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0.0%</w:t>
            </w:r>
          </w:p>
        </w:tc>
        <w:tc>
          <w:tcPr>
            <w:tcW w:type="dxa" w:w="6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9.9%</w:t>
            </w:r>
          </w:p>
        </w:tc>
      </w:tr>
      <w:tr>
        <w:trPr>
          <w:cantSplit/>
        </w:trPr>
        <w:tc>
          <w:tcPr>
            <w:tcW w:type="dxa" w:w="282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Rank Group</w:t>
            </w:r>
          </w:p>
        </w:tc>
        <w:tc>
          <w:tcPr>
            <w:tcW w:type="dxa" w:w="20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UK</w:t>
            </w:r>
          </w:p>
        </w:tc>
        <w:tc>
          <w:tcPr>
            <w:tcW w:type="dxa" w:w="8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15.2%</w:t>
            </w:r>
          </w:p>
        </w:tc>
        <w:tc>
          <w:tcPr>
            <w:tcW w:type="dxa" w:w="7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9.3%</w:t>
            </w:r>
          </w:p>
        </w:tc>
        <w:tc>
          <w:tcPr>
            <w:tcW w:type="dxa" w:w="10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5.0%</w:t>
            </w:r>
          </w:p>
        </w:tc>
        <w:tc>
          <w:tcPr>
            <w:tcW w:type="dxa" w:w="11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1.3x</w:t>
            </w:r>
          </w:p>
        </w:tc>
        <w:tc>
          <w:tcPr>
            <w:tcW w:type="dxa" w:w="6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3.9%</w:t>
            </w:r>
          </w:p>
        </w:tc>
        <w:tc>
          <w:tcPr>
            <w:tcW w:type="dxa" w:w="6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20.1%</w:t>
            </w:r>
          </w:p>
        </w:tc>
      </w:tr>
      <w:tr>
        <w:trPr>
          <w:cantSplit/>
        </w:trPr>
        <w:tc>
          <w:tcPr>
            <w:tcW w:type="dxa" w:w="282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Golden Entertainment</w:t>
            </w:r>
          </w:p>
        </w:tc>
        <w:tc>
          <w:tcPr>
            <w:tcW w:type="dxa" w:w="20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USA</w:t>
            </w:r>
          </w:p>
        </w:tc>
        <w:tc>
          <w:tcPr>
            <w:tcW w:type="dxa" w:w="8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25.5%</w:t>
            </w:r>
          </w:p>
        </w:tc>
        <w:tc>
          <w:tcPr>
            <w:tcW w:type="dxa" w:w="7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5.0%</w:t>
            </w:r>
          </w:p>
        </w:tc>
        <w:tc>
          <w:tcPr>
            <w:tcW w:type="dxa" w:w="10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-4.8%</w:t>
            </w:r>
          </w:p>
        </w:tc>
        <w:tc>
          <w:tcPr>
            <w:tcW w:type="dxa" w:w="11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2.9x</w:t>
            </w:r>
          </w:p>
        </w:tc>
        <w:tc>
          <w:tcPr>
            <w:tcW w:type="dxa" w:w="6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n/a</w:t>
            </w:r>
          </w:p>
        </w:tc>
        <w:tc>
          <w:tcPr>
            <w:tcW w:type="dxa" w:w="6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n.m.</w:t>
            </w:r>
          </w:p>
        </w:tc>
      </w:tr>
      <w:tr>
        <w:trPr>
          <w:cantSplit/>
        </w:trPr>
        <w:tc>
          <w:tcPr>
            <w:tcW w:type="dxa" w:w="2822"/>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5"/>
                <w:szCs w:val="15"/>
              </w:rPr>
              <w:t xml:space="preserve">Peer median (ex-GENM)</w:t>
            </w:r>
          </w:p>
        </w:tc>
        <w:tc>
          <w:tcPr>
            <w:tcW w:type="dxa" w:w="2098"/>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p>
        </w:tc>
        <w:tc>
          <w:tcPr>
            <w:tcW w:type="dxa" w:w="859"/>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24.7%</w:t>
            </w:r>
          </w:p>
        </w:tc>
        <w:tc>
          <w:tcPr>
            <w:tcW w:type="dxa" w:w="763"/>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13.0%</w:t>
            </w:r>
          </w:p>
        </w:tc>
        <w:tc>
          <w:tcPr>
            <w:tcW w:type="dxa" w:w="1037"/>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5.9%</w:t>
            </w:r>
          </w:p>
        </w:tc>
        <w:tc>
          <w:tcPr>
            <w:tcW w:type="dxa" w:w="1152"/>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4.3x</w:t>
            </w:r>
          </w:p>
        </w:tc>
        <w:tc>
          <w:tcPr>
            <w:tcW w:type="dxa" w:w="679"/>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0.8%</w:t>
            </w:r>
          </w:p>
        </w:tc>
        <w:tc>
          <w:tcPr>
            <w:tcW w:type="dxa" w:w="670"/>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10.0%</w:t>
            </w:r>
          </w:p>
        </w:tc>
      </w:tr>
    </w:tbl>
    <w:p>
      <w:pPr>
        <w:spacing w:after="80" w:before="0"/>
      </w:pPr>
    </w:p>
    <w:p>
      <w:pPr>
        <w:spacing w:after="140" w:before="0"/>
      </w:pPr>
      <w:r>
        <w:rPr>
          <w:rFonts w:ascii="Arial" w:cs="Arial" w:eastAsia="Arial" w:hAnsi="Arial"/>
          <w:color w:val="6B7280"/>
          <w:sz w:val="15"/>
          <w:szCs w:val="15"/>
        </w:rPr>
        <w:t xml:space="preserve">Source: S&amp;P Capital IQ. FCF yield = (LTM CFO − capex) / market cap; GENM's excludes the US$500m NY licence fee.</w:t>
      </w:r>
    </w:p>
    <w:p>
      <w:pPr>
        <w:pStyle w:val="Heading2"/>
        <w:keepNext/>
      </w:pPr>
      <w:r>
        <w:rPr>
          <w:rFonts w:ascii="Arial" w:cs="Arial" w:eastAsia="Arial" w:hAnsi="Arial"/>
        </w:rPr>
        <w:t xml:space="preserve">14.4 Private and unlisted competitors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3206"/>
        <w:gridCol w:w="2929"/>
        <w:gridCol w:w="1568"/>
        <w:gridCol w:w="2377"/>
      </w:tblGrid>
      <w:tr>
        <w:trPr>
          <w:cantSplit/>
          <w:tblHeader/>
        </w:trPr>
        <w:tc>
          <w:tcPr>
            <w:tcW w:type="dxa" w:w="320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Competitor</w:t>
            </w:r>
          </w:p>
        </w:tc>
        <w:tc>
          <w:tcPr>
            <w:tcW w:type="dxa" w:w="292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Owner</w:t>
            </w:r>
          </w:p>
        </w:tc>
        <w:tc>
          <w:tcPr>
            <w:tcW w:type="dxa" w:w="1568"/>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Listed?</w:t>
            </w:r>
          </w:p>
        </w:tc>
        <w:tc>
          <w:tcPr>
            <w:tcW w:type="dxa" w:w="237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Where it competes</w:t>
            </w:r>
          </w:p>
        </w:tc>
      </w:tr>
      <w:tr>
        <w:trPr>
          <w:cantSplit/>
        </w:trPr>
        <w:tc>
          <w:tcPr>
            <w:tcW w:type="dxa" w:w="32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Marina Bay Sands (Singapore)</w:t>
            </w:r>
          </w:p>
        </w:tc>
        <w:tc>
          <w:tcPr>
            <w:tcW w:type="dxa" w:w="292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Las Vegas Sands (LVS)</w:t>
            </w:r>
          </w:p>
        </w:tc>
        <w:tc>
          <w:tcPr>
            <w:tcW w:type="dxa" w:w="156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Via parent</w:t>
            </w:r>
          </w:p>
        </w:tc>
        <w:tc>
          <w:tcPr>
            <w:tcW w:type="dxa" w:w="23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Premium/VIP from Malaysia and the region</w:t>
            </w:r>
          </w:p>
        </w:tc>
      </w:tr>
      <w:tr>
        <w:trPr>
          <w:cantSplit/>
        </w:trPr>
        <w:tc>
          <w:tcPr>
            <w:tcW w:type="dxa" w:w="32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Resorts World Sentosa (Singapore)</w:t>
            </w:r>
          </w:p>
        </w:tc>
        <w:tc>
          <w:tcPr>
            <w:tcW w:type="dxa" w:w="292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Genting Singapore (G13 SP)</w:t>
            </w:r>
          </w:p>
        </w:tc>
        <w:tc>
          <w:tcPr>
            <w:tcW w:type="dxa" w:w="156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Via parent</w:t>
            </w:r>
          </w:p>
        </w:tc>
        <w:tc>
          <w:tcPr>
            <w:tcW w:type="dxa" w:w="23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Same; also a related party</w:t>
            </w:r>
          </w:p>
        </w:tc>
      </w:tr>
      <w:tr>
        <w:trPr>
          <w:cantSplit/>
        </w:trPr>
        <w:tc>
          <w:tcPr>
            <w:tcW w:type="dxa" w:w="32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Crown Resorts (Melbourne, Perth, Sydney)</w:t>
            </w:r>
          </w:p>
        </w:tc>
        <w:tc>
          <w:tcPr>
            <w:tcW w:type="dxa" w:w="292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Blackstone (private since Jun-2022)</w:t>
            </w:r>
          </w:p>
        </w:tc>
        <w:tc>
          <w:tcPr>
            <w:tcW w:type="dxa" w:w="156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No</w:t>
            </w:r>
          </w:p>
        </w:tc>
        <w:tc>
          <w:tcPr>
            <w:tcW w:type="dxa" w:w="23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Regional premium players</w:t>
            </w:r>
          </w:p>
        </w:tc>
      </w:tr>
      <w:tr>
        <w:trPr>
          <w:cantSplit/>
        </w:trPr>
        <w:tc>
          <w:tcPr>
            <w:tcW w:type="dxa" w:w="32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Okada Manila</w:t>
            </w:r>
          </w:p>
        </w:tc>
        <w:tc>
          <w:tcPr>
            <w:tcW w:type="dxa" w:w="292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Tiger Resort / Universal Entertainment (6425 JP)</w:t>
            </w:r>
          </w:p>
        </w:tc>
        <w:tc>
          <w:tcPr>
            <w:tcW w:type="dxa" w:w="156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Via parent</w:t>
            </w:r>
          </w:p>
        </w:tc>
        <w:tc>
          <w:tcPr>
            <w:tcW w:type="dxa" w:w="23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Philippine VIP</w:t>
            </w:r>
          </w:p>
        </w:tc>
      </w:tr>
      <w:tr>
        <w:trPr>
          <w:cantSplit/>
        </w:trPr>
        <w:tc>
          <w:tcPr>
            <w:tcW w:type="dxa" w:w="32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City of Dreams Manila</w:t>
            </w:r>
          </w:p>
        </w:tc>
        <w:tc>
          <w:tcPr>
            <w:tcW w:type="dxa" w:w="292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Melco Resorts (MLCO US)</w:t>
            </w:r>
          </w:p>
        </w:tc>
        <w:tc>
          <w:tcPr>
            <w:tcW w:type="dxa" w:w="156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Via parent</w:t>
            </w:r>
          </w:p>
        </w:tc>
        <w:tc>
          <w:tcPr>
            <w:tcW w:type="dxa" w:w="23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Philippine VIP</w:t>
            </w:r>
          </w:p>
        </w:tc>
      </w:tr>
      <w:tr>
        <w:trPr>
          <w:cantSplit/>
        </w:trPr>
        <w:tc>
          <w:tcPr>
            <w:tcW w:type="dxa" w:w="32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Newport World Resorts</w:t>
            </w:r>
          </w:p>
        </w:tc>
        <w:tc>
          <w:tcPr>
            <w:tcW w:type="dxa" w:w="292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Travellers International / Alliance Global</w:t>
            </w:r>
          </w:p>
        </w:tc>
        <w:tc>
          <w:tcPr>
            <w:tcW w:type="dxa" w:w="156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Parent listed (AGI PM)</w:t>
            </w:r>
          </w:p>
        </w:tc>
        <w:tc>
          <w:tcPr>
            <w:tcW w:type="dxa" w:w="23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Philippines</w:t>
            </w:r>
          </w:p>
        </w:tc>
      </w:tr>
      <w:tr>
        <w:trPr>
          <w:cantSplit/>
        </w:trPr>
        <w:tc>
          <w:tcPr>
            <w:tcW w:type="dxa" w:w="32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Hoiana, Ho Tram, Corona Phu Quoc (Vietnam)</w:t>
            </w:r>
          </w:p>
        </w:tc>
        <w:tc>
          <w:tcPr>
            <w:tcW w:type="dxa" w:w="292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Private</w:t>
            </w:r>
          </w:p>
        </w:tc>
        <w:tc>
          <w:tcPr>
            <w:tcW w:type="dxa" w:w="156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No</w:t>
            </w:r>
          </w:p>
        </w:tc>
        <w:tc>
          <w:tcPr>
            <w:tcW w:type="dxa" w:w="23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Regional VIP and premium mass</w:t>
            </w:r>
          </w:p>
        </w:tc>
      </w:tr>
      <w:tr>
        <w:trPr>
          <w:cantSplit/>
        </w:trPr>
        <w:tc>
          <w:tcPr>
            <w:tcW w:type="dxa" w:w="32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MGM Osaka IR (2030); Wynn Al Marjan (UAE, 2027)</w:t>
            </w:r>
          </w:p>
        </w:tc>
        <w:tc>
          <w:tcPr>
            <w:tcW w:type="dxa" w:w="292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MGM/ORIX JV; Wynn JV</w:t>
            </w:r>
          </w:p>
        </w:tc>
        <w:tc>
          <w:tcPr>
            <w:tcW w:type="dxa" w:w="156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Via parents</w:t>
            </w:r>
          </w:p>
        </w:tc>
        <w:tc>
          <w:tcPr>
            <w:tcW w:type="dxa" w:w="23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New regional supply</w:t>
            </w:r>
          </w:p>
        </w:tc>
      </w:tr>
      <w:tr>
        <w:trPr>
          <w:cantSplit/>
        </w:trPr>
        <w:tc>
          <w:tcPr>
            <w:tcW w:type="dxa" w:w="3206"/>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Metropolitan Park / Hard Rock (Queens, NY)</w:t>
            </w:r>
          </w:p>
        </w:tc>
        <w:tc>
          <w:tcPr>
            <w:tcW w:type="dxa" w:w="2929"/>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Steve Cohen + Hard Rock (Seminole Tribe)</w:t>
            </w:r>
          </w:p>
        </w:tc>
        <w:tc>
          <w:tcPr>
            <w:tcW w:type="dxa" w:w="1568"/>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No</w:t>
            </w:r>
          </w:p>
        </w:tc>
        <w:tc>
          <w:tcPr>
            <w:tcW w:type="dxa" w:w="2377"/>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RWNYC from ~2030; 25% slot tax</w:t>
            </w:r>
          </w:p>
        </w:tc>
      </w:tr>
      <w:tr>
        <w:trPr>
          <w:cantSplit/>
        </w:trPr>
        <w:tc>
          <w:tcPr>
            <w:tcW w:type="dxa" w:w="32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Bally's Bronx (Ferry Point)</w:t>
            </w:r>
          </w:p>
        </w:tc>
        <w:tc>
          <w:tcPr>
            <w:tcW w:type="dxa" w:w="292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Bally's Corp (BALY; Standard General-controlled)</w:t>
            </w:r>
          </w:p>
        </w:tc>
        <w:tc>
          <w:tcPr>
            <w:tcW w:type="dxa" w:w="156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Via parent</w:t>
            </w:r>
          </w:p>
        </w:tc>
        <w:tc>
          <w:tcPr>
            <w:tcW w:type="dxa" w:w="23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RWNYC from ~2030; 30% slot tax</w:t>
            </w:r>
          </w:p>
        </w:tc>
      </w:tr>
      <w:tr>
        <w:trPr>
          <w:cantSplit/>
        </w:trPr>
        <w:tc>
          <w:tcPr>
            <w:tcW w:type="dxa" w:w="32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Empire City (Yonkers)</w:t>
            </w:r>
          </w:p>
        </w:tc>
        <w:tc>
          <w:tcPr>
            <w:tcW w:type="dxa" w:w="292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MGM Resorts (MGM)</w:t>
            </w:r>
          </w:p>
        </w:tc>
        <w:tc>
          <w:tcPr>
            <w:tcW w:type="dxa" w:w="156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Via parent</w:t>
            </w:r>
          </w:p>
        </w:tc>
        <w:tc>
          <w:tcPr>
            <w:tcW w:type="dxa" w:w="23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RWNYC (slots only)</w:t>
            </w:r>
          </w:p>
        </w:tc>
      </w:tr>
      <w:tr>
        <w:trPr>
          <w:cantSplit/>
        </w:trPr>
        <w:tc>
          <w:tcPr>
            <w:tcW w:type="dxa" w:w="32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Jake's 58 (Long Island)</w:t>
            </w:r>
          </w:p>
        </w:tc>
        <w:tc>
          <w:tcPr>
            <w:tcW w:type="dxa" w:w="292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Delaware North</w:t>
            </w:r>
          </w:p>
        </w:tc>
        <w:tc>
          <w:tcPr>
            <w:tcW w:type="dxa" w:w="156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No</w:t>
            </w:r>
          </w:p>
        </w:tc>
        <w:tc>
          <w:tcPr>
            <w:tcW w:type="dxa" w:w="23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NY VGMs</w:t>
            </w:r>
          </w:p>
        </w:tc>
      </w:tr>
      <w:tr>
        <w:trPr>
          <w:cantSplit/>
        </w:trPr>
        <w:tc>
          <w:tcPr>
            <w:tcW w:type="dxa" w:w="32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Mohegan Sun, Foxwoods (CT); Seneca; Turning Stone</w:t>
            </w:r>
          </w:p>
        </w:tc>
        <w:tc>
          <w:tcPr>
            <w:tcW w:type="dxa" w:w="292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Tribal authorities</w:t>
            </w:r>
          </w:p>
        </w:tc>
        <w:tc>
          <w:tcPr>
            <w:tcW w:type="dxa" w:w="156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No (Mohegan has public bonds)</w:t>
            </w:r>
          </w:p>
        </w:tc>
        <w:tc>
          <w:tcPr>
            <w:tcW w:type="dxa" w:w="23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NYC drive-in and upstate</w:t>
            </w:r>
          </w:p>
        </w:tc>
      </w:tr>
      <w:tr>
        <w:trPr>
          <w:cantSplit/>
        </w:trPr>
        <w:tc>
          <w:tcPr>
            <w:tcW w:type="dxa" w:w="32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Rivers Schenectady, del Lago, Tioga Downs</w:t>
            </w:r>
          </w:p>
        </w:tc>
        <w:tc>
          <w:tcPr>
            <w:tcW w:type="dxa" w:w="292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Rush Street / private</w:t>
            </w:r>
          </w:p>
        </w:tc>
        <w:tc>
          <w:tcPr>
            <w:tcW w:type="dxa" w:w="156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Rush Street listed (RSI)</w:t>
            </w:r>
          </w:p>
        </w:tc>
        <w:tc>
          <w:tcPr>
            <w:tcW w:type="dxa" w:w="23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RW Catskills</w:t>
            </w:r>
          </w:p>
        </w:tc>
      </w:tr>
      <w:tr>
        <w:trPr>
          <w:cantSplit/>
        </w:trPr>
        <w:tc>
          <w:tcPr>
            <w:tcW w:type="dxa" w:w="32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Aspers, The Hippodrome, Les Ambassadeurs (London)</w:t>
            </w:r>
          </w:p>
        </w:tc>
        <w:tc>
          <w:tcPr>
            <w:tcW w:type="dxa" w:w="292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Private</w:t>
            </w:r>
          </w:p>
        </w:tc>
        <w:tc>
          <w:tcPr>
            <w:tcW w:type="dxa" w:w="156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No</w:t>
            </w:r>
          </w:p>
        </w:tc>
        <w:tc>
          <w:tcPr>
            <w:tcW w:type="dxa" w:w="23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Genting UK</w:t>
            </w:r>
          </w:p>
        </w:tc>
      </w:tr>
      <w:tr>
        <w:trPr>
          <w:cantSplit/>
        </w:trPr>
        <w:tc>
          <w:tcPr>
            <w:tcW w:type="dxa" w:w="32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Baha Mar, Atlantis (Bahamas)</w:t>
            </w:r>
          </w:p>
        </w:tc>
        <w:tc>
          <w:tcPr>
            <w:tcW w:type="dxa" w:w="292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Chow Tai Fook; Brookfield [u]</w:t>
            </w:r>
          </w:p>
        </w:tc>
        <w:tc>
          <w:tcPr>
            <w:tcW w:type="dxa" w:w="156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No</w:t>
            </w:r>
          </w:p>
        </w:tc>
        <w:tc>
          <w:tcPr>
            <w:tcW w:type="dxa" w:w="23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RW Bimini</w:t>
            </w:r>
          </w:p>
        </w:tc>
      </w:tr>
    </w:tbl>
    <w:p>
      <w:pPr>
        <w:spacing w:after="80" w:before="0"/>
      </w:pPr>
    </w:p>
    <w:p>
      <w:pPr>
        <w:pStyle w:val="Heading2"/>
        <w:keepNext/>
      </w:pPr>
      <w:r>
        <w:rPr>
          <w:rFonts w:ascii="Arial" w:cs="Arial" w:eastAsia="Arial" w:hAnsi="Arial"/>
        </w:rPr>
        <w:t xml:space="preserve">14.5 Regression: TEV/Sales vs EBIT margin</w:t>
      </w:r>
    </w:p>
    <w:p>
      <w:pPr>
        <w:keepNext/>
        <w:spacing w:after="40" w:before="120"/>
        <w:jc w:val="center"/>
      </w:pPr>
      <w:r>
        <w:drawing>
          <wp:inline distT="0" distB="0" distL="0" distR="0">
            <wp:extent cx="6400800" cy="3867150"/>
            <wp:effectExtent t="0" r="0" b="0" l="0"/>
            <wp:docPr id="1" name="fig6" descr="TEV/Sales (x-axis) vs LTM EBIT margin (y-axis) for GENM and 22 core listed peer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3867150"/>
                    </a:xfrm>
                    <a:prstGeom prst="rect">
                      <a:avLst/>
                    </a:prstGeom>
                  </pic:spPr>
                </pic:pic>
              </a:graphicData>
            </a:graphic>
          </wp:inline>
        </w:drawing>
      </w:r>
    </w:p>
    <w:p>
      <w:pPr>
        <w:spacing w:after="160" w:before="0"/>
      </w:pPr>
      <w:r>
        <w:rPr>
          <w:rFonts w:ascii="Arial" w:cs="Arial" w:eastAsia="Arial" w:hAnsi="Arial"/>
          <w:i/>
          <w:iCs/>
          <w:color w:val="6B7280"/>
          <w:sz w:val="15"/>
          <w:szCs w:val="15"/>
        </w:rPr>
        <w:t xml:space="preserve">Figure 6: TEV/Sales (x-axis) vs LTM EBIT margin (y-axis) for GENM and 22 core listed peers.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6799"/>
        <w:gridCol w:w="1030"/>
        <w:gridCol w:w="742"/>
        <w:gridCol w:w="529"/>
        <w:gridCol w:w="980"/>
      </w:tblGrid>
      <w:tr>
        <w:trPr>
          <w:cantSplit/>
          <w:tblHeader/>
        </w:trPr>
        <w:tc>
          <w:tcPr>
            <w:tcW w:type="dxa" w:w="679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Regression (core sample, n = 22)</w:t>
            </w:r>
          </w:p>
        </w:tc>
        <w:tc>
          <w:tcPr>
            <w:tcW w:type="dxa" w:w="103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Intercept</w:t>
            </w:r>
          </w:p>
        </w:tc>
        <w:tc>
          <w:tcPr>
            <w:tcW w:type="dxa" w:w="74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Slope</w:t>
            </w:r>
          </w:p>
        </w:tc>
        <w:tc>
          <w:tcPr>
            <w:tcW w:type="dxa" w:w="52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R²</w:t>
            </w:r>
          </w:p>
        </w:tc>
        <w:tc>
          <w:tcPr>
            <w:tcW w:type="dxa" w:w="98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t-stat (slope)</w:t>
            </w:r>
          </w:p>
        </w:tc>
      </w:tr>
      <w:tr>
        <w:trPr>
          <w:cantSplit/>
        </w:trPr>
        <w:tc>
          <w:tcPr>
            <w:tcW w:type="dxa" w:w="679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TEV/Sales = a + b × EBIT margin (%)</w:t>
            </w:r>
          </w:p>
        </w:tc>
        <w:tc>
          <w:tcPr>
            <w:tcW w:type="dxa" w:w="103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1.039</w:t>
            </w:r>
          </w:p>
        </w:tc>
        <w:tc>
          <w:tcPr>
            <w:tcW w:type="dxa" w:w="74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0.0702</w:t>
            </w:r>
          </w:p>
        </w:tc>
        <w:tc>
          <w:tcPr>
            <w:tcW w:type="dxa" w:w="52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0.63</w:t>
            </w:r>
          </w:p>
        </w:tc>
        <w:tc>
          <w:tcPr>
            <w:tcW w:type="dxa" w:w="9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5.87</w:t>
            </w:r>
          </w:p>
        </w:tc>
      </w:tr>
      <w:tr>
        <w:trPr>
          <w:cantSplit/>
        </w:trPr>
        <w:tc>
          <w:tcPr>
            <w:tcW w:type="dxa" w:w="679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TEV/Sales = a + b × EBITDA margin (%) (cross-check)</w:t>
            </w:r>
          </w:p>
        </w:tc>
        <w:tc>
          <w:tcPr>
            <w:tcW w:type="dxa" w:w="103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0.204</w:t>
            </w:r>
          </w:p>
        </w:tc>
        <w:tc>
          <w:tcPr>
            <w:tcW w:type="dxa" w:w="74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0.0723</w:t>
            </w:r>
          </w:p>
        </w:tc>
        <w:tc>
          <w:tcPr>
            <w:tcW w:type="dxa" w:w="52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0.66</w:t>
            </w:r>
          </w:p>
        </w:tc>
        <w:tc>
          <w:tcPr>
            <w:tcW w:type="dxa" w:w="9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6.29</w:t>
            </w:r>
          </w:p>
        </w:tc>
      </w:tr>
      <w:tr>
        <w:trPr>
          <w:cantSplit/>
        </w:trPr>
        <w:tc>
          <w:tcPr>
            <w:tcW w:type="dxa" w:w="679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Full sample (n = 28; incl. NagaCorp, GKL, micro-caps, holdco double counts)</w:t>
            </w:r>
          </w:p>
        </w:tc>
        <w:tc>
          <w:tcPr>
            <w:tcW w:type="dxa" w:w="103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1.487</w:t>
            </w:r>
          </w:p>
        </w:tc>
        <w:tc>
          <w:tcPr>
            <w:tcW w:type="dxa" w:w="74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0.0343</w:t>
            </w:r>
          </w:p>
        </w:tc>
        <w:tc>
          <w:tcPr>
            <w:tcW w:type="dxa" w:w="52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0.20</w:t>
            </w:r>
          </w:p>
        </w:tc>
        <w:tc>
          <w:tcPr>
            <w:tcW w:type="dxa" w:w="9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2.56</w:t>
            </w:r>
          </w:p>
        </w:tc>
      </w:tr>
    </w:tbl>
    <w:p>
      <w:pPr>
        <w:spacing w:after="80" w:before="0"/>
      </w:pPr>
    </w:p>
    <w:p>
      <w:pPr>
        <w:spacing w:after="140" w:before="0"/>
      </w:pPr>
      <w:r>
        <w:rPr>
          <w:rFonts w:ascii="Arial" w:cs="Arial" w:eastAsia="Arial" w:hAnsi="Arial"/>
          <w:color w:val="6B7280"/>
          <w:sz w:val="15"/>
          <w:szCs w:val="15"/>
        </w:rPr>
        <w:t xml:space="preserve">Exclusions from the core sample: Kangwon Land (negative TEV), Star Entertainment and Bally's (negative EBIT), Golden Entertainment (delisted), NagaCorp (46% margin outlier), GKL (net-cash outlier), Century and Full House (micro-caps), Melco International and Studio City (double counts of Melco).</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4069"/>
        <w:gridCol w:w="1151"/>
        <w:gridCol w:w="998"/>
        <w:gridCol w:w="843"/>
        <w:gridCol w:w="3019"/>
      </w:tblGrid>
      <w:tr>
        <w:trPr>
          <w:cantSplit/>
          <w:tblHeader/>
        </w:trPr>
        <w:tc>
          <w:tcPr>
            <w:tcW w:type="dxa" w:w="406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What the line implies for GENM</w:t>
            </w:r>
          </w:p>
        </w:tc>
        <w:tc>
          <w:tcPr>
            <w:tcW w:type="dxa" w:w="115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Implied TEV/Sales</w:t>
            </w:r>
          </w:p>
        </w:tc>
        <w:tc>
          <w:tcPr>
            <w:tcW w:type="dxa" w:w="998"/>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Implied TEV</w:t>
            </w:r>
          </w:p>
        </w:tc>
        <w:tc>
          <w:tcPr>
            <w:tcW w:type="dxa" w:w="84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vs current</w:t>
            </w:r>
          </w:p>
        </w:tc>
        <w:tc>
          <w:tcPr>
            <w:tcW w:type="dxa" w:w="301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Per share</w:t>
            </w:r>
          </w:p>
        </w:tc>
      </w:tr>
      <w:tr>
        <w:trPr>
          <w:cantSplit/>
        </w:trPr>
        <w:tc>
          <w:tcPr>
            <w:tcW w:type="dxa" w:w="406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LTM EBIT margin 8.6% (CIQ basis)</w:t>
            </w:r>
          </w:p>
        </w:tc>
        <w:tc>
          <w:tcPr>
            <w:tcW w:type="dxa" w:w="11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6"/>
                <w:szCs w:val="16"/>
              </w:rPr>
              <w:t xml:space="preserve">1.64x</w:t>
            </w:r>
          </w:p>
        </w:tc>
        <w:tc>
          <w:tcPr>
            <w:tcW w:type="dxa" w:w="9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RM21.5bn</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+8%</w:t>
            </w:r>
          </w:p>
        </w:tc>
        <w:tc>
          <w:tcPr>
            <w:tcW w:type="dxa" w:w="301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RM1.30-1.47</w:t>
            </w:r>
            <w:r>
              <w:rPr>
                <w:rFonts w:ascii="Arial" w:cs="Arial" w:eastAsia="Arial" w:hAnsi="Arial"/>
                <w:b w:val="false"/>
                <w:bCs w:val="false"/>
                <w:color w:val="1F2937"/>
                <w:sz w:val="16"/>
                <w:szCs w:val="16"/>
              </w:rPr>
              <w:t xml:space="preserve"> (+9% to +24%)</w:t>
            </w:r>
          </w:p>
        </w:tc>
      </w:tr>
      <w:tr>
        <w:trPr>
          <w:cantSplit/>
        </w:trPr>
        <w:tc>
          <w:tcPr>
            <w:tcW w:type="dxa" w:w="406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FY26E consensus EBIT margin 12.7%</w:t>
            </w:r>
          </w:p>
        </w:tc>
        <w:tc>
          <w:tcPr>
            <w:tcW w:type="dxa" w:w="11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1.93x</w:t>
            </w:r>
          </w:p>
        </w:tc>
        <w:tc>
          <w:tcPr>
            <w:tcW w:type="dxa" w:w="9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RM25.3bn</w:t>
            </w:r>
          </w:p>
        </w:tc>
        <w:tc>
          <w:tcPr>
            <w:tcW w:type="dxa" w:w="84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+27%</w:t>
            </w:r>
          </w:p>
        </w:tc>
        <w:tc>
          <w:tcPr>
            <w:tcW w:type="dxa" w:w="301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RM1.96-2.13 (+65% to +79%)</w:t>
            </w:r>
          </w:p>
        </w:tc>
      </w:tr>
      <w:tr>
        <w:trPr>
          <w:cantSplit/>
        </w:trPr>
        <w:tc>
          <w:tcPr>
            <w:tcW w:type="dxa" w:w="406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Company adj. EBIT margin 12.4% (LTM)</w:t>
            </w:r>
          </w:p>
        </w:tc>
        <w:tc>
          <w:tcPr>
            <w:tcW w:type="dxa" w:w="11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1.91x</w:t>
            </w:r>
          </w:p>
        </w:tc>
        <w:tc>
          <w:tcPr>
            <w:tcW w:type="dxa" w:w="9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RM25.0bn</w:t>
            </w:r>
          </w:p>
        </w:tc>
        <w:tc>
          <w:tcPr>
            <w:tcW w:type="dxa" w:w="84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+25%</w:t>
            </w:r>
          </w:p>
        </w:tc>
        <w:tc>
          <w:tcPr>
            <w:tcW w:type="dxa" w:w="301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RM1.91-2.08 (+61% to +75%)</w:t>
            </w:r>
          </w:p>
        </w:tc>
      </w:tr>
    </w:tbl>
    <w:p>
      <w:pPr>
        <w:spacing w:after="80" w:before="0"/>
      </w:pPr>
    </w:p>
    <w:p>
      <w:pPr>
        <w:spacing w:after="110" w:before="0" w:line="264"/>
      </w:pPr>
      <w:r>
        <w:rPr>
          <w:rFonts w:ascii="Arial" w:cs="Arial" w:eastAsia="Arial" w:hAnsi="Arial"/>
          <w:b/>
          <w:bCs/>
          <w:color w:val="1F2937"/>
          <w:sz w:val="19"/>
          <w:szCs w:val="19"/>
        </w:rPr>
        <w:t xml:space="preserve">Interpretation.</w:t>
      </w:r>
      <w:r>
        <w:rPr>
          <w:rFonts w:ascii="Arial" w:cs="Arial" w:eastAsia="Arial" w:hAnsi="Arial"/>
          <w:color w:val="1F2937"/>
          <w:sz w:val="19"/>
          <w:szCs w:val="19"/>
        </w:rPr>
        <w:t xml:space="preserve"> On today's margins GENM now sits slightly below the line (1.52x actual vs 1.64x implied): the market prices it at a modest discount to peers. The re-rating case still rests on </w:t>
      </w:r>
      <w:r>
        <w:rPr>
          <w:rFonts w:ascii="Arial" w:cs="Arial" w:eastAsia="Arial" w:hAnsi="Arial"/>
          <w:b/>
          <w:bCs/>
          <w:color w:val="1F2937"/>
          <w:sz w:val="19"/>
          <w:szCs w:val="19"/>
        </w:rPr>
        <w:t xml:space="preserve">margin recovery</w:t>
      </w:r>
      <w:r>
        <w:rPr>
          <w:rFonts w:ascii="Arial" w:cs="Arial" w:eastAsia="Arial" w:hAnsi="Arial"/>
          <w:color w:val="1F2937"/>
          <w:sz w:val="19"/>
          <w:szCs w:val="19"/>
        </w:rPr>
        <w:t xml:space="preserve"> as NY ramps and pre-opening costs roll off. With net debt at ~2.1x market cap, the 8% EV gap is worth +9-24% to the equity, while a 25-27% EV gap (margin recovery to ~12.5%) is worth +61-79%. The per-share range reflects two TEV-to-equity bridges: CIQ's (RM13.2bn of claims) and net debt including leases (RM14.2bn). The reverse fit (EBIT margin on TEV/Sales, as plotted) is EBIT margin = −3.9% + 9.0% × TEV/Sales, with the same R² of 0.63.</w:t>
      </w:r>
    </w:p>
    <w:p>
      <w:pPr>
        <w:pStyle w:val="Heading2"/>
        <w:keepNext/>
      </w:pPr>
      <w:r>
        <w:rPr>
          <w:rFonts w:ascii="Arial" w:cs="Arial" w:eastAsia="Arial" w:hAnsi="Arial"/>
        </w:rPr>
        <w:t xml:space="preserve">14.6 Against its own history</w:t>
      </w:r>
    </w:p>
    <w:p>
      <w:pPr>
        <w:keepNext/>
        <w:spacing w:after="40" w:before="120"/>
        <w:jc w:val="center"/>
      </w:pPr>
      <w:r>
        <w:drawing>
          <wp:inline distT="0" distB="0" distL="0" distR="0">
            <wp:extent cx="6400800" cy="2962275"/>
            <wp:effectExtent t="0" r="0" b="0" l="0"/>
            <wp:docPr id="1" name="fig7" descr="TEV/NTM EBITDA for GENM, Genting Singapore and Genting Bhd, 2016-2026."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00800" cy="2962275"/>
                    </a:xfrm>
                    <a:prstGeom prst="rect">
                      <a:avLst/>
                    </a:prstGeom>
                  </pic:spPr>
                </pic:pic>
              </a:graphicData>
            </a:graphic>
          </wp:inline>
        </w:drawing>
      </w:r>
    </w:p>
    <w:p>
      <w:pPr>
        <w:spacing w:after="160" w:before="0"/>
      </w:pPr>
      <w:r>
        <w:rPr>
          <w:rFonts w:ascii="Arial" w:cs="Arial" w:eastAsia="Arial" w:hAnsi="Arial"/>
          <w:i/>
          <w:iCs/>
          <w:color w:val="6B7280"/>
          <w:sz w:val="15"/>
          <w:szCs w:val="15"/>
        </w:rPr>
        <w:t xml:space="preserve">Figure 7: TEV/NTM EBITDA for GENM, Genting Singapore and Genting Bhd, 2016-2026.</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4277"/>
        <w:gridCol w:w="715"/>
        <w:gridCol w:w="802"/>
        <w:gridCol w:w="715"/>
        <w:gridCol w:w="625"/>
        <w:gridCol w:w="723"/>
        <w:gridCol w:w="1158"/>
        <w:gridCol w:w="1065"/>
      </w:tblGrid>
      <w:tr>
        <w:trPr>
          <w:cantSplit/>
          <w:tblHeader/>
        </w:trPr>
        <w:tc>
          <w:tcPr>
            <w:tcW w:type="dxa" w:w="427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Series (month-end, CIQ)</w:t>
            </w:r>
          </w:p>
        </w:tc>
        <w:tc>
          <w:tcPr>
            <w:tcW w:type="dxa" w:w="71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Window</w:t>
            </w:r>
          </w:p>
        </w:tc>
        <w:tc>
          <w:tcPr>
            <w:tcW w:type="dxa" w:w="80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Average</w:t>
            </w:r>
          </w:p>
        </w:tc>
        <w:tc>
          <w:tcPr>
            <w:tcW w:type="dxa" w:w="71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Median</w:t>
            </w:r>
          </w:p>
        </w:tc>
        <w:tc>
          <w:tcPr>
            <w:tcW w:type="dxa" w:w="62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Min</w:t>
            </w:r>
          </w:p>
        </w:tc>
        <w:tc>
          <w:tcPr>
            <w:tcW w:type="dxa" w:w="72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Max</w:t>
            </w:r>
          </w:p>
        </w:tc>
        <w:tc>
          <w:tcPr>
            <w:tcW w:type="dxa" w:w="1158"/>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Current (30-Sep)</w:t>
            </w:r>
          </w:p>
        </w:tc>
        <w:tc>
          <w:tcPr>
            <w:tcW w:type="dxa" w:w="106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Percentile</w:t>
            </w:r>
          </w:p>
        </w:tc>
      </w:tr>
      <w:tr>
        <w:trPr>
          <w:cantSplit/>
        </w:trPr>
        <w:tc>
          <w:tcPr>
            <w:tcW w:type="dxa" w:w="42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TEV/NTM EBITDA</w:t>
            </w:r>
          </w:p>
        </w:tc>
        <w:tc>
          <w:tcPr>
            <w:tcW w:type="dxa" w:w="7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10-yr</w:t>
            </w:r>
          </w:p>
        </w:tc>
        <w:tc>
          <w:tcPr>
            <w:tcW w:type="dxa" w:w="8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9.55x</w:t>
            </w:r>
          </w:p>
        </w:tc>
        <w:tc>
          <w:tcPr>
            <w:tcW w:type="dxa" w:w="7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8.78x</w:t>
            </w:r>
          </w:p>
        </w:tc>
        <w:tc>
          <w:tcPr>
            <w:tcW w:type="dxa" w:w="6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6.35x</w:t>
            </w:r>
          </w:p>
        </w:tc>
        <w:tc>
          <w:tcPr>
            <w:tcW w:type="dxa" w:w="7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19.80x</w:t>
            </w:r>
          </w:p>
        </w:tc>
        <w:tc>
          <w:tcPr>
            <w:tcW w:type="dxa" w:w="115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6.81x</w:t>
            </w:r>
          </w:p>
        </w:tc>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11th</w:t>
            </w:r>
          </w:p>
        </w:tc>
      </w:tr>
      <w:tr>
        <w:trPr>
          <w:cantSplit/>
        </w:trPr>
        <w:tc>
          <w:tcPr>
            <w:tcW w:type="dxa" w:w="42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TEV/NTM EBITDA</w:t>
            </w:r>
          </w:p>
        </w:tc>
        <w:tc>
          <w:tcPr>
            <w:tcW w:type="dxa" w:w="7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5-yr</w:t>
            </w:r>
          </w:p>
        </w:tc>
        <w:tc>
          <w:tcPr>
            <w:tcW w:type="dxa" w:w="8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8.42x</w:t>
            </w:r>
          </w:p>
        </w:tc>
        <w:tc>
          <w:tcPr>
            <w:tcW w:type="dxa" w:w="7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7.80x</w:t>
            </w:r>
          </w:p>
        </w:tc>
        <w:tc>
          <w:tcPr>
            <w:tcW w:type="dxa" w:w="6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6.35x</w:t>
            </w:r>
          </w:p>
        </w:tc>
        <w:tc>
          <w:tcPr>
            <w:tcW w:type="dxa" w:w="7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19.80x</w:t>
            </w:r>
          </w:p>
        </w:tc>
        <w:tc>
          <w:tcPr>
            <w:tcW w:type="dxa" w:w="115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6.81x</w:t>
            </w:r>
          </w:p>
        </w:tc>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20th</w:t>
            </w:r>
          </w:p>
        </w:tc>
      </w:tr>
      <w:tr>
        <w:trPr>
          <w:cantSplit/>
        </w:trPr>
        <w:tc>
          <w:tcPr>
            <w:tcW w:type="dxa" w:w="42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TEV/LTM EBITDA (ex-Covid)</w:t>
            </w:r>
          </w:p>
        </w:tc>
        <w:tc>
          <w:tcPr>
            <w:tcW w:type="dxa" w:w="7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10-yr</w:t>
            </w:r>
          </w:p>
        </w:tc>
        <w:tc>
          <w:tcPr>
            <w:tcW w:type="dxa" w:w="8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10.48x</w:t>
            </w:r>
          </w:p>
        </w:tc>
        <w:tc>
          <w:tcPr>
            <w:tcW w:type="dxa" w:w="7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9.43x</w:t>
            </w:r>
          </w:p>
        </w:tc>
        <w:tc>
          <w:tcPr>
            <w:tcW w:type="dxa" w:w="6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5.67x</w:t>
            </w:r>
          </w:p>
        </w:tc>
        <w:tc>
          <w:tcPr>
            <w:tcW w:type="dxa" w:w="7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17.25x</w:t>
            </w:r>
          </w:p>
        </w:tc>
        <w:tc>
          <w:tcPr>
            <w:tcW w:type="dxa" w:w="115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8.37x</w:t>
            </w:r>
          </w:p>
        </w:tc>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39th</w:t>
            </w:r>
          </w:p>
        </w:tc>
      </w:tr>
      <w:tr>
        <w:trPr>
          <w:cantSplit/>
        </w:trPr>
        <w:tc>
          <w:tcPr>
            <w:tcW w:type="dxa" w:w="42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TEV/LTM Sales</w:t>
            </w:r>
          </w:p>
        </w:tc>
        <w:tc>
          <w:tcPr>
            <w:tcW w:type="dxa" w:w="7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10-yr</w:t>
            </w:r>
          </w:p>
        </w:tc>
        <w:tc>
          <w:tcPr>
            <w:tcW w:type="dxa" w:w="8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3.03x</w:t>
            </w:r>
          </w:p>
        </w:tc>
        <w:tc>
          <w:tcPr>
            <w:tcW w:type="dxa" w:w="7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2.65x</w:t>
            </w:r>
          </w:p>
        </w:tc>
        <w:tc>
          <w:tcPr>
            <w:tcW w:type="dxa" w:w="6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1.50x</w:t>
            </w:r>
          </w:p>
        </w:tc>
        <w:tc>
          <w:tcPr>
            <w:tcW w:type="dxa" w:w="7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7.67x</w:t>
            </w:r>
          </w:p>
        </w:tc>
        <w:tc>
          <w:tcPr>
            <w:tcW w:type="dxa" w:w="115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1.61x</w:t>
            </w:r>
          </w:p>
        </w:tc>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2nd</w:t>
            </w:r>
          </w:p>
        </w:tc>
      </w:tr>
      <w:tr>
        <w:trPr>
          <w:cantSplit/>
        </w:trPr>
        <w:tc>
          <w:tcPr>
            <w:tcW w:type="dxa" w:w="42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P/LTM EPS</w:t>
            </w:r>
          </w:p>
        </w:tc>
        <w:tc>
          <w:tcPr>
            <w:tcW w:type="dxa" w:w="7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10-yr</w:t>
            </w:r>
          </w:p>
        </w:tc>
        <w:tc>
          <w:tcPr>
            <w:tcW w:type="dxa" w:w="8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22.6x</w:t>
            </w:r>
          </w:p>
        </w:tc>
        <w:tc>
          <w:tcPr>
            <w:tcW w:type="dxa" w:w="7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19.8x</w:t>
            </w:r>
          </w:p>
        </w:tc>
        <w:tc>
          <w:tcPr>
            <w:tcW w:type="dxa" w:w="6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8.9x</w:t>
            </w:r>
          </w:p>
        </w:tc>
        <w:tc>
          <w:tcPr>
            <w:tcW w:type="dxa" w:w="7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77.9x</w:t>
            </w:r>
          </w:p>
        </w:tc>
        <w:tc>
          <w:tcPr>
            <w:tcW w:type="dxa" w:w="115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25.1x</w:t>
            </w:r>
          </w:p>
        </w:tc>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76th</w:t>
            </w:r>
          </w:p>
        </w:tc>
      </w:tr>
      <w:tr>
        <w:trPr>
          <w:cantSplit/>
        </w:trPr>
        <w:tc>
          <w:tcPr>
            <w:tcW w:type="dxa" w:w="42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P/B</w:t>
            </w:r>
          </w:p>
        </w:tc>
        <w:tc>
          <w:tcPr>
            <w:tcW w:type="dxa" w:w="7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10-yr</w:t>
            </w:r>
          </w:p>
        </w:tc>
        <w:tc>
          <w:tcPr>
            <w:tcW w:type="dxa" w:w="8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1.16x</w:t>
            </w:r>
          </w:p>
        </w:tc>
        <w:tc>
          <w:tcPr>
            <w:tcW w:type="dxa" w:w="7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1.15x</w:t>
            </w:r>
          </w:p>
        </w:tc>
        <w:tc>
          <w:tcPr>
            <w:tcW w:type="dxa" w:w="6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0.67x</w:t>
            </w:r>
          </w:p>
        </w:tc>
        <w:tc>
          <w:tcPr>
            <w:tcW w:type="dxa" w:w="7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1.73x</w:t>
            </w:r>
          </w:p>
        </w:tc>
        <w:tc>
          <w:tcPr>
            <w:tcW w:type="dxa" w:w="115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0.70x</w:t>
            </w:r>
          </w:p>
        </w:tc>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3rd</w:t>
            </w:r>
          </w:p>
        </w:tc>
      </w:tr>
      <w:tr>
        <w:trPr>
          <w:cantSplit/>
        </w:trPr>
        <w:tc>
          <w:tcPr>
            <w:tcW w:type="dxa" w:w="42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Dividend yield (prior FY DPS)</w:t>
            </w:r>
          </w:p>
        </w:tc>
        <w:tc>
          <w:tcPr>
            <w:tcW w:type="dxa" w:w="7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10-yr</w:t>
            </w:r>
          </w:p>
        </w:tc>
        <w:tc>
          <w:tcPr>
            <w:tcW w:type="dxa" w:w="8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3.6%</w:t>
            </w:r>
          </w:p>
        </w:tc>
        <w:tc>
          <w:tcPr>
            <w:tcW w:type="dxa" w:w="71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3.5%</w:t>
            </w:r>
          </w:p>
        </w:tc>
        <w:tc>
          <w:tcPr>
            <w:tcW w:type="dxa" w:w="62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1.5%</w:t>
            </w:r>
          </w:p>
        </w:tc>
        <w:tc>
          <w:tcPr>
            <w:tcW w:type="dxa" w:w="7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6.9%</w:t>
            </w:r>
          </w:p>
        </w:tc>
        <w:tc>
          <w:tcPr>
            <w:tcW w:type="dxa" w:w="115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5.5%</w:t>
            </w:r>
          </w:p>
        </w:tc>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80th</w:t>
            </w:r>
          </w:p>
        </w:tc>
      </w:tr>
      <w:tr>
        <w:trPr>
          <w:cantSplit/>
        </w:trPr>
        <w:tc>
          <w:tcPr>
            <w:tcW w:type="dxa" w:w="42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GENM premium to Genting Bhd (NTM EV/EBITDA, x pts)</w:t>
            </w:r>
          </w:p>
        </w:tc>
        <w:tc>
          <w:tcPr>
            <w:tcW w:type="dxa" w:w="7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10-yr</w:t>
            </w:r>
          </w:p>
        </w:tc>
        <w:tc>
          <w:tcPr>
            <w:tcW w:type="dxa" w:w="8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2.54</w:t>
            </w:r>
          </w:p>
        </w:tc>
        <w:tc>
          <w:tcPr>
            <w:tcW w:type="dxa" w:w="71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1.96</w:t>
            </w:r>
          </w:p>
        </w:tc>
        <w:tc>
          <w:tcPr>
            <w:tcW w:type="dxa" w:w="62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0.53</w:t>
            </w:r>
          </w:p>
        </w:tc>
        <w:tc>
          <w:tcPr>
            <w:tcW w:type="dxa" w:w="7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9.41</w:t>
            </w:r>
          </w:p>
        </w:tc>
        <w:tc>
          <w:tcPr>
            <w:tcW w:type="dxa" w:w="115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0.60</w:t>
            </w:r>
          </w:p>
        </w:tc>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2nd</w:t>
            </w:r>
          </w:p>
        </w:tc>
      </w:tr>
    </w:tbl>
    <w:p>
      <w:pPr>
        <w:spacing w:after="80" w:before="0"/>
      </w:pPr>
    </w:p>
    <w:p>
      <w:pPr>
        <w:spacing w:after="110" w:before="0" w:line="264"/>
      </w:pPr>
      <w:r>
        <w:rPr>
          <w:rFonts w:ascii="Arial" w:cs="Arial" w:eastAsia="Arial" w:hAnsi="Arial"/>
          <w:color w:val="1F2937"/>
          <w:sz w:val="19"/>
          <w:szCs w:val="19"/>
        </w:rPr>
        <w:t xml:space="preserve">At RM1.19 (21-Oct) the equivalents are ~6.5x NTM EV/EBITDA, ~1.52x TEV/Sales, 0.60x P/B (a record low) and a 5.9% trailing dividend yield [e].</w:t>
      </w:r>
    </w:p>
    <w:p>
      <w:pPr>
        <w:spacing w:after="110" w:before="0" w:line="264"/>
      </w:pPr>
      <w:r>
        <w:rPr>
          <w:rFonts w:ascii="Arial" w:cs="Arial" w:eastAsia="Arial" w:hAnsi="Arial"/>
          <w:b/>
          <w:bCs/>
          <w:color w:val="1F2937"/>
          <w:sz w:val="19"/>
          <w:szCs w:val="19"/>
        </w:rPr>
        <w:t xml:space="preserve">Relative to direct listed peers over time.</w:t>
      </w:r>
      <w:r>
        <w:rPr>
          <w:rFonts w:ascii="Arial" w:cs="Arial" w:eastAsia="Arial" w:hAnsi="Arial"/>
          <w:color w:val="1F2937"/>
          <w:sz w:val="19"/>
          <w:szCs w:val="19"/>
        </w:rPr>
        <w:t xml:space="preserve"> GENM historically traded at a </w:t>
      </w:r>
      <w:r>
        <w:rPr>
          <w:rFonts w:ascii="Arial" w:cs="Arial" w:eastAsia="Arial" w:hAnsi="Arial"/>
          <w:b/>
          <w:bCs/>
          <w:color w:val="1F2937"/>
          <w:sz w:val="19"/>
          <w:szCs w:val="19"/>
        </w:rPr>
        <w:t xml:space="preserve">1.5-2.5 turn premium</w:t>
      </w:r>
      <w:r>
        <w:rPr>
          <w:rFonts w:ascii="Arial" w:cs="Arial" w:eastAsia="Arial" w:hAnsi="Arial"/>
          <w:color w:val="1F2937"/>
          <w:sz w:val="19"/>
          <w:szCs w:val="19"/>
        </w:rPr>
        <w:t xml:space="preserve"> to Genting Bhd and Genting Singapore on NTM EV/EBITDA, a premium for its domestic monopoly and net-cash balance sheet. That premium to the parent has collapsed to 0.6x (2nd percentile), while the gap to Genting Singapore (1.6x) is at its norm. The whole Genting complex is de-rating, and GENM has lost its monopoly premium as it has taken on NY capex and leverage.</w:t>
      </w:r>
    </w:p>
    <w:p>
      <w:pPr>
        <w:pStyle w:val="Heading2"/>
        <w:keepNext/>
      </w:pPr>
      <w:r>
        <w:rPr>
          <w:rFonts w:ascii="Arial" w:cs="Arial" w:eastAsia="Arial" w:hAnsi="Arial"/>
        </w:rPr>
        <w:t xml:space="preserve">14.7 Verdict: cheap, fair or expensive?</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3093"/>
        <w:gridCol w:w="6987"/>
      </w:tblGrid>
      <w:tr>
        <w:trPr>
          <w:cantSplit/>
          <w:tblHeader/>
        </w:trPr>
        <w:tc>
          <w:tcPr>
            <w:tcW w:type="dxa" w:w="309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Lens</w:t>
            </w:r>
          </w:p>
        </w:tc>
        <w:tc>
          <w:tcPr>
            <w:tcW w:type="dxa" w:w="698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Verdict</w:t>
            </w:r>
          </w:p>
        </w:tc>
      </w:tr>
      <w:tr>
        <w:trPr>
          <w:cantSplit/>
        </w:trPr>
        <w:tc>
          <w:tcPr>
            <w:tcW w:type="dxa" w:w="309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EV/EBITDA vs peers and history</w:t>
            </w:r>
          </w:p>
        </w:tc>
        <w:tc>
          <w:tcPr>
            <w:tcW w:type="dxa" w:w="698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Cheap</w:t>
            </w:r>
            <w:r>
              <w:rPr>
                <w:rFonts w:ascii="Arial" w:cs="Arial" w:eastAsia="Arial" w:hAnsi="Arial"/>
                <w:b w:val="false"/>
                <w:bCs w:val="false"/>
                <w:color w:val="1F2937"/>
                <w:sz w:val="17"/>
                <w:szCs w:val="17"/>
              </w:rPr>
              <w:t xml:space="preserve"> (−14% vs peers NTM; bottom decile of its own history)</w:t>
            </w:r>
          </w:p>
        </w:tc>
      </w:tr>
      <w:tr>
        <w:trPr>
          <w:cantSplit/>
        </w:trPr>
        <w:tc>
          <w:tcPr>
            <w:tcW w:type="dxa" w:w="309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EV/Sales vs margin (regression)</w:t>
            </w:r>
          </w:p>
        </w:tc>
        <w:tc>
          <w:tcPr>
            <w:tcW w:type="dxa" w:w="698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Fair to slightly cheap</w:t>
            </w:r>
            <w:r>
              <w:rPr>
                <w:rFonts w:ascii="Arial" w:cs="Arial" w:eastAsia="Arial" w:hAnsi="Arial"/>
                <w:b w:val="false"/>
                <w:bCs w:val="false"/>
                <w:color w:val="1F2937"/>
                <w:sz w:val="17"/>
                <w:szCs w:val="17"/>
              </w:rPr>
              <w:t xml:space="preserve"> today (−8% vs the line); cheap if margins recover to consensus</w:t>
            </w:r>
          </w:p>
        </w:tc>
      </w:tr>
      <w:tr>
        <w:trPr>
          <w:cantSplit/>
        </w:trPr>
        <w:tc>
          <w:tcPr>
            <w:tcW w:type="dxa" w:w="309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P/E and EV/EBIT</w:t>
            </w:r>
          </w:p>
        </w:tc>
        <w:tc>
          <w:tcPr>
            <w:tcW w:type="dxa" w:w="698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Expensive</w:t>
            </w:r>
            <w:r>
              <w:rPr>
                <w:rFonts w:ascii="Arial" w:cs="Arial" w:eastAsia="Arial" w:hAnsi="Arial"/>
                <w:b w:val="false"/>
                <w:bCs w:val="false"/>
                <w:color w:val="1F2937"/>
                <w:sz w:val="17"/>
                <w:szCs w:val="17"/>
              </w:rPr>
              <w:t xml:space="preserve"> (leverage, D&amp;A, interest)</w:t>
            </w:r>
          </w:p>
        </w:tc>
      </w:tr>
      <w:tr>
        <w:trPr>
          <w:cantSplit/>
        </w:trPr>
        <w:tc>
          <w:tcPr>
            <w:tcW w:type="dxa" w:w="309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P/B and vs the lapsed RM2.35 offer</w:t>
            </w:r>
          </w:p>
        </w:tc>
        <w:tc>
          <w:tcPr>
            <w:tcW w:type="dxa" w:w="698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Cheap</w:t>
            </w:r>
            <w:r>
              <w:rPr>
                <w:rFonts w:ascii="Arial" w:cs="Arial" w:eastAsia="Arial" w:hAnsi="Arial"/>
                <w:b w:val="false"/>
                <w:bCs w:val="false"/>
                <w:color w:val="1F2937"/>
                <w:sz w:val="17"/>
                <w:szCs w:val="17"/>
              </w:rPr>
              <w:t xml:space="preserve"> (0.60x book; −49% vs offer)</w:t>
            </w:r>
          </w:p>
        </w:tc>
      </w:tr>
      <w:tr>
        <w:trPr>
          <w:cantSplit/>
        </w:trPr>
        <w:tc>
          <w:tcPr>
            <w:tcW w:type="dxa" w:w="309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Sum-of-the-parts (Section 24)</w:t>
            </w:r>
          </w:p>
        </w:tc>
        <w:tc>
          <w:tcPr>
            <w:tcW w:type="dxa" w:w="698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Cheap</w:t>
            </w:r>
            <w:r>
              <w:rPr>
                <w:rFonts w:ascii="Arial" w:cs="Arial" w:eastAsia="Arial" w:hAnsi="Arial"/>
                <w:b w:val="false"/>
                <w:bCs w:val="false"/>
                <w:color w:val="1F2937"/>
                <w:sz w:val="17"/>
                <w:szCs w:val="17"/>
              </w:rPr>
              <w:t xml:space="preserve">: base RM1.86 (+56%)</w:t>
            </w:r>
          </w:p>
        </w:tc>
      </w:tr>
      <w:tr>
        <w:trPr>
          <w:cantSplit/>
        </w:trPr>
        <w:tc>
          <w:tcPr>
            <w:tcW w:type="dxa" w:w="309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Market-implied</w:t>
            </w:r>
          </w:p>
        </w:tc>
        <w:tc>
          <w:tcPr>
            <w:tcW w:type="dxa" w:w="698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At RM1.19, if RWG is valued at 7x EBITDA, the market pays </w:t>
            </w:r>
            <w:r>
              <w:rPr>
                <w:rFonts w:ascii="Arial" w:cs="Arial" w:eastAsia="Arial" w:hAnsi="Arial"/>
                <w:b/>
                <w:bCs/>
                <w:color w:val="1F2937"/>
                <w:sz w:val="17"/>
                <w:szCs w:val="17"/>
              </w:rPr>
              <w:t xml:space="preserve">~US$0.56bn (~2.1x FY27E EBITDA) for the entire US business</w:t>
            </w:r>
            <w:r>
              <w:rPr>
                <w:rFonts w:ascii="Arial" w:cs="Arial" w:eastAsia="Arial" w:hAnsi="Arial"/>
                <w:b w:val="false"/>
                <w:bCs w:val="false"/>
                <w:color w:val="1F2937"/>
                <w:sz w:val="17"/>
                <w:szCs w:val="17"/>
              </w:rPr>
              <w:t xml:space="preserve">, roughly the US$500m licence fee paid in January. Alternatively, valuing the US at 7.5x implies RWG at ~4.4x EBITDA</w:t>
            </w:r>
          </w:p>
        </w:tc>
      </w:tr>
    </w:tbl>
    <w:p>
      <w:pPr>
        <w:spacing w:after="80" w:before="0"/>
      </w:pPr>
    </w:p>
    <w:p>
      <w:pPr>
        <w:pStyle w:val="Heading1"/>
        <w:keepNext/>
      </w:pPr>
      <w:r>
        <w:rPr>
          <w:rFonts w:ascii="Arial" w:cs="Arial" w:eastAsia="Arial" w:hAnsi="Arial"/>
        </w:rPr>
        <w:t xml:space="preserve">15. M&amp;A: Industry Transactions, Takeover Potential and Takeout Multiples</w:t>
      </w:r>
    </w:p>
    <w:p>
      <w:pPr>
        <w:pStyle w:val="Heading2"/>
        <w:keepNext/>
      </w:pPr>
      <w:r>
        <w:rPr>
          <w:rFonts w:ascii="Arial" w:cs="Arial" w:eastAsia="Arial" w:hAnsi="Arial"/>
        </w:rPr>
        <w:t xml:space="preserve">15.1 Recent industry M&amp;A themes (2021-2026)</w:t>
      </w:r>
    </w:p>
    <w:p>
      <w:pPr>
        <w:pStyle w:val="ListParagraph"/>
        <w:numPr>
          <w:ilvl w:val="0"/>
          <w:numId w:val="7"/>
        </w:numPr>
        <w:spacing w:after="70" w:before="0" w:line="252"/>
      </w:pPr>
      <w:r>
        <w:rPr>
          <w:rFonts w:ascii="Arial" w:cs="Arial" w:eastAsia="Arial" w:hAnsi="Arial"/>
          <w:b/>
          <w:bCs/>
          <w:color w:val="1F2937"/>
          <w:sz w:val="19"/>
          <w:szCs w:val="19"/>
        </w:rPr>
        <w:t xml:space="preserve">Take-privates of listed casino operators at 9-11x EBITDA:</w:t>
      </w:r>
      <w:r>
        <w:rPr>
          <w:rFonts w:ascii="Arial" w:cs="Arial" w:eastAsia="Arial" w:hAnsi="Arial"/>
          <w:color w:val="1F2937"/>
          <w:sz w:val="19"/>
          <w:szCs w:val="19"/>
        </w:rPr>
        <w:t xml:space="preserve"> Crown/Blackstone (2022), Golden Entertainment/VICI-Sartini (2026), Caesars/Fertitta (pending, May-2026, 9.1x), SkyCity/Oaktree (cancelled, ~10.8x).</w:t>
      </w:r>
    </w:p>
    <w:p>
      <w:pPr>
        <w:pStyle w:val="ListParagraph"/>
        <w:numPr>
          <w:ilvl w:val="0"/>
          <w:numId w:val="7"/>
        </w:numPr>
        <w:spacing w:after="70" w:before="0" w:line="252"/>
      </w:pPr>
      <w:r>
        <w:rPr>
          <w:rFonts w:ascii="Arial" w:cs="Arial" w:eastAsia="Arial" w:hAnsi="Arial"/>
          <w:b/>
          <w:bCs/>
          <w:color w:val="1F2937"/>
          <w:sz w:val="19"/>
          <w:szCs w:val="19"/>
        </w:rPr>
        <w:t xml:space="preserve">OpCo/PropCo separation and REIT capital:</w:t>
      </w:r>
      <w:r>
        <w:rPr>
          <w:rFonts w:ascii="Arial" w:cs="Arial" w:eastAsia="Arial" w:hAnsi="Arial"/>
          <w:color w:val="1F2937"/>
          <w:sz w:val="19"/>
          <w:szCs w:val="19"/>
        </w:rPr>
        <w:t xml:space="preserve"> VICI-MGP (2022), Apollo/VICI-Venetian (2022), GLPI-Bally's Lincoln (US$700m, Feb-2026), VICI-Golden (2026). This is the clearest precedent for monetising RWNYC or RWG real estate.</w:t>
      </w:r>
    </w:p>
    <w:p>
      <w:pPr>
        <w:pStyle w:val="ListParagraph"/>
        <w:numPr>
          <w:ilvl w:val="0"/>
          <w:numId w:val="7"/>
        </w:numPr>
        <w:spacing w:after="70" w:before="0" w:line="252"/>
      </w:pPr>
      <w:r>
        <w:rPr>
          <w:rFonts w:ascii="Arial" w:cs="Arial" w:eastAsia="Arial" w:hAnsi="Arial"/>
          <w:b/>
          <w:bCs/>
          <w:color w:val="1F2937"/>
          <w:sz w:val="19"/>
          <w:szCs w:val="19"/>
        </w:rPr>
        <w:t xml:space="preserve">Distressed recapitalisations:</w:t>
      </w:r>
      <w:r>
        <w:rPr>
          <w:rFonts w:ascii="Arial" w:cs="Arial" w:eastAsia="Arial" w:hAnsi="Arial"/>
          <w:color w:val="1F2937"/>
          <w:sz w:val="19"/>
          <w:szCs w:val="19"/>
        </w:rPr>
        <w:t xml:space="preserve"> Bally's into Star Entertainment (2025), Standard General's Bally's take-private (2025).</w:t>
      </w:r>
    </w:p>
    <w:p>
      <w:pPr>
        <w:pStyle w:val="ListParagraph"/>
        <w:numPr>
          <w:ilvl w:val="0"/>
          <w:numId w:val="7"/>
        </w:numPr>
        <w:spacing w:after="70" w:before="0" w:line="252"/>
      </w:pPr>
      <w:r>
        <w:rPr>
          <w:rFonts w:ascii="Arial" w:cs="Arial" w:eastAsia="Arial" w:hAnsi="Arial"/>
          <w:b/>
          <w:bCs/>
          <w:color w:val="1F2937"/>
          <w:sz w:val="19"/>
          <w:szCs w:val="19"/>
        </w:rPr>
        <w:t xml:space="preserve">Supplier and online consolidation:</w:t>
      </w:r>
      <w:r>
        <w:rPr>
          <w:rFonts w:ascii="Arial" w:cs="Arial" w:eastAsia="Arial" w:hAnsi="Arial"/>
          <w:color w:val="1F2937"/>
          <w:sz w:val="19"/>
          <w:szCs w:val="19"/>
        </w:rPr>
        <w:t xml:space="preserve"> Apollo-IGT/Everi (2025), Lottomatica-Cirsa (2026), Bally's Intralot-Evoke (2026), FDJ-Kindred (2024).</w:t>
      </w:r>
    </w:p>
    <w:p>
      <w:pPr>
        <w:pStyle w:val="ListParagraph"/>
        <w:numPr>
          <w:ilvl w:val="0"/>
          <w:numId w:val="7"/>
        </w:numPr>
        <w:spacing w:after="70" w:before="0" w:line="252"/>
      </w:pPr>
      <w:r>
        <w:rPr>
          <w:rFonts w:ascii="Arial" w:cs="Arial" w:eastAsia="Arial" w:hAnsi="Arial"/>
          <w:b/>
          <w:bCs/>
          <w:color w:val="1F2937"/>
          <w:sz w:val="19"/>
          <w:szCs w:val="19"/>
        </w:rPr>
        <w:t xml:space="preserve">Family-holdco minority squeeze-outs in Asia:</w:t>
      </w:r>
      <w:r>
        <w:rPr>
          <w:rFonts w:ascii="Arial" w:cs="Arial" w:eastAsia="Arial" w:hAnsi="Arial"/>
          <w:color w:val="1F2937"/>
          <w:sz w:val="19"/>
          <w:szCs w:val="19"/>
        </w:rPr>
        <w:t xml:space="preserve"> Genting Bhd's RM2.35 offer for GENM (2025) at 8.1x LTM EBITDA and only a 9.8% premium.</w:t>
      </w:r>
    </w:p>
    <w:p>
      <w:pPr>
        <w:pStyle w:val="Heading2"/>
        <w:keepNext/>
      </w:pPr>
      <w:r>
        <w:rPr>
          <w:rFonts w:ascii="Arial" w:cs="Arial" w:eastAsia="Arial" w:hAnsi="Arial"/>
        </w:rPr>
        <w:t xml:space="preserve">15.2 Comparable transactions (last five years)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1065"/>
        <w:gridCol w:w="2337"/>
        <w:gridCol w:w="1592"/>
        <w:gridCol w:w="1305"/>
        <w:gridCol w:w="906"/>
        <w:gridCol w:w="1183"/>
        <w:gridCol w:w="890"/>
        <w:gridCol w:w="802"/>
      </w:tblGrid>
      <w:tr>
        <w:trPr>
          <w:cantSplit/>
          <w:tblHeader/>
        </w:trPr>
        <w:tc>
          <w:tcPr>
            <w:tcW w:type="dxa" w:w="106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Announced</w:t>
            </w:r>
          </w:p>
        </w:tc>
        <w:tc>
          <w:tcPr>
            <w:tcW w:type="dxa" w:w="233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Target</w:t>
            </w:r>
          </w:p>
        </w:tc>
        <w:tc>
          <w:tcPr>
            <w:tcW w:type="dxa" w:w="159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Acquirer</w:t>
            </w:r>
          </w:p>
        </w:tc>
        <w:tc>
          <w:tcPr>
            <w:tcW w:type="dxa" w:w="130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Status</w:t>
            </w:r>
          </w:p>
        </w:tc>
        <w:tc>
          <w:tcPr>
            <w:tcW w:type="dxa" w:w="90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EV</w:t>
            </w:r>
          </w:p>
        </w:tc>
        <w:tc>
          <w:tcPr>
            <w:tcW w:type="dxa" w:w="118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EV/EBITDA</w:t>
            </w:r>
          </w:p>
        </w:tc>
        <w:tc>
          <w:tcPr>
            <w:tcW w:type="dxa" w:w="89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EV/Sales</w:t>
            </w:r>
          </w:p>
        </w:tc>
        <w:tc>
          <w:tcPr>
            <w:tcW w:type="dxa" w:w="80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Premium</w:t>
            </w:r>
          </w:p>
        </w:tc>
      </w:tr>
      <w:tr>
        <w:trPr>
          <w:cantSplit/>
        </w:trPr>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13-Oct-2025</w:t>
            </w:r>
          </w:p>
        </w:tc>
        <w:tc>
          <w:tcPr>
            <w:tcW w:type="dxa" w:w="23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5"/>
                <w:szCs w:val="15"/>
              </w:rPr>
              <w:t xml:space="preserve">Genting Malaysia (50.6% minority)</w:t>
            </w:r>
          </w:p>
        </w:tc>
        <w:tc>
          <w:tcPr>
            <w:tcW w:type="dxa" w:w="159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Genting Bhd</w:t>
            </w:r>
          </w:p>
        </w:tc>
        <w:tc>
          <w:tcPr>
            <w:tcW w:type="dxa" w:w="130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Lapsed at 73.13% (1-Dec-2025)</w:t>
            </w:r>
          </w:p>
        </w:tc>
        <w:tc>
          <w:tcPr>
            <w:tcW w:type="dxa" w:w="9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RM22.9bn</w:t>
            </w:r>
          </w:p>
        </w:tc>
        <w:tc>
          <w:tcPr>
            <w:tcW w:type="dxa" w:w="118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5"/>
                <w:szCs w:val="15"/>
              </w:rPr>
              <w:t xml:space="preserve">8.1x LTM</w:t>
            </w:r>
            <w:r>
              <w:rPr>
                <w:rFonts w:ascii="Arial" w:cs="Arial" w:eastAsia="Arial" w:hAnsi="Arial"/>
                <w:b w:val="false"/>
                <w:bCs w:val="false"/>
                <w:color w:val="1F2937"/>
                <w:sz w:val="15"/>
                <w:szCs w:val="15"/>
              </w:rPr>
              <w:t xml:space="preserve"> (8.2x FY25)</w:t>
            </w:r>
          </w:p>
        </w:tc>
        <w:tc>
          <w:tcPr>
            <w:tcW w:type="dxa" w:w="89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2.08x</w:t>
            </w:r>
          </w:p>
        </w:tc>
        <w:tc>
          <w:tcPr>
            <w:tcW w:type="dxa" w:w="8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9.8%</w:t>
            </w:r>
          </w:p>
        </w:tc>
      </w:tr>
      <w:tr>
        <w:trPr>
          <w:cantSplit/>
        </w:trPr>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28-May-2026</w:t>
            </w:r>
          </w:p>
        </w:tc>
        <w:tc>
          <w:tcPr>
            <w:tcW w:type="dxa" w:w="23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Caesars Entertainment</w:t>
            </w:r>
          </w:p>
        </w:tc>
        <w:tc>
          <w:tcPr>
            <w:tcW w:type="dxa" w:w="159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Fertitta Entertainment</w:t>
            </w:r>
          </w:p>
        </w:tc>
        <w:tc>
          <w:tcPr>
            <w:tcW w:type="dxa" w:w="130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Pending</w:t>
            </w:r>
          </w:p>
        </w:tc>
        <w:tc>
          <w:tcPr>
            <w:tcW w:type="dxa" w:w="9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US$31.7bn</w:t>
            </w:r>
          </w:p>
        </w:tc>
        <w:tc>
          <w:tcPr>
            <w:tcW w:type="dxa" w:w="118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9.1x</w:t>
            </w:r>
          </w:p>
        </w:tc>
        <w:tc>
          <w:tcPr>
            <w:tcW w:type="dxa" w:w="89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2.76x</w:t>
            </w:r>
          </w:p>
        </w:tc>
        <w:tc>
          <w:tcPr>
            <w:tcW w:type="dxa" w:w="8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n/a</w:t>
            </w:r>
          </w:p>
        </w:tc>
      </w:tr>
      <w:tr>
        <w:trPr>
          <w:cantSplit/>
        </w:trPr>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12-Aug-2026</w:t>
            </w:r>
          </w:p>
        </w:tc>
        <w:tc>
          <w:tcPr>
            <w:tcW w:type="dxa" w:w="23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Caesars (competing approach)</w:t>
            </w:r>
          </w:p>
        </w:tc>
        <w:tc>
          <w:tcPr>
            <w:tcW w:type="dxa" w:w="159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Icahn Enterprises</w:t>
            </w:r>
          </w:p>
        </w:tc>
        <w:tc>
          <w:tcPr>
            <w:tcW w:type="dxa" w:w="130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Cancelled</w:t>
            </w:r>
          </w:p>
        </w:tc>
        <w:tc>
          <w:tcPr>
            <w:tcW w:type="dxa" w:w="9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US$32.9bn</w:t>
            </w:r>
          </w:p>
        </w:tc>
        <w:tc>
          <w:tcPr>
            <w:tcW w:type="dxa" w:w="118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9.4x</w:t>
            </w:r>
          </w:p>
        </w:tc>
        <w:tc>
          <w:tcPr>
            <w:tcW w:type="dxa" w:w="89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2.87x</w:t>
            </w:r>
          </w:p>
        </w:tc>
        <w:tc>
          <w:tcPr>
            <w:tcW w:type="dxa" w:w="8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n/a</w:t>
            </w:r>
          </w:p>
        </w:tc>
      </w:tr>
      <w:tr>
        <w:trPr>
          <w:cantSplit/>
        </w:trPr>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2-Sep-2026</w:t>
            </w:r>
          </w:p>
        </w:tc>
        <w:tc>
          <w:tcPr>
            <w:tcW w:type="dxa" w:w="23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Cirsa Enterprises</w:t>
            </w:r>
          </w:p>
        </w:tc>
        <w:tc>
          <w:tcPr>
            <w:tcW w:type="dxa" w:w="159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Lottomatica</w:t>
            </w:r>
          </w:p>
        </w:tc>
        <w:tc>
          <w:tcPr>
            <w:tcW w:type="dxa" w:w="130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Announced</w:t>
            </w:r>
          </w:p>
        </w:tc>
        <w:tc>
          <w:tcPr>
            <w:tcW w:type="dxa" w:w="9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€4.7bn</w:t>
            </w:r>
          </w:p>
        </w:tc>
        <w:tc>
          <w:tcPr>
            <w:tcW w:type="dxa" w:w="118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7.1x</w:t>
            </w:r>
          </w:p>
        </w:tc>
        <w:tc>
          <w:tcPr>
            <w:tcW w:type="dxa" w:w="89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2.00x</w:t>
            </w:r>
          </w:p>
        </w:tc>
        <w:tc>
          <w:tcPr>
            <w:tcW w:type="dxa" w:w="8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n/a</w:t>
            </w:r>
          </w:p>
        </w:tc>
      </w:tr>
      <w:tr>
        <w:trPr>
          <w:cantSplit/>
        </w:trPr>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18-May-2026</w:t>
            </w:r>
          </w:p>
        </w:tc>
        <w:tc>
          <w:tcPr>
            <w:tcW w:type="dxa" w:w="23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Evoke plc</w:t>
            </w:r>
          </w:p>
        </w:tc>
        <w:tc>
          <w:tcPr>
            <w:tcW w:type="dxa" w:w="159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Bally's Intralot</w:t>
            </w:r>
          </w:p>
        </w:tc>
        <w:tc>
          <w:tcPr>
            <w:tcW w:type="dxa" w:w="130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Announced</w:t>
            </w:r>
          </w:p>
        </w:tc>
        <w:tc>
          <w:tcPr>
            <w:tcW w:type="dxa" w:w="9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£2.2bn</w:t>
            </w:r>
          </w:p>
        </w:tc>
        <w:tc>
          <w:tcPr>
            <w:tcW w:type="dxa" w:w="118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9.3x</w:t>
            </w:r>
          </w:p>
        </w:tc>
        <w:tc>
          <w:tcPr>
            <w:tcW w:type="dxa" w:w="89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1.22x</w:t>
            </w:r>
          </w:p>
        </w:tc>
        <w:tc>
          <w:tcPr>
            <w:tcW w:type="dxa" w:w="8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n/a</w:t>
            </w:r>
          </w:p>
        </w:tc>
      </w:tr>
      <w:tr>
        <w:trPr>
          <w:cantSplit/>
        </w:trPr>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25-Aug-2026</w:t>
            </w:r>
          </w:p>
        </w:tc>
        <w:tc>
          <w:tcPr>
            <w:tcW w:type="dxa" w:w="23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SkyCity Entertainment</w:t>
            </w:r>
          </w:p>
        </w:tc>
        <w:tc>
          <w:tcPr>
            <w:tcW w:type="dxa" w:w="159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Oaktree</w:t>
            </w:r>
          </w:p>
        </w:tc>
        <w:tc>
          <w:tcPr>
            <w:tcW w:type="dxa" w:w="130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Cancelled</w:t>
            </w:r>
          </w:p>
        </w:tc>
        <w:tc>
          <w:tcPr>
            <w:tcW w:type="dxa" w:w="9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NZ$1.5bn</w:t>
            </w:r>
          </w:p>
        </w:tc>
        <w:tc>
          <w:tcPr>
            <w:tcW w:type="dxa" w:w="118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~10.8x [e]</w:t>
            </w:r>
          </w:p>
        </w:tc>
        <w:tc>
          <w:tcPr>
            <w:tcW w:type="dxa" w:w="89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~1.84x</w:t>
            </w:r>
          </w:p>
        </w:tc>
        <w:tc>
          <w:tcPr>
            <w:tcW w:type="dxa" w:w="8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n/a</w:t>
            </w:r>
          </w:p>
        </w:tc>
      </w:tr>
      <w:tr>
        <w:trPr>
          <w:cantSplit/>
        </w:trPr>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6-Nov-2025</w:t>
            </w:r>
          </w:p>
        </w:tc>
        <w:tc>
          <w:tcPr>
            <w:tcW w:type="dxa" w:w="23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Golden Entertainment</w:t>
            </w:r>
          </w:p>
        </w:tc>
        <w:tc>
          <w:tcPr>
            <w:tcW w:type="dxa" w:w="159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VICI (real estate) / Sartini (operations)</w:t>
            </w:r>
          </w:p>
        </w:tc>
        <w:tc>
          <w:tcPr>
            <w:tcW w:type="dxa" w:w="130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Closed Apr-2026</w:t>
            </w:r>
          </w:p>
        </w:tc>
        <w:tc>
          <w:tcPr>
            <w:tcW w:type="dxa" w:w="9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US$1.2bn</w:t>
            </w:r>
          </w:p>
        </w:tc>
        <w:tc>
          <w:tcPr>
            <w:tcW w:type="dxa" w:w="118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9.8x</w:t>
            </w:r>
          </w:p>
        </w:tc>
        <w:tc>
          <w:tcPr>
            <w:tcW w:type="dxa" w:w="89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1.88x</w:t>
            </w:r>
          </w:p>
        </w:tc>
        <w:tc>
          <w:tcPr>
            <w:tcW w:type="dxa" w:w="8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n/a</w:t>
            </w:r>
          </w:p>
        </w:tc>
      </w:tr>
      <w:tr>
        <w:trPr>
          <w:cantSplit/>
        </w:trPr>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13-Oct-2025</w:t>
            </w:r>
          </w:p>
        </w:tc>
        <w:tc>
          <w:tcPr>
            <w:tcW w:type="dxa" w:w="23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OPAP</w:t>
            </w:r>
          </w:p>
        </w:tc>
        <w:tc>
          <w:tcPr>
            <w:tcW w:type="dxa" w:w="159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Allwyn</w:t>
            </w:r>
          </w:p>
        </w:tc>
        <w:tc>
          <w:tcPr>
            <w:tcW w:type="dxa" w:w="130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Closed Mar-2026</w:t>
            </w:r>
          </w:p>
        </w:tc>
        <w:tc>
          <w:tcPr>
            <w:tcW w:type="dxa" w:w="9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€6.6bn</w:t>
            </w:r>
          </w:p>
        </w:tc>
        <w:tc>
          <w:tcPr>
            <w:tcW w:type="dxa" w:w="118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8.4x</w:t>
            </w:r>
          </w:p>
        </w:tc>
        <w:tc>
          <w:tcPr>
            <w:tcW w:type="dxa" w:w="89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4.02x</w:t>
            </w:r>
          </w:p>
        </w:tc>
        <w:tc>
          <w:tcPr>
            <w:tcW w:type="dxa" w:w="8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n/a</w:t>
            </w:r>
          </w:p>
        </w:tc>
      </w:tr>
      <w:tr>
        <w:trPr>
          <w:cantSplit/>
        </w:trPr>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26-Jul-2024</w:t>
            </w:r>
          </w:p>
        </w:tc>
        <w:tc>
          <w:tcPr>
            <w:tcW w:type="dxa" w:w="23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Everi + IGT Gaming &amp; Digital</w:t>
            </w:r>
          </w:p>
        </w:tc>
        <w:tc>
          <w:tcPr>
            <w:tcW w:type="dxa" w:w="159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Apollo</w:t>
            </w:r>
          </w:p>
        </w:tc>
        <w:tc>
          <w:tcPr>
            <w:tcW w:type="dxa" w:w="130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Closed Jul-2025</w:t>
            </w:r>
          </w:p>
        </w:tc>
        <w:tc>
          <w:tcPr>
            <w:tcW w:type="dxa" w:w="9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US$2.2bn (Everi)</w:t>
            </w:r>
          </w:p>
        </w:tc>
        <w:tc>
          <w:tcPr>
            <w:tcW w:type="dxa" w:w="118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6.7x</w:t>
            </w:r>
          </w:p>
        </w:tc>
        <w:tc>
          <w:tcPr>
            <w:tcW w:type="dxa" w:w="89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2.77x</w:t>
            </w:r>
          </w:p>
        </w:tc>
        <w:tc>
          <w:tcPr>
            <w:tcW w:type="dxa" w:w="8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n/a</w:t>
            </w:r>
          </w:p>
        </w:tc>
      </w:tr>
      <w:tr>
        <w:trPr>
          <w:cantSplit/>
        </w:trPr>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21-Jan-2024</w:t>
            </w:r>
          </w:p>
        </w:tc>
        <w:tc>
          <w:tcPr>
            <w:tcW w:type="dxa" w:w="23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Kindred Group</w:t>
            </w:r>
          </w:p>
        </w:tc>
        <w:tc>
          <w:tcPr>
            <w:tcW w:type="dxa" w:w="159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FDJ</w:t>
            </w:r>
          </w:p>
        </w:tc>
        <w:tc>
          <w:tcPr>
            <w:tcW w:type="dxa" w:w="130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Closed</w:t>
            </w:r>
          </w:p>
        </w:tc>
        <w:tc>
          <w:tcPr>
            <w:tcW w:type="dxa" w:w="9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~£2.0bn</w:t>
            </w:r>
          </w:p>
        </w:tc>
        <w:tc>
          <w:tcPr>
            <w:tcW w:type="dxa" w:w="118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~13.0x</w:t>
            </w:r>
          </w:p>
        </w:tc>
        <w:tc>
          <w:tcPr>
            <w:tcW w:type="dxa" w:w="89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1.69x</w:t>
            </w:r>
          </w:p>
        </w:tc>
        <w:tc>
          <w:tcPr>
            <w:tcW w:type="dxa" w:w="8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n/a</w:t>
            </w:r>
          </w:p>
        </w:tc>
      </w:tr>
      <w:tr>
        <w:trPr>
          <w:cantSplit/>
        </w:trPr>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11-Mar-2024</w:t>
            </w:r>
          </w:p>
        </w:tc>
        <w:tc>
          <w:tcPr>
            <w:tcW w:type="dxa" w:w="23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Bally's Corp (remaining)</w:t>
            </w:r>
          </w:p>
        </w:tc>
        <w:tc>
          <w:tcPr>
            <w:tcW w:type="dxa" w:w="159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Standard General</w:t>
            </w:r>
          </w:p>
        </w:tc>
        <w:tc>
          <w:tcPr>
            <w:tcW w:type="dxa" w:w="130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Closed Feb-2025</w:t>
            </w:r>
          </w:p>
        </w:tc>
        <w:tc>
          <w:tcPr>
            <w:tcW w:type="dxa" w:w="9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US$5.6bn</w:t>
            </w:r>
          </w:p>
        </w:tc>
        <w:tc>
          <w:tcPr>
            <w:tcW w:type="dxa" w:w="118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18.0x (post-rent; distorted)</w:t>
            </w:r>
          </w:p>
        </w:tc>
        <w:tc>
          <w:tcPr>
            <w:tcW w:type="dxa" w:w="89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2.28x</w:t>
            </w:r>
          </w:p>
        </w:tc>
        <w:tc>
          <w:tcPr>
            <w:tcW w:type="dxa" w:w="8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n/a</w:t>
            </w:r>
          </w:p>
        </w:tc>
      </w:tr>
      <w:tr>
        <w:trPr>
          <w:cantSplit/>
        </w:trPr>
        <w:tc>
          <w:tcPr>
            <w:tcW w:type="dxa" w:w="1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Feb-2022</w:t>
            </w:r>
          </w:p>
        </w:tc>
        <w:tc>
          <w:tcPr>
            <w:tcW w:type="dxa" w:w="23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Crown Resorts</w:t>
            </w:r>
          </w:p>
        </w:tc>
        <w:tc>
          <w:tcPr>
            <w:tcW w:type="dxa" w:w="159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Blackstone</w:t>
            </w:r>
          </w:p>
        </w:tc>
        <w:tc>
          <w:tcPr>
            <w:tcW w:type="dxa" w:w="130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Closed Jun-2022</w:t>
            </w:r>
          </w:p>
        </w:tc>
        <w:tc>
          <w:tcPr>
            <w:tcW w:type="dxa" w:w="9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A$9.8bn</w:t>
            </w:r>
          </w:p>
        </w:tc>
        <w:tc>
          <w:tcPr>
            <w:tcW w:type="dxa" w:w="118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11.2x (FY19)</w:t>
            </w:r>
          </w:p>
        </w:tc>
        <w:tc>
          <w:tcPr>
            <w:tcW w:type="dxa" w:w="89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3.35x</w:t>
            </w:r>
          </w:p>
        </w:tc>
        <w:tc>
          <w:tcPr>
            <w:tcW w:type="dxa" w:w="80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n/a</w:t>
            </w:r>
          </w:p>
        </w:tc>
      </w:tr>
      <w:tr>
        <w:trPr>
          <w:cantSplit/>
        </w:trPr>
        <w:tc>
          <w:tcPr>
            <w:tcW w:type="dxa" w:w="1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2022-2026</w:t>
            </w:r>
          </w:p>
        </w:tc>
        <w:tc>
          <w:tcPr>
            <w:tcW w:type="dxa" w:w="23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Peninsula Pacific → Churchill Downs (US$2.75bn); The Mirage → Seminole Hard Rock (US$1.075bn); Gold Strike → Cherokee Nation (US$450m); Northfield Park → Clairvest (US$546m); Bally's Lincoln real estate → GLPI (US$700m)</w:t>
            </w:r>
          </w:p>
        </w:tc>
        <w:tc>
          <w:tcPr>
            <w:tcW w:type="dxa" w:w="159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p>
        </w:tc>
        <w:tc>
          <w:tcPr>
            <w:tcW w:type="dxa" w:w="130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Closed</w:t>
            </w:r>
          </w:p>
        </w:tc>
        <w:tc>
          <w:tcPr>
            <w:tcW w:type="dxa" w:w="9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p>
        </w:tc>
        <w:tc>
          <w:tcPr>
            <w:tcW w:type="dxa" w:w="118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n/a</w:t>
            </w:r>
          </w:p>
        </w:tc>
        <w:tc>
          <w:tcPr>
            <w:tcW w:type="dxa" w:w="89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p>
        </w:tc>
        <w:tc>
          <w:tcPr>
            <w:tcW w:type="dxa" w:w="80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p>
        </w:tc>
      </w:tr>
    </w:tbl>
    <w:p>
      <w:pPr>
        <w:spacing w:after="80" w:before="0"/>
      </w:pPr>
    </w:p>
    <w:p>
      <w:pPr>
        <w:spacing w:after="140" w:before="0"/>
      </w:pPr>
      <w:r>
        <w:rPr>
          <w:rFonts w:ascii="Arial" w:cs="Arial" w:eastAsia="Arial" w:hAnsi="Arial"/>
          <w:color w:val="6B7280"/>
          <w:sz w:val="15"/>
          <w:szCs w:val="15"/>
        </w:rPr>
        <w:t xml:space="preserve">Source: S&amp;P Capital IQ Transactions; company releases. </w:t>
      </w:r>
      <w:r>
        <w:rPr>
          <w:rFonts w:ascii="Arial" w:cs="Arial" w:eastAsia="Arial" w:hAnsi="Arial"/>
          <w:b/>
          <w:bCs/>
          <w:color w:val="6B7280"/>
          <w:sz w:val="15"/>
          <w:szCs w:val="15"/>
        </w:rPr>
        <w:t xml:space="preserve">Median EV/EBITDA 9.2x (n=10); land-based casino control deals cluster at 9-11x.</w:t>
      </w:r>
      <w:r>
        <w:rPr>
          <w:rFonts w:ascii="Arial" w:cs="Arial" w:eastAsia="Arial" w:hAnsi="Arial"/>
          <w:color w:val="6B7280"/>
          <w:sz w:val="15"/>
          <w:szCs w:val="15"/>
        </w:rPr>
        <w:t xml:space="preserve"> Premiums were largely unavailable [gap].</w:t>
      </w:r>
    </w:p>
    <w:p>
      <w:pPr>
        <w:pStyle w:val="Heading2"/>
        <w:keepNext/>
      </w:pPr>
      <w:r>
        <w:rPr>
          <w:rFonts w:ascii="Arial" w:cs="Arial" w:eastAsia="Arial" w:hAnsi="Arial"/>
        </w:rPr>
        <w:t xml:space="preserve">15.3 Is GENM a takeover target?</w:t>
      </w:r>
    </w:p>
    <w:p>
      <w:pPr>
        <w:spacing w:after="110" w:before="0" w:line="264"/>
      </w:pPr>
      <w:r>
        <w:rPr>
          <w:rFonts w:ascii="Arial" w:cs="Arial" w:eastAsia="Arial" w:hAnsi="Arial"/>
          <w:b/>
          <w:bCs/>
          <w:color w:val="1F2937"/>
          <w:sz w:val="19"/>
          <w:szCs w:val="19"/>
        </w:rPr>
        <w:t xml:space="preserve">Yes, but only by one buyer.</w:t>
      </w:r>
      <w:r>
        <w:rPr>
          <w:rFonts w:ascii="Arial" w:cs="Arial" w:eastAsia="Arial" w:hAnsi="Arial"/>
          <w:color w:val="1F2937"/>
          <w:sz w:val="19"/>
          <w:szCs w:val="19"/>
        </w:rPr>
        <w:t xml:space="preserve"> Genting Bhd owns 73.84% and has said it "does not intend to maintain" GENM's listing. Its CEO framed the 2025 offer as about "balance-sheet requirements and control ahead of RWNYC becoming the group's main earnings driver". A third-party bid is effectively impossible without the Lim family's consent.</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5039"/>
        <w:gridCol w:w="5041"/>
      </w:tblGrid>
      <w:tr>
        <w:trPr>
          <w:cantSplit/>
          <w:tblHeader/>
        </w:trPr>
        <w:tc>
          <w:tcPr>
            <w:tcW w:type="dxa" w:w="503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Pros (why a renewed privatisation is likely, eventually)</w:t>
            </w:r>
          </w:p>
        </w:tc>
        <w:tc>
          <w:tcPr>
            <w:tcW w:type="dxa" w:w="504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Impediments</w:t>
            </w:r>
          </w:p>
        </w:tc>
      </w:tr>
      <w:tr>
        <w:trPr>
          <w:cantSplit/>
        </w:trPr>
        <w:tc>
          <w:tcPr>
            <w:tcW w:type="dxa" w:w="503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Genting Bhd is 1.16pp (≈66m shares, ~RM78m) from 75%, which reopens a delisting route once the post-offer restrictions lapse (~Dec-2026 [u])</w:t>
            </w:r>
          </w:p>
        </w:tc>
        <w:tc>
          <w:tcPr>
            <w:tcW w:type="dxa" w:w="504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Parent funding:</w:t>
            </w:r>
            <w:r>
              <w:rPr>
                <w:rFonts w:ascii="Arial" w:cs="Arial" w:eastAsia="Arial" w:hAnsi="Arial"/>
                <w:b w:val="false"/>
                <w:bCs w:val="false"/>
                <w:color w:val="1F2937"/>
                <w:sz w:val="17"/>
                <w:szCs w:val="17"/>
              </w:rPr>
              <w:t xml:space="preserve"> RM1.25bn rights issue to repay debt; ~RM45bn gross debt; S&amp;P negative outlook; CreditSights expects no debt-funded GENM purchases for 12-18 months</w:t>
            </w:r>
          </w:p>
        </w:tc>
      </w:tr>
      <w:tr>
        <w:trPr>
          <w:cantSplit/>
        </w:trPr>
        <w:tc>
          <w:tcPr>
            <w:tcW w:type="dxa" w:w="503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Full ownership gives the parent 100% of NY cash flows and ends minority scrutiny of related-party transactions</w:t>
            </w:r>
          </w:p>
        </w:tc>
        <w:tc>
          <w:tcPr>
            <w:tcW w:type="dxa" w:w="504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Price anchoring:</w:t>
            </w:r>
            <w:r>
              <w:rPr>
                <w:rFonts w:ascii="Arial" w:cs="Arial" w:eastAsia="Arial" w:hAnsi="Arial"/>
                <w:b w:val="false"/>
                <w:bCs w:val="false"/>
                <w:color w:val="1F2937"/>
                <w:sz w:val="17"/>
                <w:szCs w:val="17"/>
              </w:rPr>
              <w:t xml:space="preserve"> minorities will treat RM2.35 (and the independent adviser's RM3.48-3.77) as the reference, not RM1.19</w:t>
            </w:r>
          </w:p>
        </w:tc>
      </w:tr>
      <w:tr>
        <w:trPr>
          <w:cantSplit/>
        </w:trPr>
        <w:tc>
          <w:tcPr>
            <w:tcW w:type="dxa" w:w="503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Minority buy-out is cheap in absolute terms: ~RM1.8bn at spot, ~RM3.5bn at RM2.35</w:t>
            </w:r>
          </w:p>
        </w:tc>
        <w:tc>
          <w:tcPr>
            <w:tcW w:type="dxa" w:w="504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Minority veto:</w:t>
            </w:r>
            <w:r>
              <w:rPr>
                <w:rFonts w:ascii="Arial" w:cs="Arial" w:eastAsia="Arial" w:hAnsi="Arial"/>
                <w:b w:val="false"/>
                <w:bCs w:val="false"/>
                <w:color w:val="1F2937"/>
                <w:sz w:val="17"/>
                <w:szCs w:val="17"/>
              </w:rPr>
              <w:t xml:space="preserve"> a delisting resolution typically fails if &gt;10% of holders object [u]; minorities own ~26%</w:t>
            </w:r>
          </w:p>
        </w:tc>
      </w:tr>
      <w:tr>
        <w:trPr>
          <w:cantSplit/>
        </w:trPr>
        <w:tc>
          <w:tcPr>
            <w:tcW w:type="dxa" w:w="503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GENM's monopoly cash flows would help service parent debt</w:t>
            </w:r>
          </w:p>
        </w:tc>
        <w:tc>
          <w:tcPr>
            <w:tcW w:type="dxa" w:w="504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Ratings: a debt-funded offer risks a parent downgrade to junk (S&amp;P BBB-/Negative)</w:t>
            </w:r>
          </w:p>
        </w:tc>
      </w:tr>
      <w:tr>
        <w:trPr>
          <w:cantSplit/>
        </w:trPr>
        <w:tc>
          <w:tcPr>
            <w:tcW w:type="dxa" w:w="503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 share-swap (no cash) structure is possible</w:t>
            </w:r>
          </w:p>
        </w:tc>
        <w:tc>
          <w:tcPr>
            <w:tcW w:type="dxa" w:w="504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 share swap dilutes the Lim family's ~45% of Genting Bhd and is unattractive at Genting Bhd's depressed price (~RM1.42)</w:t>
            </w:r>
          </w:p>
        </w:tc>
      </w:tr>
      <w:tr>
        <w:trPr>
          <w:cantSplit/>
        </w:trPr>
        <w:tc>
          <w:tcPr>
            <w:tcW w:type="dxa" w:w="503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Low liquidity and index exclusions depress the minority price</w:t>
            </w:r>
          </w:p>
        </w:tc>
        <w:tc>
          <w:tcPr>
            <w:tcW w:type="dxa" w:w="504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Malaysian Take-overs Code and SC scrutiny of a second low-ball attempt; reputational cost</w:t>
            </w:r>
          </w:p>
        </w:tc>
      </w:tr>
    </w:tbl>
    <w:p>
      <w:pPr>
        <w:spacing w:after="80" w:before="0"/>
      </w:pPr>
    </w:p>
    <w:p>
      <w:pPr>
        <w:spacing w:after="110" w:before="0" w:line="264"/>
      </w:pPr>
      <w:r>
        <w:rPr>
          <w:rFonts w:ascii="Arial" w:cs="Arial" w:eastAsia="Arial" w:hAnsi="Arial"/>
          <w:b/>
          <w:bCs/>
          <w:color w:val="1F2937"/>
          <w:sz w:val="19"/>
          <w:szCs w:val="19"/>
        </w:rPr>
        <w:t xml:space="preserve">Most likely sequence [e]:</w:t>
      </w:r>
      <w:r>
        <w:rPr>
          <w:rFonts w:ascii="Arial" w:cs="Arial" w:eastAsia="Arial" w:hAnsi="Arial"/>
          <w:color w:val="1F2937"/>
          <w:sz w:val="19"/>
          <w:szCs w:val="19"/>
        </w:rPr>
        <w:t xml:space="preserve"> (1) Genting Bhd completes its rights issue (1Q27); (2) creeping purchases resume and it crosses 75% (2027); (3) a delisting proposal with an exit offer once RWNYC earnings are visible (2027-28), priced off a then-higher EBITDA but at a "control already held" discount. Alternatively, (4) asset-level deals (RWNYC PropCo sale-leaseback, Miami sale) happen first to fund NY, or (5) the US route flagged in the Nov-2025 offer document: Genting Bhd combines Resorts World Las Vegas with GENM's US operations and lists the combined US business in the US [u], which would put a market price on New York without a cash bid for GENM's minorities.</w:t>
      </w:r>
    </w:p>
    <w:p>
      <w:pPr>
        <w:pStyle w:val="Heading2"/>
        <w:keepNext/>
      </w:pPr>
      <w:r>
        <w:rPr>
          <w:rFonts w:ascii="Arial" w:cs="Arial" w:eastAsia="Arial" w:hAnsi="Arial"/>
        </w:rPr>
        <w:t xml:space="preserve">15.4 Potential takeout multiples and values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4929"/>
        <w:gridCol w:w="575"/>
        <w:gridCol w:w="575"/>
        <w:gridCol w:w="575"/>
        <w:gridCol w:w="1398"/>
        <w:gridCol w:w="676"/>
        <w:gridCol w:w="676"/>
        <w:gridCol w:w="676"/>
      </w:tblGrid>
      <w:tr>
        <w:trPr>
          <w:cantSplit/>
          <w:tblHeader/>
        </w:trPr>
        <w:tc>
          <w:tcPr>
            <w:tcW w:type="dxa" w:w="492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5"/>
                <w:szCs w:val="15"/>
              </w:rPr>
              <w:t xml:space="preserve">TEV / FY26E EBITDA (consensus RM2,974m)</w:t>
            </w:r>
          </w:p>
        </w:tc>
        <w:tc>
          <w:tcPr>
            <w:tcW w:type="dxa" w:w="57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7.0x</w:t>
            </w:r>
          </w:p>
        </w:tc>
        <w:tc>
          <w:tcPr>
            <w:tcW w:type="dxa" w:w="57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8.0x</w:t>
            </w:r>
          </w:p>
        </w:tc>
        <w:tc>
          <w:tcPr>
            <w:tcW w:type="dxa" w:w="57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9.0x</w:t>
            </w:r>
          </w:p>
        </w:tc>
        <w:tc>
          <w:tcPr>
            <w:tcW w:type="dxa" w:w="1398"/>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9.2x (deal median)</w:t>
            </w:r>
          </w:p>
        </w:tc>
        <w:tc>
          <w:tcPr>
            <w:tcW w:type="dxa" w:w="67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10.0x</w:t>
            </w:r>
          </w:p>
        </w:tc>
        <w:tc>
          <w:tcPr>
            <w:tcW w:type="dxa" w:w="67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11.0x</w:t>
            </w:r>
          </w:p>
        </w:tc>
        <w:tc>
          <w:tcPr>
            <w:tcW w:type="dxa" w:w="67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5"/>
                <w:szCs w:val="15"/>
              </w:rPr>
              <w:t xml:space="preserve">12.0x</w:t>
            </w:r>
          </w:p>
        </w:tc>
      </w:tr>
      <w:tr>
        <w:trPr>
          <w:cantSplit/>
        </w:trPr>
        <w:tc>
          <w:tcPr>
            <w:tcW w:type="dxa" w:w="492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Value per share (RM)</w:t>
            </w:r>
          </w:p>
        </w:tc>
        <w:tc>
          <w:tcPr>
            <w:tcW w:type="dxa" w:w="57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1.17</w:t>
            </w:r>
          </w:p>
        </w:tc>
        <w:tc>
          <w:tcPr>
            <w:tcW w:type="dxa" w:w="57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1.70</w:t>
            </w:r>
          </w:p>
        </w:tc>
        <w:tc>
          <w:tcPr>
            <w:tcW w:type="dxa" w:w="57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2.22</w:t>
            </w:r>
          </w:p>
        </w:tc>
        <w:tc>
          <w:tcPr>
            <w:tcW w:type="dxa" w:w="13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2.33</w:t>
            </w:r>
          </w:p>
        </w:tc>
        <w:tc>
          <w:tcPr>
            <w:tcW w:type="dxa" w:w="67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2.75</w:t>
            </w:r>
          </w:p>
        </w:tc>
        <w:tc>
          <w:tcPr>
            <w:tcW w:type="dxa" w:w="67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3.27</w:t>
            </w:r>
          </w:p>
        </w:tc>
        <w:tc>
          <w:tcPr>
            <w:tcW w:type="dxa" w:w="67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3.80</w:t>
            </w:r>
          </w:p>
        </w:tc>
      </w:tr>
      <w:tr>
        <w:trPr>
          <w:cantSplit/>
        </w:trPr>
        <w:tc>
          <w:tcPr>
            <w:tcW w:type="dxa" w:w="492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Premium to RM1.19</w:t>
            </w:r>
          </w:p>
        </w:tc>
        <w:tc>
          <w:tcPr>
            <w:tcW w:type="dxa" w:w="57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w:t>
            </w:r>
          </w:p>
        </w:tc>
        <w:tc>
          <w:tcPr>
            <w:tcW w:type="dxa" w:w="57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+43%</w:t>
            </w:r>
          </w:p>
        </w:tc>
        <w:tc>
          <w:tcPr>
            <w:tcW w:type="dxa" w:w="57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+87%</w:t>
            </w:r>
          </w:p>
        </w:tc>
        <w:tc>
          <w:tcPr>
            <w:tcW w:type="dxa" w:w="13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+96%</w:t>
            </w:r>
          </w:p>
        </w:tc>
        <w:tc>
          <w:tcPr>
            <w:tcW w:type="dxa" w:w="67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+131%</w:t>
            </w:r>
          </w:p>
        </w:tc>
        <w:tc>
          <w:tcPr>
            <w:tcW w:type="dxa" w:w="67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+175%</w:t>
            </w:r>
          </w:p>
        </w:tc>
        <w:tc>
          <w:tcPr>
            <w:tcW w:type="dxa" w:w="67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+219%</w:t>
            </w:r>
          </w:p>
        </w:tc>
      </w:tr>
      <w:tr>
        <w:trPr>
          <w:cantSplit/>
        </w:trPr>
        <w:tc>
          <w:tcPr>
            <w:tcW w:type="dxa" w:w="492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5"/>
                <w:szCs w:val="15"/>
              </w:rPr>
              <w:t xml:space="preserve">On our FY27E EBITDA (RM3,415m), per share</w:t>
            </w:r>
          </w:p>
        </w:tc>
        <w:tc>
          <w:tcPr>
            <w:tcW w:type="dxa" w:w="57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1.72</w:t>
            </w:r>
          </w:p>
        </w:tc>
        <w:tc>
          <w:tcPr>
            <w:tcW w:type="dxa" w:w="57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2.32</w:t>
            </w:r>
          </w:p>
        </w:tc>
        <w:tc>
          <w:tcPr>
            <w:tcW w:type="dxa" w:w="57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2.92</w:t>
            </w:r>
          </w:p>
        </w:tc>
        <w:tc>
          <w:tcPr>
            <w:tcW w:type="dxa" w:w="13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3.04</w:t>
            </w:r>
          </w:p>
        </w:tc>
        <w:tc>
          <w:tcPr>
            <w:tcW w:type="dxa" w:w="67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3.53</w:t>
            </w:r>
          </w:p>
        </w:tc>
        <w:tc>
          <w:tcPr>
            <w:tcW w:type="dxa" w:w="67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4.13</w:t>
            </w:r>
          </w:p>
        </w:tc>
        <w:tc>
          <w:tcPr>
            <w:tcW w:type="dxa" w:w="67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5"/>
                <w:szCs w:val="15"/>
              </w:rPr>
              <w:t xml:space="preserve">4.73</w:t>
            </w:r>
          </w:p>
        </w:tc>
      </w:tr>
    </w:tbl>
    <w:p>
      <w:pPr>
        <w:spacing w:after="80" w:before="0"/>
      </w:pPr>
    </w:p>
    <w:p>
      <w:pPr>
        <w:spacing w:after="140" w:before="0"/>
      </w:pPr>
      <w:r>
        <w:rPr>
          <w:rFonts w:ascii="Arial" w:cs="Arial" w:eastAsia="Arial" w:hAnsi="Arial"/>
          <w:color w:val="6B7280"/>
          <w:sz w:val="15"/>
          <w:szCs w:val="15"/>
        </w:rPr>
        <w:t xml:space="preserve">Net debt RM14,166m (Jun-26, incl. leases) held flat; 5,667.7m shares. The RM2.35 offer equals ~9.2x FY26E EBITDA today; Kenanga's RM3.48-3.77 equals 11.4-11.9x.</w:t>
      </w:r>
    </w:p>
    <w:p>
      <w:pPr>
        <w:spacing w:after="110" w:before="0" w:line="264"/>
      </w:pPr>
      <w:r>
        <w:rPr>
          <w:rFonts w:ascii="Arial" w:cs="Arial" w:eastAsia="Arial" w:hAnsi="Arial"/>
          <w:b/>
          <w:bCs/>
          <w:color w:val="1F2937"/>
          <w:sz w:val="19"/>
          <w:szCs w:val="19"/>
        </w:rPr>
        <w:t xml:space="preserve">Our view of a realistic takeout:</w:t>
      </w:r>
      <w:r>
        <w:rPr>
          <w:rFonts w:ascii="Arial" w:cs="Arial" w:eastAsia="Arial" w:hAnsi="Arial"/>
          <w:color w:val="1F2937"/>
          <w:sz w:val="19"/>
          <w:szCs w:val="19"/>
        </w:rPr>
        <w:t xml:space="preserve"> 8.5-10x FY26E EBITDA, or </w:t>
      </w:r>
      <w:r>
        <w:rPr>
          <w:rFonts w:ascii="Arial" w:cs="Arial" w:eastAsia="Arial" w:hAnsi="Arial"/>
          <w:b/>
          <w:bCs/>
          <w:color w:val="1F2937"/>
          <w:sz w:val="19"/>
          <w:szCs w:val="19"/>
        </w:rPr>
        <w:t xml:space="preserve">RM1.96-2.75 per share</w:t>
      </w:r>
      <w:r>
        <w:rPr>
          <w:rFonts w:ascii="Arial" w:cs="Arial" w:eastAsia="Arial" w:hAnsi="Arial"/>
          <w:color w:val="1F2937"/>
          <w:sz w:val="19"/>
          <w:szCs w:val="19"/>
        </w:rPr>
        <w:t xml:space="preserve">. The lapsed RM2.35 is the psychological anchor. A controlling holder under financial strain is likely to bid at the low end, so a minority blocking stake (Section 26) is what moves the price towards the top.</w:t>
      </w:r>
    </w:p>
    <w:p>
      <w:pPr>
        <w:pStyle w:val="Heading2"/>
        <w:keepNext/>
      </w:pPr>
      <w:r>
        <w:rPr>
          <w:rFonts w:ascii="Arial" w:cs="Arial" w:eastAsia="Arial" w:hAnsi="Arial"/>
        </w:rPr>
        <w:t xml:space="preserve">15.5 Acquisitions and disposals by GENM (last 10 years)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953"/>
        <w:gridCol w:w="3165"/>
        <w:gridCol w:w="1309"/>
        <w:gridCol w:w="2441"/>
        <w:gridCol w:w="2212"/>
      </w:tblGrid>
      <w:tr>
        <w:trPr>
          <w:cantSplit/>
          <w:tblHeader/>
        </w:trPr>
        <w:tc>
          <w:tcPr>
            <w:tcW w:type="dxa" w:w="95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Date</w:t>
            </w:r>
          </w:p>
        </w:tc>
        <w:tc>
          <w:tcPr>
            <w:tcW w:type="dxa" w:w="316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Target / asset</w:t>
            </w:r>
          </w:p>
        </w:tc>
        <w:tc>
          <w:tcPr>
            <w:tcW w:type="dxa" w:w="130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Role</w:t>
            </w:r>
          </w:p>
        </w:tc>
        <w:tc>
          <w:tcPr>
            <w:tcW w:type="dxa" w:w="244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Consideration</w:t>
            </w:r>
          </w:p>
        </w:tc>
        <w:tc>
          <w:tcPr>
            <w:tcW w:type="dxa" w:w="221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Multiple / outcome</w:t>
            </w:r>
          </w:p>
        </w:tc>
      </w:tr>
      <w:tr>
        <w:trPr>
          <w:cantSplit/>
        </w:trPr>
        <w:tc>
          <w:tcPr>
            <w:tcW w:type="dxa" w:w="9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Oct-2016</w:t>
            </w:r>
          </w:p>
        </w:tc>
        <w:tc>
          <w:tcPr>
            <w:tcW w:type="dxa" w:w="31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Genting Hong Kong stake → Golden Hope (Lim family)</w:t>
            </w:r>
          </w:p>
        </w:tc>
        <w:tc>
          <w:tcPr>
            <w:tcW w:type="dxa" w:w="130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Seller (jointly with Genting Bhd)</w:t>
            </w:r>
          </w:p>
        </w:tc>
        <w:tc>
          <w:tcPr>
            <w:tcW w:type="dxa" w:w="244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US$420.8m (joint); GENM gain ~RM1.27bn</w:t>
            </w:r>
          </w:p>
        </w:tc>
        <w:tc>
          <w:tcPr>
            <w:tcW w:type="dxa" w:w="221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Related-party disposal; below GENM's US$604m cost</w:t>
            </w:r>
          </w:p>
        </w:tc>
      </w:tr>
      <w:tr>
        <w:trPr>
          <w:cantSplit/>
        </w:trPr>
        <w:tc>
          <w:tcPr>
            <w:tcW w:type="dxa" w:w="9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2012-2018 (+2025)</w:t>
            </w:r>
          </w:p>
        </w:tc>
        <w:tc>
          <w:tcPr>
            <w:tcW w:type="dxa" w:w="31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Mashpee Wampanoag tribal-casino notes</w:t>
            </w:r>
          </w:p>
        </w:tc>
        <w:tc>
          <w:tcPr>
            <w:tcW w:type="dxa" w:w="130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Lender</w:t>
            </w:r>
          </w:p>
        </w:tc>
        <w:tc>
          <w:tcPr>
            <w:tcW w:type="dxa" w:w="244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US$426m incl. interest</w:t>
            </w:r>
          </w:p>
        </w:tc>
        <w:tc>
          <w:tcPr>
            <w:tcW w:type="dxa" w:w="221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RM1.83bn impairment (2018)</w:t>
            </w:r>
            <w:r>
              <w:rPr>
                <w:rFonts w:ascii="Arial" w:cs="Arial" w:eastAsia="Arial" w:hAnsi="Arial"/>
                <w:b w:val="false"/>
                <w:bCs w:val="false"/>
                <w:color w:val="1F2937"/>
                <w:sz w:val="16"/>
                <w:szCs w:val="16"/>
              </w:rPr>
              <w:t xml:space="preserve">; topped up in 2025</w:t>
            </w:r>
          </w:p>
        </w:tc>
      </w:tr>
      <w:tr>
        <w:trPr>
          <w:cantSplit/>
        </w:trPr>
        <w:tc>
          <w:tcPr>
            <w:tcW w:type="dxa" w:w="9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Mar-2019</w:t>
            </w:r>
          </w:p>
        </w:tc>
        <w:tc>
          <w:tcPr>
            <w:tcW w:type="dxa" w:w="31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Coastbright Ltd (Genting UK) → Sonco UK</w:t>
            </w:r>
          </w:p>
        </w:tc>
        <w:tc>
          <w:tcPr>
            <w:tcW w:type="dxa" w:w="130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Seller</w:t>
            </w:r>
          </w:p>
        </w:tc>
        <w:tc>
          <w:tcPr>
            <w:tcW w:type="dxa" w:w="244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£34.6m</w:t>
            </w:r>
          </w:p>
        </w:tc>
        <w:tc>
          <w:tcPr>
            <w:tcW w:type="dxa" w:w="221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n/a</w:t>
            </w:r>
          </w:p>
        </w:tc>
      </w:tr>
      <w:tr>
        <w:trPr>
          <w:cantSplit/>
        </w:trPr>
        <w:tc>
          <w:tcPr>
            <w:tcW w:type="dxa" w:w="9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Aug-Nov 2019</w:t>
            </w:r>
          </w:p>
        </w:tc>
        <w:tc>
          <w:tcPr>
            <w:tcW w:type="dxa" w:w="31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38.36% of Empire Resorts from Kien Huat, then take-private (49% GENM / 51% KH JV) at US$9.74/share</w:t>
            </w:r>
          </w:p>
        </w:tc>
        <w:tc>
          <w:tcPr>
            <w:tcW w:type="dxa" w:w="130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Buyer</w:t>
            </w:r>
          </w:p>
        </w:tc>
        <w:tc>
          <w:tcPr>
            <w:tcW w:type="dxa" w:w="244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US$128.6m (tranche 1); implied equity US$361m; implied EV US$968m</w:t>
            </w:r>
          </w:p>
        </w:tc>
        <w:tc>
          <w:tcPr>
            <w:tcW w:type="dxa" w:w="221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Empire EBITDA negative → n.m.; −12% share price day</w:t>
            </w:r>
          </w:p>
        </w:tc>
      </w:tr>
      <w:tr>
        <w:trPr>
          <w:cantSplit/>
        </w:trPr>
        <w:tc>
          <w:tcPr>
            <w:tcW w:type="dxa" w:w="9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Oct-2019</w:t>
            </w:r>
          </w:p>
        </w:tc>
        <w:tc>
          <w:tcPr>
            <w:tcW w:type="dxa" w:w="31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Authentic Gaming (live casino) from LeoVegas</w:t>
            </w:r>
          </w:p>
        </w:tc>
        <w:tc>
          <w:tcPr>
            <w:tcW w:type="dxa" w:w="130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Buyer (Genting UK)</w:t>
            </w:r>
          </w:p>
        </w:tc>
        <w:tc>
          <w:tcPr>
            <w:tcW w:type="dxa" w:w="244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€15.2m</w:t>
            </w:r>
          </w:p>
        </w:tc>
        <w:tc>
          <w:tcPr>
            <w:tcW w:type="dxa" w:w="221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n/a</w:t>
            </w:r>
          </w:p>
        </w:tc>
      </w:tr>
      <w:tr>
        <w:trPr>
          <w:cantSplit/>
        </w:trPr>
        <w:tc>
          <w:tcPr>
            <w:tcW w:type="dxa" w:w="9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2020-2024</w:t>
            </w:r>
          </w:p>
        </w:tc>
        <w:tc>
          <w:tcPr>
            <w:tcW w:type="dxa" w:w="31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Empire preferred stock (Series G/H/L, F from KH, M)</w:t>
            </w:r>
          </w:p>
        </w:tc>
        <w:tc>
          <w:tcPr>
            <w:tcW w:type="dxa" w:w="130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Investor</w:t>
            </w:r>
          </w:p>
        </w:tc>
        <w:tc>
          <w:tcPr>
            <w:tcW w:type="dxa" w:w="244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~US$390m</w:t>
            </w:r>
          </w:p>
        </w:tc>
        <w:tc>
          <w:tcPr>
            <w:tcW w:type="dxa" w:w="221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Each below the 5% minority-vote threshold</w:t>
            </w:r>
          </w:p>
        </w:tc>
      </w:tr>
      <w:tr>
        <w:trPr>
          <w:cantSplit/>
        </w:trPr>
        <w:tc>
          <w:tcPr>
            <w:tcW w:type="dxa" w:w="9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Jun-2021</w:t>
            </w:r>
          </w:p>
        </w:tc>
        <w:tc>
          <w:tcPr>
            <w:tcW w:type="dxa" w:w="31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Park Lane Mews Hotel + Mayfair units</w:t>
            </w:r>
          </w:p>
        </w:tc>
        <w:tc>
          <w:tcPr>
            <w:tcW w:type="dxa" w:w="130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Seller (Genting UK)</w:t>
            </w:r>
          </w:p>
        </w:tc>
        <w:tc>
          <w:tcPr>
            <w:tcW w:type="dxa" w:w="244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Undisclosed</w:t>
            </w:r>
          </w:p>
        </w:tc>
        <w:tc>
          <w:tcPr>
            <w:tcW w:type="dxa" w:w="221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n/a</w:t>
            </w:r>
          </w:p>
        </w:tc>
      </w:tr>
      <w:tr>
        <w:trPr>
          <w:cantSplit/>
        </w:trPr>
        <w:tc>
          <w:tcPr>
            <w:tcW w:type="dxa" w:w="9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Jun-2023</w:t>
            </w:r>
          </w:p>
        </w:tc>
        <w:tc>
          <w:tcPr>
            <w:tcW w:type="dxa" w:w="31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Miami Omni/Herald land → Smart Miami City</w:t>
            </w:r>
          </w:p>
        </w:tc>
        <w:tc>
          <w:tcPr>
            <w:tcW w:type="dxa" w:w="130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Seller</w:t>
            </w:r>
          </w:p>
        </w:tc>
        <w:tc>
          <w:tcPr>
            <w:tcW w:type="dxa" w:w="244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US$1.225bn (expected gain RM4.29bn)</w:t>
            </w:r>
          </w:p>
        </w:tc>
        <w:tc>
          <w:tcPr>
            <w:tcW w:type="dxa" w:w="221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Collapsed</w:t>
            </w:r>
          </w:p>
        </w:tc>
      </w:tr>
      <w:tr>
        <w:trPr>
          <w:cantSplit/>
        </w:trPr>
        <w:tc>
          <w:tcPr>
            <w:tcW w:type="dxa" w:w="9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Apr-2025</w:t>
            </w:r>
          </w:p>
        </w:tc>
        <w:tc>
          <w:tcPr>
            <w:tcW w:type="dxa" w:w="31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Aspers Stratford casino (UK)</w:t>
            </w:r>
          </w:p>
        </w:tc>
        <w:tc>
          <w:tcPr>
            <w:tcW w:type="dxa" w:w="130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Buyer</w:t>
            </w:r>
          </w:p>
        </w:tc>
        <w:tc>
          <w:tcPr>
            <w:tcW w:type="dxa" w:w="244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£27.8m</w:t>
            </w:r>
          </w:p>
        </w:tc>
        <w:tc>
          <w:tcPr>
            <w:tcW w:type="dxa" w:w="221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n/a</w:t>
            </w:r>
          </w:p>
        </w:tc>
      </w:tr>
      <w:tr>
        <w:trPr>
          <w:cantSplit/>
        </w:trPr>
        <w:tc>
          <w:tcPr>
            <w:tcW w:type="dxa" w:w="9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Apr-2025</w:t>
            </w:r>
          </w:p>
        </w:tc>
        <w:tc>
          <w:tcPr>
            <w:tcW w:type="dxa" w:w="31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20% of Avanti Dynamic Studios (Sweden)</w:t>
            </w:r>
          </w:p>
        </w:tc>
        <w:tc>
          <w:tcPr>
            <w:tcW w:type="dxa" w:w="130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Buyer</w:t>
            </w:r>
          </w:p>
        </w:tc>
        <w:tc>
          <w:tcPr>
            <w:tcW w:type="dxa" w:w="244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SEK38.1m</w:t>
            </w:r>
          </w:p>
        </w:tc>
        <w:tc>
          <w:tcPr>
            <w:tcW w:type="dxa" w:w="221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Associate</w:t>
            </w:r>
          </w:p>
        </w:tc>
      </w:tr>
      <w:tr>
        <w:trPr>
          <w:cantSplit/>
        </w:trPr>
        <w:tc>
          <w:tcPr>
            <w:tcW w:type="dxa" w:w="9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May-2025</w:t>
            </w:r>
          </w:p>
        </w:tc>
        <w:tc>
          <w:tcPr>
            <w:tcW w:type="dxa" w:w="31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Kien Huat's 51% of Genting Empire Resorts LLC (+ US$39.7m loan)</w:t>
            </w:r>
          </w:p>
        </w:tc>
        <w:tc>
          <w:tcPr>
            <w:tcW w:type="dxa" w:w="130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Buyer</w:t>
            </w:r>
          </w:p>
        </w:tc>
        <w:tc>
          <w:tcPr>
            <w:tcW w:type="dxa" w:w="244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US$41.0m (CIQ TV US$161.4m incl. claims [u])</w:t>
            </w:r>
          </w:p>
        </w:tc>
        <w:tc>
          <w:tcPr>
            <w:tcW w:type="dxa" w:w="221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RM129.1m bargain-purchase gain; ~20 Bursa queries</w:t>
            </w:r>
          </w:p>
        </w:tc>
      </w:tr>
      <w:tr>
        <w:trPr>
          <w:cantSplit/>
        </w:trPr>
        <w:tc>
          <w:tcPr>
            <w:tcW w:type="dxa" w:w="9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Aug-2025</w:t>
            </w:r>
          </w:p>
        </w:tc>
        <w:tc>
          <w:tcPr>
            <w:tcW w:type="dxa" w:w="31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RW Catskills non-gaming assets → Sullivan County LDC (sale-leaseback)</w:t>
            </w:r>
          </w:p>
        </w:tc>
        <w:tc>
          <w:tcPr>
            <w:tcW w:type="dxa" w:w="130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Seller</w:t>
            </w:r>
          </w:p>
        </w:tc>
        <w:tc>
          <w:tcPr>
            <w:tcW w:type="dxa" w:w="244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US$525m</w:t>
            </w:r>
          </w:p>
        </w:tc>
        <w:tc>
          <w:tcPr>
            <w:tcW w:type="dxa" w:w="221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Abandoned</w:t>
            </w:r>
          </w:p>
        </w:tc>
      </w:tr>
      <w:tr>
        <w:trPr>
          <w:cantSplit/>
        </w:trPr>
        <w:tc>
          <w:tcPr>
            <w:tcW w:type="dxa" w:w="9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Dec-2025 / Jan-2026</w:t>
            </w:r>
          </w:p>
        </w:tc>
        <w:tc>
          <w:tcPr>
            <w:tcW w:type="dxa" w:w="31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NY downstate commercial casino licence</w:t>
            </w:r>
          </w:p>
        </w:tc>
        <w:tc>
          <w:tcPr>
            <w:tcW w:type="dxa" w:w="130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Licence</w:t>
            </w:r>
          </w:p>
        </w:tc>
        <w:tc>
          <w:tcPr>
            <w:tcW w:type="dxa" w:w="244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US$500m fee</w:t>
            </w:r>
          </w:p>
        </w:tc>
        <w:tc>
          <w:tcPr>
            <w:tcW w:type="dxa" w:w="221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Awarded 15-Dec-2025</w:t>
            </w:r>
          </w:p>
        </w:tc>
      </w:tr>
    </w:tbl>
    <w:p>
      <w:pPr>
        <w:spacing w:after="80" w:before="0"/>
      </w:pPr>
    </w:p>
    <w:p>
      <w:pPr>
        <w:spacing w:after="110" w:before="0" w:line="264"/>
      </w:pPr>
      <w:r>
        <w:rPr>
          <w:rFonts w:ascii="Arial" w:cs="Arial" w:eastAsia="Arial" w:hAnsi="Arial"/>
          <w:b/>
          <w:bCs/>
          <w:color w:val="1F2937"/>
          <w:sz w:val="19"/>
          <w:szCs w:val="19"/>
        </w:rPr>
        <w:t xml:space="preserve">Assessment:</w:t>
      </w:r>
      <w:r>
        <w:rPr>
          <w:rFonts w:ascii="Arial" w:cs="Arial" w:eastAsia="Arial" w:hAnsi="Arial"/>
          <w:color w:val="1F2937"/>
          <w:sz w:val="19"/>
          <w:szCs w:val="19"/>
        </w:rPr>
        <w:t xml:space="preserve"> a decade of M&amp;A has been dominated by related-party transactions with the controlling family and by impairments. The NY licence is the only acquisition with a credible path to earning its cost of capital.</w:t>
      </w:r>
    </w:p>
    <w:p>
      <w:pPr>
        <w:pStyle w:val="Heading1"/>
        <w:keepNext/>
      </w:pPr>
      <w:r>
        <w:rPr>
          <w:rFonts w:ascii="Arial" w:cs="Arial" w:eastAsia="Arial" w:hAnsi="Arial"/>
        </w:rPr>
        <w:t xml:space="preserve">16. Management Assessment</w:t>
      </w:r>
    </w:p>
    <w:p>
      <w:pPr>
        <w:pStyle w:val="Heading2"/>
        <w:keepNext/>
      </w:pPr>
      <w:r>
        <w:rPr>
          <w:rFonts w:ascii="Arial" w:cs="Arial" w:eastAsia="Arial" w:hAnsi="Arial"/>
        </w:rPr>
        <w:t xml:space="preserve">16.1 Archetype</w:t>
      </w:r>
    </w:p>
    <w:p>
      <w:pPr>
        <w:spacing w:after="110" w:before="0" w:line="264"/>
      </w:pPr>
      <w:r>
        <w:rPr>
          <w:rFonts w:ascii="Arial" w:cs="Arial" w:eastAsia="Arial" w:hAnsi="Arial"/>
          <w:b/>
          <w:bCs/>
          <w:color w:val="1F2937"/>
          <w:sz w:val="19"/>
          <w:szCs w:val="19"/>
        </w:rPr>
        <w:t xml:space="preserve">A founder-family dynasty with long-serving in-house operators underneath.</w:t>
      </w:r>
      <w:r>
        <w:rPr>
          <w:rFonts w:ascii="Arial" w:cs="Arial" w:eastAsia="Arial" w:hAnsi="Arial"/>
          <w:color w:val="1F2937"/>
          <w:sz w:val="19"/>
          <w:szCs w:val="19"/>
        </w:rPr>
        <w:t xml:space="preserve"> Tan Sri Lim Kok Thay (LKT) succeeded his father, founder Lim Goh Tong, and his son Lim Keong Hui (LKH) is the third generation. Day-to-day operations sit with career Genting professionals. At the parent, a non-family CEO (Tan Kong Han) took over in Mar-2025 as part of a multi-year succession plan.</w:t>
      </w:r>
    </w:p>
    <w:p>
      <w:pPr>
        <w:spacing w:after="110" w:before="0" w:line="264"/>
      </w:pPr>
      <w:r>
        <w:rPr>
          <w:rFonts w:ascii="Arial" w:cs="Arial" w:eastAsia="Arial" w:hAnsi="Arial"/>
          <w:b/>
          <w:bCs/>
          <w:color w:val="1F2937"/>
          <w:sz w:val="19"/>
          <w:szCs w:val="19"/>
        </w:rPr>
        <w:t xml:space="preserve">Implication for this stage:</w:t>
      </w:r>
      <w:r>
        <w:rPr>
          <w:rFonts w:ascii="Arial" w:cs="Arial" w:eastAsia="Arial" w:hAnsi="Arial"/>
          <w:color w:val="1F2937"/>
          <w:sz w:val="19"/>
          <w:szCs w:val="19"/>
        </w:rPr>
        <w:t xml:space="preserve"> the business needs disciplined capital allocation through a US$5.5bn construction cycle and a heavily indebted parent. The family's incentives (control of the Genting complex and cash up-streamed to Genting Bhd) are not aligned with GENM minority holders, who own ~26%.</w:t>
      </w:r>
    </w:p>
    <w:p>
      <w:pPr>
        <w:pStyle w:val="Heading2"/>
        <w:keepNext/>
      </w:pPr>
      <w:r>
        <w:rPr>
          <w:rFonts w:ascii="Arial" w:cs="Arial" w:eastAsia="Arial" w:hAnsi="Arial"/>
        </w:rPr>
        <w:t xml:space="preserve">16.2 Key executives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1035"/>
        <w:gridCol w:w="2354"/>
        <w:gridCol w:w="1501"/>
        <w:gridCol w:w="2881"/>
        <w:gridCol w:w="2309"/>
      </w:tblGrid>
      <w:tr>
        <w:trPr>
          <w:cantSplit/>
          <w:tblHeader/>
        </w:trPr>
        <w:tc>
          <w:tcPr>
            <w:tcW w:type="dxa" w:w="103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Executive</w:t>
            </w:r>
          </w:p>
        </w:tc>
        <w:tc>
          <w:tcPr>
            <w:tcW w:type="dxa" w:w="2354"/>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Role</w:t>
            </w:r>
          </w:p>
        </w:tc>
        <w:tc>
          <w:tcPr>
            <w:tcW w:type="dxa" w:w="150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Tenure</w:t>
            </w:r>
          </w:p>
        </w:tc>
        <w:tc>
          <w:tcPr>
            <w:tcW w:type="dxa" w:w="288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Track record</w:t>
            </w:r>
          </w:p>
        </w:tc>
        <w:tc>
          <w:tcPr>
            <w:tcW w:type="dxa" w:w="230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Skin in the game</w:t>
            </w:r>
          </w:p>
        </w:tc>
      </w:tr>
      <w:tr>
        <w:trPr>
          <w:cantSplit/>
        </w:trPr>
        <w:tc>
          <w:tcPr>
            <w:tcW w:type="dxa" w:w="103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Tan Sri Lim Kok Thay</w:t>
            </w:r>
            <w:r>
              <w:rPr>
                <w:rFonts w:ascii="Arial" w:cs="Arial" w:eastAsia="Arial" w:hAnsi="Arial"/>
                <w:b w:val="false"/>
                <w:bCs w:val="false"/>
                <w:color w:val="1F2937"/>
                <w:sz w:val="16"/>
                <w:szCs w:val="16"/>
              </w:rPr>
              <w:t xml:space="preserve"> (~75)</w:t>
            </w:r>
          </w:p>
        </w:tc>
        <w:tc>
          <w:tcPr>
            <w:tcW w:type="dxa" w:w="235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Deputy Chairman &amp; Chief Executive, GENM; Executive Chairman, Genting Bhd and Genting Singapore</w:t>
            </w:r>
          </w:p>
        </w:tc>
        <w:tc>
          <w:tcPr>
            <w:tcW w:type="dxa" w:w="150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GENM board since 1988; CEO ~30 years</w:t>
            </w:r>
          </w:p>
        </w:tc>
        <w:tc>
          <w:tcPr>
            <w:tcW w:type="dxa" w:w="28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Built:</w:t>
            </w:r>
            <w:r>
              <w:rPr>
                <w:rFonts w:ascii="Arial" w:cs="Arial" w:eastAsia="Arial" w:hAnsi="Arial"/>
                <w:b w:val="false"/>
                <w:bCs w:val="false"/>
                <w:color w:val="1F2937"/>
                <w:sz w:val="16"/>
                <w:szCs w:val="16"/>
              </w:rPr>
              <w:t xml:space="preserve"> Resorts World Sentosa (Singapore IR), NCLH (chaired 2003-15), RWNYC (top US VGM facility, now a full casino), Resorts World Las Vegas (parent). </w:t>
            </w:r>
            <w:r>
              <w:rPr>
                <w:rFonts w:ascii="Arial" w:cs="Arial" w:eastAsia="Arial" w:hAnsi="Arial"/>
                <w:b/>
                <w:bCs/>
                <w:color w:val="1F2937"/>
                <w:sz w:val="16"/>
                <w:szCs w:val="16"/>
              </w:rPr>
              <w:t xml:space="preserve">Value-destructive:</w:t>
            </w:r>
            <w:r>
              <w:rPr>
                <w:rFonts w:ascii="Arial" w:cs="Arial" w:eastAsia="Arial" w:hAnsi="Arial"/>
                <w:b w:val="false"/>
                <w:bCs w:val="false"/>
                <w:color w:val="1F2937"/>
                <w:sz w:val="16"/>
                <w:szCs w:val="16"/>
              </w:rPr>
              <w:t xml:space="preserve"> Genting Hong Kong (collapsed 2022), Mashpee notes (RM1.83bn impairment, 2018), Fox World theme park dispute, Empire Resorts (~US$765m invested; still loss-making), Bimini, collapsed Miami sale</w:t>
            </w:r>
          </w:p>
        </w:tc>
        <w:tc>
          <w:tcPr>
            <w:tcW w:type="dxa" w:w="230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Deemed </w:t>
            </w:r>
            <w:r>
              <w:rPr>
                <w:rFonts w:ascii="Arial" w:cs="Arial" w:eastAsia="Arial" w:hAnsi="Arial"/>
                <w:b/>
                <w:bCs/>
                <w:color w:val="1F2937"/>
                <w:sz w:val="16"/>
                <w:szCs w:val="16"/>
              </w:rPr>
              <w:t xml:space="preserve">73.86%</w:t>
            </w:r>
            <w:r>
              <w:rPr>
                <w:rFonts w:ascii="Arial" w:cs="Arial" w:eastAsia="Arial" w:hAnsi="Arial"/>
                <w:b w:val="false"/>
                <w:bCs w:val="false"/>
                <w:color w:val="1F2937"/>
                <w:sz w:val="16"/>
                <w:szCs w:val="16"/>
              </w:rPr>
              <w:t xml:space="preserve"> via the Lim family trust (Kien Huat); no material direct holding. GENM pay RM54.7m (FY25), plus ~RM54.0m reported by Genting Bhd [u overlap]</w:t>
            </w:r>
          </w:p>
        </w:tc>
      </w:tr>
      <w:tr>
        <w:trPr>
          <w:cantSplit/>
        </w:trPr>
        <w:tc>
          <w:tcPr>
            <w:tcW w:type="dxa" w:w="103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Dato' Indera Lim Keong Hui</w:t>
            </w:r>
          </w:p>
        </w:tc>
        <w:tc>
          <w:tcPr>
            <w:tcW w:type="dxa" w:w="235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Deputy Chief Executive &amp; ED (GENM and Genting Bhd); CEO of Genting Plantations since Mar-2025</w:t>
            </w:r>
          </w:p>
        </w:tc>
        <w:tc>
          <w:tcPr>
            <w:tcW w:type="dxa" w:w="150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GENM board since 2012</w:t>
            </w:r>
          </w:p>
        </w:tc>
        <w:tc>
          <w:tcPr>
            <w:tcW w:type="dxa" w:w="28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HSBC investment banking; Genting HK Deputy CEO 2013-20</w:t>
            </w:r>
          </w:p>
        </w:tc>
        <w:tc>
          <w:tcPr>
            <w:tcW w:type="dxa" w:w="230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Deemed 73.86%; substantial interests in Zouk-related companies that supply GENM (related-party). GENM pay RM12.3m (FY25)</w:t>
            </w:r>
          </w:p>
        </w:tc>
      </w:tr>
      <w:tr>
        <w:trPr>
          <w:cantSplit/>
        </w:trPr>
        <w:tc>
          <w:tcPr>
            <w:tcW w:type="dxa" w:w="103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Lee Thiam Kit</w:t>
            </w:r>
            <w:r>
              <w:rPr>
                <w:rFonts w:ascii="Arial" w:cs="Arial" w:eastAsia="Arial" w:hAnsi="Arial"/>
                <w:b w:val="false"/>
                <w:bCs w:val="false"/>
                <w:color w:val="1F2937"/>
                <w:sz w:val="16"/>
                <w:szCs w:val="16"/>
              </w:rPr>
              <w:t xml:space="preserve"> (56)</w:t>
            </w:r>
          </w:p>
        </w:tc>
        <w:tc>
          <w:tcPr>
            <w:tcW w:type="dxa" w:w="235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President (since 1-Mar-2026)</w:t>
            </w:r>
          </w:p>
        </w:tc>
        <w:tc>
          <w:tcPr>
            <w:tcW w:type="dxa" w:w="150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Genting since 2004; RWG President &amp; COO 2023-24</w:t>
            </w:r>
          </w:p>
        </w:tc>
        <w:tc>
          <w:tcPr>
            <w:tcW w:type="dxa" w:w="28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Career RWG operator</w:t>
            </w:r>
          </w:p>
        </w:tc>
        <w:tc>
          <w:tcPr>
            <w:tcW w:type="dxa" w:w="230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Not disclosed</w:t>
            </w:r>
          </w:p>
        </w:tc>
      </w:tr>
      <w:tr>
        <w:trPr>
          <w:cantSplit/>
        </w:trPr>
        <w:tc>
          <w:tcPr>
            <w:tcW w:type="dxa" w:w="103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Loh Wai Yee</w:t>
            </w:r>
            <w:r>
              <w:rPr>
                <w:rFonts w:ascii="Arial" w:cs="Arial" w:eastAsia="Arial" w:hAnsi="Arial"/>
                <w:b w:val="false"/>
                <w:bCs w:val="false"/>
                <w:color w:val="1F2937"/>
                <w:sz w:val="16"/>
                <w:szCs w:val="16"/>
              </w:rPr>
              <w:t xml:space="preserve"> (53)</w:t>
            </w:r>
          </w:p>
        </w:tc>
        <w:tc>
          <w:tcPr>
            <w:tcW w:type="dxa" w:w="235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CFO (since 1-Apr-2025)</w:t>
            </w:r>
          </w:p>
        </w:tc>
        <w:tc>
          <w:tcPr>
            <w:tcW w:type="dxa" w:w="150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Joined Jun-2023</w:t>
            </w:r>
          </w:p>
        </w:tc>
        <w:tc>
          <w:tcPr>
            <w:tcW w:type="dxa" w:w="28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Tenaga Nasional, Khazanah investments, PwC</w:t>
            </w:r>
          </w:p>
        </w:tc>
        <w:tc>
          <w:tcPr>
            <w:tcW w:type="dxa" w:w="230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Not disclosed</w:t>
            </w:r>
          </w:p>
        </w:tc>
      </w:tr>
      <w:tr>
        <w:trPr>
          <w:cantSplit/>
        </w:trPr>
        <w:tc>
          <w:tcPr>
            <w:tcW w:type="dxa" w:w="103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Robert DeSalvio</w:t>
            </w:r>
          </w:p>
        </w:tc>
        <w:tc>
          <w:tcPr>
            <w:tcW w:type="dxa" w:w="235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President, Genting Americas East (RWNYC, Empire)</w:t>
            </w:r>
          </w:p>
        </w:tc>
        <w:tc>
          <w:tcPr>
            <w:tcW w:type="dxa" w:w="150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Long-serving RWNYC head [u]</w:t>
            </w:r>
          </w:p>
        </w:tc>
        <w:tc>
          <w:tcPr>
            <w:tcW w:type="dxa" w:w="28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Delivered NYC licence and table-games launch</w:t>
            </w:r>
          </w:p>
        </w:tc>
        <w:tc>
          <w:tcPr>
            <w:tcW w:type="dxa" w:w="230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Not disclosed</w:t>
            </w:r>
          </w:p>
        </w:tc>
      </w:tr>
      <w:tr>
        <w:trPr>
          <w:cantSplit/>
        </w:trPr>
        <w:tc>
          <w:tcPr>
            <w:tcW w:type="dxa" w:w="103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Paul Willcock</w:t>
            </w:r>
          </w:p>
        </w:tc>
        <w:tc>
          <w:tcPr>
            <w:tcW w:type="dxa" w:w="235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President &amp; COO, Genting UK</w:t>
            </w:r>
          </w:p>
        </w:tc>
        <w:tc>
          <w:tcPr>
            <w:tcW w:type="dxa" w:w="150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n/d</w:t>
            </w:r>
          </w:p>
        </w:tc>
        <w:tc>
          <w:tcPr>
            <w:tcW w:type="dxa" w:w="28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Crockfords Mayfair closure (2023); Stratford acquisition</w:t>
            </w:r>
          </w:p>
        </w:tc>
        <w:tc>
          <w:tcPr>
            <w:tcW w:type="dxa" w:w="230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Not disclosed</w:t>
            </w:r>
          </w:p>
        </w:tc>
      </w:tr>
      <w:tr>
        <w:trPr>
          <w:cantSplit/>
        </w:trPr>
        <w:tc>
          <w:tcPr>
            <w:tcW w:type="dxa" w:w="103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Dato' Sri Lee Choong Yan (65)</w:t>
            </w:r>
          </w:p>
        </w:tc>
        <w:tc>
          <w:tcPr>
            <w:tcW w:type="dxa" w:w="235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Former President &amp; COO (2006-Feb-26); now non-executive director</w:t>
            </w:r>
          </w:p>
        </w:tc>
        <w:tc>
          <w:tcPr>
            <w:tcW w:type="dxa" w:w="150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Group since 1997</w:t>
            </w:r>
          </w:p>
        </w:tc>
        <w:tc>
          <w:tcPr>
            <w:tcW w:type="dxa" w:w="28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Ran UK, US and Bahamas</w:t>
            </w:r>
          </w:p>
        </w:tc>
        <w:tc>
          <w:tcPr>
            <w:tcW w:type="dxa" w:w="230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Spouse holds 2.0m shares (0.035%)</w:t>
            </w:r>
          </w:p>
        </w:tc>
      </w:tr>
    </w:tbl>
    <w:p>
      <w:pPr>
        <w:spacing w:after="80" w:before="0"/>
      </w:pPr>
    </w:p>
    <w:p>
      <w:pPr>
        <w:pStyle w:val="Heading2"/>
        <w:keepNext/>
      </w:pPr>
      <w:r>
        <w:rPr>
          <w:rFonts w:ascii="Arial" w:cs="Arial" w:eastAsia="Arial" w:hAnsi="Arial"/>
        </w:rPr>
        <w:t xml:space="preserve">16.3 Capital allocation and returns under current management</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871"/>
        <w:gridCol w:w="1138"/>
        <w:gridCol w:w="2049"/>
        <w:gridCol w:w="1528"/>
        <w:gridCol w:w="2305"/>
        <w:gridCol w:w="2189"/>
      </w:tblGrid>
      <w:tr>
        <w:trPr>
          <w:cantSplit/>
          <w:tblHeader/>
        </w:trPr>
        <w:tc>
          <w:tcPr>
            <w:tcW w:type="dxa" w:w="87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FY</w:t>
            </w:r>
          </w:p>
        </w:tc>
        <w:tc>
          <w:tcPr>
            <w:tcW w:type="dxa" w:w="1138"/>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ROE</w:t>
            </w:r>
          </w:p>
        </w:tc>
        <w:tc>
          <w:tcPr>
            <w:tcW w:type="dxa" w:w="204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Return on capital</w:t>
            </w:r>
          </w:p>
        </w:tc>
        <w:tc>
          <w:tcPr>
            <w:tcW w:type="dxa" w:w="1528"/>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Capex (RM m)</w:t>
            </w:r>
          </w:p>
        </w:tc>
        <w:tc>
          <w:tcPr>
            <w:tcW w:type="dxa" w:w="230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Dividends paid (RM m)</w:t>
            </w:r>
          </w:p>
        </w:tc>
        <w:tc>
          <w:tcPr>
            <w:tcW w:type="dxa" w:w="218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6"/>
                <w:szCs w:val="16"/>
              </w:rPr>
              <w:t xml:space="preserve">Total debt (RM m)</w:t>
            </w:r>
          </w:p>
        </w:tc>
      </w:tr>
      <w:tr>
        <w:trPr>
          <w:cantSplit/>
        </w:trPr>
        <w:tc>
          <w:tcPr>
            <w:tcW w:type="dxa" w:w="87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2015</w:t>
            </w:r>
          </w:p>
        </w:tc>
        <w:tc>
          <w:tcPr>
            <w:tcW w:type="dxa" w:w="113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7.0%</w:t>
            </w:r>
          </w:p>
        </w:tc>
        <w:tc>
          <w:tcPr>
            <w:tcW w:type="dxa" w:w="204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3.7%</w:t>
            </w:r>
          </w:p>
        </w:tc>
        <w:tc>
          <w:tcPr>
            <w:tcW w:type="dxa" w:w="152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2,531</w:t>
            </w:r>
          </w:p>
        </w:tc>
        <w:tc>
          <w:tcPr>
            <w:tcW w:type="dxa" w:w="230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357</w:t>
            </w:r>
          </w:p>
        </w:tc>
        <w:tc>
          <w:tcPr>
            <w:tcW w:type="dxa" w:w="21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4,630</w:t>
            </w:r>
          </w:p>
        </w:tc>
      </w:tr>
      <w:tr>
        <w:trPr>
          <w:cantSplit/>
        </w:trPr>
        <w:tc>
          <w:tcPr>
            <w:tcW w:type="dxa" w:w="87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2017</w:t>
            </w:r>
          </w:p>
        </w:tc>
        <w:tc>
          <w:tcPr>
            <w:tcW w:type="dxa" w:w="113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5.5%</w:t>
            </w:r>
          </w:p>
        </w:tc>
        <w:tc>
          <w:tcPr>
            <w:tcW w:type="dxa" w:w="204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4.6%</w:t>
            </w:r>
          </w:p>
        </w:tc>
        <w:tc>
          <w:tcPr>
            <w:tcW w:type="dxa" w:w="152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2,659</w:t>
            </w:r>
          </w:p>
        </w:tc>
        <w:tc>
          <w:tcPr>
            <w:tcW w:type="dxa" w:w="230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578</w:t>
            </w:r>
          </w:p>
        </w:tc>
        <w:tc>
          <w:tcPr>
            <w:tcW w:type="dxa" w:w="21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6,974</w:t>
            </w:r>
          </w:p>
        </w:tc>
      </w:tr>
      <w:tr>
        <w:trPr>
          <w:cantSplit/>
        </w:trPr>
        <w:tc>
          <w:tcPr>
            <w:tcW w:type="dxa" w:w="87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2019</w:t>
            </w:r>
          </w:p>
        </w:tc>
        <w:tc>
          <w:tcPr>
            <w:tcW w:type="dxa" w:w="113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7.4%</w:t>
            </w:r>
          </w:p>
        </w:tc>
        <w:tc>
          <w:tcPr>
            <w:tcW w:type="dxa" w:w="204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4.8%</w:t>
            </w:r>
          </w:p>
        </w:tc>
        <w:tc>
          <w:tcPr>
            <w:tcW w:type="dxa" w:w="152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2,518</w:t>
            </w:r>
          </w:p>
        </w:tc>
        <w:tc>
          <w:tcPr>
            <w:tcW w:type="dxa" w:w="230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622</w:t>
            </w:r>
          </w:p>
        </w:tc>
        <w:tc>
          <w:tcPr>
            <w:tcW w:type="dxa" w:w="21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10,882</w:t>
            </w:r>
          </w:p>
        </w:tc>
      </w:tr>
      <w:tr>
        <w:trPr>
          <w:cantSplit/>
        </w:trPr>
        <w:tc>
          <w:tcPr>
            <w:tcW w:type="dxa" w:w="87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2021</w:t>
            </w:r>
          </w:p>
        </w:tc>
        <w:tc>
          <w:tcPr>
            <w:tcW w:type="dxa" w:w="113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(7.6%)</w:t>
            </w:r>
          </w:p>
        </w:tc>
        <w:tc>
          <w:tcPr>
            <w:tcW w:type="dxa" w:w="204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(2.0%)</w:t>
            </w:r>
          </w:p>
        </w:tc>
        <w:tc>
          <w:tcPr>
            <w:tcW w:type="dxa" w:w="152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865</w:t>
            </w:r>
          </w:p>
        </w:tc>
        <w:tc>
          <w:tcPr>
            <w:tcW w:type="dxa" w:w="230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480</w:t>
            </w:r>
          </w:p>
        </w:tc>
        <w:tc>
          <w:tcPr>
            <w:tcW w:type="dxa" w:w="21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13,788</w:t>
            </w:r>
          </w:p>
        </w:tc>
      </w:tr>
      <w:tr>
        <w:trPr>
          <w:cantSplit/>
        </w:trPr>
        <w:tc>
          <w:tcPr>
            <w:tcW w:type="dxa" w:w="87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2023</w:t>
            </w:r>
          </w:p>
        </w:tc>
        <w:tc>
          <w:tcPr>
            <w:tcW w:type="dxa" w:w="113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3.0%</w:t>
            </w:r>
          </w:p>
        </w:tc>
        <w:tc>
          <w:tcPr>
            <w:tcW w:type="dxa" w:w="204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5.9%</w:t>
            </w:r>
          </w:p>
        </w:tc>
        <w:tc>
          <w:tcPr>
            <w:tcW w:type="dxa" w:w="152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696</w:t>
            </w:r>
          </w:p>
        </w:tc>
        <w:tc>
          <w:tcPr>
            <w:tcW w:type="dxa" w:w="230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850</w:t>
            </w:r>
          </w:p>
        </w:tc>
        <w:tc>
          <w:tcPr>
            <w:tcW w:type="dxa" w:w="21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13,001</w:t>
            </w:r>
          </w:p>
        </w:tc>
      </w:tr>
      <w:tr>
        <w:trPr>
          <w:cantSplit/>
        </w:trPr>
        <w:tc>
          <w:tcPr>
            <w:tcW w:type="dxa" w:w="87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2024</w:t>
            </w:r>
          </w:p>
        </w:tc>
        <w:tc>
          <w:tcPr>
            <w:tcW w:type="dxa" w:w="113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1.4%</w:t>
            </w:r>
          </w:p>
        </w:tc>
        <w:tc>
          <w:tcPr>
            <w:tcW w:type="dxa" w:w="204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5.3%</w:t>
            </w:r>
          </w:p>
        </w:tc>
        <w:tc>
          <w:tcPr>
            <w:tcW w:type="dxa" w:w="152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567</w:t>
            </w:r>
          </w:p>
        </w:tc>
        <w:tc>
          <w:tcPr>
            <w:tcW w:type="dxa" w:w="230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850</w:t>
            </w:r>
          </w:p>
        </w:tc>
        <w:tc>
          <w:tcPr>
            <w:tcW w:type="dxa" w:w="218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13,323</w:t>
            </w:r>
          </w:p>
        </w:tc>
      </w:tr>
      <w:tr>
        <w:trPr>
          <w:cantSplit/>
        </w:trPr>
        <w:tc>
          <w:tcPr>
            <w:tcW w:type="dxa" w:w="87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2025</w:t>
            </w:r>
          </w:p>
        </w:tc>
        <w:tc>
          <w:tcPr>
            <w:tcW w:type="dxa" w:w="113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6.2%</w:t>
            </w:r>
          </w:p>
        </w:tc>
        <w:tc>
          <w:tcPr>
            <w:tcW w:type="dxa" w:w="204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6.1%</w:t>
            </w:r>
          </w:p>
        </w:tc>
        <w:tc>
          <w:tcPr>
            <w:tcW w:type="dxa" w:w="152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908</w:t>
            </w:r>
          </w:p>
        </w:tc>
        <w:tc>
          <w:tcPr>
            <w:tcW w:type="dxa" w:w="230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227</w:t>
            </w:r>
          </w:p>
        </w:tc>
        <w:tc>
          <w:tcPr>
            <w:tcW w:type="dxa" w:w="218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6"/>
                <w:szCs w:val="16"/>
              </w:rPr>
              <w:t xml:space="preserve">14,219</w:t>
            </w:r>
          </w:p>
        </w:tc>
      </w:tr>
    </w:tbl>
    <w:p>
      <w:pPr>
        <w:spacing w:after="80" w:before="0"/>
      </w:pPr>
    </w:p>
    <w:p>
      <w:pPr>
        <w:spacing w:after="140" w:before="0"/>
      </w:pPr>
      <w:r>
        <w:rPr>
          <w:rFonts w:ascii="Arial" w:cs="Arial" w:eastAsia="Arial" w:hAnsi="Arial"/>
          <w:color w:val="6B7280"/>
          <w:sz w:val="15"/>
          <w:szCs w:val="15"/>
        </w:rPr>
        <w:t xml:space="preserve">Source: S&amp;P Capital IQ. Over FY2015-25, average ROE was ~1.6% and return on capital ~3.6% [e], </w:t>
      </w:r>
      <w:r>
        <w:rPr>
          <w:rFonts w:ascii="Arial" w:cs="Arial" w:eastAsia="Arial" w:hAnsi="Arial"/>
          <w:b/>
          <w:bCs/>
          <w:color w:val="6B7280"/>
          <w:sz w:val="15"/>
          <w:szCs w:val="15"/>
        </w:rPr>
        <w:t xml:space="preserve">below any plausible cost of capital</w:t>
      </w:r>
      <w:r>
        <w:rPr>
          <w:rFonts w:ascii="Arial" w:cs="Arial" w:eastAsia="Arial" w:hAnsi="Arial"/>
          <w:color w:val="6B7280"/>
          <w:sz w:val="15"/>
          <w:szCs w:val="15"/>
        </w:rPr>
        <w:t xml:space="preserve"> (8-10% for a casino operator). Equity attributable fell from RM19.7bn (FY16) to RM11.6bn (FY25) while debt rose ~3x. Dividends paid since 2015 (≥RM5.5bn) exceed cumulative attributable profit (RM4.4bn): dividends were effectively debt-funded in FY23-24 (payout 195-226%).</w:t>
      </w:r>
    </w:p>
    <w:p>
      <w:pPr>
        <w:spacing w:after="110" w:before="0" w:line="264"/>
      </w:pPr>
      <w:r>
        <w:rPr>
          <w:rFonts w:ascii="Arial" w:cs="Arial" w:eastAsia="Arial" w:hAnsi="Arial"/>
          <w:b/>
          <w:bCs/>
          <w:color w:val="1F2937"/>
          <w:sz w:val="19"/>
          <w:szCs w:val="19"/>
        </w:rPr>
        <w:t xml:space="preserve">Verdict on capital allocation: poor.</w:t>
      </w:r>
      <w:r>
        <w:rPr>
          <w:rFonts w:ascii="Arial" w:cs="Arial" w:eastAsia="Arial" w:hAnsi="Arial"/>
          <w:color w:val="1F2937"/>
          <w:sz w:val="19"/>
          <w:szCs w:val="19"/>
        </w:rPr>
        <w:t xml:space="preserve"> The core Malaysian reinvestment (GITP, RM10.4bn) delivered volume but low incremental returns. The international expansion has been the main value destroyer: Mashpee, Empire, Bimini, the Fox World dispute, the UK and Miami. Several deals have been with, or have benefited, the controlling family. The NY downstate licence is the first large bet that could earn its cost of capital, but it is being funded at a time of peak leverage at both GENM and its parent.</w:t>
      </w:r>
    </w:p>
    <w:p>
      <w:pPr>
        <w:pStyle w:val="Heading2"/>
        <w:keepNext/>
      </w:pPr>
      <w:r>
        <w:rPr>
          <w:rFonts w:ascii="Arial" w:cs="Arial" w:eastAsia="Arial" w:hAnsi="Arial"/>
        </w:rPr>
        <w:t xml:space="preserve">16.4 Red flags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379"/>
        <w:gridCol w:w="3065"/>
        <w:gridCol w:w="6636"/>
      </w:tblGrid>
      <w:tr>
        <w:trPr>
          <w:cantSplit/>
          <w:tblHeader/>
        </w:trPr>
        <w:tc>
          <w:tcPr>
            <w:tcW w:type="dxa" w:w="37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w:t>
            </w:r>
          </w:p>
        </w:tc>
        <w:tc>
          <w:tcPr>
            <w:tcW w:type="dxa" w:w="306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Red flag</w:t>
            </w:r>
          </w:p>
        </w:tc>
        <w:tc>
          <w:tcPr>
            <w:tcW w:type="dxa" w:w="663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Evidence</w:t>
            </w:r>
          </w:p>
        </w:tc>
      </w:tr>
      <w:tr>
        <w:trPr>
          <w:cantSplit/>
        </w:trPr>
        <w:tc>
          <w:tcPr>
            <w:tcW w:type="dxa" w:w="3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w:t>
            </w:r>
          </w:p>
        </w:tc>
        <w:tc>
          <w:tcPr>
            <w:tcW w:type="dxa" w:w="3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Fee leakage to the parent</w:t>
            </w:r>
          </w:p>
        </w:tc>
        <w:tc>
          <w:tcPr>
            <w:tcW w:type="dxa" w:w="663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FY25 related-party fees ~</w:t>
            </w:r>
            <w:r>
              <w:rPr>
                <w:rFonts w:ascii="Arial" w:cs="Arial" w:eastAsia="Arial" w:hAnsi="Arial"/>
                <w:b/>
                <w:bCs/>
                <w:color w:val="1F2937"/>
                <w:sz w:val="17"/>
                <w:szCs w:val="17"/>
              </w:rPr>
              <w:t xml:space="preserve">RM848m</w:t>
            </w:r>
            <w:r>
              <w:rPr>
                <w:rFonts w:ascii="Arial" w:cs="Arial" w:eastAsia="Arial" w:hAnsi="Arial"/>
                <w:b w:val="false"/>
                <w:bCs w:val="false"/>
                <w:color w:val="1F2937"/>
                <w:sz w:val="17"/>
                <w:szCs w:val="17"/>
              </w:rPr>
              <w:t xml:space="preserve"> (technical know-how &amp; management fee RM497.8m; brand licence RM233.0m; RWI US/Bahamas IP RM90.2m; software/support RM16.1m; other RM11.2m) = ~7% of revenue, 26% of adj. EBITDA, ~112% of FY25 net income [e]</w:t>
            </w:r>
          </w:p>
        </w:tc>
      </w:tr>
      <w:tr>
        <w:trPr>
          <w:cantSplit/>
        </w:trPr>
        <w:tc>
          <w:tcPr>
            <w:tcW w:type="dxa" w:w="3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w:t>
            </w:r>
          </w:p>
        </w:tc>
        <w:tc>
          <w:tcPr>
            <w:tcW w:type="dxa" w:w="3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Serial related-party deals with Kien Huat</w:t>
            </w:r>
          </w:p>
        </w:tc>
        <w:tc>
          <w:tcPr>
            <w:tcW w:type="dxa" w:w="663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Empire Resorts transactions in 2019, 2020, 2022, 2024 and 2025, each sized below the 5% threshold that would require a minority vote; May-2025 buyout of KH's 51% of GERL for US$41m booked a RM129.1m "bargain" gain and drew ~20 Bursa queries</w:t>
            </w:r>
          </w:p>
        </w:tc>
      </w:tr>
      <w:tr>
        <w:trPr>
          <w:cantSplit/>
        </w:trPr>
        <w:tc>
          <w:tcPr>
            <w:tcW w:type="dxa" w:w="3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3</w:t>
            </w:r>
          </w:p>
        </w:tc>
        <w:tc>
          <w:tcPr>
            <w:tcW w:type="dxa" w:w="3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Executive pay</w:t>
            </w:r>
          </w:p>
        </w:tc>
        <w:tc>
          <w:tcPr>
            <w:tcW w:type="dxa" w:w="663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LKT RM54.7m (GENM FY25), RM93.5m in loss-making FY2018; board pay RM80.2m = 10.6% of FY25 net income; LKT pay "similar to his father's" by design</w:t>
            </w:r>
          </w:p>
        </w:tc>
      </w:tr>
      <w:tr>
        <w:trPr>
          <w:cantSplit/>
        </w:trPr>
        <w:tc>
          <w:tcPr>
            <w:tcW w:type="dxa" w:w="3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4</w:t>
            </w:r>
          </w:p>
        </w:tc>
        <w:tc>
          <w:tcPr>
            <w:tcW w:type="dxa" w:w="3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Other family-linked suppliers</w:t>
            </w:r>
          </w:p>
        </w:tc>
        <w:tc>
          <w:tcPr>
            <w:tcW w:type="dxa" w:w="663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Zouk IP/management (LKH interests); HanBurger, Sky Pie (director-connected); Warisan Timah rental (LKT's brother)</w:t>
            </w:r>
          </w:p>
        </w:tc>
      </w:tr>
      <w:tr>
        <w:trPr>
          <w:cantSplit/>
        </w:trPr>
        <w:tc>
          <w:tcPr>
            <w:tcW w:type="dxa" w:w="3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5</w:t>
            </w:r>
          </w:p>
        </w:tc>
        <w:tc>
          <w:tcPr>
            <w:tcW w:type="dxa" w:w="3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Board independence</w:t>
            </w:r>
          </w:p>
        </w:tc>
        <w:tc>
          <w:tcPr>
            <w:tcW w:type="dxa" w:w="663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3 of 8 independent (37.5%), below MCCG's majority for large companies; three long-serving independents redesignated non-independent instead of retiring; non-independent chairman with 21 years' tenure</w:t>
            </w:r>
          </w:p>
        </w:tc>
      </w:tr>
      <w:tr>
        <w:trPr>
          <w:cantSplit/>
        </w:trPr>
        <w:tc>
          <w:tcPr>
            <w:tcW w:type="dxa" w:w="3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6</w:t>
            </w:r>
          </w:p>
        </w:tc>
        <w:tc>
          <w:tcPr>
            <w:tcW w:type="dxa" w:w="3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Offer timing</w:t>
            </w:r>
          </w:p>
        </w:tc>
        <w:tc>
          <w:tcPr>
            <w:tcW w:type="dxa" w:w="663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Interim dividend skipped (Aug-25) two months before the parent's RM2.35 offer (~1.15x book), which the independent adviser called "not fair and not reasonable" (SOTP RM3.48-3.77); parent then bought on-market at ~RM1.97</w:t>
            </w:r>
          </w:p>
        </w:tc>
      </w:tr>
      <w:tr>
        <w:trPr>
          <w:cantSplit/>
        </w:trPr>
        <w:tc>
          <w:tcPr>
            <w:tcW w:type="dxa" w:w="3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7</w:t>
            </w:r>
          </w:p>
        </w:tc>
        <w:tc>
          <w:tcPr>
            <w:tcW w:type="dxa" w:w="306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Strategy pivots</w:t>
            </w:r>
          </w:p>
        </w:tc>
        <w:tc>
          <w:tcPr>
            <w:tcW w:type="dxa" w:w="663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Theme-park IP (Fox → generic), Empire (associate → loan → preferred → 100%), Miami (develop → sell → re-market), NY online betting (entered 2022, exited 2025), Catskills sale-leaseback (announced Aug-25, abandoned)</w:t>
            </w:r>
          </w:p>
        </w:tc>
      </w:tr>
      <w:tr>
        <w:trPr>
          <w:cantSplit/>
        </w:trPr>
        <w:tc>
          <w:tcPr>
            <w:tcW w:type="dxa" w:w="3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8</w:t>
            </w:r>
          </w:p>
        </w:tc>
        <w:tc>
          <w:tcPr>
            <w:tcW w:type="dxa" w:w="306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Promotional behaviour</w:t>
            </w:r>
          </w:p>
        </w:tc>
        <w:tc>
          <w:tcPr>
            <w:tcW w:type="dxa" w:w="663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Limited; management is not promotional, but disclosure is thin (no VIP/mass split, no hold-adjusted numbers, no NY project IRR)</w:t>
            </w:r>
          </w:p>
        </w:tc>
      </w:tr>
    </w:tbl>
    <w:p>
      <w:pPr>
        <w:spacing w:after="80" w:before="0"/>
      </w:pPr>
    </w:p>
    <w:p>
      <w:pPr>
        <w:pStyle w:val="Heading2"/>
        <w:keepNext/>
      </w:pPr>
      <w:r>
        <w:rPr>
          <w:rFonts w:ascii="Arial" w:cs="Arial" w:eastAsia="Arial" w:hAnsi="Arial"/>
        </w:rPr>
        <w:t xml:space="preserve">16.5 Recent senior management changes</w:t>
      </w:r>
    </w:p>
    <w:p>
      <w:pPr>
        <w:pStyle w:val="ListParagraph"/>
        <w:numPr>
          <w:ilvl w:val="0"/>
          <w:numId w:val="3"/>
        </w:numPr>
        <w:spacing w:after="60" w:before="0" w:line="252"/>
      </w:pPr>
      <w:r>
        <w:rPr>
          <w:rFonts w:ascii="Arial" w:cs="Arial" w:eastAsia="Arial" w:hAnsi="Arial"/>
          <w:color w:val="1F2937"/>
          <w:sz w:val="19"/>
          <w:szCs w:val="19"/>
        </w:rPr>
        <w:t xml:space="preserve">Mar-2025: LKT hands the Genting Bhd CEO role to Tan Kong Han; LKH becomes CEO of Genting Plantations; Lee Thiam Kit becomes GENM Deputy President.</w:t>
      </w:r>
    </w:p>
    <w:p>
      <w:pPr>
        <w:pStyle w:val="ListParagraph"/>
        <w:numPr>
          <w:ilvl w:val="0"/>
          <w:numId w:val="3"/>
        </w:numPr>
        <w:spacing w:after="60" w:before="0" w:line="252"/>
      </w:pPr>
      <w:r>
        <w:rPr>
          <w:rFonts w:ascii="Arial" w:cs="Arial" w:eastAsia="Arial" w:hAnsi="Arial"/>
          <w:color w:val="1F2937"/>
          <w:sz w:val="19"/>
          <w:szCs w:val="19"/>
        </w:rPr>
        <w:t xml:space="preserve">Apr-2025: CFO Koh Poy Yong (CFO since 2010) retires; Loh Wai Yee appointed.</w:t>
      </w:r>
    </w:p>
    <w:p>
      <w:pPr>
        <w:pStyle w:val="ListParagraph"/>
        <w:numPr>
          <w:ilvl w:val="0"/>
          <w:numId w:val="3"/>
        </w:numPr>
        <w:spacing w:after="60" w:before="0" w:line="252"/>
      </w:pPr>
      <w:r>
        <w:rPr>
          <w:rFonts w:ascii="Arial" w:cs="Arial" w:eastAsia="Arial" w:hAnsi="Arial"/>
          <w:color w:val="1F2937"/>
          <w:sz w:val="19"/>
          <w:szCs w:val="19"/>
        </w:rPr>
        <w:t xml:space="preserve">Dec-2025: Chief Corporate Development Officer Andrew Tan retires.</w:t>
      </w:r>
    </w:p>
    <w:p>
      <w:pPr>
        <w:pStyle w:val="ListParagraph"/>
        <w:numPr>
          <w:ilvl w:val="0"/>
          <w:numId w:val="3"/>
        </w:numPr>
        <w:spacing w:after="60" w:before="0" w:line="252"/>
      </w:pPr>
      <w:r>
        <w:rPr>
          <w:rFonts w:ascii="Arial" w:cs="Arial" w:eastAsia="Arial" w:hAnsi="Arial"/>
          <w:b/>
          <w:bCs/>
          <w:color w:val="1F2937"/>
          <w:sz w:val="19"/>
          <w:szCs w:val="19"/>
        </w:rPr>
        <w:t xml:space="preserve">Mar-2026: President &amp; COO Lee Choong Yan steps down</w:t>
      </w:r>
      <w:r>
        <w:rPr>
          <w:rFonts w:ascii="Arial" w:cs="Arial" w:eastAsia="Arial" w:hAnsi="Arial"/>
          <w:color w:val="1F2937"/>
          <w:sz w:val="19"/>
          <w:szCs w:val="19"/>
        </w:rPr>
        <w:t xml:space="preserve"> (no succession rationale given); Lee Thiam Kit appointed President.</w:t>
      </w:r>
    </w:p>
    <w:p>
      <w:pPr>
        <w:pStyle w:val="ListParagraph"/>
        <w:numPr>
          <w:ilvl w:val="0"/>
          <w:numId w:val="3"/>
        </w:numPr>
        <w:spacing w:after="60" w:before="0" w:line="252"/>
      </w:pPr>
      <w:r>
        <w:rPr>
          <w:rFonts w:ascii="Arial" w:cs="Arial" w:eastAsia="Arial" w:hAnsi="Arial"/>
          <w:color w:val="1F2937"/>
          <w:sz w:val="19"/>
          <w:szCs w:val="19"/>
        </w:rPr>
        <w:t xml:space="preserve">May-2026: Lee Choong Yan becomes a non-executive director and joins the Remuneration Committee.</w:t>
      </w:r>
    </w:p>
    <w:p>
      <w:pPr>
        <w:pStyle w:val="Heading1"/>
        <w:keepNext/>
      </w:pPr>
      <w:r>
        <w:rPr>
          <w:rFonts w:ascii="Arial" w:cs="Arial" w:eastAsia="Arial" w:hAnsi="Arial"/>
        </w:rPr>
        <w:t xml:space="preserve">17. Board of Directors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1769"/>
        <w:gridCol w:w="2124"/>
        <w:gridCol w:w="1477"/>
        <w:gridCol w:w="2028"/>
        <w:gridCol w:w="2682"/>
      </w:tblGrid>
      <w:tr>
        <w:trPr>
          <w:cantSplit/>
          <w:tblHeader/>
        </w:trPr>
        <w:tc>
          <w:tcPr>
            <w:tcW w:type="dxa" w:w="176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Director</w:t>
            </w:r>
          </w:p>
        </w:tc>
        <w:tc>
          <w:tcPr>
            <w:tcW w:type="dxa" w:w="2124"/>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Role</w:t>
            </w:r>
          </w:p>
        </w:tc>
        <w:tc>
          <w:tcPr>
            <w:tcW w:type="dxa" w:w="147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Appointed / tenure</w:t>
            </w:r>
          </w:p>
        </w:tc>
        <w:tc>
          <w:tcPr>
            <w:tcW w:type="dxa" w:w="2028"/>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Professional background</w:t>
            </w:r>
          </w:p>
        </w:tc>
        <w:tc>
          <w:tcPr>
            <w:tcW w:type="dxa" w:w="268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Other affiliations</w:t>
            </w:r>
          </w:p>
        </w:tc>
      </w:tr>
      <w:tr>
        <w:trPr>
          <w:cantSplit/>
        </w:trPr>
        <w:tc>
          <w:tcPr>
            <w:tcW w:type="dxa" w:w="176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Gen (R) Tan Sri (Dr) Mohd Zahidi bin Hj Zainuddin (~78)</w:t>
            </w:r>
          </w:p>
        </w:tc>
        <w:tc>
          <w:tcPr>
            <w:tcW w:type="dxa" w:w="212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Non-independent non-executive Chairman (since Jun-2024)</w:t>
            </w:r>
          </w:p>
        </w:tc>
        <w:tc>
          <w:tcPr>
            <w:tcW w:type="dxa" w:w="14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Aug-2005 (~21 yrs); independent until Jun-2023</w:t>
            </w:r>
          </w:p>
        </w:tc>
        <w:tc>
          <w:tcPr>
            <w:tcW w:type="dxa" w:w="202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Chief of Defence Forces 1999-2005; Army Chief</w:t>
            </w:r>
          </w:p>
        </w:tc>
        <w:tc>
          <w:tcPr>
            <w:tcW w:type="dxa" w:w="268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Chairman of Genting Plantations; Group Chairman of Cahya Mata Sarawak (CMS holds 18.8% of Kenanga IB, the 2025 independent adviser; he abstained); Chairman of AHAM Asset Management; Only World Group</w:t>
            </w:r>
          </w:p>
        </w:tc>
      </w:tr>
      <w:tr>
        <w:trPr>
          <w:cantSplit/>
        </w:trPr>
        <w:tc>
          <w:tcPr>
            <w:tcW w:type="dxa" w:w="176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Tan Sri Lim Kok Thay</w:t>
            </w:r>
          </w:p>
        </w:tc>
        <w:tc>
          <w:tcPr>
            <w:tcW w:type="dxa" w:w="212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Deputy Chairman &amp; Chief Executive</w:t>
            </w:r>
          </w:p>
        </w:tc>
        <w:tc>
          <w:tcPr>
            <w:tcW w:type="dxa" w:w="14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Oct-1988 (~38 yrs)</w:t>
            </w:r>
          </w:p>
        </w:tc>
        <w:tc>
          <w:tcPr>
            <w:tcW w:type="dxa" w:w="202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Founder-family CEO</w:t>
            </w:r>
          </w:p>
        </w:tc>
        <w:tc>
          <w:tcPr>
            <w:tcW w:type="dxa" w:w="268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Executive Chairman of Genting Bhd and Genting Singapore; Deputy Chairman of Genting Plantations; biotech boards (TauRx, DNAe)</w:t>
            </w:r>
          </w:p>
        </w:tc>
      </w:tr>
      <w:tr>
        <w:trPr>
          <w:cantSplit/>
        </w:trPr>
        <w:tc>
          <w:tcPr>
            <w:tcW w:type="dxa" w:w="176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Dato' Indera Lim Keong Hui</w:t>
            </w:r>
          </w:p>
        </w:tc>
        <w:tc>
          <w:tcPr>
            <w:tcW w:type="dxa" w:w="212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Deputy Chief Executive &amp; Executive Director</w:t>
            </w:r>
          </w:p>
        </w:tc>
        <w:tc>
          <w:tcPr>
            <w:tcW w:type="dxa" w:w="14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Jul-2012 (~14 yrs)</w:t>
            </w:r>
          </w:p>
        </w:tc>
        <w:tc>
          <w:tcPr>
            <w:tcW w:type="dxa" w:w="202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HSBC IB; Genting HK</w:t>
            </w:r>
          </w:p>
        </w:tc>
        <w:tc>
          <w:tcPr>
            <w:tcW w:type="dxa" w:w="268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Deputy CE of Genting Bhd; CEO of Genting Plantations</w:t>
            </w:r>
          </w:p>
        </w:tc>
      </w:tr>
      <w:tr>
        <w:trPr>
          <w:cantSplit/>
        </w:trPr>
        <w:tc>
          <w:tcPr>
            <w:tcW w:type="dxa" w:w="176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Dato' Sri Lee Choong Yan</w:t>
            </w:r>
          </w:p>
        </w:tc>
        <w:tc>
          <w:tcPr>
            <w:tcW w:type="dxa" w:w="212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Non-independent non-executive director</w:t>
            </w:r>
          </w:p>
        </w:tc>
        <w:tc>
          <w:tcPr>
            <w:tcW w:type="dxa" w:w="14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Jan-2020 (exec since 1997)</w:t>
            </w:r>
          </w:p>
        </w:tc>
        <w:tc>
          <w:tcPr>
            <w:tcW w:type="dxa" w:w="202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Chartered accountant; former President &amp; COO</w:t>
            </w:r>
          </w:p>
        </w:tc>
        <w:tc>
          <w:tcPr>
            <w:tcW w:type="dxa" w:w="268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GENM subsidiaries; Remuneration Committee</w:t>
            </w:r>
          </w:p>
        </w:tc>
      </w:tr>
      <w:tr>
        <w:trPr>
          <w:cantSplit/>
        </w:trPr>
        <w:tc>
          <w:tcPr>
            <w:tcW w:type="dxa" w:w="176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Quah Chek Tin (~74)</w:t>
            </w:r>
          </w:p>
        </w:tc>
        <w:tc>
          <w:tcPr>
            <w:tcW w:type="dxa" w:w="212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Non-independent non-executive director (Nomination Chair)</w:t>
            </w:r>
          </w:p>
        </w:tc>
        <w:tc>
          <w:tcPr>
            <w:tcW w:type="dxa" w:w="14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Jan-2003 (~23 yrs)</w:t>
            </w:r>
          </w:p>
        </w:tc>
        <w:tc>
          <w:tcPr>
            <w:tcW w:type="dxa" w:w="202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Former GENM COO / Genting Bhd ED (to 2006); ICAEW</w:t>
            </w:r>
          </w:p>
        </w:tc>
        <w:tc>
          <w:tcPr>
            <w:tcW w:type="dxa" w:w="268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Chairman of Paramount Corp</w:t>
            </w:r>
          </w:p>
        </w:tc>
      </w:tr>
      <w:tr>
        <w:trPr>
          <w:cantSplit/>
        </w:trPr>
        <w:tc>
          <w:tcPr>
            <w:tcW w:type="dxa" w:w="176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Chong Kwai Ying (~66)</w:t>
            </w:r>
          </w:p>
        </w:tc>
        <w:tc>
          <w:tcPr>
            <w:tcW w:type="dxa" w:w="212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Independent non-executive director</w:t>
            </w:r>
          </w:p>
        </w:tc>
        <w:tc>
          <w:tcPr>
            <w:tcW w:type="dxa" w:w="14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Dec-2018 (~8 yrs)</w:t>
            </w:r>
          </w:p>
        </w:tc>
        <w:tc>
          <w:tcPr>
            <w:tcW w:type="dxa" w:w="202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30+ years at Bank Negara Malaysia (banking supervision)</w:t>
            </w:r>
          </w:p>
        </w:tc>
        <w:tc>
          <w:tcPr>
            <w:tcW w:type="dxa" w:w="268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China Construction Bank (Malaysia)</w:t>
            </w:r>
          </w:p>
        </w:tc>
      </w:tr>
      <w:tr>
        <w:trPr>
          <w:cantSplit/>
        </w:trPr>
        <w:tc>
          <w:tcPr>
            <w:tcW w:type="dxa" w:w="176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Ho Heng Chuan (~69)</w:t>
            </w:r>
          </w:p>
        </w:tc>
        <w:tc>
          <w:tcPr>
            <w:tcW w:type="dxa" w:w="212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Independent; Audit and Risk Committee Chair</w:t>
            </w:r>
          </w:p>
        </w:tc>
        <w:tc>
          <w:tcPr>
            <w:tcW w:type="dxa" w:w="14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Feb-2022 (~5 yrs)</w:t>
            </w:r>
          </w:p>
        </w:tc>
        <w:tc>
          <w:tcPr>
            <w:tcW w:type="dxa" w:w="202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Citigroup Malaysia 2000-20 (Head of Corporate Finance)</w:t>
            </w:r>
          </w:p>
        </w:tc>
        <w:tc>
          <w:tcPr>
            <w:tcW w:type="dxa" w:w="268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Hong Leong Financial Group</w:t>
            </w:r>
          </w:p>
        </w:tc>
      </w:tr>
      <w:tr>
        <w:trPr>
          <w:cantSplit/>
        </w:trPr>
        <w:tc>
          <w:tcPr>
            <w:tcW w:type="dxa" w:w="176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Norazilla binti Md Tahir (60)</w:t>
            </w:r>
          </w:p>
        </w:tc>
        <w:tc>
          <w:tcPr>
            <w:tcW w:type="dxa" w:w="212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Independent; Remuneration Committee Chair</w:t>
            </w:r>
          </w:p>
        </w:tc>
        <w:tc>
          <w:tcPr>
            <w:tcW w:type="dxa" w:w="14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Jan-2024 (~3 yrs)</w:t>
            </w:r>
          </w:p>
        </w:tc>
        <w:tc>
          <w:tcPr>
            <w:tcW w:type="dxa" w:w="202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Former CFO of Cagamas; RHB Islamic; FCA</w:t>
            </w:r>
          </w:p>
        </w:tc>
        <w:tc>
          <w:tcPr>
            <w:tcW w:type="dxa" w:w="268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Citibank Bhd; Kenanga Investors Bhd; Berjaya Sompo</w:t>
            </w:r>
          </w:p>
        </w:tc>
      </w:tr>
    </w:tbl>
    <w:p>
      <w:pPr>
        <w:spacing w:after="80" w:before="0"/>
      </w:pPr>
    </w:p>
    <w:p>
      <w:pPr>
        <w:spacing w:after="110" w:before="0" w:line="264"/>
      </w:pPr>
      <w:r>
        <w:rPr>
          <w:rFonts w:ascii="Arial" w:cs="Arial" w:eastAsia="Arial" w:hAnsi="Arial"/>
          <w:b/>
          <w:bCs/>
          <w:color w:val="1F2937"/>
          <w:sz w:val="19"/>
          <w:szCs w:val="19"/>
        </w:rPr>
        <w:t xml:space="preserve">Composition:</w:t>
      </w:r>
      <w:r>
        <w:rPr>
          <w:rFonts w:ascii="Arial" w:cs="Arial" w:eastAsia="Arial" w:hAnsi="Arial"/>
          <w:color w:val="1F2937"/>
          <w:sz w:val="19"/>
          <w:szCs w:val="19"/>
        </w:rPr>
        <w:t xml:space="preserve"> 8 directors, 3 independent (37.5%), 2 women (25%). Directors' fees FY25 RM1.92m.</w:t>
      </w:r>
    </w:p>
    <w:p>
      <w:pPr>
        <w:pStyle w:val="Heading2"/>
        <w:keepNext/>
      </w:pPr>
      <w:r>
        <w:rPr>
          <w:rFonts w:ascii="Arial" w:cs="Arial" w:eastAsia="Arial" w:hAnsi="Arial"/>
        </w:rPr>
        <w:t xml:space="preserve">17.1 Board changes in the last five years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1474"/>
        <w:gridCol w:w="8606"/>
      </w:tblGrid>
      <w:tr>
        <w:trPr>
          <w:cantSplit/>
          <w:tblHeader/>
        </w:trPr>
        <w:tc>
          <w:tcPr>
            <w:tcW w:type="dxa" w:w="1474"/>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Date</w:t>
            </w:r>
          </w:p>
        </w:tc>
        <w:tc>
          <w:tcPr>
            <w:tcW w:type="dxa" w:w="860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Change</w:t>
            </w:r>
          </w:p>
        </w:tc>
      </w:tr>
      <w:tr>
        <w:trPr>
          <w:cantSplit/>
        </w:trPr>
        <w:tc>
          <w:tcPr>
            <w:tcW w:type="dxa" w:w="147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18-Feb-2022</w:t>
            </w:r>
          </w:p>
        </w:tc>
        <w:tc>
          <w:tcPr>
            <w:tcW w:type="dxa" w:w="86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Ho Heng Chuan appointed independent director</w:t>
            </w:r>
          </w:p>
        </w:tc>
      </w:tr>
      <w:tr>
        <w:trPr>
          <w:cantSplit/>
        </w:trPr>
        <w:tc>
          <w:tcPr>
            <w:tcW w:type="dxa" w:w="147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1-Jul-2022</w:t>
            </w:r>
          </w:p>
        </w:tc>
        <w:tc>
          <w:tcPr>
            <w:tcW w:type="dxa" w:w="86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Dato' Dr Lee Bee Phang appointed independent director</w:t>
            </w:r>
          </w:p>
        </w:tc>
      </w:tr>
      <w:tr>
        <w:trPr>
          <w:cantSplit/>
        </w:trPr>
        <w:tc>
          <w:tcPr>
            <w:tcW w:type="dxa" w:w="147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6-Apr-2023</w:t>
            </w:r>
          </w:p>
        </w:tc>
        <w:tc>
          <w:tcPr>
            <w:tcW w:type="dxa" w:w="86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Lee Bee Phang resigns (appointed to the Election Commission)</w:t>
            </w:r>
          </w:p>
        </w:tc>
      </w:tr>
      <w:tr>
        <w:trPr>
          <w:cantSplit/>
        </w:trPr>
        <w:tc>
          <w:tcPr>
            <w:tcW w:type="dxa" w:w="147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6-May-2023</w:t>
            </w:r>
          </w:p>
        </w:tc>
        <w:tc>
          <w:tcPr>
            <w:tcW w:type="dxa" w:w="86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Tan Sri Clifford Francis Herbert (independent, Audit Chair, on board since 2002) dies</w:t>
            </w:r>
          </w:p>
        </w:tc>
      </w:tr>
      <w:tr>
        <w:trPr>
          <w:cantSplit/>
        </w:trPr>
        <w:tc>
          <w:tcPr>
            <w:tcW w:type="dxa" w:w="147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1-Jun-2023</w:t>
            </w:r>
          </w:p>
        </w:tc>
        <w:tc>
          <w:tcPr>
            <w:tcW w:type="dxa" w:w="86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Zahidi, Quah Chek Tin and Teo Eng Siong redesignated independent → non-independent (12-year rule)</w:t>
            </w:r>
          </w:p>
        </w:tc>
      </w:tr>
      <w:tr>
        <w:trPr>
          <w:cantSplit/>
        </w:trPr>
        <w:tc>
          <w:tcPr>
            <w:tcW w:type="dxa" w:w="147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19-Jan-2024</w:t>
            </w:r>
          </w:p>
        </w:tc>
        <w:tc>
          <w:tcPr>
            <w:tcW w:type="dxa" w:w="86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Norazilla Md Tahir appointed independent director</w:t>
            </w:r>
          </w:p>
        </w:tc>
      </w:tr>
      <w:tr>
        <w:trPr>
          <w:cantSplit/>
        </w:trPr>
        <w:tc>
          <w:tcPr>
            <w:tcW w:type="dxa" w:w="147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12-Jun-2024</w:t>
            </w:r>
          </w:p>
        </w:tc>
        <w:tc>
          <w:tcPr>
            <w:tcW w:type="dxa" w:w="86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Chairman Tan Sri Alwi Jantan (89) and Dato' Koh Hong Sun (independent) retire; Zahidi becomes Chairman</w:t>
            </w:r>
          </w:p>
        </w:tc>
      </w:tr>
      <w:tr>
        <w:trPr>
          <w:cantSplit/>
        </w:trPr>
        <w:tc>
          <w:tcPr>
            <w:tcW w:type="dxa" w:w="147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1-May-2026</w:t>
            </w:r>
          </w:p>
        </w:tc>
        <w:tc>
          <w:tcPr>
            <w:tcW w:type="dxa" w:w="860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Lee Choong Yan redesignated non-executive director</w:t>
            </w:r>
          </w:p>
        </w:tc>
      </w:tr>
      <w:tr>
        <w:trPr>
          <w:cantSplit/>
        </w:trPr>
        <w:tc>
          <w:tcPr>
            <w:tcW w:type="dxa" w:w="147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10-Jun-2026</w:t>
            </w:r>
          </w:p>
        </w:tc>
        <w:tc>
          <w:tcPr>
            <w:tcW w:type="dxa" w:w="860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Teo Eng Siong (ex-Kien Huat GM) retires at the 46th AGM</w:t>
            </w:r>
          </w:p>
        </w:tc>
      </w:tr>
    </w:tbl>
    <w:p>
      <w:pPr>
        <w:spacing w:after="80" w:before="0"/>
      </w:pPr>
    </w:p>
    <w:p>
      <w:pPr>
        <w:pStyle w:val="Heading1"/>
        <w:keepNext/>
      </w:pPr>
      <w:r>
        <w:rPr>
          <w:rFonts w:ascii="Arial" w:cs="Arial" w:eastAsia="Arial" w:hAnsi="Arial"/>
        </w:rPr>
        <w:t xml:space="preserve">18. Shareholders, Activism and Short Interest</w:t>
      </w:r>
    </w:p>
    <w:p>
      <w:pPr>
        <w:pStyle w:val="Heading2"/>
        <w:keepNext/>
      </w:pPr>
      <w:r>
        <w:rPr>
          <w:rFonts w:ascii="Arial" w:cs="Arial" w:eastAsia="Arial" w:hAnsi="Arial"/>
        </w:rPr>
        <w:t xml:space="preserve">18.1 Top 10 shareholders (beneficial, aggregated from the 30 largest accounts, 16-Mar-2026)</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586"/>
        <w:gridCol w:w="3623"/>
        <w:gridCol w:w="641"/>
        <w:gridCol w:w="5230"/>
      </w:tblGrid>
      <w:tr>
        <w:trPr>
          <w:cantSplit/>
          <w:tblHeader/>
        </w:trPr>
        <w:tc>
          <w:tcPr>
            <w:tcW w:type="dxa" w:w="58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Rank</w:t>
            </w:r>
          </w:p>
        </w:tc>
        <w:tc>
          <w:tcPr>
            <w:tcW w:type="dxa" w:w="362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Holder</w:t>
            </w:r>
          </w:p>
        </w:tc>
        <w:tc>
          <w:tcPr>
            <w:tcW w:type="dxa" w:w="64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7"/>
                <w:szCs w:val="17"/>
              </w:rPr>
              <w:t xml:space="preserve">%</w:t>
            </w:r>
          </w:p>
        </w:tc>
        <w:tc>
          <w:tcPr>
            <w:tcW w:type="dxa" w:w="523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Type</w:t>
            </w:r>
          </w:p>
        </w:tc>
      </w:tr>
      <w:tr>
        <w:trPr>
          <w:cantSplit/>
        </w:trPr>
        <w:tc>
          <w:tcPr>
            <w:tcW w:type="dxa" w:w="5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w:t>
            </w:r>
          </w:p>
        </w:tc>
        <w:tc>
          <w:tcPr>
            <w:tcW w:type="dxa" w:w="36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Genting Berhad</w:t>
            </w:r>
          </w:p>
        </w:tc>
        <w:tc>
          <w:tcPr>
            <w:tcW w:type="dxa" w:w="64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7"/>
                <w:szCs w:val="17"/>
              </w:rPr>
              <w:t xml:space="preserve">73.84</w:t>
            </w:r>
          </w:p>
        </w:tc>
        <w:tc>
          <w:tcPr>
            <w:tcW w:type="dxa" w:w="523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Parent / insider (Lim family via Kien Huat)</w:t>
            </w:r>
          </w:p>
        </w:tc>
      </w:tr>
      <w:tr>
        <w:trPr>
          <w:cantSplit/>
        </w:trPr>
        <w:tc>
          <w:tcPr>
            <w:tcW w:type="dxa" w:w="5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w:t>
            </w:r>
          </w:p>
        </w:tc>
        <w:tc>
          <w:tcPr>
            <w:tcW w:type="dxa" w:w="36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UBS AG (Citigroup Nominees Asing)</w:t>
            </w:r>
          </w:p>
        </w:tc>
        <w:tc>
          <w:tcPr>
            <w:tcW w:type="dxa" w:w="64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1.00</w:t>
            </w:r>
          </w:p>
        </w:tc>
        <w:tc>
          <w:tcPr>
            <w:tcW w:type="dxa" w:w="523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Foreign custody/broker (underlying owner unknown)</w:t>
            </w:r>
          </w:p>
        </w:tc>
      </w:tr>
      <w:tr>
        <w:trPr>
          <w:cantSplit/>
        </w:trPr>
        <w:tc>
          <w:tcPr>
            <w:tcW w:type="dxa" w:w="5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3</w:t>
            </w:r>
          </w:p>
        </w:tc>
        <w:tc>
          <w:tcPr>
            <w:tcW w:type="dxa" w:w="36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Vanguard funds</w:t>
            </w:r>
          </w:p>
        </w:tc>
        <w:tc>
          <w:tcPr>
            <w:tcW w:type="dxa" w:w="64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0.98</w:t>
            </w:r>
          </w:p>
        </w:tc>
        <w:tc>
          <w:tcPr>
            <w:tcW w:type="dxa" w:w="523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Foreign passive</w:t>
            </w:r>
          </w:p>
        </w:tc>
      </w:tr>
      <w:tr>
        <w:trPr>
          <w:cantSplit/>
        </w:trPr>
        <w:tc>
          <w:tcPr>
            <w:tcW w:type="dxa" w:w="5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4</w:t>
            </w:r>
          </w:p>
        </w:tc>
        <w:tc>
          <w:tcPr>
            <w:tcW w:type="dxa" w:w="36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Ta Kin Yan</w:t>
            </w:r>
          </w:p>
        </w:tc>
        <w:tc>
          <w:tcPr>
            <w:tcW w:type="dxa" w:w="64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0.43</w:t>
            </w:r>
          </w:p>
        </w:tc>
        <w:tc>
          <w:tcPr>
            <w:tcW w:type="dxa" w:w="523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Local individual (pledged/margin accounts)</w:t>
            </w:r>
          </w:p>
        </w:tc>
      </w:tr>
      <w:tr>
        <w:trPr>
          <w:cantSplit/>
        </w:trPr>
        <w:tc>
          <w:tcPr>
            <w:tcW w:type="dxa" w:w="5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5</w:t>
            </w:r>
          </w:p>
        </w:tc>
        <w:tc>
          <w:tcPr>
            <w:tcW w:type="dxa" w:w="36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Prudential Assurance Malaysia</w:t>
            </w:r>
          </w:p>
        </w:tc>
        <w:tc>
          <w:tcPr>
            <w:tcW w:type="dxa" w:w="64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0.41</w:t>
            </w:r>
          </w:p>
        </w:tc>
        <w:tc>
          <w:tcPr>
            <w:tcW w:type="dxa" w:w="523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Local insurer</w:t>
            </w:r>
          </w:p>
        </w:tc>
      </w:tr>
      <w:tr>
        <w:trPr>
          <w:cantSplit/>
        </w:trPr>
        <w:tc>
          <w:tcPr>
            <w:tcW w:type="dxa" w:w="5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6</w:t>
            </w:r>
          </w:p>
        </w:tc>
        <w:tc>
          <w:tcPr>
            <w:tcW w:type="dxa" w:w="36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Dimensional Fund Advisors</w:t>
            </w:r>
          </w:p>
        </w:tc>
        <w:tc>
          <w:tcPr>
            <w:tcW w:type="dxa" w:w="64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0.34</w:t>
            </w:r>
          </w:p>
        </w:tc>
        <w:tc>
          <w:tcPr>
            <w:tcW w:type="dxa" w:w="523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Foreign quant/passive</w:t>
            </w:r>
          </w:p>
        </w:tc>
      </w:tr>
      <w:tr>
        <w:trPr>
          <w:cantSplit/>
        </w:trPr>
        <w:tc>
          <w:tcPr>
            <w:tcW w:type="dxa" w:w="5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7</w:t>
            </w:r>
          </w:p>
        </w:tc>
        <w:tc>
          <w:tcPr>
            <w:tcW w:type="dxa" w:w="36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iShares Core MSCI EM ETF</w:t>
            </w:r>
          </w:p>
        </w:tc>
        <w:tc>
          <w:tcPr>
            <w:tcW w:type="dxa" w:w="64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0.33</w:t>
            </w:r>
          </w:p>
        </w:tc>
        <w:tc>
          <w:tcPr>
            <w:tcW w:type="dxa" w:w="523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Foreign passive</w:t>
            </w:r>
          </w:p>
        </w:tc>
      </w:tr>
      <w:tr>
        <w:trPr>
          <w:cantSplit/>
        </w:trPr>
        <w:tc>
          <w:tcPr>
            <w:tcW w:type="dxa" w:w="5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8</w:t>
            </w:r>
          </w:p>
        </w:tc>
        <w:tc>
          <w:tcPr>
            <w:tcW w:type="dxa" w:w="36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Great Eastern Life</w:t>
            </w:r>
          </w:p>
        </w:tc>
        <w:tc>
          <w:tcPr>
            <w:tcW w:type="dxa" w:w="64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0.32</w:t>
            </w:r>
          </w:p>
        </w:tc>
        <w:tc>
          <w:tcPr>
            <w:tcW w:type="dxa" w:w="523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Local insurer</w:t>
            </w:r>
          </w:p>
        </w:tc>
      </w:tr>
      <w:tr>
        <w:trPr>
          <w:cantSplit/>
        </w:trPr>
        <w:tc>
          <w:tcPr>
            <w:tcW w:type="dxa" w:w="5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9</w:t>
            </w:r>
          </w:p>
        </w:tc>
        <w:tc>
          <w:tcPr>
            <w:tcW w:type="dxa" w:w="362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WisdomTree</w:t>
            </w:r>
          </w:p>
        </w:tc>
        <w:tc>
          <w:tcPr>
            <w:tcW w:type="dxa" w:w="64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0.31</w:t>
            </w:r>
          </w:p>
        </w:tc>
        <w:tc>
          <w:tcPr>
            <w:tcW w:type="dxa" w:w="523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Foreign passive</w:t>
            </w:r>
          </w:p>
        </w:tc>
      </w:tr>
      <w:tr>
        <w:trPr>
          <w:cantSplit/>
        </w:trPr>
        <w:tc>
          <w:tcPr>
            <w:tcW w:type="dxa" w:w="5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10</w:t>
            </w:r>
          </w:p>
        </w:tc>
        <w:tc>
          <w:tcPr>
            <w:tcW w:type="dxa" w:w="362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Norges Bank</w:t>
            </w:r>
          </w:p>
        </w:tc>
        <w:tc>
          <w:tcPr>
            <w:tcW w:type="dxa" w:w="64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0.19</w:t>
            </w:r>
          </w:p>
        </w:tc>
        <w:tc>
          <w:tcPr>
            <w:tcW w:type="dxa" w:w="523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Foreign sovereign wealth fund</w:t>
            </w:r>
          </w:p>
        </w:tc>
      </w:tr>
    </w:tbl>
    <w:p>
      <w:pPr>
        <w:spacing w:after="80" w:before="0"/>
      </w:pPr>
    </w:p>
    <w:p>
      <w:pPr>
        <w:spacing w:after="110" w:before="0" w:line="264"/>
      </w:pPr>
      <w:r>
        <w:rPr>
          <w:rFonts w:ascii="Arial" w:cs="Arial" w:eastAsia="Arial" w:hAnsi="Arial"/>
          <w:color w:val="1F2937"/>
          <w:sz w:val="19"/>
          <w:szCs w:val="19"/>
        </w:rPr>
        <w:t xml:space="preserve">Shares in issue 5,938.0m less 271.1m treasury (after the Oct-2026 buyback) = 5,667.0m outstanding; 72,243 holders. </w:t>
      </w:r>
      <w:r>
        <w:rPr>
          <w:rFonts w:ascii="Arial" w:cs="Arial" w:eastAsia="Arial" w:hAnsi="Arial"/>
          <w:b/>
          <w:bCs/>
          <w:color w:val="1F2937"/>
          <w:sz w:val="19"/>
          <w:szCs w:val="19"/>
        </w:rPr>
        <w:t xml:space="preserve">EPF, KWAP and PNB/ASB no longer appear in the top 30</w:t>
      </w:r>
      <w:r>
        <w:rPr>
          <w:rFonts w:ascii="Arial" w:cs="Arial" w:eastAsia="Arial" w:hAnsi="Arial"/>
          <w:color w:val="1F2937"/>
          <w:sz w:val="19"/>
          <w:szCs w:val="19"/>
        </w:rPr>
        <w:t xml:space="preserve"> (each &lt;0.11%), which implies they tendered into the RM2.35 offer or sold [e]. Public spread ≈ </w:t>
      </w:r>
      <w:r>
        <w:rPr>
          <w:rFonts w:ascii="Arial" w:cs="Arial" w:eastAsia="Arial" w:hAnsi="Arial"/>
          <w:b/>
          <w:bCs/>
          <w:color w:val="1F2937"/>
          <w:sz w:val="19"/>
          <w:szCs w:val="19"/>
        </w:rPr>
        <w:t xml:space="preserve">26.1%</w:t>
      </w:r>
      <w:r>
        <w:rPr>
          <w:rFonts w:ascii="Arial" w:cs="Arial" w:eastAsia="Arial" w:hAnsi="Arial"/>
          <w:color w:val="1F2937"/>
          <w:sz w:val="19"/>
          <w:szCs w:val="19"/>
        </w:rPr>
        <w:t xml:space="preserve">, only ~1.1pp (≈64m shares, ~RM76m at RM1.19) above Bursa's 25% minimum.</w:t>
      </w:r>
    </w:p>
    <w:p>
      <w:pPr>
        <w:pStyle w:val="Heading2"/>
        <w:keepNext/>
      </w:pPr>
      <w:r>
        <w:rPr>
          <w:rFonts w:ascii="Arial" w:cs="Arial" w:eastAsia="Arial" w:hAnsi="Arial"/>
        </w:rPr>
        <w:t xml:space="preserve">18.2 Activism</w:t>
      </w:r>
    </w:p>
    <w:p>
      <w:pPr>
        <w:spacing w:after="110" w:before="0" w:line="264"/>
      </w:pPr>
      <w:r>
        <w:rPr>
          <w:rFonts w:ascii="Arial" w:cs="Arial" w:eastAsia="Arial" w:hAnsi="Arial"/>
          <w:b/>
          <w:bCs/>
          <w:color w:val="1F2937"/>
          <w:sz w:val="19"/>
          <w:szCs w:val="19"/>
        </w:rPr>
        <w:t xml:space="preserve">No activist fund campaign, requisitioned EGM or board-seat demand has ever been launched at GENM.</w:t>
      </w:r>
      <w:r>
        <w:rPr>
          <w:rFonts w:ascii="Arial" w:cs="Arial" w:eastAsia="Arial" w:hAnsi="Arial"/>
          <w:color w:val="1F2937"/>
          <w:sz w:val="19"/>
          <w:szCs w:val="19"/>
        </w:rPr>
        <w:t xml:space="preserve"> We searched S&amp;P key developments (2015-2026), The Edge, The Star, Malay Mail, GGRAsia, ASGAM and MSWG. Opposition has been passive:</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2501"/>
        <w:gridCol w:w="2970"/>
        <w:gridCol w:w="1849"/>
        <w:gridCol w:w="2760"/>
      </w:tblGrid>
      <w:tr>
        <w:trPr>
          <w:cantSplit/>
          <w:tblHeader/>
        </w:trPr>
        <w:tc>
          <w:tcPr>
            <w:tcW w:type="dxa" w:w="250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Episode</w:t>
            </w:r>
          </w:p>
        </w:tc>
        <w:tc>
          <w:tcPr>
            <w:tcW w:type="dxa" w:w="297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Who</w:t>
            </w:r>
          </w:p>
        </w:tc>
        <w:tc>
          <w:tcPr>
            <w:tcW w:type="dxa" w:w="184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Demands</w:t>
            </w:r>
          </w:p>
        </w:tc>
        <w:tc>
          <w:tcPr>
            <w:tcW w:type="dxa" w:w="276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Outcome</w:t>
            </w:r>
          </w:p>
        </w:tc>
      </w:tr>
      <w:tr>
        <w:trPr>
          <w:cantSplit/>
        </w:trPr>
        <w:tc>
          <w:tcPr>
            <w:tcW w:type="dxa" w:w="250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Aug-2010 purchase of Genting UK from Genting Singapore (£351.5m)</w:t>
            </w:r>
          </w:p>
        </w:tc>
        <w:tc>
          <w:tcPr>
            <w:tcW w:type="dxa" w:w="29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Minority shareholders</w:t>
            </w:r>
          </w:p>
        </w:tc>
        <w:tc>
          <w:tcPr>
            <w:tcW w:type="dxa" w:w="184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Objected to related-party price</w:t>
            </w:r>
          </w:p>
        </w:tc>
        <w:tc>
          <w:tcPr>
            <w:tcW w:type="dxa" w:w="27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Approved by only 60.39%</w:t>
            </w:r>
          </w:p>
        </w:tc>
      </w:tr>
      <w:tr>
        <w:trPr>
          <w:cantSplit/>
        </w:trPr>
        <w:tc>
          <w:tcPr>
            <w:tcW w:type="dxa" w:w="250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Aug-2019 Empire Resorts related-party deal</w:t>
            </w:r>
          </w:p>
        </w:tc>
        <w:tc>
          <w:tcPr>
            <w:tcW w:type="dxa" w:w="29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MSWG; The Edge columns urging independent directors to call an EGM; analysts</w:t>
            </w:r>
          </w:p>
        </w:tc>
        <w:tc>
          <w:tcPr>
            <w:tcW w:type="dxa" w:w="184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Disclosure; minority vote in spirit</w:t>
            </w:r>
          </w:p>
        </w:tc>
        <w:tc>
          <w:tcPr>
            <w:tcW w:type="dxa" w:w="27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Went ahead (structured below the 5% threshold); RM2.6bn of market value lost in a day</w:t>
            </w:r>
          </w:p>
        </w:tc>
      </w:tr>
      <w:tr>
        <w:trPr>
          <w:cantSplit/>
        </w:trPr>
        <w:tc>
          <w:tcPr>
            <w:tcW w:type="dxa" w:w="250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Oct-2019 Empire take-private</w:t>
            </w:r>
          </w:p>
        </w:tc>
        <w:tc>
          <w:tcPr>
            <w:tcW w:type="dxa" w:w="297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David Mullen (Empire minority holder) US lawsuit vs GENM, KH and Empire board</w:t>
            </w:r>
          </w:p>
        </w:tc>
        <w:tc>
          <w:tcPr>
            <w:tcW w:type="dxa" w:w="184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Alleged unfair price and conflicted process</w:t>
            </w:r>
          </w:p>
        </w:tc>
        <w:tc>
          <w:tcPr>
            <w:tcW w:type="dxa" w:w="276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Deal closed Nov-2019; lawsuit outcome not found [u]</w:t>
            </w:r>
          </w:p>
        </w:tc>
      </w:tr>
      <w:tr>
        <w:trPr>
          <w:cantSplit/>
        </w:trPr>
        <w:tc>
          <w:tcPr>
            <w:tcW w:type="dxa" w:w="250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Oct-Dec 2025 Genting Bhd RM2.35 offer</w:t>
            </w:r>
          </w:p>
        </w:tc>
        <w:tc>
          <w:tcPr>
            <w:tcW w:type="dxa" w:w="297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No activist; independent adviser (Kenanga IB) and most brokers recommended rejection</w:t>
            </w:r>
          </w:p>
        </w:tc>
        <w:tc>
          <w:tcPr>
            <w:tcW w:type="dxa" w:w="184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Reject; SOTP RM3.48-3.77</w:t>
            </w:r>
          </w:p>
        </w:tc>
        <w:tc>
          <w:tcPr>
            <w:tcW w:type="dxa" w:w="276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Offer lapsed at 73.13%; no price revision; GENM stays listed</w:t>
            </w:r>
          </w:p>
        </w:tc>
      </w:tr>
    </w:tbl>
    <w:p>
      <w:pPr>
        <w:spacing w:after="80" w:before="0"/>
      </w:pPr>
    </w:p>
    <w:p>
      <w:pPr>
        <w:spacing w:after="110" w:before="0" w:line="264"/>
      </w:pPr>
      <w:r>
        <w:rPr>
          <w:rFonts w:ascii="Arial" w:cs="Arial" w:eastAsia="Arial" w:hAnsi="Arial"/>
          <w:b/>
          <w:bCs/>
          <w:color w:val="1F2937"/>
          <w:sz w:val="19"/>
          <w:szCs w:val="19"/>
        </w:rPr>
        <w:t xml:space="preserve">Assessment:</w:t>
      </w:r>
      <w:r>
        <w:rPr>
          <w:rFonts w:ascii="Arial" w:cs="Arial" w:eastAsia="Arial" w:hAnsi="Arial"/>
          <w:color w:val="1F2937"/>
          <w:sz w:val="19"/>
          <w:szCs w:val="19"/>
        </w:rPr>
        <w:t xml:space="preserve"> a proxy fight is impossible against a 73.84% holder. Minorities do hold real veto points, however:</w:t>
      </w:r>
    </w:p>
    <w:p>
      <w:pPr>
        <w:pStyle w:val="ListParagraph"/>
        <w:numPr>
          <w:ilvl w:val="0"/>
          <w:numId w:val="8"/>
        </w:numPr>
        <w:spacing w:after="70" w:before="0" w:line="252"/>
      </w:pPr>
      <w:r>
        <w:rPr>
          <w:rFonts w:ascii="Arial" w:cs="Arial" w:eastAsia="Arial" w:hAnsi="Arial"/>
          <w:color w:val="1F2937"/>
          <w:sz w:val="19"/>
          <w:szCs w:val="19"/>
        </w:rPr>
        <w:t xml:space="preserve">Recurrent related-party transaction (RRPT) mandates, where interested parties must abstain.</w:t>
      </w:r>
    </w:p>
    <w:p>
      <w:pPr>
        <w:pStyle w:val="ListParagraph"/>
        <w:numPr>
          <w:ilvl w:val="0"/>
          <w:numId w:val="8"/>
        </w:numPr>
        <w:spacing w:after="70" w:before="0" w:line="252"/>
      </w:pPr>
      <w:r>
        <w:rPr>
          <w:rFonts w:ascii="Arial" w:cs="Arial" w:eastAsia="Arial" w:hAnsi="Arial"/>
          <w:color w:val="1F2937"/>
          <w:sz w:val="19"/>
          <w:szCs w:val="19"/>
        </w:rPr>
        <w:t xml:space="preserve">Any future delisting resolution, which typically fails if more than 10% of votes object [u: exact rule].</w:t>
      </w:r>
    </w:p>
    <w:p>
      <w:pPr>
        <w:pStyle w:val="ListParagraph"/>
        <w:numPr>
          <w:ilvl w:val="0"/>
          <w:numId w:val="8"/>
        </w:numPr>
        <w:spacing w:after="70" w:before="0" w:line="252"/>
      </w:pPr>
      <w:r>
        <w:rPr>
          <w:rFonts w:ascii="Arial" w:cs="Arial" w:eastAsia="Arial" w:hAnsi="Arial"/>
          <w:color w:val="1F2937"/>
          <w:sz w:val="19"/>
          <w:szCs w:val="19"/>
        </w:rPr>
        <w:t xml:space="preserve">Major related-party acquisitions above 5%.</w:t>
      </w:r>
    </w:p>
    <w:p>
      <w:pPr>
        <w:spacing w:after="110" w:before="0" w:line="264"/>
      </w:pPr>
      <w:r>
        <w:rPr>
          <w:rFonts w:ascii="Arial" w:cs="Arial" w:eastAsia="Arial" w:hAnsi="Arial"/>
          <w:color w:val="1F2937"/>
          <w:sz w:val="19"/>
          <w:szCs w:val="19"/>
        </w:rPr>
        <w:t xml:space="preserve">A coordinated minority holding ~10% of GENM (~38% of the free float; ~RM675m at RM1.19) would hold a blocking position against a lowball privatisation. That is the activist's real lever (see Section 26).</w:t>
      </w:r>
    </w:p>
    <w:p>
      <w:pPr>
        <w:pStyle w:val="Heading2"/>
        <w:keepNext/>
      </w:pPr>
      <w:r>
        <w:rPr>
          <w:rFonts w:ascii="Arial" w:cs="Arial" w:eastAsia="Arial" w:hAnsi="Arial"/>
        </w:rPr>
        <w:t xml:space="preserve">18.3 Short interest</w:t>
      </w:r>
    </w:p>
    <w:p>
      <w:pPr>
        <w:spacing w:after="110" w:before="0" w:line="264"/>
      </w:pPr>
      <w:r>
        <w:rPr>
          <w:rFonts w:ascii="Arial" w:cs="Arial" w:eastAsia="Arial" w:hAnsi="Arial"/>
          <w:color w:val="1F2937"/>
          <w:sz w:val="19"/>
          <w:szCs w:val="19"/>
        </w:rPr>
        <w:t xml:space="preserve">No GENM short-interest data are published. Bursa runs regulated short selling and intraday short selling only in approved securities and does not disclose positions by holder. There are </w:t>
      </w:r>
      <w:r>
        <w:rPr>
          <w:rFonts w:ascii="Arial" w:cs="Arial" w:eastAsia="Arial" w:hAnsi="Arial"/>
          <w:b/>
          <w:bCs/>
          <w:color w:val="1F2937"/>
          <w:sz w:val="19"/>
          <w:szCs w:val="19"/>
        </w:rPr>
        <w:t xml:space="preserve">no disclosed short sellers</w:t>
      </w:r>
      <w:r>
        <w:rPr>
          <w:rFonts w:ascii="Arial" w:cs="Arial" w:eastAsia="Arial" w:hAnsi="Arial"/>
          <w:color w:val="1F2937"/>
          <w:sz w:val="19"/>
          <w:szCs w:val="19"/>
        </w:rPr>
        <w:t xml:space="preserve">. Intraday short selling in the parent (GENTING) was suspended on 12-Oct-2026 after it hit limit-down; an unverified report suggests GENM's IDSS was suspended in early 2025 [u]. Stock-borrow utilisation was not available.</w:t>
      </w:r>
    </w:p>
    <w:p>
      <w:pPr>
        <w:pStyle w:val="Heading1"/>
        <w:keepNext/>
      </w:pPr>
      <w:r>
        <w:rPr>
          <w:rFonts w:ascii="Arial" w:cs="Arial" w:eastAsia="Arial" w:hAnsi="Arial"/>
        </w:rPr>
        <w:t xml:space="preserve">19. Strategic Initiatives (2016-2026)</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2534"/>
        <w:gridCol w:w="2148"/>
        <w:gridCol w:w="3052"/>
        <w:gridCol w:w="2346"/>
      </w:tblGrid>
      <w:tr>
        <w:trPr>
          <w:cantSplit/>
          <w:tblHeader/>
        </w:trPr>
        <w:tc>
          <w:tcPr>
            <w:tcW w:type="dxa" w:w="2534"/>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Initiative</w:t>
            </w:r>
          </w:p>
        </w:tc>
        <w:tc>
          <w:tcPr>
            <w:tcW w:type="dxa" w:w="2148"/>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Dates</w:t>
            </w:r>
          </w:p>
        </w:tc>
        <w:tc>
          <w:tcPr>
            <w:tcW w:type="dxa" w:w="305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Status</w:t>
            </w:r>
          </w:p>
        </w:tc>
        <w:tc>
          <w:tcPr>
            <w:tcW w:type="dxa" w:w="234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Assessment</w:t>
            </w:r>
          </w:p>
        </w:tc>
      </w:tr>
      <w:tr>
        <w:trPr>
          <w:cantSplit/>
        </w:trPr>
        <w:tc>
          <w:tcPr>
            <w:tcW w:type="dxa" w:w="253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Genting Integrated Tourism Plan (GITP)</w:t>
            </w:r>
          </w:p>
        </w:tc>
        <w:tc>
          <w:tcPr>
            <w:tcW w:type="dxa" w:w="214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2013-2023+; budget raised to RM10.38bn</w:t>
            </w:r>
          </w:p>
        </w:tc>
        <w:tc>
          <w:tcPr>
            <w:tcW w:type="dxa" w:w="30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Phases complete: Skytropolis, SkyAvenue, new hotels, Awana SkyWay</w:t>
            </w:r>
          </w:p>
        </w:tc>
        <w:tc>
          <w:tcPr>
            <w:tcW w:type="dxa" w:w="234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Partial success:</w:t>
            </w:r>
            <w:r>
              <w:rPr>
                <w:rFonts w:ascii="Arial" w:cs="Arial" w:eastAsia="Arial" w:hAnsi="Arial"/>
                <w:b w:val="false"/>
                <w:bCs w:val="false"/>
                <w:color w:val="1F2937"/>
                <w:sz w:val="17"/>
                <w:szCs w:val="17"/>
              </w:rPr>
              <w:t xml:space="preserve"> visitation up, incremental returns low</w:t>
            </w:r>
          </w:p>
        </w:tc>
      </w:tr>
      <w:tr>
        <w:trPr>
          <w:cantSplit/>
        </w:trPr>
        <w:tc>
          <w:tcPr>
            <w:tcW w:type="dxa" w:w="253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Outdoor theme park (20th Century Fox World → Genting SkyWorlds)</w:t>
            </w:r>
          </w:p>
        </w:tc>
        <w:tc>
          <w:tcPr>
            <w:tcW w:type="dxa" w:w="214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2013-2022</w:t>
            </w:r>
          </w:p>
        </w:tc>
        <w:tc>
          <w:tcPr>
            <w:tcW w:type="dxa" w:w="30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Fox/Disney terminated licence Nov-2018; US$1.75bn suit settled Jul-2019; opened Feb-2022 with limited Fox IP</w:t>
            </w:r>
          </w:p>
        </w:tc>
        <w:tc>
          <w:tcPr>
            <w:tcW w:type="dxa" w:w="234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Failure on time and IP; operating</w:t>
            </w:r>
            <w:r>
              <w:rPr>
                <w:rFonts w:ascii="Arial" w:cs="Arial" w:eastAsia="Arial" w:hAnsi="Arial"/>
                <w:b w:val="false"/>
                <w:bCs w:val="false"/>
                <w:color w:val="1F2937"/>
                <w:sz w:val="17"/>
                <w:szCs w:val="17"/>
              </w:rPr>
              <w:t xml:space="preserve"> (attractions revenue declining)</w:t>
            </w:r>
          </w:p>
        </w:tc>
      </w:tr>
      <w:tr>
        <w:trPr>
          <w:cantSplit/>
        </w:trPr>
        <w:tc>
          <w:tcPr>
            <w:tcW w:type="dxa" w:w="253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Resorts World Catskills (Empire)</w:t>
            </w:r>
          </w:p>
        </w:tc>
        <w:tc>
          <w:tcPr>
            <w:tcW w:type="dxa" w:w="214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Opened Feb-2018</w:t>
            </w:r>
          </w:p>
        </w:tc>
        <w:tc>
          <w:tcPr>
            <w:tcW w:type="dxa" w:w="30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Loss-making (Empire lost US$59m in 2024); 100% owned since May-2025</w:t>
            </w:r>
          </w:p>
        </w:tc>
        <w:tc>
          <w:tcPr>
            <w:tcW w:type="dxa" w:w="234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Failure to date</w:t>
            </w:r>
          </w:p>
        </w:tc>
      </w:tr>
      <w:tr>
        <w:trPr>
          <w:cantSplit/>
        </w:trPr>
        <w:tc>
          <w:tcPr>
            <w:tcW w:type="dxa" w:w="253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Empire take-private with Kien Huat</w:t>
            </w:r>
          </w:p>
        </w:tc>
        <w:tc>
          <w:tcPr>
            <w:tcW w:type="dxa" w:w="214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2019-2025</w:t>
            </w:r>
          </w:p>
        </w:tc>
        <w:tc>
          <w:tcPr>
            <w:tcW w:type="dxa" w:w="30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~US$765m committed through serial RPTs</w:t>
            </w:r>
          </w:p>
        </w:tc>
        <w:tc>
          <w:tcPr>
            <w:tcW w:type="dxa" w:w="234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Value-destructive; governance red flag</w:t>
            </w:r>
          </w:p>
        </w:tc>
      </w:tr>
      <w:tr>
        <w:trPr>
          <w:cantSplit/>
        </w:trPr>
        <w:tc>
          <w:tcPr>
            <w:tcW w:type="dxa" w:w="253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Resorts World Hudson Valley (Newburgh)</w:t>
            </w:r>
          </w:p>
        </w:tc>
        <w:tc>
          <w:tcPr>
            <w:tcW w:type="dxa" w:w="214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Opened Dec-2022</w:t>
            </w:r>
          </w:p>
        </w:tc>
        <w:tc>
          <w:tcPr>
            <w:tcW w:type="dxa" w:w="30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1,200 VGMs; loss-making; downstate competition ahead</w:t>
            </w:r>
          </w:p>
        </w:tc>
        <w:tc>
          <w:tcPr>
            <w:tcW w:type="dxa" w:w="234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Weak</w:t>
            </w:r>
          </w:p>
        </w:tc>
      </w:tr>
      <w:tr>
        <w:trPr>
          <w:cantSplit/>
        </w:trPr>
        <w:tc>
          <w:tcPr>
            <w:tcW w:type="dxa" w:w="253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NY online sports betting (Resorts World Bet)</w:t>
            </w:r>
          </w:p>
        </w:tc>
        <w:tc>
          <w:tcPr>
            <w:tcW w:type="dxa" w:w="214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2022-Jun-2025</w:t>
            </w:r>
          </w:p>
        </w:tc>
        <w:tc>
          <w:tcPr>
            <w:tcW w:type="dxa" w:w="30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Exited</w:t>
            </w:r>
          </w:p>
        </w:tc>
        <w:tc>
          <w:tcPr>
            <w:tcW w:type="dxa" w:w="234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Failure</w:t>
            </w:r>
          </w:p>
        </w:tc>
      </w:tr>
      <w:tr>
        <w:trPr>
          <w:cantSplit/>
        </w:trPr>
        <w:tc>
          <w:tcPr>
            <w:tcW w:type="dxa" w:w="253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Catskills non-gaming sale-leaseback to Sullivan County LDC (US$525-585m)</w:t>
            </w:r>
          </w:p>
        </w:tc>
        <w:tc>
          <w:tcPr>
            <w:tcW w:type="dxa" w:w="214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Aug-2025</w:t>
            </w:r>
          </w:p>
        </w:tc>
        <w:tc>
          <w:tcPr>
            <w:tcW w:type="dxa" w:w="30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Bond deal delayed by the parent offer; abandoned after notes were refinanced</w:t>
            </w:r>
          </w:p>
        </w:tc>
        <w:tc>
          <w:tcPr>
            <w:tcW w:type="dxa" w:w="234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Abandoned</w:t>
            </w:r>
          </w:p>
        </w:tc>
      </w:tr>
      <w:tr>
        <w:trPr>
          <w:cantSplit/>
        </w:trPr>
        <w:tc>
          <w:tcPr>
            <w:tcW w:type="dxa" w:w="253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NY downstate commercial casino licence</w:t>
            </w:r>
          </w:p>
        </w:tc>
        <w:tc>
          <w:tcPr>
            <w:tcW w:type="dxa" w:w="214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Bid Jun-2025; awarded 15-Dec-2025; tables opened 28-Apr-2026</w:t>
            </w:r>
          </w:p>
        </w:tc>
        <w:tc>
          <w:tcPr>
            <w:tcW w:type="dxa" w:w="30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US$500m fee paid; phase 2 broke ground Jul-2026; US$5.5bn plan to ~2029-30</w:t>
            </w:r>
          </w:p>
        </w:tc>
        <w:tc>
          <w:tcPr>
            <w:tcW w:type="dxa" w:w="234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Early success commercially (US revenue +166%); returns at risk from the racing-support dispute and 2030 rivals</w:t>
            </w:r>
          </w:p>
        </w:tc>
      </w:tr>
      <w:tr>
        <w:trPr>
          <w:cantSplit/>
        </w:trPr>
        <w:tc>
          <w:tcPr>
            <w:tcW w:type="dxa" w:w="253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Mashpee Wampanoag tribal casino notes (Massachusetts)</w:t>
            </w:r>
          </w:p>
        </w:tc>
        <w:tc>
          <w:tcPr>
            <w:tcW w:type="dxa" w:w="214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2012-2025</w:t>
            </w:r>
          </w:p>
        </w:tc>
        <w:tc>
          <w:tcPr>
            <w:tcW w:type="dxa" w:w="30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RM1.83bn impaired 2018; more notes subscribed in FY2025</w:t>
            </w:r>
          </w:p>
        </w:tc>
        <w:tc>
          <w:tcPr>
            <w:tcW w:type="dxa" w:w="234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Failure; option value only</w:t>
            </w:r>
          </w:p>
        </w:tc>
      </w:tr>
      <w:tr>
        <w:trPr>
          <w:cantSplit/>
        </w:trPr>
        <w:tc>
          <w:tcPr>
            <w:tcW w:type="dxa" w:w="253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Miami (Omni land)</w:t>
            </w:r>
          </w:p>
        </w:tc>
        <w:tc>
          <w:tcPr>
            <w:tcW w:type="dxa" w:w="214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2011-; sale to Smart Miami City for US$1.225bn collapsed Jun-2023</w:t>
            </w:r>
          </w:p>
        </w:tc>
        <w:tc>
          <w:tcPr>
            <w:tcW w:type="dxa" w:w="30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Held as investment property; re-marketed [u]</w:t>
            </w:r>
          </w:p>
        </w:tc>
        <w:tc>
          <w:tcPr>
            <w:tcW w:type="dxa" w:w="234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Value unrealised</w:t>
            </w:r>
          </w:p>
        </w:tc>
      </w:tr>
      <w:tr>
        <w:trPr>
          <w:cantSplit/>
        </w:trPr>
        <w:tc>
          <w:tcPr>
            <w:tcW w:type="dxa" w:w="253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RW Bimini</w:t>
            </w:r>
          </w:p>
        </w:tc>
        <w:tc>
          <w:tcPr>
            <w:tcW w:type="dxa" w:w="214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2013-</w:t>
            </w:r>
          </w:p>
        </w:tc>
        <w:tc>
          <w:tcPr>
            <w:tcW w:type="dxa" w:w="30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Loss-making; cruise-led strategy; audit key matter</w:t>
            </w:r>
          </w:p>
        </w:tc>
        <w:tc>
          <w:tcPr>
            <w:tcW w:type="dxa" w:w="234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Failure to date</w:t>
            </w:r>
          </w:p>
        </w:tc>
      </w:tr>
      <w:tr>
        <w:trPr>
          <w:cantSplit/>
        </w:trPr>
        <w:tc>
          <w:tcPr>
            <w:tcW w:type="dxa" w:w="253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UK restructuring</w:t>
            </w:r>
          </w:p>
        </w:tc>
        <w:tc>
          <w:tcPr>
            <w:tcW w:type="dxa" w:w="214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2020-2026</w:t>
            </w:r>
          </w:p>
        </w:tc>
        <w:tc>
          <w:tcPr>
            <w:tcW w:type="dxa" w:w="30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Crockfords Mayfair closed (2023); Stratford bought (2025); Coventry closing (2026); Birmingham impaired RM122.8m</w:t>
            </w:r>
          </w:p>
        </w:tc>
        <w:tc>
          <w:tcPr>
            <w:tcW w:type="dxa" w:w="234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Shrinking</w:t>
            </w:r>
          </w:p>
        </w:tc>
      </w:tr>
      <w:tr>
        <w:trPr>
          <w:cantSplit/>
        </w:trPr>
        <w:tc>
          <w:tcPr>
            <w:tcW w:type="dxa" w:w="253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Digital / iGaming</w:t>
            </w:r>
          </w:p>
        </w:tc>
        <w:tc>
          <w:tcPr>
            <w:tcW w:type="dxa" w:w="214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2025</w:t>
            </w:r>
          </w:p>
        </w:tc>
        <w:tc>
          <w:tcPr>
            <w:tcW w:type="dxa" w:w="305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16.5-20% of Avanti Dynamic Studios (Sweden)</w:t>
            </w:r>
          </w:p>
        </w:tc>
        <w:tc>
          <w:tcPr>
            <w:tcW w:type="dxa" w:w="234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Immaterial</w:t>
            </w:r>
          </w:p>
        </w:tc>
      </w:tr>
      <w:tr>
        <w:trPr>
          <w:cantSplit/>
        </w:trPr>
        <w:tc>
          <w:tcPr>
            <w:tcW w:type="dxa" w:w="253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Forest City / second Malaysian casino</w:t>
            </w:r>
          </w:p>
        </w:tc>
        <w:tc>
          <w:tcPr>
            <w:tcW w:type="dxa" w:w="214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Apr-2024 rumour</w:t>
            </w:r>
          </w:p>
        </w:tc>
        <w:tc>
          <w:tcPr>
            <w:tcW w:type="dxa" w:w="305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Denied by GENM, the PM and Johor</w:t>
            </w:r>
          </w:p>
        </w:tc>
        <w:tc>
          <w:tcPr>
            <w:tcW w:type="dxa" w:w="234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Monopoly intact</w:t>
            </w:r>
          </w:p>
        </w:tc>
      </w:tr>
    </w:tbl>
    <w:p>
      <w:pPr>
        <w:spacing w:after="80" w:before="0"/>
      </w:pPr>
    </w:p>
    <w:p>
      <w:pPr>
        <w:pStyle w:val="Heading1"/>
        <w:keepNext/>
      </w:pPr>
      <w:r>
        <w:rPr>
          <w:rFonts w:ascii="Arial" w:cs="Arial" w:eastAsia="Arial" w:hAnsi="Arial"/>
        </w:rPr>
        <w:t xml:space="preserve">20. Stakes in Other Companies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2710"/>
        <w:gridCol w:w="953"/>
        <w:gridCol w:w="2513"/>
        <w:gridCol w:w="2157"/>
        <w:gridCol w:w="1747"/>
      </w:tblGrid>
      <w:tr>
        <w:trPr>
          <w:cantSplit/>
          <w:tblHeader/>
        </w:trPr>
        <w:tc>
          <w:tcPr>
            <w:tcW w:type="dxa" w:w="271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Holding</w:t>
            </w:r>
          </w:p>
        </w:tc>
        <w:tc>
          <w:tcPr>
            <w:tcW w:type="dxa" w:w="95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Stake</w:t>
            </w:r>
          </w:p>
        </w:tc>
        <w:tc>
          <w:tcPr>
            <w:tcW w:type="dxa" w:w="251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Book / size</w:t>
            </w:r>
          </w:p>
        </w:tc>
        <w:tc>
          <w:tcPr>
            <w:tcW w:type="dxa" w:w="215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Strategic relevance</w:t>
            </w:r>
          </w:p>
        </w:tc>
        <w:tc>
          <w:tcPr>
            <w:tcW w:type="dxa" w:w="174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6"/>
                <w:szCs w:val="16"/>
              </w:rPr>
              <w:t xml:space="preserve">Financial relevance</w:t>
            </w:r>
          </w:p>
        </w:tc>
      </w:tr>
      <w:tr>
        <w:trPr>
          <w:cantSplit/>
        </w:trPr>
        <w:tc>
          <w:tcPr>
            <w:tcW w:type="dxa" w:w="27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Genting New York LLC (RWNYC; licence holder)</w:t>
            </w:r>
          </w:p>
        </w:tc>
        <w:tc>
          <w:tcPr>
            <w:tcW w:type="dxa" w:w="9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100%</w:t>
            </w:r>
          </w:p>
        </w:tc>
        <w:tc>
          <w:tcPr>
            <w:tcW w:type="dxa" w:w="251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NY licence intangibles RM1,565m; segment assets RM12.4bn (US &amp; Bahamas, Jun-26)</w:t>
            </w:r>
          </w:p>
        </w:tc>
        <w:tc>
          <w:tcPr>
            <w:tcW w:type="dxa" w:w="21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Core growth asset</w:t>
            </w:r>
          </w:p>
        </w:tc>
        <w:tc>
          <w:tcPr>
            <w:tcW w:type="dxa" w:w="174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High</w:t>
            </w:r>
          </w:p>
        </w:tc>
      </w:tr>
      <w:tr>
        <w:trPr>
          <w:cantSplit/>
        </w:trPr>
        <w:tc>
          <w:tcPr>
            <w:tcW w:type="dxa" w:w="27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Empire Resorts / Genting Empire Resorts LLC (Catskills, Hudson Valley)</w:t>
            </w:r>
          </w:p>
        </w:tc>
        <w:tc>
          <w:tcPr>
            <w:tcW w:type="dxa" w:w="9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100% (from May-2025)</w:t>
            </w:r>
          </w:p>
        </w:tc>
        <w:tc>
          <w:tcPr>
            <w:tcW w:type="dxa" w:w="251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Consolidated</w:t>
            </w:r>
          </w:p>
        </w:tc>
        <w:tc>
          <w:tcPr>
            <w:tcW w:type="dxa" w:w="21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Upstate NY footprint; cannibalisation risk from downstate</w:t>
            </w:r>
          </w:p>
        </w:tc>
        <w:tc>
          <w:tcPr>
            <w:tcW w:type="dxa" w:w="174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Negative (loss-making)</w:t>
            </w:r>
          </w:p>
        </w:tc>
      </w:tr>
      <w:tr>
        <w:trPr>
          <w:cantSplit/>
        </w:trPr>
        <w:tc>
          <w:tcPr>
            <w:tcW w:type="dxa" w:w="27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Miami: Resorts World Miami / Genting Florida (Omni land, Hilton Miami Downtown)</w:t>
            </w:r>
          </w:p>
        </w:tc>
        <w:tc>
          <w:tcPr>
            <w:tcW w:type="dxa" w:w="9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100%</w:t>
            </w:r>
          </w:p>
        </w:tc>
        <w:tc>
          <w:tcPr>
            <w:tcW w:type="dxa" w:w="251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Within investment properties of RM2,061m</w:t>
            </w:r>
          </w:p>
        </w:tc>
        <w:tc>
          <w:tcPr>
            <w:tcW w:type="dxa" w:w="21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Non-core</w:t>
            </w:r>
          </w:p>
        </w:tc>
        <w:tc>
          <w:tcPr>
            <w:tcW w:type="dxa" w:w="174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High: disposal candidate (US$1.2bn bid in 2023)</w:t>
            </w:r>
          </w:p>
        </w:tc>
      </w:tr>
      <w:tr>
        <w:trPr>
          <w:cantSplit/>
        </w:trPr>
        <w:tc>
          <w:tcPr>
            <w:tcW w:type="dxa" w:w="27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RW Bimini (BBEL)</w:t>
            </w:r>
          </w:p>
        </w:tc>
        <w:tc>
          <w:tcPr>
            <w:tcW w:type="dxa" w:w="9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Majority; NCI deficit</w:t>
            </w:r>
          </w:p>
        </w:tc>
        <w:tc>
          <w:tcPr>
            <w:tcW w:type="dxa" w:w="251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RM631.8m of PP&amp;E and licences</w:t>
            </w:r>
          </w:p>
        </w:tc>
        <w:tc>
          <w:tcPr>
            <w:tcW w:type="dxa" w:w="21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Non-core</w:t>
            </w:r>
          </w:p>
        </w:tc>
        <w:tc>
          <w:tcPr>
            <w:tcW w:type="dxa" w:w="174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Negative</w:t>
            </w:r>
          </w:p>
        </w:tc>
      </w:tr>
      <w:tr>
        <w:trPr>
          <w:cantSplit/>
        </w:trPr>
        <w:tc>
          <w:tcPr>
            <w:tcW w:type="dxa" w:w="27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Genting UK</w:t>
            </w:r>
          </w:p>
        </w:tc>
        <w:tc>
          <w:tcPr>
            <w:tcW w:type="dxa" w:w="9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100%</w:t>
            </w:r>
          </w:p>
        </w:tc>
        <w:tc>
          <w:tcPr>
            <w:tcW w:type="dxa" w:w="251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RM2.9bn of PP&amp;E, licences and ROU assets; RM459m goodwill and trademarks</w:t>
            </w:r>
          </w:p>
        </w:tc>
        <w:tc>
          <w:tcPr>
            <w:tcW w:type="dxa" w:w="21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Mature</w:t>
            </w:r>
          </w:p>
        </w:tc>
        <w:tc>
          <w:tcPr>
            <w:tcW w:type="dxa" w:w="174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Low-moderate</w:t>
            </w:r>
          </w:p>
        </w:tc>
      </w:tr>
      <w:tr>
        <w:trPr>
          <w:cantSplit/>
        </w:trPr>
        <w:tc>
          <w:tcPr>
            <w:tcW w:type="dxa" w:w="27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Avanti Dynamic Studios AB (Sweden)</w:t>
            </w:r>
          </w:p>
        </w:tc>
        <w:tc>
          <w:tcPr>
            <w:tcW w:type="dxa" w:w="9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16.5% → 20%</w:t>
            </w:r>
          </w:p>
        </w:tc>
        <w:tc>
          <w:tcPr>
            <w:tcW w:type="dxa" w:w="251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~RM12.5m</w:t>
            </w:r>
          </w:p>
        </w:tc>
        <w:tc>
          <w:tcPr>
            <w:tcW w:type="dxa" w:w="21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iGaming optionality</w:t>
            </w:r>
          </w:p>
        </w:tc>
        <w:tc>
          <w:tcPr>
            <w:tcW w:type="dxa" w:w="174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Immaterial</w:t>
            </w:r>
          </w:p>
        </w:tc>
      </w:tr>
      <w:tr>
        <w:trPr>
          <w:cantSplit/>
        </w:trPr>
        <w:tc>
          <w:tcPr>
            <w:tcW w:type="dxa" w:w="27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Mashpee Wampanoag promissory notes</w:t>
            </w:r>
          </w:p>
        </w:tc>
        <w:tc>
          <w:tcPr>
            <w:tcW w:type="dxa" w:w="9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Creditor</w:t>
            </w:r>
          </w:p>
        </w:tc>
        <w:tc>
          <w:tcPr>
            <w:tcW w:type="dxa" w:w="251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Largely impaired</w:t>
            </w:r>
          </w:p>
        </w:tc>
        <w:tc>
          <w:tcPr>
            <w:tcW w:type="dxa" w:w="21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Optionality if the Taunton casino is ever built</w:t>
            </w:r>
          </w:p>
        </w:tc>
        <w:tc>
          <w:tcPr>
            <w:tcW w:type="dxa" w:w="174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Low</w:t>
            </w:r>
          </w:p>
        </w:tc>
      </w:tr>
      <w:tr>
        <w:trPr>
          <w:cantSplit/>
        </w:trPr>
        <w:tc>
          <w:tcPr>
            <w:tcW w:type="dxa" w:w="27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FVOCI unquoted equities; joint venture</w:t>
            </w:r>
          </w:p>
        </w:tc>
        <w:tc>
          <w:tcPr>
            <w:tcW w:type="dxa" w:w="95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n/d</w:t>
            </w:r>
          </w:p>
        </w:tc>
        <w:tc>
          <w:tcPr>
            <w:tcW w:type="dxa" w:w="251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RM64.4m; RM36.2m</w:t>
            </w:r>
          </w:p>
        </w:tc>
        <w:tc>
          <w:tcPr>
            <w:tcW w:type="dxa" w:w="21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Minor</w:t>
            </w:r>
          </w:p>
        </w:tc>
        <w:tc>
          <w:tcPr>
            <w:tcW w:type="dxa" w:w="174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Immaterial</w:t>
            </w:r>
          </w:p>
        </w:tc>
      </w:tr>
      <w:tr>
        <w:trPr>
          <w:cantSplit/>
        </w:trPr>
        <w:tc>
          <w:tcPr>
            <w:tcW w:type="dxa" w:w="27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Money-market funds (FVTPL)</w:t>
            </w:r>
          </w:p>
        </w:tc>
        <w:tc>
          <w:tcPr>
            <w:tcW w:type="dxa" w:w="95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n/a</w:t>
            </w:r>
          </w:p>
        </w:tc>
        <w:tc>
          <w:tcPr>
            <w:tcW w:type="dxa" w:w="251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RM1,148m (Jun-26)</w:t>
            </w:r>
          </w:p>
        </w:tc>
        <w:tc>
          <w:tcPr>
            <w:tcW w:type="dxa" w:w="21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Liquidity</w:t>
            </w:r>
          </w:p>
        </w:tc>
        <w:tc>
          <w:tcPr>
            <w:tcW w:type="dxa" w:w="174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6"/>
                <w:szCs w:val="16"/>
              </w:rPr>
              <w:t xml:space="preserve">Treated as cash</w:t>
            </w:r>
          </w:p>
        </w:tc>
      </w:tr>
      <w:tr>
        <w:trPr>
          <w:cantSplit/>
        </w:trPr>
        <w:tc>
          <w:tcPr>
            <w:tcW w:type="dxa" w:w="2710"/>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Listed equity stakes</w:t>
            </w:r>
          </w:p>
        </w:tc>
        <w:tc>
          <w:tcPr>
            <w:tcW w:type="dxa" w:w="953"/>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None</w:t>
            </w:r>
          </w:p>
        </w:tc>
        <w:tc>
          <w:tcPr>
            <w:tcW w:type="dxa" w:w="2513"/>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w:t>
            </w:r>
          </w:p>
        </w:tc>
        <w:tc>
          <w:tcPr>
            <w:tcW w:type="dxa" w:w="2157"/>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w:t>
            </w:r>
          </w:p>
        </w:tc>
        <w:tc>
          <w:tcPr>
            <w:tcW w:type="dxa" w:w="1747"/>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6"/>
                <w:szCs w:val="16"/>
              </w:rPr>
              <w:t xml:space="preserve">-</w:t>
            </w:r>
          </w:p>
        </w:tc>
      </w:tr>
    </w:tbl>
    <w:p>
      <w:pPr>
        <w:spacing w:after="80" w:before="0"/>
      </w:pPr>
    </w:p>
    <w:p>
      <w:pPr>
        <w:spacing w:after="110" w:before="0" w:line="264"/>
      </w:pPr>
      <w:r>
        <w:rPr>
          <w:rFonts w:ascii="Arial" w:cs="Arial" w:eastAsia="Arial" w:hAnsi="Arial"/>
          <w:b/>
          <w:bCs/>
          <w:color w:val="1F2937"/>
          <w:sz w:val="19"/>
          <w:szCs w:val="19"/>
        </w:rPr>
        <w:t xml:space="preserve">GENM's place in the group:</w:t>
      </w:r>
      <w:r>
        <w:rPr>
          <w:rFonts w:ascii="Arial" w:cs="Arial" w:eastAsia="Arial" w:hAnsi="Arial"/>
          <w:color w:val="1F2937"/>
          <w:sz w:val="19"/>
          <w:szCs w:val="19"/>
        </w:rPr>
        <w:t xml:space="preserve"> Lim family trust → Kien Huat Realty (LKT deemed 45.24% of Genting Bhd, Oct-2026) → </w:t>
      </w:r>
      <w:r>
        <w:rPr>
          <w:rFonts w:ascii="Arial" w:cs="Arial" w:eastAsia="Arial" w:hAnsi="Arial"/>
          <w:b/>
          <w:bCs/>
          <w:color w:val="1F2937"/>
          <w:sz w:val="19"/>
          <w:szCs w:val="19"/>
        </w:rPr>
        <w:t xml:space="preserve">Genting Bhd</w:t>
      </w:r>
      <w:r>
        <w:rPr>
          <w:rFonts w:ascii="Arial" w:cs="Arial" w:eastAsia="Arial" w:hAnsi="Arial"/>
          <w:color w:val="1F2937"/>
          <w:sz w:val="19"/>
          <w:szCs w:val="19"/>
        </w:rPr>
        <w:t xml:space="preserve"> (73.84% of GENM; ~52.6% of Genting Singapore; ~55.4% of Genting Plantations; 100% of Resorts World Las Vegas; Genting Energy). GENM holds no stake in its sister companies. Sister Genting Singapore (RWS) is both a related party and a regional competitor.</w:t>
      </w:r>
    </w:p>
    <w:p>
      <w:pPr>
        <w:pStyle w:val="Heading1"/>
        <w:keepNext/>
      </w:pPr>
      <w:r>
        <w:rPr>
          <w:rFonts w:ascii="Arial" w:cs="Arial" w:eastAsia="Arial" w:hAnsi="Arial"/>
        </w:rPr>
        <w:t xml:space="preserve">21. Dividends, Buybacks and Treasury Shares (Five-Year Timeline)</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500"/>
        <w:gridCol w:w="761"/>
        <w:gridCol w:w="598"/>
        <w:gridCol w:w="761"/>
        <w:gridCol w:w="616"/>
        <w:gridCol w:w="680"/>
        <w:gridCol w:w="1457"/>
        <w:gridCol w:w="2479"/>
        <w:gridCol w:w="977"/>
        <w:gridCol w:w="1251"/>
      </w:tblGrid>
      <w:tr>
        <w:trPr>
          <w:cantSplit/>
          <w:tblHeader/>
        </w:trPr>
        <w:tc>
          <w:tcPr>
            <w:tcW w:type="dxa" w:w="50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4"/>
                <w:szCs w:val="14"/>
              </w:rPr>
              <w:t xml:space="preserve">FY</w:t>
            </w:r>
          </w:p>
        </w:tc>
        <w:tc>
          <w:tcPr>
            <w:tcW w:type="dxa" w:w="76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Interim (sen)</w:t>
            </w:r>
          </w:p>
        </w:tc>
        <w:tc>
          <w:tcPr>
            <w:tcW w:type="dxa" w:w="598"/>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Final (sen)</w:t>
            </w:r>
          </w:p>
        </w:tc>
        <w:tc>
          <w:tcPr>
            <w:tcW w:type="dxa" w:w="76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Special (sen)</w:t>
            </w:r>
          </w:p>
        </w:tc>
        <w:tc>
          <w:tcPr>
            <w:tcW w:type="dxa" w:w="61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Total DPS (sen)</w:t>
            </w:r>
          </w:p>
        </w:tc>
        <w:tc>
          <w:tcPr>
            <w:tcW w:type="dxa" w:w="68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Payout</w:t>
            </w:r>
          </w:p>
        </w:tc>
        <w:tc>
          <w:tcPr>
            <w:tcW w:type="dxa" w:w="145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Cash dividends paid in calendar year (RM m)</w:t>
            </w:r>
          </w:p>
        </w:tc>
        <w:tc>
          <w:tcPr>
            <w:tcW w:type="dxa" w:w="247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Buyback (RM m)</w:t>
            </w:r>
          </w:p>
        </w:tc>
        <w:tc>
          <w:tcPr>
            <w:tcW w:type="dxa" w:w="97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4"/>
                <w:szCs w:val="14"/>
              </w:rPr>
              <w:t xml:space="preserve">Treasury shares held (m)</w:t>
            </w:r>
          </w:p>
        </w:tc>
        <w:tc>
          <w:tcPr>
            <w:tcW w:type="dxa" w:w="125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4"/>
                <w:szCs w:val="14"/>
              </w:rPr>
              <w:t xml:space="preserve">Cancellations</w:t>
            </w:r>
          </w:p>
        </w:tc>
      </w:tr>
      <w:tr>
        <w:trPr>
          <w:cantSplit/>
        </w:trPr>
        <w:tc>
          <w:tcPr>
            <w:tcW w:type="dxa" w:w="50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2021</w:t>
            </w:r>
          </w:p>
        </w:tc>
        <w:tc>
          <w:tcPr>
            <w:tcW w:type="dxa" w:w="7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w:t>
            </w:r>
          </w:p>
        </w:tc>
        <w:tc>
          <w:tcPr>
            <w:tcW w:type="dxa" w:w="5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9.0</w:t>
            </w:r>
          </w:p>
        </w:tc>
        <w:tc>
          <w:tcPr>
            <w:tcW w:type="dxa" w:w="7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w:t>
            </w:r>
          </w:p>
        </w:tc>
        <w:tc>
          <w:tcPr>
            <w:tcW w:type="dxa" w:w="61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9.0</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n.m. (loss)</w:t>
            </w:r>
          </w:p>
        </w:tc>
        <w:tc>
          <w:tcPr>
            <w:tcW w:type="dxa" w:w="14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480.3</w:t>
            </w:r>
          </w:p>
        </w:tc>
        <w:tc>
          <w:tcPr>
            <w:tcW w:type="dxa" w:w="24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21.3</w:t>
            </w:r>
          </w:p>
        </w:tc>
        <w:tc>
          <w:tcPr>
            <w:tcW w:type="dxa" w:w="9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~270-285 [u]</w:t>
            </w:r>
          </w:p>
        </w:tc>
        <w:tc>
          <w:tcPr>
            <w:tcW w:type="dxa" w:w="12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None</w:t>
            </w:r>
          </w:p>
        </w:tc>
      </w:tr>
      <w:tr>
        <w:trPr>
          <w:cantSplit/>
        </w:trPr>
        <w:tc>
          <w:tcPr>
            <w:tcW w:type="dxa" w:w="50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2022</w:t>
            </w:r>
          </w:p>
        </w:tc>
        <w:tc>
          <w:tcPr>
            <w:tcW w:type="dxa" w:w="7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6.0</w:t>
            </w:r>
          </w:p>
        </w:tc>
        <w:tc>
          <w:tcPr>
            <w:tcW w:type="dxa" w:w="5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9.0</w:t>
            </w:r>
          </w:p>
        </w:tc>
        <w:tc>
          <w:tcPr>
            <w:tcW w:type="dxa" w:w="7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w:t>
            </w:r>
          </w:p>
        </w:tc>
        <w:tc>
          <w:tcPr>
            <w:tcW w:type="dxa" w:w="61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15.0</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n.m. (loss)</w:t>
            </w:r>
          </w:p>
        </w:tc>
        <w:tc>
          <w:tcPr>
            <w:tcW w:type="dxa" w:w="14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848.7</w:t>
            </w:r>
          </w:p>
        </w:tc>
        <w:tc>
          <w:tcPr>
            <w:tcW w:type="dxa" w:w="24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w:t>
            </w:r>
          </w:p>
        </w:tc>
        <w:tc>
          <w:tcPr>
            <w:tcW w:type="dxa" w:w="9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~270 [u]</w:t>
            </w:r>
          </w:p>
        </w:tc>
        <w:tc>
          <w:tcPr>
            <w:tcW w:type="dxa" w:w="12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None</w:t>
            </w:r>
          </w:p>
        </w:tc>
      </w:tr>
      <w:tr>
        <w:trPr>
          <w:cantSplit/>
        </w:trPr>
        <w:tc>
          <w:tcPr>
            <w:tcW w:type="dxa" w:w="50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2023</w:t>
            </w:r>
          </w:p>
        </w:tc>
        <w:tc>
          <w:tcPr>
            <w:tcW w:type="dxa" w:w="7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6.0</w:t>
            </w:r>
          </w:p>
        </w:tc>
        <w:tc>
          <w:tcPr>
            <w:tcW w:type="dxa" w:w="5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9.0</w:t>
            </w:r>
          </w:p>
        </w:tc>
        <w:tc>
          <w:tcPr>
            <w:tcW w:type="dxa" w:w="7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w:t>
            </w:r>
          </w:p>
        </w:tc>
        <w:tc>
          <w:tcPr>
            <w:tcW w:type="dxa" w:w="61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15.0</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195%</w:t>
            </w:r>
          </w:p>
        </w:tc>
        <w:tc>
          <w:tcPr>
            <w:tcW w:type="dxa" w:w="14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850.2</w:t>
            </w:r>
          </w:p>
        </w:tc>
        <w:tc>
          <w:tcPr>
            <w:tcW w:type="dxa" w:w="24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w:t>
            </w:r>
          </w:p>
        </w:tc>
        <w:tc>
          <w:tcPr>
            <w:tcW w:type="dxa" w:w="9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270.3</w:t>
            </w:r>
          </w:p>
        </w:tc>
        <w:tc>
          <w:tcPr>
            <w:tcW w:type="dxa" w:w="12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None</w:t>
            </w:r>
          </w:p>
        </w:tc>
      </w:tr>
      <w:tr>
        <w:trPr>
          <w:cantSplit/>
        </w:trPr>
        <w:tc>
          <w:tcPr>
            <w:tcW w:type="dxa" w:w="50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2024</w:t>
            </w:r>
          </w:p>
        </w:tc>
        <w:tc>
          <w:tcPr>
            <w:tcW w:type="dxa" w:w="7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6.0</w:t>
            </w:r>
          </w:p>
        </w:tc>
        <w:tc>
          <w:tcPr>
            <w:tcW w:type="dxa" w:w="5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4.0</w:t>
            </w:r>
          </w:p>
        </w:tc>
        <w:tc>
          <w:tcPr>
            <w:tcW w:type="dxa" w:w="7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w:t>
            </w:r>
          </w:p>
        </w:tc>
        <w:tc>
          <w:tcPr>
            <w:tcW w:type="dxa" w:w="61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10.0</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226%</w:t>
            </w:r>
          </w:p>
        </w:tc>
        <w:tc>
          <w:tcPr>
            <w:tcW w:type="dxa" w:w="14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850.2</w:t>
            </w:r>
          </w:p>
        </w:tc>
        <w:tc>
          <w:tcPr>
            <w:tcW w:type="dxa" w:w="24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w:t>
            </w:r>
          </w:p>
        </w:tc>
        <w:tc>
          <w:tcPr>
            <w:tcW w:type="dxa" w:w="9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270.3</w:t>
            </w:r>
          </w:p>
        </w:tc>
        <w:tc>
          <w:tcPr>
            <w:tcW w:type="dxa" w:w="12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None</w:t>
            </w:r>
          </w:p>
        </w:tc>
      </w:tr>
      <w:tr>
        <w:trPr>
          <w:cantSplit/>
        </w:trPr>
        <w:tc>
          <w:tcPr>
            <w:tcW w:type="dxa" w:w="50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2025</w:t>
            </w:r>
          </w:p>
        </w:tc>
        <w:tc>
          <w:tcPr>
            <w:tcW w:type="dxa" w:w="7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4"/>
                <w:szCs w:val="14"/>
              </w:rPr>
              <w:t xml:space="preserve">none</w:t>
            </w:r>
          </w:p>
        </w:tc>
        <w:tc>
          <w:tcPr>
            <w:tcW w:type="dxa" w:w="598"/>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7.0</w:t>
            </w:r>
          </w:p>
        </w:tc>
        <w:tc>
          <w:tcPr>
            <w:tcW w:type="dxa" w:w="76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w:t>
            </w:r>
          </w:p>
        </w:tc>
        <w:tc>
          <w:tcPr>
            <w:tcW w:type="dxa" w:w="61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7.0</w:t>
            </w:r>
          </w:p>
        </w:tc>
        <w:tc>
          <w:tcPr>
            <w:tcW w:type="dxa" w:w="68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53%</w:t>
            </w:r>
          </w:p>
        </w:tc>
        <w:tc>
          <w:tcPr>
            <w:tcW w:type="dxa" w:w="145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226.7</w:t>
            </w:r>
          </w:p>
        </w:tc>
        <w:tc>
          <w:tcPr>
            <w:tcW w:type="dxa" w:w="247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w:t>
            </w:r>
          </w:p>
        </w:tc>
        <w:tc>
          <w:tcPr>
            <w:tcW w:type="dxa" w:w="9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270.3</w:t>
            </w:r>
          </w:p>
        </w:tc>
        <w:tc>
          <w:tcPr>
            <w:tcW w:type="dxa" w:w="12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None</w:t>
            </w:r>
          </w:p>
        </w:tc>
      </w:tr>
      <w:tr>
        <w:trPr>
          <w:cantSplit/>
        </w:trPr>
        <w:tc>
          <w:tcPr>
            <w:tcW w:type="dxa" w:w="50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2026 YTD</w:t>
            </w:r>
          </w:p>
        </w:tc>
        <w:tc>
          <w:tcPr>
            <w:tcW w:type="dxa" w:w="7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4"/>
                <w:szCs w:val="14"/>
              </w:rPr>
              <w:t xml:space="preserve">none</w:t>
            </w:r>
          </w:p>
        </w:tc>
        <w:tc>
          <w:tcPr>
            <w:tcW w:type="dxa" w:w="598"/>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w:t>
            </w:r>
          </w:p>
        </w:tc>
        <w:tc>
          <w:tcPr>
            <w:tcW w:type="dxa" w:w="76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w:t>
            </w:r>
          </w:p>
        </w:tc>
        <w:tc>
          <w:tcPr>
            <w:tcW w:type="dxa" w:w="61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w:t>
            </w:r>
          </w:p>
        </w:tc>
        <w:tc>
          <w:tcPr>
            <w:tcW w:type="dxa" w:w="68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w:t>
            </w:r>
          </w:p>
        </w:tc>
        <w:tc>
          <w:tcPr>
            <w:tcW w:type="dxa" w:w="145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396.7 (FY25 final, Apr-26)</w:t>
            </w:r>
          </w:p>
        </w:tc>
        <w:tc>
          <w:tcPr>
            <w:tcW w:type="dxa" w:w="247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Mandate renewed 10-Jun-26; "commenced" 17-Sep-26; 550,000 shares at ~RM1.27 on 12-Oct-26 (RM0.70m); ~0.75m shares in total [e]</w:t>
            </w:r>
          </w:p>
        </w:tc>
        <w:tc>
          <w:tcPr>
            <w:tcW w:type="dxa" w:w="9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4"/>
                <w:szCs w:val="14"/>
              </w:rPr>
              <w:t xml:space="preserve">271.1</w:t>
            </w:r>
          </w:p>
        </w:tc>
        <w:tc>
          <w:tcPr>
            <w:tcW w:type="dxa" w:w="12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4"/>
                <w:szCs w:val="14"/>
              </w:rPr>
              <w:t xml:space="preserve">None</w:t>
            </w:r>
          </w:p>
        </w:tc>
      </w:tr>
    </w:tbl>
    <w:p>
      <w:pPr>
        <w:spacing w:after="80" w:before="0"/>
      </w:pPr>
    </w:p>
    <w:p>
      <w:pPr>
        <w:spacing w:after="140" w:before="0"/>
      </w:pPr>
      <w:r>
        <w:rPr>
          <w:rFonts w:ascii="Arial" w:cs="Arial" w:eastAsia="Arial" w:hAnsi="Arial"/>
          <w:color w:val="6B7280"/>
          <w:sz w:val="15"/>
          <w:szCs w:val="15"/>
        </w:rPr>
        <w:t xml:space="preserve">Earlier years: FY2016 16.5 sen; FY2017 17 sen (incl. 8 sen special); FY2018 19 sen (incl. 8 sen special); FY2019 20 sen (incl. 9 sen special); FY2020 14.5 sen (incl. 8.5 sen special).</w:t>
      </w:r>
    </w:p>
    <w:p>
      <w:pPr>
        <w:spacing w:after="110" w:before="0" w:line="264"/>
      </w:pPr>
      <w:r>
        <w:rPr>
          <w:rFonts w:ascii="Arial" w:cs="Arial" w:eastAsia="Arial" w:hAnsi="Arial"/>
          <w:color w:val="1F2937"/>
          <w:sz w:val="19"/>
          <w:szCs w:val="19"/>
        </w:rPr>
        <w:t xml:space="preserve">Notes:</w:t>
      </w:r>
    </w:p>
    <w:p>
      <w:pPr>
        <w:pStyle w:val="ListParagraph"/>
        <w:numPr>
          <w:ilvl w:val="0"/>
          <w:numId w:val="3"/>
        </w:numPr>
        <w:spacing w:after="60" w:before="0" w:line="252"/>
      </w:pPr>
      <w:r>
        <w:rPr>
          <w:rFonts w:ascii="Arial" w:cs="Arial" w:eastAsia="Arial" w:hAnsi="Arial"/>
          <w:color w:val="1F2937"/>
          <w:sz w:val="19"/>
          <w:szCs w:val="19"/>
        </w:rPr>
        <w:t xml:space="preserve">Treasury shares: 270,302,915 held against 5,938,044,648 issued (Dec-25); 271,052,915 (4.565% of issued) after the 12-Oct-2026 purchase. Treasury cost fell from RM985.9m (FY21) to RM935.7m (FY23-25), consistent with re-issuance under an employee scheme [e]. </w:t>
      </w:r>
      <w:r>
        <w:rPr>
          <w:rFonts w:ascii="Arial" w:cs="Arial" w:eastAsia="Arial" w:hAnsi="Arial"/>
          <w:b/>
          <w:bCs/>
          <w:color w:val="1F2937"/>
          <w:sz w:val="19"/>
          <w:szCs w:val="19"/>
        </w:rPr>
        <w:t xml:space="preserve">No cancellations</w:t>
      </w:r>
      <w:r>
        <w:rPr>
          <w:rFonts w:ascii="Arial" w:cs="Arial" w:eastAsia="Arial" w:hAnsi="Arial"/>
          <w:color w:val="1F2937"/>
          <w:sz w:val="19"/>
          <w:szCs w:val="19"/>
        </w:rPr>
        <w:t xml:space="preserve"> in the period.</w:t>
      </w:r>
    </w:p>
    <w:p>
      <w:pPr>
        <w:pStyle w:val="ListParagraph"/>
        <w:numPr>
          <w:ilvl w:val="0"/>
          <w:numId w:val="3"/>
        </w:numPr>
        <w:spacing w:after="60" w:before="0" w:line="252"/>
      </w:pPr>
      <w:r>
        <w:rPr>
          <w:rFonts w:ascii="Arial" w:cs="Arial" w:eastAsia="Arial" w:hAnsi="Arial"/>
          <w:color w:val="1F2937"/>
          <w:sz w:val="19"/>
          <w:szCs w:val="19"/>
        </w:rPr>
        <w:t xml:space="preserve">Source: GENM AR2025, S&amp;P Capital IQ.</w:t>
      </w:r>
    </w:p>
    <w:p>
      <w:pPr>
        <w:keepNext/>
        <w:spacing w:after="40" w:before="120"/>
        <w:jc w:val="center"/>
      </w:pPr>
      <w:r>
        <w:drawing>
          <wp:inline distT="0" distB="0" distL="0" distR="0">
            <wp:extent cx="6400800" cy="4133850"/>
            <wp:effectExtent t="0" r="0" b="0" l="0"/>
            <wp:docPr id="1" name="fig8" descr="Dividend per share declared, FY2016-FY2025."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00800" cy="4133850"/>
                    </a:xfrm>
                    <a:prstGeom prst="rect">
                      <a:avLst/>
                    </a:prstGeom>
                  </pic:spPr>
                </pic:pic>
              </a:graphicData>
            </a:graphic>
          </wp:inline>
        </w:drawing>
      </w:r>
    </w:p>
    <w:p>
      <w:pPr>
        <w:spacing w:after="160" w:before="0"/>
      </w:pPr>
      <w:r>
        <w:rPr>
          <w:rFonts w:ascii="Arial" w:cs="Arial" w:eastAsia="Arial" w:hAnsi="Arial"/>
          <w:i/>
          <w:iCs/>
          <w:color w:val="6B7280"/>
          <w:sz w:val="15"/>
          <w:szCs w:val="15"/>
        </w:rPr>
        <w:t xml:space="preserve">Figure 8: Dividend per share declared, FY2016-FY2025.</w:t>
      </w:r>
    </w:p>
    <w:p>
      <w:pPr>
        <w:spacing w:after="110" w:before="0" w:line="264"/>
      </w:pPr>
      <w:r>
        <w:rPr>
          <w:rFonts w:ascii="Arial" w:cs="Arial" w:eastAsia="Arial" w:hAnsi="Arial"/>
          <w:b/>
          <w:bCs/>
          <w:color w:val="1F2937"/>
          <w:sz w:val="19"/>
          <w:szCs w:val="19"/>
        </w:rPr>
        <w:t xml:space="preserve">Read-across:</w:t>
      </w:r>
      <w:r>
        <w:rPr>
          <w:rFonts w:ascii="Arial" w:cs="Arial" w:eastAsia="Arial" w:hAnsi="Arial"/>
          <w:color w:val="1F2937"/>
          <w:sz w:val="19"/>
          <w:szCs w:val="19"/>
        </w:rPr>
        <w:t xml:space="preserve"> dividends were maintained through FY2023-24 at ~2x earnings, funded by debt. They have since been cut to protect the NY build. With FY26E EPS of ~4 sen (ours), a 7 sen final is at risk; Kenanga already models 5 sen.</w:t>
      </w:r>
    </w:p>
    <w:p>
      <w:pPr>
        <w:pStyle w:val="Heading1"/>
        <w:keepNext/>
      </w:pPr>
      <w:r>
        <w:rPr>
          <w:rFonts w:ascii="Arial" w:cs="Arial" w:eastAsia="Arial" w:hAnsi="Arial"/>
        </w:rPr>
        <w:t xml:space="preserve">22. Adversarial Analysis I: The Bull Case</w:t>
      </w:r>
    </w:p>
    <w:p>
      <w:pPr>
        <w:pStyle w:val="ListParagraph"/>
        <w:numPr>
          <w:ilvl w:val="0"/>
          <w:numId w:val="9"/>
        </w:numPr>
        <w:spacing w:after="70" w:before="0" w:line="252"/>
      </w:pPr>
      <w:r>
        <w:rPr>
          <w:rFonts w:ascii="Arial" w:cs="Arial" w:eastAsia="Arial" w:hAnsi="Arial"/>
          <w:b/>
          <w:bCs/>
          <w:color w:val="1F2937"/>
          <w:sz w:val="19"/>
          <w:szCs w:val="19"/>
        </w:rPr>
        <w:t xml:space="preserve">A licence monopoly at a trough multiple.</w:t>
      </w:r>
      <w:r>
        <w:rPr>
          <w:rFonts w:ascii="Arial" w:cs="Arial" w:eastAsia="Arial" w:hAnsi="Arial"/>
          <w:color w:val="1F2937"/>
          <w:sz w:val="19"/>
          <w:szCs w:val="19"/>
        </w:rPr>
        <w:t xml:space="preserve"> RWG is Malaysia's only casino, with ~RM2.1bn of EBITDA at a ~30% margin, 28.6m visitors and 98% hotel occupancy. Comparable regional casino monopolies trade at 7-9x and change hands at 9-11x. At RM1.19, if the US business is valued at 7.5x, RWG is implicitly valued at </w:t>
      </w:r>
      <w:r>
        <w:rPr>
          <w:rFonts w:ascii="Arial" w:cs="Arial" w:eastAsia="Arial" w:hAnsi="Arial"/>
          <w:b/>
          <w:bCs/>
          <w:color w:val="1F2937"/>
          <w:sz w:val="19"/>
          <w:szCs w:val="19"/>
        </w:rPr>
        <w:t xml:space="preserve">~4.4x EBITDA</w:t>
      </w:r>
      <w:r>
        <w:rPr>
          <w:rFonts w:ascii="Arial" w:cs="Arial" w:eastAsia="Arial" w:hAnsi="Arial"/>
          <w:color w:val="1F2937"/>
          <w:sz w:val="19"/>
          <w:szCs w:val="19"/>
        </w:rPr>
        <w:t xml:space="preserve">.</w:t>
      </w:r>
    </w:p>
    <w:p>
      <w:pPr>
        <w:pStyle w:val="ListParagraph"/>
        <w:numPr>
          <w:ilvl w:val="0"/>
          <w:numId w:val="9"/>
        </w:numPr>
        <w:spacing w:after="70" w:before="0" w:line="252"/>
      </w:pPr>
      <w:r>
        <w:rPr>
          <w:rFonts w:ascii="Arial" w:cs="Arial" w:eastAsia="Arial" w:hAnsi="Arial"/>
          <w:b/>
          <w:bCs/>
          <w:color w:val="1F2937"/>
          <w:sz w:val="19"/>
          <w:szCs w:val="19"/>
        </w:rPr>
        <w:t xml:space="preserve">New York is a scarce, appreciating licence.</w:t>
      </w:r>
      <w:r>
        <w:rPr>
          <w:rFonts w:ascii="Arial" w:cs="Arial" w:eastAsia="Arial" w:hAnsi="Arial"/>
          <w:color w:val="1F2937"/>
          <w:sz w:val="19"/>
          <w:szCs w:val="19"/>
        </w:rPr>
        <w:t xml:space="preserve"> RWNYC is the only full casino in NYC until ~2030, adjacent to JFK and on the subway. It ran ~US$30.8m of weekly GGR within 11 weeks of opening tables and US$126.7m in September (~US$1.5bn annualised; 69% of the state's commercial casino GGR). The slot tax fell from ~68% to 56%. Fitch sees ~US$450m of NY EBITDA by 2028 and S&amp;P a run-rate above US$400m; the market pays ~US$0.56bn for the whole US business.</w:t>
      </w:r>
    </w:p>
    <w:p>
      <w:pPr>
        <w:pStyle w:val="ListParagraph"/>
        <w:numPr>
          <w:ilvl w:val="0"/>
          <w:numId w:val="9"/>
        </w:numPr>
        <w:spacing w:after="70" w:before="0" w:line="252"/>
      </w:pPr>
      <w:r>
        <w:rPr>
          <w:rFonts w:ascii="Arial" w:cs="Arial" w:eastAsia="Arial" w:hAnsi="Arial"/>
          <w:b/>
          <w:bCs/>
          <w:color w:val="1F2937"/>
          <w:sz w:val="19"/>
          <w:szCs w:val="19"/>
        </w:rPr>
        <w:t xml:space="preserve">Moat sustainability.</w:t>
      </w:r>
      <w:r>
        <w:rPr>
          <w:rFonts w:ascii="Arial" w:cs="Arial" w:eastAsia="Arial" w:hAnsi="Arial"/>
          <w:color w:val="1F2937"/>
          <w:sz w:val="19"/>
          <w:szCs w:val="19"/>
        </w:rPr>
        <w:t xml:space="preserve"> Malaysia's government has repeatedly and publicly defended the single-licence model (Forest City denial, 2024). The NYC licence came with a ground lease running 60 years past licence expiry, and MGM's withdrawal shows the barrier to entry.</w:t>
      </w:r>
    </w:p>
    <w:p>
      <w:pPr>
        <w:pStyle w:val="ListParagraph"/>
        <w:numPr>
          <w:ilvl w:val="0"/>
          <w:numId w:val="9"/>
        </w:numPr>
        <w:spacing w:after="70" w:before="0" w:line="252"/>
      </w:pPr>
      <w:r>
        <w:rPr>
          <w:rFonts w:ascii="Arial" w:cs="Arial" w:eastAsia="Arial" w:hAnsi="Arial"/>
          <w:b/>
          <w:bCs/>
          <w:color w:val="1F2937"/>
          <w:sz w:val="19"/>
          <w:szCs w:val="19"/>
        </w:rPr>
        <w:t xml:space="preserve">Growth levers and potential earnings surprises:</w:t>
      </w:r>
    </w:p>
    <w:p>
      <w:pPr>
        <w:pStyle w:val="ListParagraph"/>
        <w:numPr>
          <w:ilvl w:val="1"/>
          <w:numId w:val="3"/>
        </w:numPr>
        <w:spacing w:after="60" w:before="0" w:line="252"/>
      </w:pPr>
      <w:r>
        <w:rPr>
          <w:rFonts w:ascii="Arial" w:cs="Arial" w:eastAsia="Arial" w:hAnsi="Arial"/>
          <w:color w:val="1F2937"/>
          <w:sz w:val="19"/>
          <w:szCs w:val="19"/>
        </w:rPr>
        <w:t xml:space="preserve">a full quarter of NY tables in 3Q26 (late Nov);</w:t>
      </w:r>
    </w:p>
    <w:p>
      <w:pPr>
        <w:pStyle w:val="ListParagraph"/>
        <w:numPr>
          <w:ilvl w:val="1"/>
          <w:numId w:val="3"/>
        </w:numPr>
        <w:spacing w:after="60" w:before="0" w:line="252"/>
      </w:pPr>
      <w:r>
        <w:rPr>
          <w:rFonts w:ascii="Arial" w:cs="Arial" w:eastAsia="Arial" w:hAnsi="Arial"/>
          <w:color w:val="1F2937"/>
          <w:sz w:val="19"/>
          <w:szCs w:val="19"/>
        </w:rPr>
        <w:t xml:space="preserve">reopening of RWG's two closed casino floors;</w:t>
      </w:r>
    </w:p>
    <w:p>
      <w:pPr>
        <w:pStyle w:val="ListParagraph"/>
        <w:numPr>
          <w:ilvl w:val="1"/>
          <w:numId w:val="3"/>
        </w:numPr>
        <w:spacing w:after="60" w:before="0" w:line="252"/>
      </w:pPr>
      <w:r>
        <w:rPr>
          <w:rFonts w:ascii="Arial" w:cs="Arial" w:eastAsia="Arial" w:hAnsi="Arial"/>
          <w:color w:val="1F2937"/>
          <w:sz w:val="19"/>
          <w:szCs w:val="19"/>
        </w:rPr>
        <w:t xml:space="preserve">Genting Premium Outlets phase 2 and new attractions;</w:t>
      </w:r>
    </w:p>
    <w:p>
      <w:pPr>
        <w:pStyle w:val="ListParagraph"/>
        <w:numPr>
          <w:ilvl w:val="1"/>
          <w:numId w:val="3"/>
        </w:numPr>
        <w:spacing w:after="60" w:before="0" w:line="252"/>
      </w:pPr>
      <w:r>
        <w:rPr>
          <w:rFonts w:ascii="Arial" w:cs="Arial" w:eastAsia="Arial" w:hAnsi="Arial"/>
          <w:color w:val="1F2937"/>
          <w:sz w:val="19"/>
          <w:szCs w:val="19"/>
        </w:rPr>
        <w:t xml:space="preserve">ECRL rail access;</w:t>
      </w:r>
    </w:p>
    <w:p>
      <w:pPr>
        <w:pStyle w:val="ListParagraph"/>
        <w:numPr>
          <w:ilvl w:val="1"/>
          <w:numId w:val="3"/>
        </w:numPr>
        <w:spacing w:after="60" w:before="0" w:line="252"/>
      </w:pPr>
      <w:r>
        <w:rPr>
          <w:rFonts w:ascii="Arial" w:cs="Arial" w:eastAsia="Arial" w:hAnsi="Arial"/>
          <w:color w:val="1F2937"/>
          <w:sz w:val="19"/>
          <w:szCs w:val="19"/>
        </w:rPr>
        <w:t xml:space="preserve">China visa-free flows;</w:t>
      </w:r>
    </w:p>
    <w:p>
      <w:pPr>
        <w:pStyle w:val="ListParagraph"/>
        <w:numPr>
          <w:ilvl w:val="1"/>
          <w:numId w:val="3"/>
        </w:numPr>
        <w:spacing w:after="60" w:before="0" w:line="252"/>
      </w:pPr>
      <w:r>
        <w:rPr>
          <w:rFonts w:ascii="Arial" w:cs="Arial" w:eastAsia="Arial" w:hAnsi="Arial"/>
          <w:color w:val="1F2937"/>
          <w:sz w:val="19"/>
          <w:szCs w:val="19"/>
        </w:rPr>
        <w:t xml:space="preserve">a negotiated racing-support settlement or tax equalisation;</w:t>
      </w:r>
    </w:p>
    <w:p>
      <w:pPr>
        <w:pStyle w:val="ListParagraph"/>
        <w:numPr>
          <w:ilvl w:val="1"/>
          <w:numId w:val="3"/>
        </w:numPr>
        <w:spacing w:after="60" w:before="0" w:line="252"/>
      </w:pPr>
      <w:r>
        <w:rPr>
          <w:rFonts w:ascii="Arial" w:cs="Arial" w:eastAsia="Arial" w:hAnsi="Arial"/>
          <w:color w:val="1F2937"/>
          <w:sz w:val="19"/>
          <w:szCs w:val="19"/>
        </w:rPr>
        <w:t xml:space="preserve">margin recovery as pre-opening costs roll off.</w:t>
      </w:r>
    </w:p>
    <w:p>
      <w:pPr>
        <w:pStyle w:val="ListParagraph"/>
        <w:numPr>
          <w:ilvl w:val="1"/>
          <w:numId w:val="3"/>
        </w:numPr>
        <w:spacing w:after="60" w:before="0" w:line="252"/>
      </w:pPr>
      <w:r>
        <w:rPr>
          <w:rFonts w:ascii="Arial" w:cs="Arial" w:eastAsia="Arial" w:hAnsi="Arial"/>
          <w:color w:val="1F2937"/>
          <w:sz w:val="19"/>
          <w:szCs w:val="19"/>
        </w:rPr>
        <w:t xml:space="preserve">if the FY26E consensus EBIT margin (12.7%) is reached, the peer regression implies RM1.96-2.13.</w:t>
      </w:r>
    </w:p>
    <w:p>
      <w:pPr>
        <w:pStyle w:val="ListParagraph"/>
        <w:numPr>
          <w:ilvl w:val="0"/>
          <w:numId w:val="9"/>
        </w:numPr>
        <w:spacing w:after="70" w:before="0" w:line="252"/>
      </w:pPr>
      <w:r>
        <w:rPr>
          <w:rFonts w:ascii="Arial" w:cs="Arial" w:eastAsia="Arial" w:hAnsi="Arial"/>
          <w:b/>
          <w:bCs/>
          <w:color w:val="1F2937"/>
          <w:sz w:val="19"/>
          <w:szCs w:val="19"/>
        </w:rPr>
        <w:t xml:space="preserve">Hidden and under-appreciated assets:</w:t>
      </w:r>
      <w:r>
        <w:rPr>
          <w:rFonts w:ascii="Arial" w:cs="Arial" w:eastAsia="Arial" w:hAnsi="Arial"/>
          <w:color w:val="1F2937"/>
          <w:sz w:val="19"/>
          <w:szCs w:val="19"/>
        </w:rPr>
        <w:t xml:space="preserve"> ~30 acres of freehold Miami waterfront (a US$1.225bn bid in 2023 vs book of ~US$0.5bn), the NY real estate (sale-leaseback potential at REIT cap rates), and the UK estate.</w:t>
      </w:r>
    </w:p>
    <w:p>
      <w:pPr>
        <w:pStyle w:val="ListParagraph"/>
        <w:numPr>
          <w:ilvl w:val="0"/>
          <w:numId w:val="9"/>
        </w:numPr>
        <w:spacing w:after="70" w:before="0" w:line="252"/>
      </w:pPr>
      <w:r>
        <w:rPr>
          <w:rFonts w:ascii="Arial" w:cs="Arial" w:eastAsia="Arial" w:hAnsi="Arial"/>
          <w:b/>
          <w:bCs/>
          <w:color w:val="1F2937"/>
          <w:sz w:val="19"/>
          <w:szCs w:val="19"/>
        </w:rPr>
        <w:t xml:space="preserve">Event optionality.</w:t>
      </w:r>
      <w:r>
        <w:rPr>
          <w:rFonts w:ascii="Arial" w:cs="Arial" w:eastAsia="Arial" w:hAnsi="Arial"/>
          <w:color w:val="1F2937"/>
          <w:sz w:val="19"/>
          <w:szCs w:val="19"/>
        </w:rPr>
        <w:t xml:space="preserve"> The parent is 1.16pp from 75% and has said it does not intend to keep GENM listed. The lapsed RM2.35 offer and the independent adviser's RM3.48-3.77 SOTP anchor any future bid. </w:t>
      </w:r>
      <w:r>
        <w:rPr>
          <w:rFonts w:ascii="Arial" w:cs="Arial" w:eastAsia="Arial" w:hAnsi="Arial"/>
          <w:b/>
          <w:bCs/>
          <w:color w:val="1F2937"/>
          <w:sz w:val="19"/>
          <w:szCs w:val="19"/>
        </w:rPr>
        <w:t xml:space="preserve">Holders get paid to wait</w:t>
      </w:r>
      <w:r>
        <w:rPr>
          <w:rFonts w:ascii="Arial" w:cs="Arial" w:eastAsia="Arial" w:hAnsi="Arial"/>
          <w:color w:val="1F2937"/>
          <w:sz w:val="19"/>
          <w:szCs w:val="19"/>
        </w:rPr>
        <w:t xml:space="preserve">: the dividend yield is ~4-6%.</w:t>
      </w:r>
    </w:p>
    <w:p>
      <w:pPr>
        <w:pStyle w:val="ListParagraph"/>
        <w:numPr>
          <w:ilvl w:val="0"/>
          <w:numId w:val="9"/>
        </w:numPr>
        <w:spacing w:after="70" w:before="0" w:line="252"/>
      </w:pPr>
      <w:r>
        <w:rPr>
          <w:rFonts w:ascii="Arial" w:cs="Arial" w:eastAsia="Arial" w:hAnsi="Arial"/>
          <w:b/>
          <w:bCs/>
          <w:color w:val="1F2937"/>
          <w:sz w:val="19"/>
          <w:szCs w:val="19"/>
        </w:rPr>
        <w:t xml:space="preserve">Capital allocation can only get better from here:</w:t>
      </w:r>
      <w:r>
        <w:rPr>
          <w:rFonts w:ascii="Arial" w:cs="Arial" w:eastAsia="Arial" w:hAnsi="Arial"/>
          <w:color w:val="1F2937"/>
          <w:sz w:val="19"/>
          <w:szCs w:val="19"/>
        </w:rPr>
        <w:t xml:space="preserve"> the NY capex peak is 2026-27, the buyback mandate is active (first purchases on 12-Oct-2026), and the dividend payout reset is done.</w:t>
      </w:r>
    </w:p>
    <w:p>
      <w:pPr>
        <w:pStyle w:val="ListParagraph"/>
        <w:numPr>
          <w:ilvl w:val="0"/>
          <w:numId w:val="9"/>
        </w:numPr>
        <w:spacing w:after="70" w:before="0" w:line="252"/>
      </w:pPr>
      <w:r>
        <w:rPr>
          <w:rFonts w:ascii="Arial" w:cs="Arial" w:eastAsia="Arial" w:hAnsi="Arial"/>
          <w:b/>
          <w:bCs/>
          <w:color w:val="1F2937"/>
          <w:sz w:val="19"/>
          <w:szCs w:val="19"/>
        </w:rPr>
        <w:t xml:space="preserve">A US listing route.</w:t>
      </w:r>
      <w:r>
        <w:rPr>
          <w:rFonts w:ascii="Arial" w:cs="Arial" w:eastAsia="Arial" w:hAnsi="Arial"/>
          <w:color w:val="1F2937"/>
          <w:sz w:val="19"/>
          <w:szCs w:val="19"/>
        </w:rPr>
        <w:t xml:space="preserve"> The Nov-2025 offer document flagged the intention to combine Genting Bhd's US gaming assets with GENM's US operations and seek a US listing [u]. US regional peers trade at 7.5-9x EBITDA, so a listed "Genting Americas" would put a market value on New York that GENM's share price currently ignores.</w:t>
      </w:r>
    </w:p>
    <w:p>
      <w:pPr>
        <w:pStyle w:val="Heading1"/>
        <w:keepNext/>
      </w:pPr>
      <w:r>
        <w:rPr>
          <w:rFonts w:ascii="Arial" w:cs="Arial" w:eastAsia="Arial" w:hAnsi="Arial"/>
        </w:rPr>
        <w:t xml:space="preserve">23. Adversarial Analysis II: The Bear Case, Pre-Mortem and Contrarian View</w:t>
      </w:r>
    </w:p>
    <w:p>
      <w:pPr>
        <w:pStyle w:val="Heading2"/>
        <w:keepNext/>
      </w:pPr>
      <w:r>
        <w:rPr>
          <w:rFonts w:ascii="Arial" w:cs="Arial" w:eastAsia="Arial" w:hAnsi="Arial"/>
        </w:rPr>
        <w:t xml:space="preserve">23.1 Two to three risks that could permanently impair the business</w:t>
      </w:r>
    </w:p>
    <w:p>
      <w:pPr>
        <w:pStyle w:val="ListParagraph"/>
        <w:numPr>
          <w:ilvl w:val="0"/>
          <w:numId w:val="10"/>
        </w:numPr>
        <w:spacing w:after="70" w:before="0" w:line="252"/>
      </w:pPr>
      <w:r>
        <w:rPr>
          <w:rFonts w:ascii="Arial" w:cs="Arial" w:eastAsia="Arial" w:hAnsi="Arial"/>
          <w:b/>
          <w:bCs/>
          <w:color w:val="1F2937"/>
          <w:sz w:val="19"/>
          <w:szCs w:val="19"/>
        </w:rPr>
        <w:t xml:space="preserve">Policy at both ends.</w:t>
      </w:r>
      <w:r>
        <w:rPr>
          <w:rFonts w:ascii="Arial" w:cs="Arial" w:eastAsia="Arial" w:hAnsi="Arial"/>
          <w:color w:val="1F2937"/>
          <w:sz w:val="19"/>
          <w:szCs w:val="19"/>
        </w:rPr>
        <w:t xml:space="preserve"> In Malaysia, a quarterly licence, a 35% duty that has been raised before, and PAS's vow to close RWG if it wins Pahang (GE16 by early 2028). In New York, a State that says ~US$150m a year of racing support is owed on top of the 56% tax (effective ~72%), and two rivals arriving ~2030 at half the tax rate.</w:t>
      </w:r>
    </w:p>
    <w:p>
      <w:pPr>
        <w:pStyle w:val="ListParagraph"/>
        <w:numPr>
          <w:ilvl w:val="0"/>
          <w:numId w:val="10"/>
        </w:numPr>
        <w:spacing w:after="70" w:before="0" w:line="252"/>
      </w:pPr>
      <w:r>
        <w:rPr>
          <w:rFonts w:ascii="Arial" w:cs="Arial" w:eastAsia="Arial" w:hAnsi="Arial"/>
          <w:b/>
          <w:bCs/>
          <w:color w:val="1F2937"/>
          <w:sz w:val="19"/>
          <w:szCs w:val="19"/>
        </w:rPr>
        <w:t xml:space="preserve">Over-investment at sub-par returns.</w:t>
      </w:r>
      <w:r>
        <w:rPr>
          <w:rFonts w:ascii="Arial" w:cs="Arial" w:eastAsia="Arial" w:hAnsi="Arial"/>
          <w:color w:val="1F2937"/>
          <w:sz w:val="19"/>
          <w:szCs w:val="19"/>
        </w:rPr>
        <w:t xml:space="preserve"> US$3.7bn of remaining NY capex at a time of 5x leverage, against a decade of ROIC of 3-6%. Phase 2 (US$3.3bn) may never earn its cost of capital once rivals open.</w:t>
      </w:r>
    </w:p>
    <w:p>
      <w:pPr>
        <w:pStyle w:val="ListParagraph"/>
        <w:numPr>
          <w:ilvl w:val="0"/>
          <w:numId w:val="10"/>
        </w:numPr>
        <w:spacing w:after="70" w:before="0" w:line="252"/>
      </w:pPr>
      <w:r>
        <w:rPr>
          <w:rFonts w:ascii="Arial" w:cs="Arial" w:eastAsia="Arial" w:hAnsi="Arial"/>
          <w:b/>
          <w:bCs/>
          <w:color w:val="1F2937"/>
          <w:sz w:val="19"/>
          <w:szCs w:val="19"/>
        </w:rPr>
        <w:t xml:space="preserve">The parent.</w:t>
      </w:r>
      <w:r>
        <w:rPr>
          <w:rFonts w:ascii="Arial" w:cs="Arial" w:eastAsia="Arial" w:hAnsi="Arial"/>
          <w:color w:val="1F2937"/>
          <w:sz w:val="19"/>
          <w:szCs w:val="19"/>
        </w:rPr>
        <w:t xml:space="preserve"> A cash-strapped Genting Bhd extracts ~RM848m a year in fees, needs dividends, and may squeeze out minorities cheaply. Alternatively, it may be unable to support a GENM rights issue if one is needed.</w:t>
      </w:r>
    </w:p>
    <w:p>
      <w:pPr>
        <w:pStyle w:val="Heading2"/>
        <w:keepNext/>
      </w:pPr>
      <w:r>
        <w:rPr>
          <w:rFonts w:ascii="Arial" w:cs="Arial" w:eastAsia="Arial" w:hAnsi="Arial"/>
        </w:rPr>
        <w:t xml:space="preserve">23.2 Margin compression and revenue deceleration risks</w:t>
      </w:r>
    </w:p>
    <w:p>
      <w:pPr>
        <w:pStyle w:val="ListParagraph"/>
        <w:numPr>
          <w:ilvl w:val="0"/>
          <w:numId w:val="3"/>
        </w:numPr>
        <w:spacing w:after="60" w:before="0" w:line="252"/>
      </w:pPr>
      <w:r>
        <w:rPr>
          <w:rFonts w:ascii="Arial" w:cs="Arial" w:eastAsia="Arial" w:hAnsi="Arial"/>
          <w:color w:val="1F2937"/>
          <w:sz w:val="19"/>
          <w:szCs w:val="19"/>
        </w:rPr>
        <w:t xml:space="preserve">US mix dilutes the group margin: the NY tax take is 56% vs 35% in Malaysia. The 2Q26 adj. EBITDA margin was ~22% vs 30-35% historically.</w:t>
      </w:r>
    </w:p>
    <w:p>
      <w:pPr>
        <w:pStyle w:val="ListParagraph"/>
        <w:numPr>
          <w:ilvl w:val="0"/>
          <w:numId w:val="3"/>
        </w:numPr>
        <w:spacing w:after="60" w:before="0" w:line="252"/>
      </w:pPr>
      <w:r>
        <w:rPr>
          <w:rFonts w:ascii="Arial" w:cs="Arial" w:eastAsia="Arial" w:hAnsi="Arial"/>
          <w:color w:val="1F2937"/>
          <w:sz w:val="19"/>
          <w:szCs w:val="19"/>
        </w:rPr>
        <w:t xml:space="preserve">Malaysian costs are rising: the minimum wage goes up 17.6% from Jun-2027, plus EPF for foreign workers and energy costs (Brent &gt;US$100).</w:t>
      </w:r>
    </w:p>
    <w:p>
      <w:pPr>
        <w:pStyle w:val="ListParagraph"/>
        <w:numPr>
          <w:ilvl w:val="0"/>
          <w:numId w:val="3"/>
        </w:numPr>
        <w:spacing w:after="60" w:before="0" w:line="252"/>
      </w:pPr>
      <w:r>
        <w:rPr>
          <w:rFonts w:ascii="Arial" w:cs="Arial" w:eastAsia="Arial" w:hAnsi="Arial"/>
          <w:color w:val="1F2937"/>
          <w:sz w:val="19"/>
          <w:szCs w:val="19"/>
        </w:rPr>
        <w:t xml:space="preserve">UK machine-games duty could double (28-Oct-2026), putting 13 of 32 casinos at risk.</w:t>
      </w:r>
    </w:p>
    <w:p>
      <w:pPr>
        <w:pStyle w:val="ListParagraph"/>
        <w:numPr>
          <w:ilvl w:val="0"/>
          <w:numId w:val="3"/>
        </w:numPr>
        <w:spacing w:after="60" w:before="0" w:line="252"/>
      </w:pPr>
      <w:r>
        <w:rPr>
          <w:rFonts w:ascii="Arial" w:cs="Arial" w:eastAsia="Arial" w:hAnsi="Arial"/>
          <w:color w:val="1F2937"/>
          <w:sz w:val="19"/>
          <w:szCs w:val="19"/>
        </w:rPr>
        <w:t xml:space="preserve">RWG visitation is flat at ~28-29m (room-constrained), so growth depends on price and hold.</w:t>
      </w:r>
    </w:p>
    <w:p>
      <w:pPr>
        <w:pStyle w:val="Heading2"/>
        <w:keepNext/>
      </w:pPr>
      <w:r>
        <w:rPr>
          <w:rFonts w:ascii="Arial" w:cs="Arial" w:eastAsia="Arial" w:hAnsi="Arial"/>
        </w:rPr>
        <w:t xml:space="preserve">23.3 Are expectations too high?</w:t>
      </w:r>
    </w:p>
    <w:p>
      <w:pPr>
        <w:spacing w:after="110" w:before="0" w:line="264"/>
      </w:pPr>
      <w:r>
        <w:rPr>
          <w:rFonts w:ascii="Arial" w:cs="Arial" w:eastAsia="Arial" w:hAnsi="Arial"/>
          <w:b/>
          <w:bCs/>
          <w:color w:val="1F2937"/>
          <w:sz w:val="19"/>
          <w:szCs w:val="19"/>
        </w:rPr>
        <w:t xml:space="preserve">Yes, below EBITDA.</w:t>
      </w:r>
      <w:r>
        <w:rPr>
          <w:rFonts w:ascii="Arial" w:cs="Arial" w:eastAsia="Arial" w:hAnsi="Arial"/>
          <w:color w:val="1F2937"/>
          <w:sz w:val="19"/>
          <w:szCs w:val="19"/>
        </w:rPr>
        <w:t xml:space="preserve"> Our FY26-28E EPS is 27-42% below consensus because brokers under-model interest (FY27E RM910m consensus vs our ~RM1.05bn) and use stale net debt (FY26E RM10.0bn vs RM14.2bn actual at Jun-26). Consensus EBITDA is reasonable. The equity is not cheap on earnings: 14.8x our FY27E P/E against 10.1x for peers.</w:t>
      </w:r>
    </w:p>
    <w:p>
      <w:pPr>
        <w:pStyle w:val="Heading2"/>
        <w:keepNext/>
      </w:pPr>
      <w:r>
        <w:rPr>
          <w:rFonts w:ascii="Arial" w:cs="Arial" w:eastAsia="Arial" w:hAnsi="Arial"/>
        </w:rPr>
        <w:t xml:space="preserve">23.4 Are valuation multiples too high?</w:t>
      </w:r>
    </w:p>
    <w:p>
      <w:pPr>
        <w:spacing w:after="110" w:before="0" w:line="264"/>
      </w:pPr>
      <w:r>
        <w:rPr>
          <w:rFonts w:ascii="Arial" w:cs="Arial" w:eastAsia="Arial" w:hAnsi="Arial"/>
          <w:color w:val="1F2937"/>
          <w:sz w:val="19"/>
          <w:szCs w:val="19"/>
        </w:rPr>
        <w:t xml:space="preserve">On EV/EBITDA, no: ~6.5x NTM vs 7.5x for peers and an 8.8x 10-year median. On P/E and EV/EBIT, yes: 14.0x and 17.8x vs 10.1x and 12.8x for peers. The right frame is that the EV multiple is low because the market discounts (a) NY returns, (b) parent extraction and (c) the probability of dilution.</w:t>
      </w:r>
    </w:p>
    <w:p>
      <w:pPr>
        <w:pStyle w:val="Heading2"/>
        <w:keepNext/>
      </w:pPr>
      <w:r>
        <w:rPr>
          <w:rFonts w:ascii="Arial" w:cs="Arial" w:eastAsia="Arial" w:hAnsi="Arial"/>
        </w:rPr>
        <w:t xml:space="preserve">23.5 Pre-mortem: "It is October 2027 and the position lost 40%. What happened?"</w:t>
      </w:r>
    </w:p>
    <w:p>
      <w:pPr>
        <w:pStyle w:val="ListParagraph"/>
        <w:numPr>
          <w:ilvl w:val="0"/>
          <w:numId w:val="11"/>
        </w:numPr>
        <w:spacing w:after="70" w:before="0" w:line="252"/>
      </w:pPr>
      <w:r>
        <w:rPr>
          <w:rFonts w:ascii="Arial" w:cs="Arial" w:eastAsia="Arial" w:hAnsi="Arial"/>
          <w:b/>
          <w:bCs/>
          <w:color w:val="1F2937"/>
          <w:sz w:val="19"/>
          <w:szCs w:val="19"/>
        </w:rPr>
        <w:t xml:space="preserve">NY racing support enforced</w:t>
      </w:r>
      <w:r>
        <w:rPr>
          <w:rFonts w:ascii="Arial" w:cs="Arial" w:eastAsia="Arial" w:hAnsi="Arial"/>
          <w:color w:val="1F2937"/>
          <w:sz w:val="19"/>
          <w:szCs w:val="19"/>
        </w:rPr>
        <w:t xml:space="preserve"> in the 2027 legislative session. RWNYC's effective slot tax went to ~72%; NY EBITDA came in at ~US$180m vs our ~US$262m. Management paused phase 2 but had already spent ~US$1.5bn.</w:t>
      </w:r>
    </w:p>
    <w:p>
      <w:pPr>
        <w:pStyle w:val="ListParagraph"/>
        <w:numPr>
          <w:ilvl w:val="0"/>
          <w:numId w:val="11"/>
        </w:numPr>
        <w:spacing w:after="70" w:before="0" w:line="252"/>
      </w:pPr>
      <w:r>
        <w:rPr>
          <w:rFonts w:ascii="Arial" w:cs="Arial" w:eastAsia="Arial" w:hAnsi="Arial"/>
          <w:b/>
          <w:bCs/>
          <w:color w:val="1F2937"/>
          <w:sz w:val="19"/>
          <w:szCs w:val="19"/>
        </w:rPr>
        <w:t xml:space="preserve">Malaysia softened:</w:t>
      </w:r>
      <w:r>
        <w:rPr>
          <w:rFonts w:ascii="Arial" w:cs="Arial" w:eastAsia="Arial" w:hAnsi="Arial"/>
          <w:color w:val="1F2937"/>
          <w:sz w:val="19"/>
          <w:szCs w:val="19"/>
        </w:rPr>
        <w:t xml:space="preserve"> the Middle East war kept airfares high, visitation fell 5%, VIP hold normalised, and the minimum-wage rise hit 2H27. Malaysia EBITDA fell to ~RM2.0bn.</w:t>
      </w:r>
    </w:p>
    <w:p>
      <w:pPr>
        <w:pStyle w:val="ListParagraph"/>
        <w:numPr>
          <w:ilvl w:val="0"/>
          <w:numId w:val="11"/>
        </w:numPr>
        <w:spacing w:after="70" w:before="0" w:line="252"/>
      </w:pPr>
      <w:r>
        <w:rPr>
          <w:rFonts w:ascii="Arial" w:cs="Arial" w:eastAsia="Arial" w:hAnsi="Arial"/>
          <w:b/>
          <w:bCs/>
          <w:color w:val="1F2937"/>
          <w:sz w:val="19"/>
          <w:szCs w:val="19"/>
        </w:rPr>
        <w:t xml:space="preserve">Funding stress:</w:t>
      </w:r>
      <w:r>
        <w:rPr>
          <w:rFonts w:ascii="Arial" w:cs="Arial" w:eastAsia="Arial" w:hAnsi="Arial"/>
          <w:color w:val="1F2937"/>
          <w:sz w:val="19"/>
          <w:szCs w:val="19"/>
        </w:rPr>
        <w:t xml:space="preserve"> Fitch cut GENM to BB+, refinancing costs rose, and the board declared no FY26 final dividend.</w:t>
      </w:r>
    </w:p>
    <w:p>
      <w:pPr>
        <w:pStyle w:val="ListParagraph"/>
        <w:numPr>
          <w:ilvl w:val="0"/>
          <w:numId w:val="11"/>
        </w:numPr>
        <w:spacing w:after="70" w:before="0" w:line="252"/>
      </w:pPr>
      <w:r>
        <w:rPr>
          <w:rFonts w:ascii="Arial" w:cs="Arial" w:eastAsia="Arial" w:hAnsi="Arial"/>
          <w:b/>
          <w:bCs/>
          <w:color w:val="1F2937"/>
          <w:sz w:val="19"/>
          <w:szCs w:val="19"/>
        </w:rPr>
        <w:t xml:space="preserve">The parent's rights issue under-delivered,</w:t>
      </w:r>
      <w:r>
        <w:rPr>
          <w:rFonts w:ascii="Arial" w:cs="Arial" w:eastAsia="Arial" w:hAnsi="Arial"/>
          <w:color w:val="1F2937"/>
          <w:sz w:val="19"/>
          <w:szCs w:val="19"/>
        </w:rPr>
        <w:t xml:space="preserve"> and Genting Bhd sold GENM shares or pledged them. Alternatively, it proposed a share-swap privatisation at RM1.40 that minorities could not block because the free float had dispersed among retail.</w:t>
      </w:r>
    </w:p>
    <w:p>
      <w:pPr>
        <w:pStyle w:val="ListParagraph"/>
        <w:numPr>
          <w:ilvl w:val="0"/>
          <w:numId w:val="11"/>
        </w:numPr>
        <w:spacing w:after="70" w:before="0" w:line="252"/>
      </w:pPr>
      <w:r>
        <w:rPr>
          <w:rFonts w:ascii="Arial" w:cs="Arial" w:eastAsia="Arial" w:hAnsi="Arial"/>
          <w:b/>
          <w:bCs/>
          <w:color w:val="1F2937"/>
          <w:sz w:val="19"/>
          <w:szCs w:val="19"/>
        </w:rPr>
        <w:t xml:space="preserve">Index deletion</w:t>
      </w:r>
      <w:r>
        <w:rPr>
          <w:rFonts w:ascii="Arial" w:cs="Arial" w:eastAsia="Arial" w:hAnsi="Arial"/>
          <w:color w:val="1F2937"/>
          <w:sz w:val="19"/>
          <w:szCs w:val="19"/>
        </w:rPr>
        <w:t xml:space="preserve"> (MSCI small cap) forced passive selling.</w:t>
      </w:r>
    </w:p>
    <w:p>
      <w:pPr>
        <w:spacing w:after="110" w:before="0" w:line="264"/>
      </w:pPr>
      <w:r>
        <w:rPr>
          <w:rFonts w:ascii="Arial" w:cs="Arial" w:eastAsia="Arial" w:hAnsi="Arial"/>
          <w:b/>
          <w:bCs/>
          <w:color w:val="1F2937"/>
          <w:sz w:val="19"/>
          <w:szCs w:val="19"/>
        </w:rPr>
        <w:t xml:space="preserve">Early-warning indicators to monitor:</w:t>
      </w:r>
    </w:p>
    <w:p>
      <w:pPr>
        <w:pStyle w:val="ListParagraph"/>
        <w:numPr>
          <w:ilvl w:val="0"/>
          <w:numId w:val="3"/>
        </w:numPr>
        <w:spacing w:after="60" w:before="0" w:line="252"/>
      </w:pPr>
      <w:r>
        <w:rPr>
          <w:rFonts w:ascii="Arial" w:cs="Arial" w:eastAsia="Arial" w:hAnsi="Arial"/>
          <w:color w:val="1F2937"/>
          <w:sz w:val="19"/>
          <w:szCs w:val="19"/>
        </w:rPr>
        <w:t xml:space="preserve">NY weekly GGR trend and racing-support legislation;</w:t>
      </w:r>
    </w:p>
    <w:p>
      <w:pPr>
        <w:pStyle w:val="ListParagraph"/>
        <w:numPr>
          <w:ilvl w:val="0"/>
          <w:numId w:val="3"/>
        </w:numPr>
        <w:spacing w:after="60" w:before="0" w:line="252"/>
      </w:pPr>
      <w:r>
        <w:rPr>
          <w:rFonts w:ascii="Arial" w:cs="Arial" w:eastAsia="Arial" w:hAnsi="Arial"/>
          <w:color w:val="1F2937"/>
          <w:sz w:val="19"/>
          <w:szCs w:val="19"/>
        </w:rPr>
        <w:t xml:space="preserve">RWG visitation and hold commentary;</w:t>
      </w:r>
    </w:p>
    <w:p>
      <w:pPr>
        <w:pStyle w:val="ListParagraph"/>
        <w:numPr>
          <w:ilvl w:val="0"/>
          <w:numId w:val="3"/>
        </w:numPr>
        <w:spacing w:after="60" w:before="0" w:line="252"/>
      </w:pPr>
      <w:r>
        <w:rPr>
          <w:rFonts w:ascii="Arial" w:cs="Arial" w:eastAsia="Arial" w:hAnsi="Arial"/>
          <w:color w:val="1F2937"/>
          <w:sz w:val="19"/>
          <w:szCs w:val="19"/>
        </w:rPr>
        <w:t xml:space="preserve">Fitch/S&amp;P actions;</w:t>
      </w:r>
    </w:p>
    <w:p>
      <w:pPr>
        <w:pStyle w:val="ListParagraph"/>
        <w:numPr>
          <w:ilvl w:val="0"/>
          <w:numId w:val="3"/>
        </w:numPr>
        <w:spacing w:after="60" w:before="0" w:line="252"/>
      </w:pPr>
      <w:r>
        <w:rPr>
          <w:rFonts w:ascii="Arial" w:cs="Arial" w:eastAsia="Arial" w:hAnsi="Arial"/>
          <w:color w:val="1F2937"/>
          <w:sz w:val="19"/>
          <w:szCs w:val="19"/>
        </w:rPr>
        <w:t xml:space="preserve">dividend declarations;</w:t>
      </w:r>
    </w:p>
    <w:p>
      <w:pPr>
        <w:pStyle w:val="ListParagraph"/>
        <w:numPr>
          <w:ilvl w:val="0"/>
          <w:numId w:val="3"/>
        </w:numPr>
        <w:spacing w:after="60" w:before="0" w:line="252"/>
      </w:pPr>
      <w:r>
        <w:rPr>
          <w:rFonts w:ascii="Arial" w:cs="Arial" w:eastAsia="Arial" w:hAnsi="Arial"/>
          <w:color w:val="1F2937"/>
          <w:sz w:val="19"/>
          <w:szCs w:val="19"/>
        </w:rPr>
        <w:t xml:space="preserve">Genting Bhd's rights-issue subscription and any GENM share pledges;</w:t>
      </w:r>
    </w:p>
    <w:p>
      <w:pPr>
        <w:pStyle w:val="ListParagraph"/>
        <w:numPr>
          <w:ilvl w:val="0"/>
          <w:numId w:val="3"/>
        </w:numPr>
        <w:spacing w:after="60" w:before="0" w:line="252"/>
      </w:pPr>
      <w:r>
        <w:rPr>
          <w:rFonts w:ascii="Arial" w:cs="Arial" w:eastAsia="Arial" w:hAnsi="Arial"/>
          <w:color w:val="1F2937"/>
          <w:sz w:val="19"/>
          <w:szCs w:val="19"/>
        </w:rPr>
        <w:t xml:space="preserve">Bursa 2% creep filings.</w:t>
      </w:r>
    </w:p>
    <w:p>
      <w:pPr>
        <w:pStyle w:val="Heading2"/>
        <w:keepNext/>
      </w:pPr>
      <w:r>
        <w:rPr>
          <w:rFonts w:ascii="Arial" w:cs="Arial" w:eastAsia="Arial" w:hAnsi="Arial"/>
        </w:rPr>
        <w:t xml:space="preserve">23.6 Contrarian view: what the market refuses to see</w:t>
      </w:r>
    </w:p>
    <w:p>
      <w:pPr>
        <w:spacing w:after="110" w:before="0" w:line="264"/>
      </w:pPr>
      <w:r>
        <w:rPr>
          <w:rFonts w:ascii="Arial" w:cs="Arial" w:eastAsia="Arial" w:hAnsi="Arial"/>
          <w:b/>
          <w:bCs/>
          <w:color w:val="1F2937"/>
          <w:sz w:val="19"/>
          <w:szCs w:val="19"/>
        </w:rPr>
        <w:t xml:space="preserve">The market is pricing GENM as if its parent's problems were its own, and as if New York were a liability.</w:t>
      </w:r>
    </w:p>
    <w:p>
      <w:pPr>
        <w:pStyle w:val="ListParagraph"/>
        <w:numPr>
          <w:ilvl w:val="0"/>
          <w:numId w:val="12"/>
        </w:numPr>
        <w:spacing w:after="70" w:before="0" w:line="252"/>
      </w:pPr>
      <w:r>
        <w:rPr>
          <w:rFonts w:ascii="Arial" w:cs="Arial" w:eastAsia="Arial" w:hAnsi="Arial"/>
          <w:b/>
          <w:bCs/>
          <w:color w:val="1F2937"/>
          <w:sz w:val="19"/>
          <w:szCs w:val="19"/>
        </w:rPr>
        <w:t xml:space="preserve">Most of the decline is the parent, not GENM.</w:t>
      </w:r>
      <w:r>
        <w:rPr>
          <w:rFonts w:ascii="Arial" w:cs="Arial" w:eastAsia="Arial" w:hAnsi="Arial"/>
          <w:color w:val="1F2937"/>
          <w:sz w:val="19"/>
          <w:szCs w:val="19"/>
        </w:rPr>
        <w:t xml:space="preserve"> The 17% drop on 12-Oct-2026 came on Genting Bhd's rights issue, with no GENM news, and the slide to a record RM1.19 came on a broker downgrade, also without GENM news. GENM's premium to its parent has collapsed to a 2nd-percentile 0.6x even though GENM holds the group's two best licences (Malaysia, NYC).</w:t>
      </w:r>
    </w:p>
    <w:p>
      <w:pPr>
        <w:pStyle w:val="ListParagraph"/>
        <w:numPr>
          <w:ilvl w:val="0"/>
          <w:numId w:val="12"/>
        </w:numPr>
        <w:spacing w:after="70" w:before="0" w:line="252"/>
      </w:pPr>
      <w:r>
        <w:rPr>
          <w:rFonts w:ascii="Arial" w:cs="Arial" w:eastAsia="Arial" w:hAnsi="Arial"/>
          <w:b/>
          <w:bCs/>
          <w:color w:val="1F2937"/>
          <w:sz w:val="19"/>
          <w:szCs w:val="19"/>
        </w:rPr>
        <w:t xml:space="preserve">NY is already worth more than the market implies.</w:t>
      </w:r>
      <w:r>
        <w:rPr>
          <w:rFonts w:ascii="Arial" w:cs="Arial" w:eastAsia="Arial" w:hAnsi="Arial"/>
          <w:color w:val="1F2937"/>
          <w:sz w:val="19"/>
          <w:szCs w:val="19"/>
        </w:rPr>
        <w:t xml:space="preserve"> Annualised GGR of ~US$1.5-1.6bn at a 56% slot tax is a business worth US$2bn+ at maturity. The market implies ~US$0.56bn for all US assets (about the licence fee).</w:t>
      </w:r>
    </w:p>
    <w:p>
      <w:pPr>
        <w:pStyle w:val="ListParagraph"/>
        <w:numPr>
          <w:ilvl w:val="0"/>
          <w:numId w:val="12"/>
        </w:numPr>
        <w:spacing w:after="70" w:before="0" w:line="252"/>
      </w:pPr>
      <w:r>
        <w:rPr>
          <w:rFonts w:ascii="Arial" w:cs="Arial" w:eastAsia="Arial" w:hAnsi="Arial"/>
          <w:b/>
          <w:bCs/>
          <w:color w:val="1F2937"/>
          <w:sz w:val="19"/>
          <w:szCs w:val="19"/>
        </w:rPr>
        <w:t xml:space="preserve">The parent's weakness strengthens the minority's hand.</w:t>
      </w:r>
      <w:r>
        <w:rPr>
          <w:rFonts w:ascii="Arial" w:cs="Arial" w:eastAsia="Arial" w:hAnsi="Arial"/>
          <w:color w:val="1F2937"/>
          <w:sz w:val="19"/>
          <w:szCs w:val="19"/>
        </w:rPr>
        <w:t xml:space="preserve"> A cash-strapped Genting Bhd cannot afford a fair cash offer. To get to 100% (which it has said it wants), it needs minority consent, and </w:t>
      </w:r>
      <w:r>
        <w:rPr>
          <w:rFonts w:ascii="Arial" w:cs="Arial" w:eastAsia="Arial" w:hAnsi="Arial"/>
          <w:b/>
          <w:bCs/>
          <w:color w:val="1F2937"/>
          <w:sz w:val="19"/>
          <w:szCs w:val="19"/>
        </w:rPr>
        <w:t xml:space="preserve">minorities holding &gt;10% can block a low-ball delisting</w:t>
      </w:r>
      <w:r>
        <w:rPr>
          <w:rFonts w:ascii="Arial" w:cs="Arial" w:eastAsia="Arial" w:hAnsi="Arial"/>
          <w:color w:val="1F2937"/>
          <w:sz w:val="19"/>
          <w:szCs w:val="19"/>
        </w:rPr>
        <w:t xml:space="preserve"> [u: rule]. A cheap stock with a hard veto attached is an event-driven asset, not a value trap.</w:t>
      </w:r>
    </w:p>
    <w:p>
      <w:pPr>
        <w:pStyle w:val="ListParagraph"/>
        <w:numPr>
          <w:ilvl w:val="0"/>
          <w:numId w:val="12"/>
        </w:numPr>
        <w:spacing w:after="70" w:before="0" w:line="252"/>
      </w:pPr>
      <w:r>
        <w:rPr>
          <w:rFonts w:ascii="Arial" w:cs="Arial" w:eastAsia="Arial" w:hAnsi="Arial"/>
          <w:b/>
          <w:bCs/>
          <w:color w:val="1F2937"/>
          <w:sz w:val="19"/>
          <w:szCs w:val="19"/>
        </w:rPr>
        <w:t xml:space="preserve">Dividend cuts are a feature, not a bug.</w:t>
      </w:r>
      <w:r>
        <w:rPr>
          <w:rFonts w:ascii="Arial" w:cs="Arial" w:eastAsia="Arial" w:hAnsi="Arial"/>
          <w:color w:val="1F2937"/>
          <w:sz w:val="19"/>
          <w:szCs w:val="19"/>
        </w:rPr>
        <w:t xml:space="preserve"> Payouts of 195-226% in FY23-24 were the real value destruction (debt-funded dividends up-streamed to the parent). Retaining cash for NY at the capex peak is rational.</w:t>
      </w:r>
    </w:p>
    <w:p>
      <w:pPr>
        <w:pStyle w:val="ListParagraph"/>
        <w:numPr>
          <w:ilvl w:val="0"/>
          <w:numId w:val="12"/>
        </w:numPr>
        <w:spacing w:after="70" w:before="0" w:line="252"/>
      </w:pPr>
      <w:r>
        <w:rPr>
          <w:rFonts w:ascii="Arial" w:cs="Arial" w:eastAsia="Arial" w:hAnsi="Arial"/>
          <w:b/>
          <w:bCs/>
          <w:color w:val="1F2937"/>
          <w:sz w:val="19"/>
          <w:szCs w:val="19"/>
        </w:rPr>
        <w:t xml:space="preserve">Asset monetisation is the obvious, under-discussed catalyst.</w:t>
      </w:r>
      <w:r>
        <w:rPr>
          <w:rFonts w:ascii="Arial" w:cs="Arial" w:eastAsia="Arial" w:hAnsi="Arial"/>
          <w:color w:val="1F2937"/>
          <w:sz w:val="19"/>
          <w:szCs w:val="19"/>
        </w:rPr>
        <w:t xml:space="preserve"> A RWNYC PropCo sale-leaseback (GLPI and VICI are active buyers; GLPI paid US$700m for Bally's Lincoln real estate in Feb-2026) or a Miami land sale could release US$1-2bn and remove the funding overhang without equity dilution.</w:t>
      </w:r>
    </w:p>
    <w:p>
      <w:pPr>
        <w:pStyle w:val="Heading1"/>
        <w:keepNext/>
      </w:pPr>
      <w:r>
        <w:rPr>
          <w:rFonts w:ascii="Arial" w:cs="Arial" w:eastAsia="Arial" w:hAnsi="Arial"/>
        </w:rPr>
        <w:t xml:space="preserve">24. Scenario Analysis (12-Month View)</w:t>
      </w:r>
    </w:p>
    <w:p>
      <w:pPr>
        <w:keepNext/>
        <w:spacing w:after="40" w:before="120"/>
        <w:jc w:val="center"/>
      </w:pPr>
      <w:r>
        <w:drawing>
          <wp:inline distT="0" distB="0" distL="0" distR="0">
            <wp:extent cx="6400800" cy="3419475"/>
            <wp:effectExtent t="0" r="0" b="0" l="0"/>
            <wp:docPr id="1" name="fig9" descr="Base-case sum-of-the-parts (FY27E EBITDA)."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00800" cy="3419475"/>
                    </a:xfrm>
                    <a:prstGeom prst="rect">
                      <a:avLst/>
                    </a:prstGeom>
                  </pic:spPr>
                </pic:pic>
              </a:graphicData>
            </a:graphic>
          </wp:inline>
        </w:drawing>
      </w:r>
    </w:p>
    <w:p>
      <w:pPr>
        <w:spacing w:after="160" w:before="0"/>
      </w:pPr>
      <w:r>
        <w:rPr>
          <w:rFonts w:ascii="Arial" w:cs="Arial" w:eastAsia="Arial" w:hAnsi="Arial"/>
          <w:i/>
          <w:iCs/>
          <w:color w:val="6B7280"/>
          <w:sz w:val="15"/>
          <w:szCs w:val="15"/>
        </w:rPr>
        <w:t xml:space="preserve">Figure 9: Base-case sum-of-the-parts (FY27E EBITDA).</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2446"/>
        <w:gridCol w:w="2696"/>
        <w:gridCol w:w="2463"/>
        <w:gridCol w:w="2475"/>
      </w:tblGrid>
      <w:tr>
        <w:trPr>
          <w:cantSplit/>
          <w:tblHeader/>
        </w:trPr>
        <w:tc>
          <w:tcPr>
            <w:tcW w:type="dxa" w:w="244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Assumption</w:t>
            </w:r>
          </w:p>
        </w:tc>
        <w:tc>
          <w:tcPr>
            <w:tcW w:type="dxa" w:w="269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7"/>
                <w:szCs w:val="17"/>
              </w:rPr>
              <w:t xml:space="preserve">Bear (25%)</w:t>
            </w:r>
          </w:p>
        </w:tc>
        <w:tc>
          <w:tcPr>
            <w:tcW w:type="dxa" w:w="246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7"/>
                <w:szCs w:val="17"/>
              </w:rPr>
              <w:t xml:space="preserve">Base (50%)</w:t>
            </w:r>
          </w:p>
        </w:tc>
        <w:tc>
          <w:tcPr>
            <w:tcW w:type="dxa" w:w="247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7"/>
                <w:szCs w:val="17"/>
              </w:rPr>
              <w:t xml:space="preserve">Bull (25%)</w:t>
            </w:r>
          </w:p>
        </w:tc>
      </w:tr>
      <w:tr>
        <w:trPr>
          <w:cantSplit/>
        </w:trPr>
        <w:tc>
          <w:tcPr>
            <w:tcW w:type="dxa" w:w="244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Malaysia FY27E EBITDA / multiple</w:t>
            </w:r>
          </w:p>
        </w:tc>
        <w:tc>
          <w:tcPr>
            <w:tcW w:type="dxa" w:w="269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RM2,100m / 6.0x</w:t>
            </w:r>
          </w:p>
        </w:tc>
        <w:tc>
          <w:tcPr>
            <w:tcW w:type="dxa" w:w="24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RM2,190m / 7.0x</w:t>
            </w:r>
          </w:p>
        </w:tc>
        <w:tc>
          <w:tcPr>
            <w:tcW w:type="dxa" w:w="247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RM2,300m / 8.0x</w:t>
            </w:r>
          </w:p>
        </w:tc>
      </w:tr>
      <w:tr>
        <w:trPr>
          <w:cantSplit/>
        </w:trPr>
        <w:tc>
          <w:tcPr>
            <w:tcW w:type="dxa" w:w="244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UK &amp; Egypt FY27E EBITDA / multiple</w:t>
            </w:r>
          </w:p>
        </w:tc>
        <w:tc>
          <w:tcPr>
            <w:tcW w:type="dxa" w:w="269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RM200m / 4.0x</w:t>
            </w:r>
          </w:p>
        </w:tc>
        <w:tc>
          <w:tcPr>
            <w:tcW w:type="dxa" w:w="24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RM250m / 5.0x</w:t>
            </w:r>
          </w:p>
        </w:tc>
        <w:tc>
          <w:tcPr>
            <w:tcW w:type="dxa" w:w="247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RM280m / 5.5x</w:t>
            </w:r>
          </w:p>
        </w:tc>
      </w:tr>
      <w:tr>
        <w:trPr>
          <w:cantSplit/>
        </w:trPr>
        <w:tc>
          <w:tcPr>
            <w:tcW w:type="dxa" w:w="244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US &amp; Bahamas FY27E EBITDA / multiple</w:t>
            </w:r>
          </w:p>
        </w:tc>
        <w:tc>
          <w:tcPr>
            <w:tcW w:type="dxa" w:w="269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RM800m (US$198m; racing support fully charged) / 6.5x</w:t>
            </w:r>
          </w:p>
        </w:tc>
        <w:tc>
          <w:tcPr>
            <w:tcW w:type="dxa" w:w="24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RM1,060m (US$262m; partial racing support) / 7.5x</w:t>
            </w:r>
          </w:p>
        </w:tc>
        <w:tc>
          <w:tcPr>
            <w:tcW w:type="dxa" w:w="247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RM1,300m (US$321m; tax equalisation path) / 9.0x</w:t>
            </w:r>
          </w:p>
        </w:tc>
      </w:tr>
      <w:tr>
        <w:trPr>
          <w:cantSplit/>
        </w:trPr>
        <w:tc>
          <w:tcPr>
            <w:tcW w:type="dxa" w:w="244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Miami land</w:t>
            </w:r>
          </w:p>
        </w:tc>
        <w:tc>
          <w:tcPr>
            <w:tcW w:type="dxa" w:w="269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US$500m</w:t>
            </w:r>
          </w:p>
        </w:tc>
        <w:tc>
          <w:tcPr>
            <w:tcW w:type="dxa" w:w="24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US$700m</w:t>
            </w:r>
          </w:p>
        </w:tc>
        <w:tc>
          <w:tcPr>
            <w:tcW w:type="dxa" w:w="247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US$1,000m</w:t>
            </w:r>
          </w:p>
        </w:tc>
      </w:tr>
      <w:tr>
        <w:trPr>
          <w:cantSplit/>
        </w:trPr>
        <w:tc>
          <w:tcPr>
            <w:tcW w:type="dxa" w:w="244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Corporate costs (RM110m)</w:t>
            </w:r>
          </w:p>
        </w:tc>
        <w:tc>
          <w:tcPr>
            <w:tcW w:type="dxa" w:w="269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6x</w:t>
            </w:r>
          </w:p>
        </w:tc>
        <w:tc>
          <w:tcPr>
            <w:tcW w:type="dxa" w:w="24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7x</w:t>
            </w:r>
          </w:p>
        </w:tc>
        <w:tc>
          <w:tcPr>
            <w:tcW w:type="dxa" w:w="247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8x</w:t>
            </w:r>
          </w:p>
        </w:tc>
      </w:tr>
      <w:tr>
        <w:trPr>
          <w:cantSplit/>
        </w:trPr>
        <w:tc>
          <w:tcPr>
            <w:tcW w:type="dxa" w:w="244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NY phase-2 NPV</w:t>
            </w:r>
          </w:p>
        </w:tc>
        <w:tc>
          <w:tcPr>
            <w:tcW w:type="dxa" w:w="269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−RM1.0bn (value destruction)</w:t>
            </w:r>
          </w:p>
        </w:tc>
        <w:tc>
          <w:tcPr>
            <w:tcW w:type="dxa" w:w="24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Neutral</w:t>
            </w:r>
          </w:p>
        </w:tc>
        <w:tc>
          <w:tcPr>
            <w:tcW w:type="dxa" w:w="247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Neutral</w:t>
            </w:r>
          </w:p>
        </w:tc>
      </w:tr>
      <w:tr>
        <w:trPr>
          <w:cantSplit/>
        </w:trPr>
        <w:tc>
          <w:tcPr>
            <w:tcW w:type="dxa" w:w="244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Revenue growth FY26-28E CAGR [e]</w:t>
            </w:r>
          </w:p>
        </w:tc>
        <w:tc>
          <w:tcPr>
            <w:tcW w:type="dxa" w:w="269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~3%</w:t>
            </w:r>
          </w:p>
        </w:tc>
        <w:tc>
          <w:tcPr>
            <w:tcW w:type="dxa" w:w="24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~11%</w:t>
            </w:r>
          </w:p>
        </w:tc>
        <w:tc>
          <w:tcPr>
            <w:tcW w:type="dxa" w:w="247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~14%</w:t>
            </w:r>
          </w:p>
        </w:tc>
      </w:tr>
      <w:tr>
        <w:trPr>
          <w:cantSplit/>
        </w:trPr>
        <w:tc>
          <w:tcPr>
            <w:tcW w:type="dxa" w:w="244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Group adj. EBITDA margin FY27E [e]</w:t>
            </w:r>
          </w:p>
        </w:tc>
        <w:tc>
          <w:tcPr>
            <w:tcW w:type="dxa" w:w="269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~20%</w:t>
            </w:r>
          </w:p>
        </w:tc>
        <w:tc>
          <w:tcPr>
            <w:tcW w:type="dxa" w:w="24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~22.5%</w:t>
            </w:r>
          </w:p>
        </w:tc>
        <w:tc>
          <w:tcPr>
            <w:tcW w:type="dxa" w:w="247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~24.5%</w:t>
            </w:r>
          </w:p>
        </w:tc>
      </w:tr>
      <w:tr>
        <w:trPr>
          <w:cantSplit/>
        </w:trPr>
        <w:tc>
          <w:tcPr>
            <w:tcW w:type="dxa" w:w="244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Implied EV / FY27E EBITDA</w:t>
            </w:r>
          </w:p>
        </w:tc>
        <w:tc>
          <w:tcPr>
            <w:tcW w:type="dxa" w:w="269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5.6x</w:t>
            </w:r>
          </w:p>
        </w:tc>
        <w:tc>
          <w:tcPr>
            <w:tcW w:type="dxa" w:w="24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7.8x</w:t>
            </w:r>
          </w:p>
        </w:tc>
        <w:tc>
          <w:tcPr>
            <w:tcW w:type="dxa" w:w="247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10.2x (8.2x ex-Miami)</w:t>
            </w:r>
          </w:p>
        </w:tc>
      </w:tr>
      <w:tr>
        <w:trPr>
          <w:cantSplit/>
        </w:trPr>
        <w:tc>
          <w:tcPr>
            <w:tcW w:type="dxa" w:w="244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Net debt (Jun-26, incl. leases)</w:t>
            </w:r>
          </w:p>
        </w:tc>
        <w:tc>
          <w:tcPr>
            <w:tcW w:type="dxa" w:w="269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RM14.2bn</w:t>
            </w:r>
          </w:p>
        </w:tc>
        <w:tc>
          <w:tcPr>
            <w:tcW w:type="dxa" w:w="246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RM14.2bn</w:t>
            </w:r>
          </w:p>
        </w:tc>
        <w:tc>
          <w:tcPr>
            <w:tcW w:type="dxa" w:w="247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RM14.2bn</w:t>
            </w:r>
          </w:p>
        </w:tc>
      </w:tr>
      <w:tr>
        <w:trPr>
          <w:cantSplit/>
        </w:trPr>
        <w:tc>
          <w:tcPr>
            <w:tcW w:type="dxa" w:w="244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Control / governance discount</w:t>
            </w:r>
          </w:p>
        </w:tc>
        <w:tc>
          <w:tcPr>
            <w:tcW w:type="dxa" w:w="269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10%</w:t>
            </w:r>
          </w:p>
        </w:tc>
        <w:tc>
          <w:tcPr>
            <w:tcW w:type="dxa" w:w="246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15%</w:t>
            </w:r>
          </w:p>
        </w:tc>
        <w:tc>
          <w:tcPr>
            <w:tcW w:type="dxa" w:w="247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10%</w:t>
            </w:r>
          </w:p>
        </w:tc>
      </w:tr>
      <w:tr>
        <w:trPr>
          <w:cantSplit/>
        </w:trPr>
        <w:tc>
          <w:tcPr>
            <w:tcW w:type="dxa" w:w="2446"/>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Value per share</w:t>
            </w:r>
          </w:p>
        </w:tc>
        <w:tc>
          <w:tcPr>
            <w:tcW w:type="dxa" w:w="2696"/>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7"/>
                <w:szCs w:val="17"/>
              </w:rPr>
              <w:t xml:space="preserve">RM0.76 (−36%)</w:t>
            </w:r>
          </w:p>
        </w:tc>
        <w:tc>
          <w:tcPr>
            <w:tcW w:type="dxa" w:w="2463"/>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7"/>
                <w:szCs w:val="17"/>
              </w:rPr>
              <w:t xml:space="preserve">RM1.86 (+56%)</w:t>
            </w:r>
          </w:p>
        </w:tc>
        <w:tc>
          <w:tcPr>
            <w:tcW w:type="dxa" w:w="2475"/>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1F2937"/>
                <w:sz w:val="17"/>
                <w:szCs w:val="17"/>
              </w:rPr>
              <w:t xml:space="preserve">RM3.28 (+176%)</w:t>
            </w:r>
          </w:p>
        </w:tc>
      </w:tr>
    </w:tbl>
    <w:p>
      <w:pPr>
        <w:spacing w:after="80" w:before="0"/>
      </w:pPr>
    </w:p>
    <w:p>
      <w:pPr>
        <w:keepNext/>
        <w:spacing w:after="40" w:before="120"/>
        <w:jc w:val="center"/>
      </w:pPr>
      <w:r>
        <w:drawing>
          <wp:inline distT="0" distB="0" distL="0" distR="0">
            <wp:extent cx="6400800" cy="2533650"/>
            <wp:effectExtent t="0" r="0" b="0" l="0"/>
            <wp:docPr id="1" name="fig10" descr="12-month scenario values per shar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00800" cy="2533650"/>
                    </a:xfrm>
                    <a:prstGeom prst="rect">
                      <a:avLst/>
                    </a:prstGeom>
                  </pic:spPr>
                </pic:pic>
              </a:graphicData>
            </a:graphic>
          </wp:inline>
        </w:drawing>
      </w:r>
    </w:p>
    <w:p>
      <w:pPr>
        <w:spacing w:after="160" w:before="0"/>
      </w:pPr>
      <w:r>
        <w:rPr>
          <w:rFonts w:ascii="Arial" w:cs="Arial" w:eastAsia="Arial" w:hAnsi="Arial"/>
          <w:i/>
          <w:iCs/>
          <w:color w:val="6B7280"/>
          <w:sz w:val="15"/>
          <w:szCs w:val="15"/>
        </w:rPr>
        <w:t xml:space="preserve">Figure 10: 12-month scenario values per share.</w:t>
      </w:r>
    </w:p>
    <w:p>
      <w:pPr>
        <w:spacing w:after="110" w:before="0" w:line="264"/>
      </w:pPr>
      <w:r>
        <w:rPr>
          <w:rFonts w:ascii="Arial" w:cs="Arial" w:eastAsia="Arial" w:hAnsi="Arial"/>
          <w:b/>
          <w:bCs/>
          <w:color w:val="1F2937"/>
          <w:sz w:val="19"/>
          <w:szCs w:val="19"/>
        </w:rPr>
        <w:t xml:space="preserve">Probability-weighted value: RM1.94 (+63%)</w:t>
      </w:r>
      <w:r>
        <w:rPr>
          <w:rFonts w:ascii="Arial" w:cs="Arial" w:eastAsia="Arial" w:hAnsi="Arial"/>
          <w:color w:val="1F2937"/>
          <w:sz w:val="19"/>
          <w:szCs w:val="19"/>
        </w:rPr>
        <w:t xml:space="preserve">, plus a ~4% dividend yield (5 sen FY26E). The base case equals ~7.2x FY27E EBITDA after the discount, below the 9.2x precedent median and GENM's 8.8x 10-year median. </w:t>
      </w:r>
      <w:r>
        <w:rPr>
          <w:rFonts w:ascii="Arial" w:cs="Arial" w:eastAsia="Arial" w:hAnsi="Arial"/>
          <w:b/>
          <w:bCs/>
          <w:color w:val="1F2937"/>
          <w:sz w:val="19"/>
          <w:szCs w:val="19"/>
        </w:rPr>
        <w:t xml:space="preserve">Implied valuation range: RM0.76-3.28.</w:t>
      </w:r>
      <w:r>
        <w:rPr>
          <w:rFonts w:ascii="Arial" w:cs="Arial" w:eastAsia="Arial" w:hAnsi="Arial"/>
          <w:color w:val="1F2937"/>
          <w:sz w:val="19"/>
          <w:szCs w:val="19"/>
        </w:rPr>
        <w:t xml:space="preserve"> The distribution is </w:t>
      </w:r>
      <w:r>
        <w:rPr>
          <w:rFonts w:ascii="Arial" w:cs="Arial" w:eastAsia="Arial" w:hAnsi="Arial"/>
          <w:b/>
          <w:bCs/>
          <w:color w:val="1F2937"/>
          <w:sz w:val="19"/>
          <w:szCs w:val="19"/>
        </w:rPr>
        <w:t xml:space="preserve">asymmetric but fat-tailed on both sides</w:t>
      </w:r>
      <w:r>
        <w:rPr>
          <w:rFonts w:ascii="Arial" w:cs="Arial" w:eastAsia="Arial" w:hAnsi="Arial"/>
          <w:color w:val="1F2937"/>
          <w:sz w:val="19"/>
          <w:szCs w:val="19"/>
        </w:rPr>
        <w:t xml:space="preserve">, because net debt is 2x market cap: every 1x change in the EBITDA multiple moves the equity by ~RM0.60 per share.</w:t>
      </w:r>
    </w:p>
    <w:p>
      <w:pPr>
        <w:spacing w:after="110" w:before="0" w:line="264"/>
      </w:pPr>
      <w:r>
        <w:rPr>
          <w:rFonts w:ascii="Arial" w:cs="Arial" w:eastAsia="Arial" w:hAnsi="Arial"/>
          <w:b/>
          <w:bCs/>
          <w:color w:val="1F2937"/>
          <w:sz w:val="19"/>
          <w:szCs w:val="19"/>
        </w:rPr>
        <w:t xml:space="preserve">Sensitivity of the base case (RM/share, after the 15% discount):</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5937"/>
        <w:gridCol w:w="1381"/>
        <w:gridCol w:w="1381"/>
        <w:gridCol w:w="1381"/>
      </w:tblGrid>
      <w:tr>
        <w:trPr>
          <w:cantSplit/>
          <w:tblHeader/>
        </w:trPr>
        <w:tc>
          <w:tcPr>
            <w:tcW w:type="dxa" w:w="593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Malaysia multiple → / US multiple ↓</w:t>
            </w:r>
          </w:p>
        </w:tc>
        <w:tc>
          <w:tcPr>
            <w:tcW w:type="dxa" w:w="138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7"/>
                <w:szCs w:val="17"/>
              </w:rPr>
              <w:t xml:space="preserve">6.0x</w:t>
            </w:r>
          </w:p>
        </w:tc>
        <w:tc>
          <w:tcPr>
            <w:tcW w:type="dxa" w:w="138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7"/>
                <w:szCs w:val="17"/>
              </w:rPr>
              <w:t xml:space="preserve">7.0x</w:t>
            </w:r>
          </w:p>
        </w:tc>
        <w:tc>
          <w:tcPr>
            <w:tcW w:type="dxa" w:w="138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right"/>
            </w:pPr>
            <w:r>
              <w:rPr>
                <w:rFonts w:ascii="Arial" w:cs="Arial" w:eastAsia="Arial" w:hAnsi="Arial"/>
                <w:b/>
                <w:bCs/>
                <w:color w:val="FFFFFF"/>
                <w:sz w:val="17"/>
                <w:szCs w:val="17"/>
              </w:rPr>
              <w:t xml:space="preserve">8.0x</w:t>
            </w:r>
          </w:p>
        </w:tc>
      </w:tr>
      <w:tr>
        <w:trPr>
          <w:cantSplit/>
        </w:trPr>
        <w:tc>
          <w:tcPr>
            <w:tcW w:type="dxa" w:w="59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6.5x</w:t>
            </w:r>
          </w:p>
        </w:tc>
        <w:tc>
          <w:tcPr>
            <w:tcW w:type="dxa" w:w="13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1.38</w:t>
            </w:r>
          </w:p>
        </w:tc>
        <w:tc>
          <w:tcPr>
            <w:tcW w:type="dxa" w:w="13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1.71</w:t>
            </w:r>
          </w:p>
        </w:tc>
        <w:tc>
          <w:tcPr>
            <w:tcW w:type="dxa" w:w="13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2.03</w:t>
            </w:r>
          </w:p>
        </w:tc>
      </w:tr>
      <w:tr>
        <w:trPr>
          <w:cantSplit/>
        </w:trPr>
        <w:tc>
          <w:tcPr>
            <w:tcW w:type="dxa" w:w="593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7.5x</w:t>
            </w:r>
          </w:p>
        </w:tc>
        <w:tc>
          <w:tcPr>
            <w:tcW w:type="dxa" w:w="13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1.54</w:t>
            </w:r>
          </w:p>
        </w:tc>
        <w:tc>
          <w:tcPr>
            <w:tcW w:type="dxa" w:w="13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1.86</w:t>
            </w:r>
          </w:p>
        </w:tc>
        <w:tc>
          <w:tcPr>
            <w:tcW w:type="dxa" w:w="13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2.19</w:t>
            </w:r>
          </w:p>
        </w:tc>
      </w:tr>
      <w:tr>
        <w:trPr>
          <w:cantSplit/>
        </w:trPr>
        <w:tc>
          <w:tcPr>
            <w:tcW w:type="dxa" w:w="593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9.0x</w:t>
            </w:r>
          </w:p>
        </w:tc>
        <w:tc>
          <w:tcPr>
            <w:tcW w:type="dxa" w:w="13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1.77</w:t>
            </w:r>
          </w:p>
        </w:tc>
        <w:tc>
          <w:tcPr>
            <w:tcW w:type="dxa" w:w="13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2.10</w:t>
            </w:r>
          </w:p>
        </w:tc>
        <w:tc>
          <w:tcPr>
            <w:tcW w:type="dxa" w:w="13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right"/>
            </w:pPr>
            <w:r>
              <w:rPr>
                <w:rFonts w:ascii="Arial" w:cs="Arial" w:eastAsia="Arial" w:hAnsi="Arial"/>
                <w:b w:val="false"/>
                <w:bCs w:val="false"/>
                <w:color w:val="1F2937"/>
                <w:sz w:val="17"/>
                <w:szCs w:val="17"/>
              </w:rPr>
              <w:t xml:space="preserve">2.43</w:t>
            </w:r>
          </w:p>
        </w:tc>
      </w:tr>
    </w:tbl>
    <w:p>
      <w:pPr>
        <w:spacing w:after="80" w:before="0"/>
      </w:pPr>
    </w:p>
    <w:p>
      <w:pPr>
        <w:pStyle w:val="Heading1"/>
        <w:keepNext/>
      </w:pPr>
      <w:r>
        <w:rPr>
          <w:rFonts w:ascii="Arial" w:cs="Arial" w:eastAsia="Arial" w:hAnsi="Arial"/>
        </w:rPr>
        <w:t xml:space="preserve">25. The Short-Seller's Case and Forensic Accounting Review</w:t>
      </w:r>
    </w:p>
    <w:p>
      <w:pPr>
        <w:spacing w:after="110" w:before="0" w:line="264"/>
      </w:pPr>
      <w:r>
        <w:rPr>
          <w:rFonts w:ascii="Arial" w:cs="Arial" w:eastAsia="Arial" w:hAnsi="Arial"/>
          <w:i/>
          <w:iCs/>
          <w:color w:val="1F2937"/>
          <w:sz w:val="19"/>
          <w:szCs w:val="19"/>
        </w:rPr>
        <w:t xml:space="preserve">Written from the perspective of a sceptical short-seller whose job is to dismantle the bull case.</w:t>
      </w:r>
    </w:p>
    <w:p>
      <w:pPr>
        <w:pStyle w:val="Heading2"/>
        <w:keepNext/>
      </w:pPr>
      <w:r>
        <w:rPr>
          <w:rFonts w:ascii="Arial" w:cs="Arial" w:eastAsia="Arial" w:hAnsi="Arial"/>
        </w:rPr>
        <w:t xml:space="preserve">25.1 What could structurally break how GENM makes money?</w:t>
      </w:r>
    </w:p>
    <w:p>
      <w:pPr>
        <w:pStyle w:val="ListParagraph"/>
        <w:numPr>
          <w:ilvl w:val="0"/>
          <w:numId w:val="13"/>
        </w:numPr>
        <w:spacing w:after="70" w:before="0" w:line="252"/>
      </w:pPr>
      <w:r>
        <w:rPr>
          <w:rFonts w:ascii="Arial" w:cs="Arial" w:eastAsia="Arial" w:hAnsi="Arial"/>
          <w:b/>
          <w:bCs/>
          <w:color w:val="1F2937"/>
          <w:sz w:val="19"/>
          <w:szCs w:val="19"/>
        </w:rPr>
        <w:t xml:space="preserve">The Malaysian licence is a quarterly privilege, not a property right.</w:t>
      </w:r>
      <w:r>
        <w:rPr>
          <w:rFonts w:ascii="Arial" w:cs="Arial" w:eastAsia="Arial" w:hAnsi="Arial"/>
          <w:color w:val="1F2937"/>
          <w:sz w:val="19"/>
          <w:szCs w:val="19"/>
        </w:rPr>
        <w:t xml:space="preserve"> It is renewable every three months at the Finance Minister's discretion. PAS has vowed to close RWG if it wins Pahang, and GE16 is due by early 2028. Even short of closure, Malaysia has raised duty twice (1998, 2019) and service tax once (2024) since the founder's era. Each ppt of duty costs ~4.6% of net profit (TA).</w:t>
      </w:r>
    </w:p>
    <w:p>
      <w:pPr>
        <w:pStyle w:val="ListParagraph"/>
        <w:numPr>
          <w:ilvl w:val="0"/>
          <w:numId w:val="13"/>
        </w:numPr>
        <w:spacing w:after="70" w:before="0" w:line="252"/>
      </w:pPr>
      <w:r>
        <w:rPr>
          <w:rFonts w:ascii="Arial" w:cs="Arial" w:eastAsia="Arial" w:hAnsi="Arial"/>
          <w:b/>
          <w:bCs/>
          <w:color w:val="1F2937"/>
          <w:sz w:val="19"/>
          <w:szCs w:val="19"/>
        </w:rPr>
        <w:t xml:space="preserve">New York may be a "winner's curse".</w:t>
      </w:r>
      <w:r>
        <w:rPr>
          <w:rFonts w:ascii="Arial" w:cs="Arial" w:eastAsia="Arial" w:hAnsi="Arial"/>
          <w:color w:val="1F2937"/>
          <w:sz w:val="19"/>
          <w:szCs w:val="19"/>
        </w:rPr>
        <w:t xml:space="preserve"> RWNYC bid the </w:t>
      </w:r>
      <w:r>
        <w:rPr>
          <w:rFonts w:ascii="Arial" w:cs="Arial" w:eastAsia="Arial" w:hAnsi="Arial"/>
          <w:b/>
          <w:bCs/>
          <w:color w:val="1F2937"/>
          <w:sz w:val="19"/>
          <w:szCs w:val="19"/>
        </w:rPr>
        <w:t xml:space="preserve">highest slot tax of the three licensees (56% vs 25-30%)</w:t>
      </w:r>
      <w:r>
        <w:rPr>
          <w:rFonts w:ascii="Arial" w:cs="Arial" w:eastAsia="Arial" w:hAnsi="Arial"/>
          <w:color w:val="1F2937"/>
          <w:sz w:val="19"/>
          <w:szCs w:val="19"/>
        </w:rPr>
        <w:t xml:space="preserve"> and now faces a State that says ~US$150m a year of racing support is owed </w:t>
      </w:r>
      <w:r>
        <w:rPr>
          <w:rFonts w:ascii="Arial" w:cs="Arial" w:eastAsia="Arial" w:hAnsi="Arial"/>
          <w:b/>
          <w:bCs/>
          <w:color w:val="1F2937"/>
          <w:sz w:val="19"/>
          <w:szCs w:val="19"/>
        </w:rPr>
        <w:t xml:space="preserve">on top</w:t>
      </w:r>
      <w:r>
        <w:rPr>
          <w:rFonts w:ascii="Arial" w:cs="Arial" w:eastAsia="Arial" w:hAnsi="Arial"/>
          <w:color w:val="1F2937"/>
          <w:sz w:val="19"/>
          <w:szCs w:val="19"/>
        </w:rPr>
        <w:t xml:space="preserve">, for an effective ~72%. Rivals with half the tax burden open ~2030 within a few miles. GENM is committing US$3.7bn more capex into a market where its tax disadvantage becomes permanent unless Albany honours a "tax equalisation" clause it has no legal obligation to grant.</w:t>
      </w:r>
    </w:p>
    <w:p>
      <w:pPr>
        <w:pStyle w:val="ListParagraph"/>
        <w:numPr>
          <w:ilvl w:val="0"/>
          <w:numId w:val="13"/>
        </w:numPr>
        <w:spacing w:after="70" w:before="0" w:line="252"/>
      </w:pPr>
      <w:r>
        <w:rPr>
          <w:rFonts w:ascii="Arial" w:cs="Arial" w:eastAsia="Arial" w:hAnsi="Arial"/>
          <w:b/>
          <w:bCs/>
          <w:color w:val="1F2937"/>
          <w:sz w:val="19"/>
          <w:szCs w:val="19"/>
        </w:rPr>
        <w:t xml:space="preserve">The parent's balance sheet is the real counterparty.</w:t>
      </w:r>
      <w:r>
        <w:rPr>
          <w:rFonts w:ascii="Arial" w:cs="Arial" w:eastAsia="Arial" w:hAnsi="Arial"/>
          <w:color w:val="1F2937"/>
          <w:sz w:val="19"/>
          <w:szCs w:val="19"/>
        </w:rPr>
        <w:t xml:space="preserve"> Genting Bhd has ~RM45bn of gross debt, a negative outlook at S&amp;P and needed a RM1.25bn rights issue to repay borrowings due within 12 months. GENM is its largest cash generator. The ~RM848m a year of fees and any dividends flow up; the risk of a re-priced squeeze-out flows down.</w:t>
      </w:r>
    </w:p>
    <w:p>
      <w:pPr>
        <w:pStyle w:val="Heading2"/>
        <w:keepNext/>
      </w:pPr>
      <w:r>
        <w:rPr>
          <w:rFonts w:ascii="Arial" w:cs="Arial" w:eastAsia="Arial" w:hAnsi="Arial"/>
        </w:rPr>
        <w:t xml:space="preserve">25.2 Where is revenue concentrated, and what if that shifts?</w:t>
      </w:r>
    </w:p>
    <w:p>
      <w:pPr>
        <w:pStyle w:val="ListParagraph"/>
        <w:numPr>
          <w:ilvl w:val="0"/>
          <w:numId w:val="3"/>
        </w:numPr>
        <w:spacing w:after="60" w:before="0" w:line="252"/>
      </w:pPr>
      <w:r>
        <w:rPr>
          <w:rFonts w:ascii="Arial" w:cs="Arial" w:eastAsia="Arial" w:hAnsi="Arial"/>
          <w:b/>
          <w:bCs/>
          <w:color w:val="1F2937"/>
          <w:sz w:val="19"/>
          <w:szCs w:val="19"/>
        </w:rPr>
        <w:t xml:space="preserve">Asset concentration:</w:t>
      </w:r>
      <w:r>
        <w:rPr>
          <w:rFonts w:ascii="Arial" w:cs="Arial" w:eastAsia="Arial" w:hAnsi="Arial"/>
          <w:color w:val="1F2937"/>
          <w:sz w:val="19"/>
          <w:szCs w:val="19"/>
        </w:rPr>
        <w:t xml:space="preserve"> RWG produced ~73% of FY25 segment EBITDA and &gt;100% of net income [e]. Lose 10% of Malaysian EBITDA (one bad VIP year or a tax tweak) and group PBT falls ~40% [e].</w:t>
      </w:r>
    </w:p>
    <w:p>
      <w:pPr>
        <w:pStyle w:val="ListParagraph"/>
        <w:numPr>
          <w:ilvl w:val="0"/>
          <w:numId w:val="3"/>
        </w:numPr>
        <w:spacing w:after="60" w:before="0" w:line="252"/>
      </w:pPr>
      <w:r>
        <w:rPr>
          <w:rFonts w:ascii="Arial" w:cs="Arial" w:eastAsia="Arial" w:hAnsi="Arial"/>
          <w:b/>
          <w:bCs/>
          <w:color w:val="1F2937"/>
          <w:sz w:val="19"/>
          <w:szCs w:val="19"/>
        </w:rPr>
        <w:t xml:space="preserve">Customer concentration:</w:t>
      </w:r>
      <w:r>
        <w:rPr>
          <w:rFonts w:ascii="Arial" w:cs="Arial" w:eastAsia="Arial" w:hAnsi="Arial"/>
          <w:color w:val="1F2937"/>
          <w:sz w:val="19"/>
          <w:szCs w:val="19"/>
        </w:rPr>
        <w:t xml:space="preserve"> no customer is &gt;10% of revenue, but VIP play is concentrated among a small number of premium players whose hold swings quarters by ±10-20%.</w:t>
      </w:r>
    </w:p>
    <w:p>
      <w:pPr>
        <w:pStyle w:val="ListParagraph"/>
        <w:numPr>
          <w:ilvl w:val="0"/>
          <w:numId w:val="3"/>
        </w:numPr>
        <w:spacing w:after="60" w:before="0" w:line="252"/>
      </w:pPr>
      <w:r>
        <w:rPr>
          <w:rFonts w:ascii="Arial" w:cs="Arial" w:eastAsia="Arial" w:hAnsi="Arial"/>
          <w:b/>
          <w:bCs/>
          <w:color w:val="1F2937"/>
          <w:sz w:val="19"/>
          <w:szCs w:val="19"/>
        </w:rPr>
        <w:t xml:space="preserve">The shift under way:</w:t>
      </w:r>
      <w:r>
        <w:rPr>
          <w:rFonts w:ascii="Arial" w:cs="Arial" w:eastAsia="Arial" w:hAnsi="Arial"/>
          <w:color w:val="1F2937"/>
          <w:sz w:val="19"/>
          <w:szCs w:val="19"/>
        </w:rPr>
        <w:t xml:space="preserve"> the mix is moving to New York (40% of 2Q26 revenue), where margins are lower, taxes higher, capex heavier and competition dated (2030). If NY under-earns, the group becomes a lower-margin, more indebted version of the old GENM.</w:t>
      </w:r>
    </w:p>
    <w:p>
      <w:pPr>
        <w:pStyle w:val="Heading2"/>
        <w:keepNext/>
      </w:pPr>
      <w:r>
        <w:rPr>
          <w:rFonts w:ascii="Arial" w:cs="Arial" w:eastAsia="Arial" w:hAnsi="Arial"/>
        </w:rPr>
        <w:t xml:space="preserve">25.3 Why the moat is weaker than bulls think</w:t>
      </w:r>
    </w:p>
    <w:p>
      <w:pPr>
        <w:pStyle w:val="ListParagraph"/>
        <w:numPr>
          <w:ilvl w:val="0"/>
          <w:numId w:val="3"/>
        </w:numPr>
        <w:spacing w:after="60" w:before="0" w:line="252"/>
      </w:pPr>
      <w:r>
        <w:rPr>
          <w:rFonts w:ascii="Arial" w:cs="Arial" w:eastAsia="Arial" w:hAnsi="Arial"/>
          <w:color w:val="1F2937"/>
          <w:sz w:val="19"/>
          <w:szCs w:val="19"/>
        </w:rPr>
        <w:t xml:space="preserve">The brand belongs to the parent, so GENM pays ~RM325m a year to use its own name.</w:t>
      </w:r>
    </w:p>
    <w:p>
      <w:pPr>
        <w:pStyle w:val="ListParagraph"/>
        <w:numPr>
          <w:ilvl w:val="0"/>
          <w:numId w:val="3"/>
        </w:numPr>
        <w:spacing w:after="60" w:before="0" w:line="252"/>
      </w:pPr>
      <w:r>
        <w:rPr>
          <w:rFonts w:ascii="Arial" w:cs="Arial" w:eastAsia="Arial" w:hAnsi="Arial"/>
          <w:color w:val="1F2937"/>
          <w:sz w:val="19"/>
          <w:szCs w:val="19"/>
        </w:rPr>
        <w:t xml:space="preserve">The Malaysian monopoly is real but </w:t>
      </w:r>
      <w:r>
        <w:rPr>
          <w:rFonts w:ascii="Arial" w:cs="Arial" w:eastAsia="Arial" w:hAnsi="Arial"/>
          <w:b/>
          <w:bCs/>
          <w:color w:val="1F2937"/>
          <w:sz w:val="19"/>
          <w:szCs w:val="19"/>
        </w:rPr>
        <w:t xml:space="preserve">taxed at the margin by the State and the parent</w:t>
      </w:r>
      <w:r>
        <w:rPr>
          <w:rFonts w:ascii="Arial" w:cs="Arial" w:eastAsia="Arial" w:hAnsi="Arial"/>
          <w:color w:val="1F2937"/>
          <w:sz w:val="19"/>
          <w:szCs w:val="19"/>
        </w:rPr>
        <w:t xml:space="preserve">: ~35% duty plus ~7% of revenue in parent fees before minorities.</w:t>
      </w:r>
    </w:p>
    <w:p>
      <w:pPr>
        <w:pStyle w:val="ListParagraph"/>
        <w:numPr>
          <w:ilvl w:val="0"/>
          <w:numId w:val="3"/>
        </w:numPr>
        <w:spacing w:after="60" w:before="0" w:line="252"/>
      </w:pPr>
      <w:r>
        <w:rPr>
          <w:rFonts w:ascii="Arial" w:cs="Arial" w:eastAsia="Arial" w:hAnsi="Arial"/>
          <w:color w:val="1F2937"/>
          <w:sz w:val="19"/>
          <w:szCs w:val="19"/>
        </w:rPr>
        <w:t xml:space="preserve">Thailand's casino legalisation (withdrawn Jul-2025, revived May-2026 [u]) would put a modern IR within driving distance of northern Malaysia and Singaporean/Chinese tourists.</w:t>
      </w:r>
    </w:p>
    <w:p>
      <w:pPr>
        <w:pStyle w:val="ListParagraph"/>
        <w:numPr>
          <w:ilvl w:val="0"/>
          <w:numId w:val="3"/>
        </w:numPr>
        <w:spacing w:after="60" w:before="0" w:line="252"/>
      </w:pPr>
      <w:r>
        <w:rPr>
          <w:rFonts w:ascii="Arial" w:cs="Arial" w:eastAsia="Arial" w:hAnsi="Arial"/>
          <w:color w:val="1F2937"/>
          <w:sz w:val="19"/>
          <w:szCs w:val="19"/>
        </w:rPr>
        <w:t xml:space="preserve">Illegal and online gambling (~RM18bn a year [u]) is a growing substitute for younger customers; RWG attractions revenue is falling.</w:t>
      </w:r>
    </w:p>
    <w:p>
      <w:pPr>
        <w:pStyle w:val="Heading2"/>
        <w:keepNext/>
      </w:pPr>
      <w:r>
        <w:rPr>
          <w:rFonts w:ascii="Arial" w:cs="Arial" w:eastAsia="Arial" w:hAnsi="Arial"/>
        </w:rPr>
        <w:t xml:space="preserve">25.4 The most dangerous competitor bulls underestimate</w:t>
      </w:r>
    </w:p>
    <w:p>
      <w:pPr>
        <w:spacing w:after="110" w:before="0" w:line="264"/>
      </w:pPr>
      <w:r>
        <w:rPr>
          <w:rFonts w:ascii="Arial" w:cs="Arial" w:eastAsia="Arial" w:hAnsi="Arial"/>
          <w:b/>
          <w:bCs/>
          <w:color w:val="1F2937"/>
          <w:sz w:val="19"/>
          <w:szCs w:val="19"/>
        </w:rPr>
        <w:t xml:space="preserve">Metropolitan Park (Steve Cohen / Hard Rock), Flushing, Queens.</w:t>
      </w:r>
      <w:r>
        <w:rPr>
          <w:rFonts w:ascii="Arial" w:cs="Arial" w:eastAsia="Arial" w:hAnsi="Arial"/>
          <w:color w:val="1F2937"/>
          <w:sz w:val="19"/>
          <w:szCs w:val="19"/>
        </w:rPr>
        <w:t xml:space="preserve"> About US$8bn of investment next to Citi Field, 5,000 slots and 375 tables, a slot tax of </w:t>
      </w:r>
      <w:r>
        <w:rPr>
          <w:rFonts w:ascii="Arial" w:cs="Arial" w:eastAsia="Arial" w:hAnsi="Arial"/>
          <w:b/>
          <w:bCs/>
          <w:color w:val="1F2937"/>
          <w:sz w:val="19"/>
          <w:szCs w:val="19"/>
        </w:rPr>
        <w:t xml:space="preserve">25% vs RWNYC's 56%</w:t>
      </w:r>
      <w:r>
        <w:rPr>
          <w:rFonts w:ascii="Arial" w:cs="Arial" w:eastAsia="Arial" w:hAnsi="Arial"/>
          <w:color w:val="1F2937"/>
          <w:sz w:val="19"/>
          <w:szCs w:val="19"/>
        </w:rPr>
        <w:t xml:space="preserve">, a billionaire owner with a baseball fan base and a subway/LIRR hub, targeted ~2030. With less than half RW's tax take, it can out-spend RW on free play and marketing indefinitely. Bulls model RWNYC's 2028-30 ramp; they rarely model the share loss from 2030.</w:t>
      </w:r>
    </w:p>
    <w:p>
      <w:pPr>
        <w:pStyle w:val="Heading2"/>
        <w:keepNext/>
      </w:pPr>
      <w:r>
        <w:rPr>
          <w:rFonts w:ascii="Arial" w:cs="Arial" w:eastAsia="Arial" w:hAnsi="Arial"/>
        </w:rPr>
        <w:t xml:space="preserve">25.5 The worst capital-allocation decisions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3834"/>
        <w:gridCol w:w="3559"/>
        <w:gridCol w:w="2687"/>
      </w:tblGrid>
      <w:tr>
        <w:trPr>
          <w:cantSplit/>
          <w:tblHeader/>
        </w:trPr>
        <w:tc>
          <w:tcPr>
            <w:tcW w:type="dxa" w:w="3834"/>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Decision</w:t>
            </w:r>
          </w:p>
        </w:tc>
        <w:tc>
          <w:tcPr>
            <w:tcW w:type="dxa" w:w="3559"/>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Cost</w:t>
            </w:r>
          </w:p>
        </w:tc>
        <w:tc>
          <w:tcPr>
            <w:tcW w:type="dxa" w:w="268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Who benefited</w:t>
            </w:r>
          </w:p>
        </w:tc>
      </w:tr>
      <w:tr>
        <w:trPr>
          <w:cantSplit/>
        </w:trPr>
        <w:tc>
          <w:tcPr>
            <w:tcW w:type="dxa" w:w="383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Mashpee tribal-casino notes (2012-2018; topped up 2025)</w:t>
            </w:r>
          </w:p>
        </w:tc>
        <w:tc>
          <w:tcPr>
            <w:tcW w:type="dxa" w:w="35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RM1.83bn impairment</w:t>
            </w:r>
          </w:p>
        </w:tc>
        <w:tc>
          <w:tcPr>
            <w:tcW w:type="dxa" w:w="268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Tribe; no benefit to GENM</w:t>
            </w:r>
          </w:p>
        </w:tc>
      </w:tr>
      <w:tr>
        <w:trPr>
          <w:cantSplit/>
        </w:trPr>
        <w:tc>
          <w:tcPr>
            <w:tcW w:type="dxa" w:w="383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Empire Resorts (2019-2025)</w:t>
            </w:r>
          </w:p>
        </w:tc>
        <w:tc>
          <w:tcPr>
            <w:tcW w:type="dxa" w:w="35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~US$765m invested; still loss-making</w:t>
            </w:r>
          </w:p>
        </w:tc>
        <w:tc>
          <w:tcPr>
            <w:tcW w:type="dxa" w:w="268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Kien Huat (family) exited at multiple points</w:t>
            </w:r>
          </w:p>
        </w:tc>
      </w:tr>
      <w:tr>
        <w:trPr>
          <w:cantSplit/>
        </w:trPr>
        <w:tc>
          <w:tcPr>
            <w:tcW w:type="dxa" w:w="383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Genting UK bought from Genting Singapore (2010)</w:t>
            </w:r>
          </w:p>
        </w:tc>
        <w:tc>
          <w:tcPr>
            <w:tcW w:type="dxa" w:w="35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£351.5m; repeated impairments since</w:t>
            </w:r>
          </w:p>
        </w:tc>
        <w:tc>
          <w:tcPr>
            <w:tcW w:type="dxa" w:w="268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Sister company</w:t>
            </w:r>
          </w:p>
        </w:tc>
      </w:tr>
      <w:tr>
        <w:trPr>
          <w:cantSplit/>
        </w:trPr>
        <w:tc>
          <w:tcPr>
            <w:tcW w:type="dxa" w:w="383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Fox World theme park</w:t>
            </w:r>
          </w:p>
        </w:tc>
        <w:tc>
          <w:tcPr>
            <w:tcW w:type="dxa" w:w="35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Years of delay; IP downgraded</w:t>
            </w:r>
          </w:p>
        </w:tc>
        <w:tc>
          <w:tcPr>
            <w:tcW w:type="dxa" w:w="268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w:t>
            </w:r>
          </w:p>
        </w:tc>
      </w:tr>
      <w:tr>
        <w:trPr>
          <w:cantSplit/>
        </w:trPr>
        <w:tc>
          <w:tcPr>
            <w:tcW w:type="dxa" w:w="383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Debt-funded dividends FY23-24 (payout ~200%)</w:t>
            </w:r>
          </w:p>
        </w:tc>
        <w:tc>
          <w:tcPr>
            <w:tcW w:type="dxa" w:w="3559"/>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~RM1.7bn paid vs ~RM0.7bn earned</w:t>
            </w:r>
          </w:p>
        </w:tc>
        <w:tc>
          <w:tcPr>
            <w:tcW w:type="dxa" w:w="268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Parent (73.8% of dividends)</w:t>
            </w:r>
          </w:p>
        </w:tc>
      </w:tr>
      <w:tr>
        <w:trPr>
          <w:cantSplit/>
        </w:trPr>
        <w:tc>
          <w:tcPr>
            <w:tcW w:type="dxa" w:w="383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Genting HK stake sold to a Lim-family vehicle (2016)</w:t>
            </w:r>
          </w:p>
        </w:tc>
        <w:tc>
          <w:tcPr>
            <w:tcW w:type="dxa" w:w="3559"/>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Sold below cost (US$420.8m total vs US$604m GENM cost)</w:t>
            </w:r>
          </w:p>
        </w:tc>
        <w:tc>
          <w:tcPr>
            <w:tcW w:type="dxa" w:w="268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Golden Hope (family)</w:t>
            </w:r>
          </w:p>
        </w:tc>
      </w:tr>
    </w:tbl>
    <w:p>
      <w:pPr>
        <w:spacing w:after="80" w:before="0"/>
      </w:pPr>
    </w:p>
    <w:p>
      <w:pPr>
        <w:pStyle w:val="Heading2"/>
        <w:keepNext/>
      </w:pPr>
      <w:r>
        <w:rPr>
          <w:rFonts w:ascii="Arial" w:cs="Arial" w:eastAsia="Arial" w:hAnsi="Arial"/>
        </w:rPr>
        <w:t xml:space="preserve">25.6 Related-party transactions, accounting and incentives</w:t>
      </w:r>
    </w:p>
    <w:p>
      <w:pPr>
        <w:pStyle w:val="ListParagraph"/>
        <w:numPr>
          <w:ilvl w:val="0"/>
          <w:numId w:val="3"/>
        </w:numPr>
        <w:spacing w:after="60" w:before="0" w:line="252"/>
      </w:pPr>
      <w:r>
        <w:rPr>
          <w:rFonts w:ascii="Arial" w:cs="Arial" w:eastAsia="Arial" w:hAnsi="Arial"/>
          <w:b/>
          <w:bCs/>
          <w:color w:val="1F2937"/>
          <w:sz w:val="19"/>
          <w:szCs w:val="19"/>
        </w:rPr>
        <w:t xml:space="preserve">Related-party fees of ~RM848m a year</w:t>
      </w:r>
      <w:r>
        <w:rPr>
          <w:rFonts w:ascii="Arial" w:cs="Arial" w:eastAsia="Arial" w:hAnsi="Arial"/>
          <w:color w:val="1F2937"/>
          <w:sz w:val="19"/>
          <w:szCs w:val="19"/>
        </w:rPr>
        <w:t xml:space="preserve"> (management/know-how RM497.8m, brand licence RM233.0m, US IP RM90.2m, software RM16.1m). </w:t>
      </w:r>
      <w:r>
        <w:rPr>
          <w:rFonts w:ascii="Arial" w:cs="Arial" w:eastAsia="Arial" w:hAnsi="Arial"/>
          <w:b/>
          <w:bCs/>
          <w:color w:val="1F2937"/>
          <w:sz w:val="19"/>
          <w:szCs w:val="19"/>
        </w:rPr>
        <w:t xml:space="preserve">These are expenses inside EBITDA</w:t>
      </w:r>
      <w:r>
        <w:rPr>
          <w:rFonts w:ascii="Arial" w:cs="Arial" w:eastAsia="Arial" w:hAnsi="Arial"/>
          <w:color w:val="1F2937"/>
          <w:sz w:val="19"/>
          <w:szCs w:val="19"/>
        </w:rPr>
        <w:t xml:space="preserve">: every sell-side multiple already capitalises a perpetual transfer to the parent.</w:t>
      </w:r>
    </w:p>
    <w:p>
      <w:pPr>
        <w:pStyle w:val="ListParagraph"/>
        <w:numPr>
          <w:ilvl w:val="0"/>
          <w:numId w:val="3"/>
        </w:numPr>
        <w:spacing w:after="60" w:before="0" w:line="252"/>
      </w:pPr>
      <w:r>
        <w:rPr>
          <w:rFonts w:ascii="Arial" w:cs="Arial" w:eastAsia="Arial" w:hAnsi="Arial"/>
          <w:b/>
          <w:bCs/>
          <w:color w:val="1F2937"/>
          <w:sz w:val="19"/>
          <w:szCs w:val="19"/>
        </w:rPr>
        <w:t xml:space="preserve">Misaligned incentives:</w:t>
      </w:r>
      <w:r>
        <w:rPr>
          <w:rFonts w:ascii="Arial" w:cs="Arial" w:eastAsia="Arial" w:hAnsi="Arial"/>
          <w:color w:val="1F2937"/>
          <w:sz w:val="19"/>
          <w:szCs w:val="19"/>
        </w:rPr>
        <w:t xml:space="preserve"> the controlling shareholder earns fees on revenue (not returns), so it benefits from expansion even at sub-cost-of-capital returns. Executive pay is not tied to ROIC or TSR.</w:t>
      </w:r>
    </w:p>
    <w:p>
      <w:pPr>
        <w:pStyle w:val="ListParagraph"/>
        <w:numPr>
          <w:ilvl w:val="0"/>
          <w:numId w:val="3"/>
        </w:numPr>
        <w:spacing w:after="60" w:before="0" w:line="252"/>
      </w:pPr>
      <w:r>
        <w:rPr>
          <w:rFonts w:ascii="Arial" w:cs="Arial" w:eastAsia="Arial" w:hAnsi="Arial"/>
          <w:b/>
          <w:bCs/>
          <w:color w:val="1F2937"/>
          <w:sz w:val="19"/>
          <w:szCs w:val="19"/>
        </w:rPr>
        <w:t xml:space="preserve">"Below the 5% threshold" structuring</w:t>
      </w:r>
      <w:r>
        <w:rPr>
          <w:rFonts w:ascii="Arial" w:cs="Arial" w:eastAsia="Arial" w:hAnsi="Arial"/>
          <w:color w:val="1F2937"/>
          <w:sz w:val="19"/>
          <w:szCs w:val="19"/>
        </w:rPr>
        <w:t xml:space="preserve"> has repeatedly avoided minority votes.</w:t>
      </w:r>
    </w:p>
    <w:p>
      <w:pPr>
        <w:pStyle w:val="Heading2"/>
        <w:keepNext/>
      </w:pPr>
      <w:r>
        <w:rPr>
          <w:rFonts w:ascii="Arial" w:cs="Arial" w:eastAsia="Arial" w:hAnsi="Arial"/>
        </w:rPr>
        <w:t xml:space="preserve">25.7 What must hold for the current price to be justified, and what if growth disappoints by 20-30%?</w:t>
      </w:r>
    </w:p>
    <w:p>
      <w:pPr>
        <w:spacing w:after="110" w:before="0" w:line="264"/>
      </w:pPr>
      <w:r>
        <w:rPr>
          <w:rFonts w:ascii="Arial" w:cs="Arial" w:eastAsia="Arial" w:hAnsi="Arial"/>
          <w:color w:val="1F2937"/>
          <w:sz w:val="19"/>
          <w:szCs w:val="19"/>
        </w:rPr>
        <w:t xml:space="preserve">At RM1.19 the market prices GENM at an EV of ~RM20.9bn (incl. leases), ~7.2x LTM adj. EBITDA ex-FX and ~6.1x our FY27E. For that to be fair value, RWG must hold ~RM2.2bn of EBITDA and NY must reach ~RM1bn of EBITDA (~US$260m) without further dilution. </w:t>
      </w:r>
      <w:r>
        <w:rPr>
          <w:rFonts w:ascii="Arial" w:cs="Arial" w:eastAsia="Arial" w:hAnsi="Arial"/>
          <w:b/>
          <w:bCs/>
          <w:color w:val="1F2937"/>
          <w:sz w:val="19"/>
          <w:szCs w:val="19"/>
        </w:rPr>
        <w:t xml:space="preserve">If FY27E EBITDA is 20-30% below our RM3.4bn</w:t>
      </w:r>
      <w:r>
        <w:rPr>
          <w:rFonts w:ascii="Arial" w:cs="Arial" w:eastAsia="Arial" w:hAnsi="Arial"/>
          <w:color w:val="1F2937"/>
          <w:sz w:val="19"/>
          <w:szCs w:val="19"/>
        </w:rPr>
        <w:t xml:space="preserve"> (e.g., racing support fully charged and Malaysia −10%), EBITDA falls to RM2.4-2.7bn. At the same 6.1x multiple, EV falls to RM14.6-16.7bn. Against today's net debt of RM14.2bn (treating future phase-2 spend as value-neutral work in progress), </w:t>
      </w:r>
      <w:r>
        <w:rPr>
          <w:rFonts w:ascii="Arial" w:cs="Arial" w:eastAsia="Arial" w:hAnsi="Arial"/>
          <w:b/>
          <w:bCs/>
          <w:color w:val="1F2937"/>
          <w:sz w:val="19"/>
          <w:szCs w:val="19"/>
        </w:rPr>
        <w:t xml:space="preserve">equity falls to RM0.5-2.6bn, or RM0.08-0.45 a share (−62% to −93%)</w:t>
      </w:r>
      <w:r>
        <w:rPr>
          <w:rFonts w:ascii="Arial" w:cs="Arial" w:eastAsia="Arial" w:hAnsi="Arial"/>
          <w:color w:val="1F2937"/>
          <w:sz w:val="19"/>
          <w:szCs w:val="19"/>
        </w:rPr>
        <w:t xml:space="preserve">. This is the leverage trap: with net debt at ~2.1x market cap, a 25% EBITDA miss removes ~75% of the equity.</w:t>
      </w:r>
    </w:p>
    <w:p>
      <w:pPr>
        <w:pStyle w:val="Heading2"/>
        <w:keepNext/>
      </w:pPr>
      <w:r>
        <w:rPr>
          <w:rFonts w:ascii="Arial" w:cs="Arial" w:eastAsia="Arial" w:hAnsi="Arial"/>
        </w:rPr>
        <w:t xml:space="preserve">25.8 The single scenario that would permanently impair the business</w:t>
      </w:r>
    </w:p>
    <w:p>
      <w:pPr>
        <w:spacing w:after="110" w:before="0" w:line="264"/>
      </w:pPr>
      <w:r>
        <w:rPr>
          <w:rFonts w:ascii="Arial" w:cs="Arial" w:eastAsia="Arial" w:hAnsi="Arial"/>
          <w:b/>
          <w:bCs/>
          <w:color w:val="1F2937"/>
          <w:sz w:val="19"/>
          <w:szCs w:val="19"/>
        </w:rPr>
        <w:t xml:space="preserve">A combination of (i) a Malaysian policy shock and (ii) a NY cost overrun at a time when the parent cannot support GENM.</w:t>
      </w:r>
      <w:r>
        <w:rPr>
          <w:rFonts w:ascii="Arial" w:cs="Arial" w:eastAsia="Arial" w:hAnsi="Arial"/>
          <w:color w:val="1F2937"/>
          <w:sz w:val="19"/>
          <w:szCs w:val="19"/>
        </w:rPr>
        <w:t xml:space="preserve"> For example: a PAS-led Pahang government or a fiscal squeeze raises duty or restricts operations; NY racing support is enforced on top of 56%; phase-2 capex overruns. The result would be a GENM rights issue at a deep discount, which Genting Bhd could not take up, or a forced sale of NY/Miami at distressed prices. </w:t>
      </w:r>
      <w:r>
        <w:rPr>
          <w:rFonts w:ascii="Arial" w:cs="Arial" w:eastAsia="Arial" w:hAnsi="Arial"/>
          <w:b/>
          <w:bCs/>
          <w:color w:val="1F2937"/>
          <w:sz w:val="19"/>
          <w:szCs w:val="19"/>
        </w:rPr>
        <w:t xml:space="preserve">Plausibility: low (~10-15% over three years) but not remote</w:t>
      </w:r>
      <w:r>
        <w:rPr>
          <w:rFonts w:ascii="Arial" w:cs="Arial" w:eastAsia="Arial" w:hAnsi="Arial"/>
          <w:color w:val="1F2937"/>
          <w:sz w:val="19"/>
          <w:szCs w:val="19"/>
        </w:rPr>
        <w:t xml:space="preserve"> [e]. Each leg has a precedent (2019 tax hike; 2025-26 NY tax dispute; 2026 parent rights issue).</w:t>
      </w:r>
    </w:p>
    <w:p>
      <w:pPr>
        <w:pStyle w:val="Heading2"/>
        <w:keepNext/>
      </w:pPr>
      <w:r>
        <w:rPr>
          <w:rFonts w:ascii="Arial" w:cs="Arial" w:eastAsia="Arial" w:hAnsi="Arial"/>
        </w:rPr>
        <w:t xml:space="preserve">25.9 Forensic accounting review: red flags and risks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1632"/>
        <w:gridCol w:w="5145"/>
        <w:gridCol w:w="3303"/>
      </w:tblGrid>
      <w:tr>
        <w:trPr>
          <w:cantSplit/>
          <w:tblHeader/>
        </w:trPr>
        <w:tc>
          <w:tcPr>
            <w:tcW w:type="dxa" w:w="1632"/>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Area</w:t>
            </w:r>
          </w:p>
        </w:tc>
        <w:tc>
          <w:tcPr>
            <w:tcW w:type="dxa" w:w="514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Observation</w:t>
            </w:r>
          </w:p>
        </w:tc>
        <w:tc>
          <w:tcPr>
            <w:tcW w:type="dxa" w:w="3303"/>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Risk</w:t>
            </w:r>
          </w:p>
        </w:tc>
      </w:tr>
      <w:tr>
        <w:trPr>
          <w:cantSplit/>
        </w:trPr>
        <w:tc>
          <w:tcPr>
            <w:tcW w:type="dxa" w:w="163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Revenue recognition</w:t>
            </w:r>
          </w:p>
        </w:tc>
        <w:tc>
          <w:tcPr>
            <w:tcW w:type="dxa" w:w="514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Gaming revenue is reported net of rebates and comps; NY revenue switched from VLT commission (net) to gross GGR with gaming tax as an expense from 28-Apr-26, which mechanically inflates revenue growth and depresses margin</w:t>
            </w:r>
          </w:p>
        </w:tc>
        <w:tc>
          <w:tcPr>
            <w:tcW w:type="dxa" w:w="330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Medium: distorts YoY comparisons (US revenue +166%)</w:t>
            </w:r>
          </w:p>
        </w:tc>
      </w:tr>
      <w:tr>
        <w:trPr>
          <w:cantSplit/>
        </w:trPr>
        <w:tc>
          <w:tcPr>
            <w:tcW w:type="dxa" w:w="1632"/>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Segment reporting</w:t>
            </w:r>
          </w:p>
        </w:tc>
        <w:tc>
          <w:tcPr>
            <w:tcW w:type="dxa" w:w="5145"/>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Unrealised FX on USD borrowings sits inside </w:t>
            </w:r>
            <w:r>
              <w:rPr>
                <w:rFonts w:ascii="Arial" w:cs="Arial" w:eastAsia="Arial" w:hAnsi="Arial"/>
                <w:b/>
                <w:bCs/>
                <w:color w:val="1F2937"/>
                <w:sz w:val="17"/>
                <w:szCs w:val="17"/>
              </w:rPr>
              <w:t xml:space="preserve">adjusted EBITDA</w:t>
            </w:r>
            <w:r>
              <w:rPr>
                <w:rFonts w:ascii="Arial" w:cs="Arial" w:eastAsia="Arial" w:hAnsi="Arial"/>
                <w:b/>
                <w:bCs/>
                <w:color w:val="1F2937"/>
                <w:sz w:val="17"/>
                <w:szCs w:val="17"/>
              </w:rPr>
              <w:t xml:space="preserve"> ("Investments &amp; Others"): +RM351.6m in FY25, −RM18.1m in 2Q26; no VIP/mass split; no hold-adjusted figures; no RWNYC standalone P&amp;L; no segment PBT</w:t>
            </w:r>
          </w:p>
        </w:tc>
        <w:tc>
          <w:tcPr>
            <w:tcW w:type="dxa" w:w="3303"/>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High</w:t>
            </w:r>
            <w:r>
              <w:rPr>
                <w:rFonts w:ascii="Arial" w:cs="Arial" w:eastAsia="Arial" w:hAnsi="Arial"/>
                <w:b/>
                <w:bCs/>
                <w:color w:val="1F2937"/>
                <w:sz w:val="17"/>
                <w:szCs w:val="17"/>
              </w:rPr>
              <w:t xml:space="preserve">: headline EBITDA flattered by FX in FY24-25</w:t>
            </w:r>
          </w:p>
        </w:tc>
      </w:tr>
      <w:tr>
        <w:trPr>
          <w:cantSplit/>
        </w:trPr>
        <w:tc>
          <w:tcPr>
            <w:tcW w:type="dxa" w:w="163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One-offs in net income</w:t>
            </w:r>
          </w:p>
        </w:tc>
        <w:tc>
          <w:tcPr>
            <w:tcW w:type="dxa" w:w="514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FY25 NI included the RM129.1m Empire bargain-purchase gain, RM77.1m disposal gain and RM56.3m ECL reversal (~35% of NI)</w:t>
            </w:r>
          </w:p>
        </w:tc>
        <w:tc>
          <w:tcPr>
            <w:tcW w:type="dxa" w:w="330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Medium-High</w:t>
            </w:r>
          </w:p>
        </w:tc>
      </w:tr>
      <w:tr>
        <w:trPr>
          <w:cantSplit/>
        </w:trPr>
        <w:tc>
          <w:tcPr>
            <w:tcW w:type="dxa" w:w="163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Leases</w:t>
            </w:r>
          </w:p>
        </w:tc>
        <w:tc>
          <w:tcPr>
            <w:tcW w:type="dxa" w:w="514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Lease liabilities up from RM0.75bn (FY21) to RM2.23bn (Jun-26); Aqueduct lease amended Jun-2025 and remeasured on conversion; rent terms undisclosed</w:t>
            </w:r>
          </w:p>
        </w:tc>
        <w:tc>
          <w:tcPr>
            <w:tcW w:type="dxa" w:w="330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Medium: leases keep moving into debt</w:t>
            </w:r>
          </w:p>
        </w:tc>
      </w:tr>
      <w:tr>
        <w:trPr>
          <w:cantSplit/>
        </w:trPr>
        <w:tc>
          <w:tcPr>
            <w:tcW w:type="dxa" w:w="1632"/>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Related parties</w:t>
            </w:r>
          </w:p>
        </w:tc>
        <w:tc>
          <w:tcPr>
            <w:tcW w:type="dxa" w:w="5145"/>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~RM848m a year of fees; serial Empire RPTs; family-linked suppliers</w:t>
            </w:r>
          </w:p>
        </w:tc>
        <w:tc>
          <w:tcPr>
            <w:tcW w:type="dxa" w:w="3303"/>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High</w:t>
            </w:r>
          </w:p>
        </w:tc>
      </w:tr>
      <w:tr>
        <w:trPr>
          <w:cantSplit/>
        </w:trPr>
        <w:tc>
          <w:tcPr>
            <w:tcW w:type="dxa" w:w="1632"/>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Contingencies</w:t>
            </w:r>
          </w:p>
        </w:tc>
        <w:tc>
          <w:tcPr>
            <w:tcW w:type="dxa" w:w="5145"/>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NY racing-support dispute (&gt;US$500m over four years) not provided for [u]; Mashpee note recoverability; Bimini impairment testing relies on a cruise strategy</w:t>
            </w:r>
          </w:p>
        </w:tc>
        <w:tc>
          <w:tcPr>
            <w:tcW w:type="dxa" w:w="3303"/>
            <w:tcBorders>
              <w:top w:val="none" w:color="FFFFFF" w:sz="0"/>
              <w:left w:val="none" w:color="FFFFFF" w:sz="0"/>
              <w:bottom w:val="single" w:color="D1D5DB" w:sz="4"/>
              <w:right w:val="none" w:color="FFFFFF" w:sz="0"/>
            </w:tcBorders>
            <w:shd w:fill="DCE6F2"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High</w:t>
            </w:r>
            <w:r>
              <w:rPr>
                <w:rFonts w:ascii="Arial" w:cs="Arial" w:eastAsia="Arial" w:hAnsi="Arial"/>
                <w:b/>
                <w:bCs/>
                <w:color w:val="1F2937"/>
                <w:sz w:val="17"/>
                <w:szCs w:val="17"/>
              </w:rPr>
              <w:t xml:space="preserve"> (NY) / Medium</w:t>
            </w:r>
          </w:p>
        </w:tc>
      </w:tr>
      <w:tr>
        <w:trPr>
          <w:cantSplit/>
        </w:trPr>
        <w:tc>
          <w:tcPr>
            <w:tcW w:type="dxa" w:w="163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Goodwill and intangibles</w:t>
            </w:r>
          </w:p>
        </w:tc>
        <w:tc>
          <w:tcPr>
            <w:tcW w:type="dxa" w:w="514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NY licence intangible RM1.57bn (amortisation over licence term [u]); UK goodwill and trademarks RM459m (impairments FY24-25); Bimini RM632m</w:t>
            </w:r>
          </w:p>
        </w:tc>
        <w:tc>
          <w:tcPr>
            <w:tcW w:type="dxa" w:w="330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Medium: further UK/Bimini impairments likely if MGD doubles</w:t>
            </w:r>
          </w:p>
        </w:tc>
      </w:tr>
      <w:tr>
        <w:trPr>
          <w:cantSplit/>
        </w:trPr>
        <w:tc>
          <w:tcPr>
            <w:tcW w:type="dxa" w:w="163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Bargain-purchase gain</w:t>
            </w:r>
          </w:p>
        </w:tc>
        <w:tc>
          <w:tcPr>
            <w:tcW w:type="dxa" w:w="514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Buying 51% of GERL from the controlling family for US$41m and booking a RM129m gain implies the family sold below fair value or the fair values are aggressive; Bursa asked ~20 questions</w:t>
            </w:r>
          </w:p>
        </w:tc>
        <w:tc>
          <w:tcPr>
            <w:tcW w:type="dxa" w:w="330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Medium-High</w:t>
            </w:r>
          </w:p>
        </w:tc>
      </w:tr>
      <w:tr>
        <w:trPr>
          <w:cantSplit/>
        </w:trPr>
        <w:tc>
          <w:tcPr>
            <w:tcW w:type="dxa" w:w="163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Interest capitalisation</w:t>
            </w:r>
          </w:p>
        </w:tc>
        <w:tc>
          <w:tcPr>
            <w:tcW w:type="dxa" w:w="514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Phase-2 construction allows capitalising interest (IAS 23), flattering P&amp;L finance costs during the build [e]</w:t>
            </w:r>
          </w:p>
        </w:tc>
        <w:tc>
          <w:tcPr>
            <w:tcW w:type="dxa" w:w="330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Medium</w:t>
            </w:r>
          </w:p>
        </w:tc>
      </w:tr>
      <w:tr>
        <w:trPr>
          <w:cantSplit/>
        </w:trPr>
        <w:tc>
          <w:tcPr>
            <w:tcW w:type="dxa" w:w="163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Stock-based compensation</w:t>
            </w:r>
          </w:p>
        </w:tc>
        <w:tc>
          <w:tcPr>
            <w:tcW w:type="dxa" w:w="514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No material SBC; cash pay is the issue (LKT RM54.7m)</w:t>
            </w:r>
          </w:p>
        </w:tc>
        <w:tc>
          <w:tcPr>
            <w:tcW w:type="dxa" w:w="330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Low (accounting) / High (governance)</w:t>
            </w:r>
          </w:p>
        </w:tc>
      </w:tr>
      <w:tr>
        <w:trPr>
          <w:cantSplit/>
        </w:trPr>
        <w:tc>
          <w:tcPr>
            <w:tcW w:type="dxa" w:w="163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Cash flow</w:t>
            </w:r>
          </w:p>
        </w:tc>
        <w:tc>
          <w:tcPr>
            <w:tcW w:type="dxa" w:w="514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FY25 CFO RM2.03bn (−13% YoY) while EBITDA rose; 1Q26 CFO only RM139m; licence fee booked in investing (intangibles)</w:t>
            </w:r>
          </w:p>
        </w:tc>
        <w:tc>
          <w:tcPr>
            <w:tcW w:type="dxa" w:w="330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Medium: FCF-to-EBITDA conversion is declining</w:t>
            </w:r>
          </w:p>
        </w:tc>
      </w:tr>
      <w:tr>
        <w:trPr>
          <w:cantSplit/>
        </w:trPr>
        <w:tc>
          <w:tcPr>
            <w:tcW w:type="dxa" w:w="1632"/>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Tax</w:t>
            </w:r>
          </w:p>
        </w:tc>
        <w:tc>
          <w:tcPr>
            <w:tcW w:type="dxa" w:w="514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Effective tax rate 32% (FY25) and ~99% (1H26): Malaysian profits fully taxed while US losses give little shelter</w:t>
            </w:r>
          </w:p>
        </w:tc>
        <w:tc>
          <w:tcPr>
            <w:tcW w:type="dxa" w:w="3303"/>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Medium: earnings drag persists</w:t>
            </w:r>
          </w:p>
        </w:tc>
      </w:tr>
      <w:tr>
        <w:trPr>
          <w:cantSplit/>
        </w:trPr>
        <w:tc>
          <w:tcPr>
            <w:tcW w:type="dxa" w:w="1632"/>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Auditor</w:t>
            </w:r>
          </w:p>
        </w:tc>
        <w:tc>
          <w:tcPr>
            <w:tcW w:type="dxa" w:w="514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PwC; key audit matters on UK impairment, Bimini, GERL purchase-price allocation; no modified opinion found [u]</w:t>
            </w:r>
          </w:p>
        </w:tc>
        <w:tc>
          <w:tcPr>
            <w:tcW w:type="dxa" w:w="3303"/>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Low</w:t>
            </w:r>
          </w:p>
        </w:tc>
      </w:tr>
    </w:tbl>
    <w:p>
      <w:pPr>
        <w:spacing w:after="80" w:before="0"/>
      </w:pPr>
    </w:p>
    <w:p>
      <w:pPr>
        <w:spacing w:after="110" w:before="0" w:line="264"/>
      </w:pPr>
      <w:r>
        <w:rPr>
          <w:rFonts w:ascii="Arial" w:cs="Arial" w:eastAsia="Arial" w:hAnsi="Arial"/>
          <w:b/>
          <w:bCs/>
          <w:color w:val="1F2937"/>
          <w:sz w:val="19"/>
          <w:szCs w:val="19"/>
        </w:rPr>
        <w:t xml:space="preserve">Short-seller's conclusion:</w:t>
      </w:r>
      <w:r>
        <w:rPr>
          <w:rFonts w:ascii="Arial" w:cs="Arial" w:eastAsia="Arial" w:hAnsi="Arial"/>
          <w:color w:val="1F2937"/>
          <w:sz w:val="19"/>
          <w:szCs w:val="19"/>
        </w:rPr>
        <w:t xml:space="preserve"> "GENM is a levered, policy-dependent, related-party-taxed equity stub sitting on a construction project, with a parent that needs its cash. Cheap on book is not cheap on risk."</w:t>
      </w:r>
    </w:p>
    <w:p>
      <w:pPr>
        <w:pStyle w:val="Heading1"/>
        <w:keepNext/>
      </w:pPr>
      <w:r>
        <w:rPr>
          <w:rFonts w:ascii="Arial" w:cs="Arial" w:eastAsia="Arial" w:hAnsi="Arial"/>
        </w:rPr>
        <w:t xml:space="preserve">26. Is There an Activist Angle? What an Activist Would Push For</w:t>
      </w:r>
    </w:p>
    <w:p>
      <w:pPr>
        <w:spacing w:after="110" w:before="0" w:line="264"/>
      </w:pPr>
      <w:r>
        <w:rPr>
          <w:rFonts w:ascii="Arial" w:cs="Arial" w:eastAsia="Arial" w:hAnsi="Arial"/>
          <w:b/>
          <w:bCs/>
          <w:color w:val="1F2937"/>
          <w:sz w:val="19"/>
          <w:szCs w:val="19"/>
        </w:rPr>
        <w:t xml:space="preserve">A proxy fight is impossible against a 73.84% holder, but minorities hold three real veto points.</w:t>
      </w:r>
      <w:r>
        <w:rPr>
          <w:rFonts w:ascii="Arial" w:cs="Arial" w:eastAsia="Arial" w:hAnsi="Arial"/>
          <w:color w:val="1F2937"/>
          <w:sz w:val="19"/>
          <w:szCs w:val="19"/>
        </w:rPr>
        <w:t xml:space="preserve"> That makes GENM a "blocking-stake" situation rather than a classic board campaign.</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1710"/>
        <w:gridCol w:w="4185"/>
        <w:gridCol w:w="4185"/>
      </w:tblGrid>
      <w:tr>
        <w:trPr>
          <w:cantSplit/>
          <w:tblHeader/>
        </w:trPr>
        <w:tc>
          <w:tcPr>
            <w:tcW w:type="dxa" w:w="171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Lever</w:t>
            </w:r>
          </w:p>
        </w:tc>
        <w:tc>
          <w:tcPr>
            <w:tcW w:type="dxa" w:w="418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Mechanism</w:t>
            </w:r>
          </w:p>
        </w:tc>
        <w:tc>
          <w:tcPr>
            <w:tcW w:type="dxa" w:w="4185"/>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Why it matters</w:t>
            </w:r>
          </w:p>
        </w:tc>
      </w:tr>
      <w:tr>
        <w:trPr>
          <w:cantSplit/>
        </w:trPr>
        <w:tc>
          <w:tcPr>
            <w:tcW w:type="dxa" w:w="17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1. Delisting veto</w:t>
            </w:r>
          </w:p>
        </w:tc>
        <w:tc>
          <w:tcPr>
            <w:tcW w:type="dxa" w:w="418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 voluntary delisting with an exit offer typically fails if more than 10% of holders object [u: confirm rule with counsel]</w:t>
            </w:r>
          </w:p>
        </w:tc>
        <w:tc>
          <w:tcPr>
            <w:tcW w:type="dxa" w:w="418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~10% of GENM (~567m shares, ~RM675m / US$165m at RM1.19; ~38% of the free float) is a blocking position against a low-ball privatisation</w:t>
            </w:r>
          </w:p>
        </w:tc>
      </w:tr>
      <w:tr>
        <w:trPr>
          <w:cantSplit/>
        </w:trPr>
        <w:tc>
          <w:tcPr>
            <w:tcW w:type="dxa" w:w="171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2. RRPT mandate</w:t>
            </w:r>
          </w:p>
        </w:tc>
        <w:tc>
          <w:tcPr>
            <w:tcW w:type="dxa" w:w="418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Recurrent related-party transaction mandates require shareholder approval with interested parties abstaining (Bursa Main Market Listing Requirements)</w:t>
            </w:r>
          </w:p>
        </w:tc>
        <w:tc>
          <w:tcPr>
            <w:tcW w:type="dxa" w:w="4185"/>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The ~RM848m a year of fees to Genting Bhd and RWI are renewed at each AGM. Minorities can withhold approval and force individual approvals, benchmarking and disclosure</w:t>
            </w:r>
          </w:p>
        </w:tc>
      </w:tr>
      <w:tr>
        <w:trPr>
          <w:cantSplit/>
        </w:trPr>
        <w:tc>
          <w:tcPr>
            <w:tcW w:type="dxa" w:w="171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3. Major related-party deals (&gt;5%)</w:t>
            </w:r>
          </w:p>
        </w:tc>
        <w:tc>
          <w:tcPr>
            <w:tcW w:type="dxa" w:w="418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Require independent shareholder approval</w:t>
            </w:r>
          </w:p>
        </w:tc>
        <w:tc>
          <w:tcPr>
            <w:tcW w:type="dxa" w:w="4185"/>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Historically avoided by sizing deals below 5%. A future Miami sale to a related party, or parent support arrangements, would come to a vote</w:t>
            </w:r>
          </w:p>
        </w:tc>
      </w:tr>
    </w:tbl>
    <w:p>
      <w:pPr>
        <w:spacing w:after="80" w:before="0"/>
      </w:pPr>
    </w:p>
    <w:p>
      <w:pPr>
        <w:pStyle w:val="Heading2"/>
        <w:keepNext/>
      </w:pPr>
      <w:r>
        <w:rPr>
          <w:rFonts w:ascii="Arial" w:cs="Arial" w:eastAsia="Arial" w:hAnsi="Arial"/>
        </w:rPr>
        <w:t xml:space="preserve">26.1 What an activist would ask for</w:t>
      </w:r>
    </w:p>
    <w:p>
      <w:pPr>
        <w:pStyle w:val="ListParagraph"/>
        <w:numPr>
          <w:ilvl w:val="0"/>
          <w:numId w:val="14"/>
        </w:numPr>
        <w:spacing w:after="70" w:before="0" w:line="252"/>
      </w:pPr>
      <w:r>
        <w:rPr>
          <w:rFonts w:ascii="Arial" w:cs="Arial" w:eastAsia="Arial" w:hAnsi="Arial"/>
          <w:b/>
          <w:bCs/>
          <w:color w:val="1F2937"/>
          <w:sz w:val="19"/>
          <w:szCs w:val="19"/>
        </w:rPr>
        <w:t xml:space="preserve">Benchmark and cut related-party fees.</w:t>
      </w:r>
      <w:r>
        <w:rPr>
          <w:rFonts w:ascii="Arial" w:cs="Arial" w:eastAsia="Arial" w:hAnsi="Arial"/>
          <w:color w:val="1F2937"/>
          <w:sz w:val="19"/>
          <w:szCs w:val="19"/>
        </w:rPr>
        <w:t xml:space="preserve"> The technical know-how and management fee (RM497.8m) and brand licence (RM233m) total ~6% of revenue. Halving total related-party fees (~RM848m) adds ~RM420m of EBITDA, worth ~RM0.50 a share at 7x [e].</w:t>
      </w:r>
    </w:p>
    <w:p>
      <w:pPr>
        <w:pStyle w:val="ListParagraph"/>
        <w:numPr>
          <w:ilvl w:val="0"/>
          <w:numId w:val="14"/>
        </w:numPr>
        <w:spacing w:after="70" w:before="0" w:line="252"/>
      </w:pPr>
      <w:r>
        <w:rPr>
          <w:rFonts w:ascii="Arial" w:cs="Arial" w:eastAsia="Arial" w:hAnsi="Arial"/>
          <w:b/>
          <w:bCs/>
          <w:color w:val="1F2937"/>
          <w:sz w:val="19"/>
          <w:szCs w:val="19"/>
        </w:rPr>
        <w:t xml:space="preserve">Monetise non-core and real-estate assets to fund New York without equity dilution:</w:t>
      </w:r>
      <w:r>
        <w:rPr>
          <w:rFonts w:ascii="Arial" w:cs="Arial" w:eastAsia="Arial" w:hAnsi="Arial"/>
          <w:color w:val="1F2937"/>
          <w:sz w:val="19"/>
          <w:szCs w:val="19"/>
        </w:rPr>
        <w:t xml:space="preserve"> sell the Miami land (US$1.225bn bid in 2023); run a RWNYC PropCo sale-leaseback with VICI or GLPI; sell or close Empire's upstate assets and Bimini.</w:t>
      </w:r>
    </w:p>
    <w:p>
      <w:pPr>
        <w:pStyle w:val="ListParagraph"/>
        <w:numPr>
          <w:ilvl w:val="0"/>
          <w:numId w:val="14"/>
        </w:numPr>
        <w:spacing w:after="70" w:before="0" w:line="252"/>
      </w:pPr>
      <w:r>
        <w:rPr>
          <w:rFonts w:ascii="Arial" w:cs="Arial" w:eastAsia="Arial" w:hAnsi="Arial"/>
          <w:b/>
          <w:bCs/>
          <w:color w:val="1F2937"/>
          <w:sz w:val="19"/>
          <w:szCs w:val="19"/>
        </w:rPr>
        <w:t xml:space="preserve">A capital-allocation framework:</w:t>
      </w:r>
      <w:r>
        <w:rPr>
          <w:rFonts w:ascii="Arial" w:cs="Arial" w:eastAsia="Arial" w:hAnsi="Arial"/>
          <w:color w:val="1F2937"/>
          <w:sz w:val="19"/>
          <w:szCs w:val="19"/>
        </w:rPr>
        <w:t xml:space="preserve"> published hurdle rates for NY phase 2, and pay for executives (and LKT's RM54.7m) linked to ROIC and TSR.</w:t>
      </w:r>
    </w:p>
    <w:p>
      <w:pPr>
        <w:pStyle w:val="ListParagraph"/>
        <w:numPr>
          <w:ilvl w:val="0"/>
          <w:numId w:val="14"/>
        </w:numPr>
        <w:spacing w:after="70" w:before="0" w:line="252"/>
      </w:pPr>
      <w:r>
        <w:rPr>
          <w:rFonts w:ascii="Arial" w:cs="Arial" w:eastAsia="Arial" w:hAnsi="Arial"/>
          <w:b/>
          <w:bCs/>
          <w:color w:val="1F2937"/>
          <w:sz w:val="19"/>
          <w:szCs w:val="19"/>
        </w:rPr>
        <w:t xml:space="preserve">Board independence:</w:t>
      </w:r>
      <w:r>
        <w:rPr>
          <w:rFonts w:ascii="Arial" w:cs="Arial" w:eastAsia="Arial" w:hAnsi="Arial"/>
          <w:color w:val="1F2937"/>
          <w:sz w:val="19"/>
          <w:szCs w:val="19"/>
        </w:rPr>
        <w:t xml:space="preserve"> an independent majority and an independent chair, plus directors with US gaming and project-finance expertise.</w:t>
      </w:r>
    </w:p>
    <w:p>
      <w:pPr>
        <w:pStyle w:val="ListParagraph"/>
        <w:numPr>
          <w:ilvl w:val="0"/>
          <w:numId w:val="14"/>
        </w:numPr>
        <w:spacing w:after="70" w:before="0" w:line="252"/>
      </w:pPr>
      <w:r>
        <w:rPr>
          <w:rFonts w:ascii="Arial" w:cs="Arial" w:eastAsia="Arial" w:hAnsi="Arial"/>
          <w:b/>
          <w:bCs/>
          <w:color w:val="1F2937"/>
          <w:sz w:val="19"/>
          <w:szCs w:val="19"/>
        </w:rPr>
        <w:t xml:space="preserve">A fair-value floor for any privatisation:</w:t>
      </w:r>
      <w:r>
        <w:rPr>
          <w:rFonts w:ascii="Arial" w:cs="Arial" w:eastAsia="Arial" w:hAnsi="Arial"/>
          <w:color w:val="1F2937"/>
          <w:sz w:val="19"/>
          <w:szCs w:val="19"/>
        </w:rPr>
        <w:t xml:space="preserve"> publicly anchor on the lapsed RM2.35 offer and the independent adviser's RM3.48-3.77 SOTP.</w:t>
      </w:r>
    </w:p>
    <w:p>
      <w:pPr>
        <w:pStyle w:val="Heading2"/>
        <w:keepNext/>
      </w:pPr>
      <w:r>
        <w:rPr>
          <w:rFonts w:ascii="Arial" w:cs="Arial" w:eastAsia="Arial" w:hAnsi="Arial"/>
        </w:rPr>
        <w:t xml:space="preserve">26.2 Feasibility and limits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5040"/>
        <w:gridCol w:w="5040"/>
      </w:tblGrid>
      <w:tr>
        <w:trPr>
          <w:cantSplit/>
          <w:tblHeader/>
        </w:trPr>
        <w:tc>
          <w:tcPr>
            <w:tcW w:type="dxa" w:w="504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Supports activism</w:t>
            </w:r>
          </w:p>
        </w:tc>
        <w:tc>
          <w:tcPr>
            <w:tcW w:type="dxa" w:w="5040"/>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Limits</w:t>
            </w:r>
          </w:p>
        </w:tc>
      </w:tr>
      <w:tr>
        <w:trPr>
          <w:cantSplit/>
        </w:trPr>
        <w:tc>
          <w:tcPr>
            <w:tcW w:type="dxa" w:w="504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Quantifiable value leakage (fees ~RM848m a year; pay) and an independent adviser on record that RM2.35 was "not fair"</w:t>
            </w:r>
          </w:p>
        </w:tc>
        <w:tc>
          <w:tcPr>
            <w:tcW w:type="dxa" w:w="504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Controller at 73.84%; no history of successful activism in the Genting group</w:t>
            </w:r>
          </w:p>
        </w:tc>
      </w:tr>
      <w:tr>
        <w:trPr>
          <w:cantSplit/>
        </w:trPr>
        <w:tc>
          <w:tcPr>
            <w:tcW w:type="dxa" w:w="504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 low share price makes a 10% blocking stake affordable (~US$165m)</w:t>
            </w:r>
          </w:p>
        </w:tc>
        <w:tc>
          <w:tcPr>
            <w:tcW w:type="dxa" w:w="504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Liquidity: ~1-5m shares a day in 2026 (~RM2-6m), so building 10% takes months and moves the price</w:t>
            </w:r>
          </w:p>
        </w:tc>
      </w:tr>
      <w:tr>
        <w:trPr>
          <w:cantSplit/>
        </w:trPr>
        <w:tc>
          <w:tcPr>
            <w:tcW w:type="dxa" w:w="504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Government-linked funds (EPF, KWAP, PNB) have exited; the remaining float is foreign institutions and retail, so it can be aggregated</w:t>
            </w:r>
          </w:p>
        </w:tc>
        <w:tc>
          <w:tcPr>
            <w:tcW w:type="dxa" w:w="5040"/>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Foreign/retail dispersion makes coordination hard; Malaysian institutions rarely oppose the Lim family publicly</w:t>
            </w:r>
          </w:p>
        </w:tc>
      </w:tr>
      <w:tr>
        <w:trPr>
          <w:cantSplit/>
        </w:trPr>
        <w:tc>
          <w:tcPr>
            <w:tcW w:type="dxa" w:w="504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MSWG has historically criticised GENM's related-party transactions</w:t>
            </w:r>
          </w:p>
        </w:tc>
        <w:tc>
          <w:tcPr>
            <w:tcW w:type="dxa" w:w="5040"/>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The exact delisting-objection rule and any creeping-acquisition restrictions need legal confirmation [u]</w:t>
            </w:r>
          </w:p>
        </w:tc>
      </w:tr>
    </w:tbl>
    <w:p>
      <w:pPr>
        <w:spacing w:after="80" w:before="0"/>
      </w:pPr>
    </w:p>
    <w:p>
      <w:pPr>
        <w:spacing w:after="110" w:before="0" w:line="264"/>
      </w:pPr>
      <w:r>
        <w:rPr>
          <w:rFonts w:ascii="Arial" w:cs="Arial" w:eastAsia="Arial" w:hAnsi="Arial"/>
          <w:b/>
          <w:bCs/>
          <w:color w:val="1F2937"/>
          <w:sz w:val="19"/>
          <w:szCs w:val="19"/>
        </w:rPr>
        <w:t xml:space="preserve">Activist conclusion:</w:t>
      </w:r>
      <w:r>
        <w:rPr>
          <w:rFonts w:ascii="Arial" w:cs="Arial" w:eastAsia="Arial" w:hAnsi="Arial"/>
          <w:color w:val="1F2937"/>
          <w:sz w:val="19"/>
          <w:szCs w:val="19"/>
        </w:rPr>
        <w:t xml:space="preserve"> the realistic play is a </w:t>
      </w:r>
      <w:r>
        <w:rPr>
          <w:rFonts w:ascii="Arial" w:cs="Arial" w:eastAsia="Arial" w:hAnsi="Arial"/>
          <w:b/>
          <w:bCs/>
          <w:color w:val="1F2937"/>
          <w:sz w:val="19"/>
          <w:szCs w:val="19"/>
        </w:rPr>
        <w:t xml:space="preserve">quiet blocking stake (5-10%)</w:t>
      </w:r>
      <w:r>
        <w:rPr>
          <w:rFonts w:ascii="Arial" w:cs="Arial" w:eastAsia="Arial" w:hAnsi="Arial"/>
          <w:color w:val="1F2937"/>
          <w:sz w:val="19"/>
          <w:szCs w:val="19"/>
        </w:rPr>
        <w:t xml:space="preserve">, engagement on related-party fees and asset monetisation, and a credible "no" on any privatisation below RM2.35. It is not a public campaign.</w:t>
      </w:r>
    </w:p>
    <w:p>
      <w:pPr>
        <w:pStyle w:val="Heading1"/>
        <w:keepNext/>
      </w:pPr>
      <w:r>
        <w:rPr>
          <w:rFonts w:ascii="Arial" w:cs="Arial" w:eastAsia="Arial" w:hAnsi="Arial"/>
        </w:rPr>
        <w:t xml:space="preserve">27. Fifteen Questions for the CEO and Chairman (Ordered by Information Value)</w:t>
      </w:r>
    </w:p>
    <w:p>
      <w:pPr>
        <w:pStyle w:val="ListParagraph"/>
        <w:numPr>
          <w:ilvl w:val="0"/>
          <w:numId w:val="15"/>
        </w:numPr>
        <w:spacing w:after="70" w:before="0" w:line="252"/>
      </w:pPr>
      <w:r>
        <w:rPr>
          <w:rFonts w:ascii="Arial" w:cs="Arial" w:eastAsia="Arial" w:hAnsi="Arial"/>
          <w:b/>
          <w:bCs/>
          <w:color w:val="1F2937"/>
          <w:sz w:val="19"/>
          <w:szCs w:val="19"/>
        </w:rPr>
        <w:t xml:space="preserve">Racing support:</w:t>
      </w:r>
      <w:r>
        <w:rPr>
          <w:rFonts w:ascii="Arial" w:cs="Arial" w:eastAsia="Arial" w:hAnsi="Arial"/>
          <w:color w:val="1F2937"/>
          <w:sz w:val="19"/>
          <w:szCs w:val="19"/>
        </w:rPr>
        <w:t xml:space="preserve"> If New York enforces the ~US$150m a year racing-support payments on top of the 56% slot tax, will you proceed with the US$3.3bn next phase? What is the walk-away IRR, and will you disclose the project hurdle rate?</w:t>
      </w:r>
    </w:p>
    <w:p>
      <w:pPr>
        <w:pStyle w:val="ListParagraph"/>
        <w:numPr>
          <w:ilvl w:val="0"/>
          <w:numId w:val="15"/>
        </w:numPr>
        <w:spacing w:after="70" w:before="0" w:line="252"/>
      </w:pPr>
      <w:r>
        <w:rPr>
          <w:rFonts w:ascii="Arial" w:cs="Arial" w:eastAsia="Arial" w:hAnsi="Arial"/>
          <w:b/>
          <w:bCs/>
          <w:color w:val="1F2937"/>
          <w:sz w:val="19"/>
          <w:szCs w:val="19"/>
        </w:rPr>
        <w:t xml:space="preserve">Funding plan:</w:t>
      </w:r>
      <w:r>
        <w:rPr>
          <w:rFonts w:ascii="Arial" w:cs="Arial" w:eastAsia="Arial" w:hAnsi="Arial"/>
          <w:color w:val="1F2937"/>
          <w:sz w:val="19"/>
          <w:szCs w:val="19"/>
        </w:rPr>
        <w:t xml:space="preserve"> How will the remaining ~US$3.7bn of NY capex be funded: secured US debt, perpetuals, asset sales (Miami, Catskills, a RWNYC property sale-leaseback) or GENM equity? Will Genting Bhd commit in writing to take up its pro-rata share of any GENM equity raise?</w:t>
      </w:r>
    </w:p>
    <w:p>
      <w:pPr>
        <w:pStyle w:val="ListParagraph"/>
        <w:numPr>
          <w:ilvl w:val="0"/>
          <w:numId w:val="15"/>
        </w:numPr>
        <w:spacing w:after="70" w:before="0" w:line="252"/>
      </w:pPr>
      <w:r>
        <w:rPr>
          <w:rFonts w:ascii="Arial" w:cs="Arial" w:eastAsia="Arial" w:hAnsi="Arial"/>
          <w:b/>
          <w:bCs/>
          <w:color w:val="1F2937"/>
          <w:sz w:val="19"/>
          <w:szCs w:val="19"/>
        </w:rPr>
        <w:t xml:space="preserve">Parent cash needs:</w:t>
      </w:r>
      <w:r>
        <w:rPr>
          <w:rFonts w:ascii="Arial" w:cs="Arial" w:eastAsia="Arial" w:hAnsi="Arial"/>
          <w:color w:val="1F2937"/>
          <w:sz w:val="19"/>
          <w:szCs w:val="19"/>
        </w:rPr>
        <w:t xml:space="preserve"> Given Genting Bhd's RM1.25bn rights issue and ~RM45bn of debt, will GENM's dividend policy, fees or intra-group lending change to support the parent? Can you rule out GENM lending to, or guaranteeing, Genting Bhd entities?</w:t>
      </w:r>
    </w:p>
    <w:p>
      <w:pPr>
        <w:pStyle w:val="ListParagraph"/>
        <w:numPr>
          <w:ilvl w:val="0"/>
          <w:numId w:val="15"/>
        </w:numPr>
        <w:spacing w:after="70" w:before="0" w:line="252"/>
      </w:pPr>
      <w:r>
        <w:rPr>
          <w:rFonts w:ascii="Arial" w:cs="Arial" w:eastAsia="Arial" w:hAnsi="Arial"/>
          <w:b/>
          <w:bCs/>
          <w:color w:val="1F2937"/>
          <w:sz w:val="19"/>
          <w:szCs w:val="19"/>
        </w:rPr>
        <w:t xml:space="preserve">Privatisation intent:</w:t>
      </w:r>
      <w:r>
        <w:rPr>
          <w:rFonts w:ascii="Arial" w:cs="Arial" w:eastAsia="Arial" w:hAnsi="Arial"/>
          <w:color w:val="1F2937"/>
          <w:sz w:val="19"/>
          <w:szCs w:val="19"/>
        </w:rPr>
        <w:t xml:space="preserve"> Genting Bhd said it does not intend to maintain GENM's listing. Is a renewed offer, share swap or delisting via an exit offer under consideration once the 12-month post-offer period ends (~Dec-2026)? Would the board treat RM2.35 as a floor?</w:t>
      </w:r>
    </w:p>
    <w:p>
      <w:pPr>
        <w:pStyle w:val="ListParagraph"/>
        <w:numPr>
          <w:ilvl w:val="0"/>
          <w:numId w:val="15"/>
        </w:numPr>
        <w:spacing w:after="70" w:before="0" w:line="252"/>
      </w:pPr>
      <w:r>
        <w:rPr>
          <w:rFonts w:ascii="Arial" w:cs="Arial" w:eastAsia="Arial" w:hAnsi="Arial"/>
          <w:b/>
          <w:bCs/>
          <w:color w:val="1F2937"/>
          <w:sz w:val="19"/>
          <w:szCs w:val="19"/>
        </w:rPr>
        <w:t xml:space="preserve">Related-party fees:</w:t>
      </w:r>
      <w:r>
        <w:rPr>
          <w:rFonts w:ascii="Arial" w:cs="Arial" w:eastAsia="Arial" w:hAnsi="Arial"/>
          <w:color w:val="1F2937"/>
          <w:sz w:val="19"/>
          <w:szCs w:val="19"/>
        </w:rPr>
        <w:t xml:space="preserve"> What is the economic basis of the ~RM498m technical know-how and management fee and the RM233m brand licence? Will the independent directors commission an external benchmarking and put the RRPT mandate to a separate minority vote?</w:t>
      </w:r>
    </w:p>
    <w:p>
      <w:pPr>
        <w:pStyle w:val="ListParagraph"/>
        <w:numPr>
          <w:ilvl w:val="0"/>
          <w:numId w:val="15"/>
        </w:numPr>
        <w:spacing w:after="70" w:before="0" w:line="252"/>
      </w:pPr>
      <w:r>
        <w:rPr>
          <w:rFonts w:ascii="Arial" w:cs="Arial" w:eastAsia="Arial" w:hAnsi="Arial"/>
          <w:b/>
          <w:bCs/>
          <w:color w:val="1F2937"/>
          <w:sz w:val="19"/>
          <w:szCs w:val="19"/>
        </w:rPr>
        <w:t xml:space="preserve">RWNYC economics:</w:t>
      </w:r>
      <w:r>
        <w:rPr>
          <w:rFonts w:ascii="Arial" w:cs="Arial" w:eastAsia="Arial" w:hAnsi="Arial"/>
          <w:color w:val="1F2937"/>
          <w:sz w:val="19"/>
          <w:szCs w:val="19"/>
        </w:rPr>
        <w:t xml:space="preserve"> What are RWNYC's current EBITDA run-rate, hold-adjusted table win and marketing (free play) as a share of GGR, and the targeted steady-state margin before and after rivals open around 2030?</w:t>
      </w:r>
    </w:p>
    <w:p>
      <w:pPr>
        <w:pStyle w:val="ListParagraph"/>
        <w:numPr>
          <w:ilvl w:val="0"/>
          <w:numId w:val="15"/>
        </w:numPr>
        <w:spacing w:after="70" w:before="0" w:line="252"/>
      </w:pPr>
      <w:r>
        <w:rPr>
          <w:rFonts w:ascii="Arial" w:cs="Arial" w:eastAsia="Arial" w:hAnsi="Arial"/>
          <w:b/>
          <w:bCs/>
          <w:color w:val="1F2937"/>
          <w:sz w:val="19"/>
          <w:szCs w:val="19"/>
        </w:rPr>
        <w:t xml:space="preserve">Tax equalisation:</w:t>
      </w:r>
      <w:r>
        <w:rPr>
          <w:rFonts w:ascii="Arial" w:cs="Arial" w:eastAsia="Arial" w:hAnsi="Arial"/>
          <w:color w:val="1F2937"/>
          <w:sz w:val="19"/>
          <w:szCs w:val="19"/>
        </w:rPr>
        <w:t xml:space="preserve"> What legal or contractual basis supports the clause seeking the same tax rate as Metropolitan Park and Bally's (25-30%) once they open? What is your downside plan if Albany refuses?</w:t>
      </w:r>
    </w:p>
    <w:p>
      <w:pPr>
        <w:pStyle w:val="ListParagraph"/>
        <w:numPr>
          <w:ilvl w:val="0"/>
          <w:numId w:val="15"/>
        </w:numPr>
        <w:spacing w:after="70" w:before="0" w:line="252"/>
      </w:pPr>
      <w:r>
        <w:rPr>
          <w:rFonts w:ascii="Arial" w:cs="Arial" w:eastAsia="Arial" w:hAnsi="Arial"/>
          <w:b/>
          <w:bCs/>
          <w:color w:val="1F2937"/>
          <w:sz w:val="19"/>
          <w:szCs w:val="19"/>
        </w:rPr>
        <w:t xml:space="preserve">Malaysian capacity:</w:t>
      </w:r>
      <w:r>
        <w:rPr>
          <w:rFonts w:ascii="Arial" w:cs="Arial" w:eastAsia="Arial" w:hAnsi="Arial"/>
          <w:color w:val="1F2937"/>
          <w:sz w:val="19"/>
          <w:szCs w:val="19"/>
        </w:rPr>
        <w:t xml:space="preserve"> When will the two closed RWG casino floors reopen? What incremental mass GGR and EBITDA do you expect, and at what capex?</w:t>
      </w:r>
    </w:p>
    <w:p>
      <w:pPr>
        <w:pStyle w:val="ListParagraph"/>
        <w:numPr>
          <w:ilvl w:val="0"/>
          <w:numId w:val="15"/>
        </w:numPr>
        <w:spacing w:after="70" w:before="0" w:line="252"/>
      </w:pPr>
      <w:r>
        <w:rPr>
          <w:rFonts w:ascii="Arial" w:cs="Arial" w:eastAsia="Arial" w:hAnsi="Arial"/>
          <w:b/>
          <w:bCs/>
          <w:color w:val="1F2937"/>
          <w:sz w:val="19"/>
          <w:szCs w:val="19"/>
        </w:rPr>
        <w:t xml:space="preserve">Malaysian policy risk:</w:t>
      </w:r>
      <w:r>
        <w:rPr>
          <w:rFonts w:ascii="Arial" w:cs="Arial" w:eastAsia="Arial" w:hAnsi="Arial"/>
          <w:color w:val="1F2937"/>
          <w:sz w:val="19"/>
          <w:szCs w:val="19"/>
        </w:rPr>
        <w:t xml:space="preserve"> Has the government signalled any change to casino duty, the licence fee or the three-month renewal mechanism? What contingency exists for a PAS-led Pahang state government after GE16?</w:t>
      </w:r>
    </w:p>
    <w:p>
      <w:pPr>
        <w:pStyle w:val="ListParagraph"/>
        <w:numPr>
          <w:ilvl w:val="0"/>
          <w:numId w:val="15"/>
        </w:numPr>
        <w:spacing w:after="70" w:before="0" w:line="252"/>
      </w:pPr>
      <w:r>
        <w:rPr>
          <w:rFonts w:ascii="Arial" w:cs="Arial" w:eastAsia="Arial" w:hAnsi="Arial"/>
          <w:b/>
          <w:bCs/>
          <w:color w:val="1F2937"/>
          <w:sz w:val="19"/>
          <w:szCs w:val="19"/>
        </w:rPr>
        <w:t xml:space="preserve">Miami:</w:t>
      </w:r>
      <w:r>
        <w:rPr>
          <w:rFonts w:ascii="Arial" w:cs="Arial" w:eastAsia="Arial" w:hAnsi="Arial"/>
          <w:color w:val="1F2937"/>
          <w:sz w:val="19"/>
          <w:szCs w:val="19"/>
        </w:rPr>
        <w:t xml:space="preserve"> What is the current marketing status and price expectation for the Omni land after the collapsed US$1.225bn sale? Will proceeds be ring-fenced for deleveraging or NY capex?</w:t>
      </w:r>
    </w:p>
    <w:p>
      <w:pPr>
        <w:pStyle w:val="ListParagraph"/>
        <w:numPr>
          <w:ilvl w:val="0"/>
          <w:numId w:val="15"/>
        </w:numPr>
        <w:spacing w:after="70" w:before="0" w:line="252"/>
      </w:pPr>
      <w:r>
        <w:rPr>
          <w:rFonts w:ascii="Arial" w:cs="Arial" w:eastAsia="Arial" w:hAnsi="Arial"/>
          <w:b/>
          <w:bCs/>
          <w:color w:val="1F2937"/>
          <w:sz w:val="19"/>
          <w:szCs w:val="19"/>
        </w:rPr>
        <w:t xml:space="preserve">Empire Resorts:</w:t>
      </w:r>
      <w:r>
        <w:rPr>
          <w:rFonts w:ascii="Arial" w:cs="Arial" w:eastAsia="Arial" w:hAnsi="Arial"/>
          <w:color w:val="1F2937"/>
          <w:sz w:val="19"/>
          <w:szCs w:val="19"/>
        </w:rPr>
        <w:t xml:space="preserve"> Total investment is ~US$765m. What is the path to positive EBITDA at Catskills and Hudson Valley once downstate casinos open, and would you sell or close them?</w:t>
      </w:r>
    </w:p>
    <w:p>
      <w:pPr>
        <w:pStyle w:val="ListParagraph"/>
        <w:numPr>
          <w:ilvl w:val="0"/>
          <w:numId w:val="15"/>
        </w:numPr>
        <w:spacing w:after="70" w:before="0" w:line="252"/>
      </w:pPr>
      <w:r>
        <w:rPr>
          <w:rFonts w:ascii="Arial" w:cs="Arial" w:eastAsia="Arial" w:hAnsi="Arial"/>
          <w:b/>
          <w:bCs/>
          <w:color w:val="1F2937"/>
          <w:sz w:val="19"/>
          <w:szCs w:val="19"/>
        </w:rPr>
        <w:t xml:space="preserve">UK:</w:t>
      </w:r>
      <w:r>
        <w:rPr>
          <w:rFonts w:ascii="Arial" w:cs="Arial" w:eastAsia="Arial" w:hAnsi="Arial"/>
          <w:color w:val="1F2937"/>
          <w:sz w:val="19"/>
          <w:szCs w:val="19"/>
        </w:rPr>
        <w:t xml:space="preserve"> If machine games duty doubles on 28-Oct-2026, which of the 13 at-risk casinos will close, and what impairments and redundancy costs should we expect? Is the UK business non-core?</w:t>
      </w:r>
    </w:p>
    <w:p>
      <w:pPr>
        <w:pStyle w:val="ListParagraph"/>
        <w:numPr>
          <w:ilvl w:val="0"/>
          <w:numId w:val="15"/>
        </w:numPr>
        <w:spacing w:after="70" w:before="0" w:line="252"/>
      </w:pPr>
      <w:r>
        <w:rPr>
          <w:rFonts w:ascii="Arial" w:cs="Arial" w:eastAsia="Arial" w:hAnsi="Arial"/>
          <w:b/>
          <w:bCs/>
          <w:color w:val="1F2937"/>
          <w:sz w:val="19"/>
          <w:szCs w:val="19"/>
        </w:rPr>
        <w:t xml:space="preserve">Capital allocation framework:</w:t>
      </w:r>
      <w:r>
        <w:rPr>
          <w:rFonts w:ascii="Arial" w:cs="Arial" w:eastAsia="Arial" w:hAnsi="Arial"/>
          <w:color w:val="1F2937"/>
          <w:sz w:val="19"/>
          <w:szCs w:val="19"/>
        </w:rPr>
        <w:t xml:space="preserve"> Will the board adopt explicit ROIC targets (above WACC) for growth capex and link executive pay to ROIC/TSR rather than revenue-linked metrics?</w:t>
      </w:r>
    </w:p>
    <w:p>
      <w:pPr>
        <w:pStyle w:val="ListParagraph"/>
        <w:numPr>
          <w:ilvl w:val="0"/>
          <w:numId w:val="15"/>
        </w:numPr>
        <w:spacing w:after="70" w:before="0" w:line="252"/>
      </w:pPr>
      <w:r>
        <w:rPr>
          <w:rFonts w:ascii="Arial" w:cs="Arial" w:eastAsia="Arial" w:hAnsi="Arial"/>
          <w:b/>
          <w:bCs/>
          <w:color w:val="1F2937"/>
          <w:sz w:val="19"/>
          <w:szCs w:val="19"/>
        </w:rPr>
        <w:t xml:space="preserve">Board independence:</w:t>
      </w:r>
      <w:r>
        <w:rPr>
          <w:rFonts w:ascii="Arial" w:cs="Arial" w:eastAsia="Arial" w:hAnsi="Arial"/>
          <w:color w:val="1F2937"/>
          <w:sz w:val="19"/>
          <w:szCs w:val="19"/>
        </w:rPr>
        <w:t xml:space="preserve"> Will the board move to an independent majority with an independent chair, in line with MCCG for large companies, and add directors with US gaming and project-finance expertise?</w:t>
      </w:r>
    </w:p>
    <w:p>
      <w:pPr>
        <w:pStyle w:val="ListParagraph"/>
        <w:numPr>
          <w:ilvl w:val="0"/>
          <w:numId w:val="15"/>
        </w:numPr>
        <w:spacing w:after="70" w:before="0" w:line="252"/>
      </w:pPr>
      <w:r>
        <w:rPr>
          <w:rFonts w:ascii="Arial" w:cs="Arial" w:eastAsia="Arial" w:hAnsi="Arial"/>
          <w:b/>
          <w:bCs/>
          <w:color w:val="1F2937"/>
          <w:sz w:val="19"/>
          <w:szCs w:val="19"/>
        </w:rPr>
        <w:t xml:space="preserve">Succession:</w:t>
      </w:r>
      <w:r>
        <w:rPr>
          <w:rFonts w:ascii="Arial" w:cs="Arial" w:eastAsia="Arial" w:hAnsi="Arial"/>
          <w:color w:val="1F2937"/>
          <w:sz w:val="19"/>
          <w:szCs w:val="19"/>
        </w:rPr>
        <w:t xml:space="preserve"> Following Lee Choong Yan's departure, who is accountable for the NY build, and what is the CEO succession plan at GENM (as opposed to Genting Bhd)?</w:t>
      </w:r>
    </w:p>
    <w:p>
      <w:pPr>
        <w:pStyle w:val="Heading1"/>
        <w:keepNext/>
      </w:pPr>
      <w:r>
        <w:rPr>
          <w:rFonts w:ascii="Arial" w:cs="Arial" w:eastAsia="Arial" w:hAnsi="Arial"/>
        </w:rPr>
        <w:t xml:space="preserve">28. Timeline of Key Past Events and Upcoming Catalyst Calendar</w:t>
      </w:r>
    </w:p>
    <w:p>
      <w:pPr>
        <w:pStyle w:val="Heading2"/>
        <w:keepNext/>
      </w:pPr>
      <w:r>
        <w:rPr>
          <w:rFonts w:ascii="Arial" w:cs="Arial" w:eastAsia="Arial" w:hAnsi="Arial"/>
        </w:rPr>
        <w:t xml:space="preserve">28.1 Timeline of key past events</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2186"/>
        <w:gridCol w:w="7894"/>
      </w:tblGrid>
      <w:tr>
        <w:trPr>
          <w:cantSplit/>
          <w:tblHeader/>
        </w:trPr>
        <w:tc>
          <w:tcPr>
            <w:tcW w:type="dxa" w:w="2186"/>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Date</w:t>
            </w:r>
          </w:p>
        </w:tc>
        <w:tc>
          <w:tcPr>
            <w:tcW w:type="dxa" w:w="7894"/>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Event</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28-Apr-1969</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Lim Goh Tong granted Malaysia's sole casino licence</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1989</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GENM (then Resorts World Bhd) listed on Bursa</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Aug-2010</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Buys Genting UK from Genting Singapore (£351.5m; 60.39% approval)</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2011</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Buys Miami Omni/Herald land (~US$236m [u])</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2013</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Launches Genting Integrated Tourism Plan (later RM10.38bn)</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Oct-2016</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Genting HK stake sold to Lim-family vehicle (Golden Hope)</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Feb-2018</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Resorts World Catskills opens</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Q3-2018</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RM1.83bn Mashpee impairment</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2-Nov-2018</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Budget 2019: casino duty 25%→35%, licence fee RM150m (−21% in a week)</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26-Nov-2018</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Fox/Disney terminate theme-park licence; GENM sues (−20% in a week)</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25-Jul-2019</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Fox/Disney settlement</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Aug-Nov 2019</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Empire Resorts RPT and take-private with Kien Huat (−12% in a day)</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Mar-2020 to Oct-2021</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Covid closures of RWG</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Feb-2022</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Genting SkyWorlds opens</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Dec-2022</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RW Hudson Valley opens</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Jun-2023</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US$1.225bn Miami land sale collapses</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Oct-2023</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Crockfords Mayfair closes</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Feb-2024</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Two of RWG's three legacy casino floors closed for renovation</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Mar-2024</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Service tax on gaming 6%→8%</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Dec-2024</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GENM removed from the FBM KLCI</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28-Feb-2025</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4Q24 loss, DPS cut to 4 sen, MSCI Malaysia deletion (−19.5% day)</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May-2025</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Buys Kien Huat's 51% of Empire for US$41m (RM129m bargain gain)</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Aug-2025</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No interim dividend</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13-Oct-2025</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Genting Bhd RM2.35 cash offer</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1-Dec-2025</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Offer closes at 73.13%; NY board selects RWNYC</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15-Dec-2025</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NY Gaming Commission awards the downstate licence</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Jan-2026</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US$500m licence fee paid</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1-Mar-2026</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Lee Choong Yan steps down as President; Lee Thiam Kit appointed</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28-Apr-2026</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RWNYC opens live table games (first in NYC)</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Jun-2026</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US$2.0bn Genting Americas facility; one-year NY racing-support legislative fix</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2-Jul-2026</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Empire US$300m 7.75% notes redeemed</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Jul-2026</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+1,400 slots at RWNYC; phase-2 groundbreaking</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20-Aug-2026</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2Q26: revenue +32%, NP −89%, no interim dividend</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Sep-2026</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Fitch cuts GENM and Genting Bhd to BBB-</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17-Sep-2026</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Buyback "commenced" under AGM mandate</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9-Oct-2026</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Malaysia Budget 2027 (no gaming change identified [u]); Genting Bhd RM1.25bn rights issue</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12-Oct-2026</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GENM −17.4% to RM1.23; GENM buys back 550,000 shares at ~RM1.27 (first disclosed purchases)</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13-Oct-2026</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MoU with Alibaba Cloud (AI and cloud)</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14-21 Oct-2026</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Kien Huat and Genting Bhd's CEO buy Genting Bhd shares; Genting Bhd says RM280m of rights proceeds will fund interest; Affin downgrades GENM to Sell (TP RM1.00)</w:t>
            </w:r>
          </w:p>
        </w:tc>
      </w:tr>
      <w:tr>
        <w:trPr>
          <w:cantSplit/>
        </w:trPr>
        <w:tc>
          <w:tcPr>
            <w:tcW w:type="dxa" w:w="2186"/>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Mid-Oct-2026</w:t>
            </w:r>
          </w:p>
        </w:tc>
        <w:tc>
          <w:tcPr>
            <w:tcW w:type="dxa" w:w="7894"/>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NY data: RWNYC September GGR US$126.7m (tables US$41.5m)</w:t>
            </w:r>
          </w:p>
        </w:tc>
      </w:tr>
      <w:tr>
        <w:trPr>
          <w:cantSplit/>
        </w:trPr>
        <w:tc>
          <w:tcPr>
            <w:tcW w:type="dxa" w:w="2186"/>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21-Oct-2026</w:t>
            </w:r>
          </w:p>
        </w:tc>
        <w:tc>
          <w:tcPr>
            <w:tcW w:type="dxa" w:w="7894"/>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GENM closes at a record-low RM1.19 (RM1.18 intraday)</w:t>
            </w:r>
          </w:p>
        </w:tc>
      </w:tr>
    </w:tbl>
    <w:p>
      <w:pPr>
        <w:spacing w:after="80" w:before="0"/>
      </w:pPr>
    </w:p>
    <w:p>
      <w:pPr>
        <w:pStyle w:val="Heading2"/>
        <w:keepNext/>
      </w:pPr>
      <w:r>
        <w:rPr>
          <w:rFonts w:ascii="Arial" w:cs="Arial" w:eastAsia="Arial" w:hAnsi="Arial"/>
        </w:rPr>
        <w:t xml:space="preserve">28.2 Upcoming catalyst calendar</w:t>
      </w:r>
    </w:p>
    <w:tbl>
      <w:tblPr>
        <w:tblW w:type="dxa" w:w="10080"/>
        <w:tblBorders>
          <w:top w:val="single" w:color="14213D" w:sz="8"/>
          <w:left w:val="none" w:color="FFFFFF" w:sz="0"/>
          <w:bottom w:val="single" w:color="14213D" w:sz="8"/>
          <w:right w:val="none" w:color="FFFFFF" w:sz="0"/>
          <w:insideH w:val="single" w:color="D1D5DB" w:sz="4"/>
          <w:insideV w:val="none" w:color="FFFFFF" w:sz="0"/>
        </w:tblBorders>
        <w:tblLayout w:type="fixed"/>
      </w:tblPr>
      <w:tblGrid>
        <w:gridCol w:w="1271"/>
        <w:gridCol w:w="3677"/>
        <w:gridCol w:w="3951"/>
        <w:gridCol w:w="1181"/>
      </w:tblGrid>
      <w:tr>
        <w:trPr>
          <w:cantSplit/>
          <w:tblHeader/>
        </w:trPr>
        <w:tc>
          <w:tcPr>
            <w:tcW w:type="dxa" w:w="127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Date (est.)</w:t>
            </w:r>
          </w:p>
        </w:tc>
        <w:tc>
          <w:tcPr>
            <w:tcW w:type="dxa" w:w="3677"/>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Event</w:t>
            </w:r>
          </w:p>
        </w:tc>
        <w:tc>
          <w:tcPr>
            <w:tcW w:type="dxa" w:w="395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Why it matters</w:t>
            </w:r>
          </w:p>
        </w:tc>
        <w:tc>
          <w:tcPr>
            <w:tcW w:type="dxa" w:w="1181"/>
            <w:tcBorders>
              <w:top w:val="none" w:color="FFFFFF" w:sz="0"/>
              <w:left w:val="none" w:color="FFFFFF" w:sz="0"/>
              <w:bottom w:val="single" w:color="14213D" w:sz="4"/>
              <w:right w:val="none" w:color="FFFFFF" w:sz="0"/>
            </w:tcBorders>
            <w:shd w:fill="14213D"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FFFFFF"/>
                <w:sz w:val="17"/>
                <w:szCs w:val="17"/>
              </w:rPr>
              <w:t xml:space="preserve">Importance</w:t>
            </w:r>
          </w:p>
        </w:tc>
      </w:tr>
      <w:tr>
        <w:trPr>
          <w:cantSplit/>
        </w:trPr>
        <w:tc>
          <w:tcPr>
            <w:tcW w:type="dxa" w:w="127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28-Oct-2026</w:t>
            </w:r>
          </w:p>
        </w:tc>
        <w:tc>
          <w:tcPr>
            <w:tcW w:type="dxa" w:w="36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UK Autumn Budget</w:t>
            </w:r>
          </w:p>
        </w:tc>
        <w:tc>
          <w:tcPr>
            <w:tcW w:type="dxa" w:w="39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Machine games duty doubling would put 13 of 32 UK casinos at risk; impairments</w:t>
            </w:r>
          </w:p>
        </w:tc>
        <w:tc>
          <w:tcPr>
            <w:tcW w:type="dxa" w:w="11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Medium</w:t>
            </w:r>
          </w:p>
        </w:tc>
      </w:tr>
      <w:tr>
        <w:trPr>
          <w:cantSplit/>
        </w:trPr>
        <w:tc>
          <w:tcPr>
            <w:tcW w:type="dxa" w:w="127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Weekly, ongoing</w:t>
            </w:r>
          </w:p>
        </w:tc>
        <w:tc>
          <w:tcPr>
            <w:tcW w:type="dxa" w:w="36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NY Gaming Commission weekly RWNYC GGR data</w:t>
            </w:r>
          </w:p>
        </w:tc>
        <w:tc>
          <w:tcPr>
            <w:tcW w:type="dxa" w:w="39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Real-time test of the ramp (~US$30.8m a week in Jul-26; ~US$29.6m in Sep-26)</w:t>
            </w:r>
          </w:p>
        </w:tc>
        <w:tc>
          <w:tcPr>
            <w:tcW w:type="dxa" w:w="11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High</w:t>
            </w:r>
          </w:p>
        </w:tc>
      </w:tr>
      <w:tr>
        <w:trPr>
          <w:cantSplit/>
        </w:trPr>
        <w:tc>
          <w:tcPr>
            <w:tcW w:type="dxa" w:w="127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Mid-Nov-2026</w:t>
            </w:r>
          </w:p>
        </w:tc>
        <w:tc>
          <w:tcPr>
            <w:tcW w:type="dxa" w:w="36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NY Gaming Commission October monthly report</w:t>
            </w:r>
          </w:p>
        </w:tc>
        <w:tc>
          <w:tcPr>
            <w:tcW w:type="dxa" w:w="39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Whether the Jul-Sep fade stabilises at ≥US$125m a month</w:t>
            </w:r>
          </w:p>
        </w:tc>
        <w:tc>
          <w:tcPr>
            <w:tcW w:type="dxa" w:w="11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High</w:t>
            </w:r>
          </w:p>
        </w:tc>
      </w:tr>
      <w:tr>
        <w:trPr>
          <w:cantSplit/>
        </w:trPr>
        <w:tc>
          <w:tcPr>
            <w:tcW w:type="dxa" w:w="127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Mid-Nov-2026</w:t>
            </w:r>
          </w:p>
        </w:tc>
        <w:tc>
          <w:tcPr>
            <w:tcW w:type="dxa" w:w="36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MSCI semi-annual review (GENM in Malaysia Small Cap)</w:t>
            </w:r>
          </w:p>
        </w:tc>
        <w:tc>
          <w:tcPr>
            <w:tcW w:type="dxa" w:w="39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Possible small-cap deletion or weight cut given 26% float</w:t>
            </w:r>
          </w:p>
        </w:tc>
        <w:tc>
          <w:tcPr>
            <w:tcW w:type="dxa" w:w="11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Medium</w:t>
            </w:r>
          </w:p>
        </w:tc>
      </w:tr>
      <w:tr>
        <w:trPr>
          <w:cantSplit/>
        </w:trPr>
        <w:tc>
          <w:tcPr>
            <w:tcW w:type="dxa" w:w="127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~19-26 Nov-2026 [u]</w:t>
            </w:r>
          </w:p>
        </w:tc>
        <w:tc>
          <w:tcPr>
            <w:tcW w:type="dxa" w:w="36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3Q26 results</w:t>
            </w:r>
          </w:p>
        </w:tc>
        <w:tc>
          <w:tcPr>
            <w:tcW w:type="dxa" w:w="39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First full quarter of NY table games; FX; any dividend signal; NY EBITDA run-rate</w:t>
            </w:r>
          </w:p>
        </w:tc>
        <w:tc>
          <w:tcPr>
            <w:tcW w:type="dxa" w:w="11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High</w:t>
            </w:r>
          </w:p>
        </w:tc>
      </w:tr>
      <w:tr>
        <w:trPr>
          <w:cantSplit/>
        </w:trPr>
        <w:tc>
          <w:tcPr>
            <w:tcW w:type="dxa" w:w="127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~1-Dec-2026 [u]</w:t>
            </w:r>
          </w:p>
        </w:tc>
        <w:tc>
          <w:tcPr>
            <w:tcW w:type="dxa" w:w="36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End of the 12-month post-offer window</w:t>
            </w:r>
          </w:p>
        </w:tc>
        <w:tc>
          <w:tcPr>
            <w:tcW w:type="dxa" w:w="39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Genting Bhd can resume buying; 75% threshold (~66m shares, ~RM78m at RM1.19) reopens a delisting route</w:t>
            </w:r>
          </w:p>
        </w:tc>
        <w:tc>
          <w:tcPr>
            <w:tcW w:type="dxa" w:w="11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High</w:t>
            </w:r>
          </w:p>
        </w:tc>
      </w:tr>
      <w:tr>
        <w:trPr>
          <w:cantSplit/>
        </w:trPr>
        <w:tc>
          <w:tcPr>
            <w:tcW w:type="dxa" w:w="127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Dec-2026</w:t>
            </w:r>
          </w:p>
        </w:tc>
        <w:tc>
          <w:tcPr>
            <w:tcW w:type="dxa" w:w="36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FBM KLCI semi-annual review</w:t>
            </w:r>
          </w:p>
        </w:tc>
        <w:tc>
          <w:tcPr>
            <w:tcW w:type="dxa" w:w="39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Re-entry unlikely</w:t>
            </w:r>
          </w:p>
        </w:tc>
        <w:tc>
          <w:tcPr>
            <w:tcW w:type="dxa" w:w="11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Low</w:t>
            </w:r>
          </w:p>
        </w:tc>
      </w:tr>
      <w:tr>
        <w:trPr>
          <w:cantSplit/>
        </w:trPr>
        <w:tc>
          <w:tcPr>
            <w:tcW w:type="dxa" w:w="127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Dec-2026 / Jan-2027</w:t>
            </w:r>
          </w:p>
        </w:tc>
        <w:tc>
          <w:tcPr>
            <w:tcW w:type="dxa" w:w="36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ECRL rail opens</w:t>
            </w:r>
          </w:p>
        </w:tc>
        <w:tc>
          <w:tcPr>
            <w:tcW w:type="dxa" w:w="39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Access to Genting Highlands</w:t>
            </w:r>
          </w:p>
        </w:tc>
        <w:tc>
          <w:tcPr>
            <w:tcW w:type="dxa" w:w="11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Low</w:t>
            </w:r>
          </w:p>
        </w:tc>
      </w:tr>
      <w:tr>
        <w:trPr>
          <w:cantSplit/>
        </w:trPr>
        <w:tc>
          <w:tcPr>
            <w:tcW w:type="dxa" w:w="127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4Q26-1Q27</w:t>
            </w:r>
          </w:p>
        </w:tc>
        <w:tc>
          <w:tcPr>
            <w:tcW w:type="dxa" w:w="36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Genting Bhd rights issue (EGM, books close, completion 1Q27)</w:t>
            </w:r>
          </w:p>
        </w:tc>
        <w:tc>
          <w:tcPr>
            <w:tcW w:type="dxa" w:w="39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Removes parent overhang; shows parent's funding capacity</w:t>
            </w:r>
          </w:p>
        </w:tc>
        <w:tc>
          <w:tcPr>
            <w:tcW w:type="dxa" w:w="11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High</w:t>
            </w:r>
          </w:p>
        </w:tc>
      </w:tr>
      <w:tr>
        <w:trPr>
          <w:cantSplit/>
        </w:trPr>
        <w:tc>
          <w:tcPr>
            <w:tcW w:type="dxa" w:w="127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Jan-Jun 2027</w:t>
            </w:r>
          </w:p>
        </w:tc>
        <w:tc>
          <w:tcPr>
            <w:tcW w:type="dxa" w:w="36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NY legislative session: racing-support fix expires; tax equalisation debate</w:t>
            </w:r>
          </w:p>
        </w:tc>
        <w:tc>
          <w:tcPr>
            <w:tcW w:type="dxa" w:w="39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~US$150m a year swing in EBITDA</w:t>
            </w:r>
          </w:p>
        </w:tc>
        <w:tc>
          <w:tcPr>
            <w:tcW w:type="dxa" w:w="11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Critical</w:t>
            </w:r>
          </w:p>
        </w:tc>
      </w:tr>
      <w:tr>
        <w:trPr>
          <w:cantSplit/>
        </w:trPr>
        <w:tc>
          <w:tcPr>
            <w:tcW w:type="dxa" w:w="127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~25-Feb-2027</w:t>
            </w:r>
          </w:p>
        </w:tc>
        <w:tc>
          <w:tcPr>
            <w:tcW w:type="dxa" w:w="36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FY26 results and final dividend</w:t>
            </w:r>
          </w:p>
        </w:tc>
        <w:tc>
          <w:tcPr>
            <w:tcW w:type="dxa" w:w="39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Consensus DPS 7.3 sen; we expect 5 sen; risk of a cut</w:t>
            </w:r>
          </w:p>
        </w:tc>
        <w:tc>
          <w:tcPr>
            <w:tcW w:type="dxa" w:w="11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High</w:t>
            </w:r>
          </w:p>
        </w:tc>
      </w:tr>
      <w:tr>
        <w:trPr>
          <w:cantSplit/>
        </w:trPr>
        <w:tc>
          <w:tcPr>
            <w:tcW w:type="dxa" w:w="127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31-Mar-2027</w:t>
            </w:r>
          </w:p>
        </w:tc>
        <w:tc>
          <w:tcPr>
            <w:tcW w:type="dxa" w:w="36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RM1.1bn 4.98% MTN maturity</w:t>
            </w:r>
          </w:p>
        </w:tc>
        <w:tc>
          <w:tcPr>
            <w:tcW w:type="dxa" w:w="39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First refinancing test at BBB-</w:t>
            </w:r>
          </w:p>
        </w:tc>
        <w:tc>
          <w:tcPr>
            <w:tcW w:type="dxa" w:w="11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Medium</w:t>
            </w:r>
          </w:p>
        </w:tc>
      </w:tr>
      <w:tr>
        <w:trPr>
          <w:cantSplit/>
        </w:trPr>
        <w:tc>
          <w:tcPr>
            <w:tcW w:type="dxa" w:w="127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~late May-2027</w:t>
            </w:r>
          </w:p>
        </w:tc>
        <w:tc>
          <w:tcPr>
            <w:tcW w:type="dxa" w:w="36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1Q27 results</w:t>
            </w:r>
          </w:p>
        </w:tc>
        <w:tc>
          <w:tcPr>
            <w:tcW w:type="dxa" w:w="39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Clean YoY comparison vs pre-opening 1Q26</w:t>
            </w:r>
          </w:p>
        </w:tc>
        <w:tc>
          <w:tcPr>
            <w:tcW w:type="dxa" w:w="11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Medium</w:t>
            </w:r>
          </w:p>
        </w:tc>
      </w:tr>
      <w:tr>
        <w:trPr>
          <w:cantSplit/>
        </w:trPr>
        <w:tc>
          <w:tcPr>
            <w:tcW w:type="dxa" w:w="127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Jun-2027</w:t>
            </w:r>
          </w:p>
        </w:tc>
        <w:tc>
          <w:tcPr>
            <w:tcW w:type="dxa" w:w="36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AGM (RRPT mandate, buyback mandate, director elections); Malaysian minimum wage rises to RM2,000</w:t>
            </w:r>
          </w:p>
        </w:tc>
        <w:tc>
          <w:tcPr>
            <w:tcW w:type="dxa" w:w="39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bCs/>
                <w:color w:val="1F2937"/>
                <w:sz w:val="17"/>
                <w:szCs w:val="17"/>
              </w:rPr>
              <w:t xml:space="preserve">Minority vote on the RRPT mandate</w:t>
            </w:r>
            <w:r>
              <w:rPr>
                <w:rFonts w:ascii="Arial" w:cs="Arial" w:eastAsia="Arial" w:hAnsi="Arial"/>
                <w:b w:val="false"/>
                <w:bCs w:val="false"/>
                <w:color w:val="1F2937"/>
                <w:sz w:val="17"/>
                <w:szCs w:val="17"/>
              </w:rPr>
              <w:t xml:space="preserve">; cost pressure</w:t>
            </w:r>
          </w:p>
        </w:tc>
        <w:tc>
          <w:tcPr>
            <w:tcW w:type="dxa" w:w="11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Medium-High</w:t>
            </w:r>
          </w:p>
        </w:tc>
      </w:tr>
      <w:tr>
        <w:trPr>
          <w:cantSplit/>
        </w:trPr>
        <w:tc>
          <w:tcPr>
            <w:tcW w:type="dxa" w:w="127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2027</w:t>
            </w:r>
          </w:p>
        </w:tc>
        <w:tc>
          <w:tcPr>
            <w:tcW w:type="dxa" w:w="36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Possible Miami land sale, Catskills restructuring, RWNYC property monetisation</w:t>
            </w:r>
          </w:p>
        </w:tc>
        <w:tc>
          <w:tcPr>
            <w:tcW w:type="dxa" w:w="39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Value crystallisation and deleveraging</w:t>
            </w:r>
          </w:p>
        </w:tc>
        <w:tc>
          <w:tcPr>
            <w:tcW w:type="dxa" w:w="11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High (optional)</w:t>
            </w:r>
          </w:p>
        </w:tc>
      </w:tr>
      <w:tr>
        <w:trPr>
          <w:cantSplit/>
        </w:trPr>
        <w:tc>
          <w:tcPr>
            <w:tcW w:type="dxa" w:w="127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By early 2028</w:t>
            </w:r>
          </w:p>
        </w:tc>
        <w:tc>
          <w:tcPr>
            <w:tcW w:type="dxa" w:w="36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Malaysian GE16 (PAS/Pahang risk)</w:t>
            </w:r>
          </w:p>
        </w:tc>
        <w:tc>
          <w:tcPr>
            <w:tcW w:type="dxa" w:w="39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Licence and policy tail risk</w:t>
            </w:r>
          </w:p>
        </w:tc>
        <w:tc>
          <w:tcPr>
            <w:tcW w:type="dxa" w:w="11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High (tail)</w:t>
            </w:r>
          </w:p>
        </w:tc>
      </w:tr>
      <w:tr>
        <w:trPr>
          <w:cantSplit/>
        </w:trPr>
        <w:tc>
          <w:tcPr>
            <w:tcW w:type="dxa" w:w="127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2029</w:t>
            </w:r>
          </w:p>
        </w:tc>
        <w:tc>
          <w:tcPr>
            <w:tcW w:type="dxa" w:w="3677"/>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RWNYC phase-2 completion; US$625m notes mature</w:t>
            </w:r>
          </w:p>
        </w:tc>
        <w:tc>
          <w:tcPr>
            <w:tcW w:type="dxa" w:w="395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Earnings step-up; refinancing</w:t>
            </w:r>
          </w:p>
        </w:tc>
        <w:tc>
          <w:tcPr>
            <w:tcW w:type="dxa" w:w="1181"/>
            <w:tcBorders>
              <w:top w:val="none" w:color="FFFFFF" w:sz="0"/>
              <w:left w:val="none" w:color="FFFFFF" w:sz="0"/>
              <w:bottom w:val="single" w:color="D1D5DB" w:sz="4"/>
              <w:right w:val="none" w:color="FFFFFF" w:sz="0"/>
            </w:tcBorders>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High</w:t>
            </w:r>
          </w:p>
        </w:tc>
      </w:tr>
      <w:tr>
        <w:trPr>
          <w:cantSplit/>
        </w:trPr>
        <w:tc>
          <w:tcPr>
            <w:tcW w:type="dxa" w:w="127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~2030</w:t>
            </w:r>
          </w:p>
        </w:tc>
        <w:tc>
          <w:tcPr>
            <w:tcW w:type="dxa" w:w="3677"/>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Metropolitan Park and Bally's Bronx open</w:t>
            </w:r>
          </w:p>
        </w:tc>
        <w:tc>
          <w:tcPr>
            <w:tcW w:type="dxa" w:w="395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End of NYC exclusivity; tax-disadvantage test</w:t>
            </w:r>
          </w:p>
        </w:tc>
        <w:tc>
          <w:tcPr>
            <w:tcW w:type="dxa" w:w="1181"/>
            <w:tcBorders>
              <w:top w:val="none" w:color="FFFFFF" w:sz="0"/>
              <w:left w:val="none" w:color="FFFFFF" w:sz="0"/>
              <w:bottom w:val="single" w:color="D1D5DB" w:sz="4"/>
              <w:right w:val="none" w:color="FFFFFF" w:sz="0"/>
            </w:tcBorders>
            <w:shd w:fill="F3F5F8" w:color="auto" w:val="clear"/>
            <w:tcMar>
              <w:top w:type="dxa" w:w="45"/>
              <w:left w:type="dxa" w:w="80"/>
              <w:bottom w:type="dxa" w:w="45"/>
              <w:right w:type="dxa" w:w="80"/>
            </w:tcMar>
            <w:vAlign w:val="center"/>
          </w:tcPr>
          <w:p>
            <w:pPr>
              <w:spacing w:after="0" w:before="0" w:line="240"/>
              <w:jc w:val="left"/>
            </w:pPr>
            <w:r>
              <w:rPr>
                <w:rFonts w:ascii="Arial" w:cs="Arial" w:eastAsia="Arial" w:hAnsi="Arial"/>
                <w:b w:val="false"/>
                <w:bCs w:val="false"/>
                <w:color w:val="1F2937"/>
                <w:sz w:val="17"/>
                <w:szCs w:val="17"/>
              </w:rPr>
              <w:t xml:space="preserve">Critical (long term)</w:t>
            </w:r>
          </w:p>
        </w:tc>
      </w:tr>
    </w:tbl>
    <w:p>
      <w:pPr>
        <w:spacing w:after="80" w:before="0"/>
      </w:pPr>
    </w:p>
    <w:p>
      <w:pPr>
        <w:pStyle w:val="Heading1"/>
        <w:keepNext/>
      </w:pPr>
      <w:r>
        <w:rPr>
          <w:rFonts w:ascii="Arial" w:cs="Arial" w:eastAsia="Arial" w:hAnsi="Arial"/>
        </w:rPr>
        <w:t xml:space="preserve">Appendix A: Sources, Methodology and Data Notes</w:t>
      </w:r>
    </w:p>
    <w:p>
      <w:pPr>
        <w:pStyle w:val="Heading2"/>
        <w:keepNext/>
      </w:pPr>
      <w:r>
        <w:rPr>
          <w:rFonts w:ascii="Arial" w:cs="Arial" w:eastAsia="Arial" w:hAnsi="Arial"/>
        </w:rPr>
        <w:t xml:space="preserve">A.1 Data sources</w:t>
      </w:r>
    </w:p>
    <w:p>
      <w:pPr>
        <w:pStyle w:val="ListParagraph"/>
        <w:numPr>
          <w:ilvl w:val="0"/>
          <w:numId w:val="3"/>
        </w:numPr>
        <w:spacing w:after="60" w:before="0" w:line="252"/>
      </w:pPr>
      <w:r>
        <w:rPr>
          <w:rFonts w:ascii="Arial" w:cs="Arial" w:eastAsia="Arial" w:hAnsi="Arial"/>
          <w:b/>
          <w:bCs/>
          <w:color w:val="1F2937"/>
          <w:sz w:val="19"/>
          <w:szCs w:val="19"/>
        </w:rPr>
        <w:t xml:space="preserve">S&amp;P Capital IQ</w:t>
      </w:r>
      <w:r>
        <w:rPr>
          <w:rFonts w:ascii="Arial" w:cs="Arial" w:eastAsia="Arial" w:hAnsi="Arial"/>
          <w:color w:val="1F2937"/>
          <w:sz w:val="19"/>
          <w:szCs w:val="19"/>
        </w:rPr>
        <w:t xml:space="preserve"> (Deterministic and Adaptive Retrieval): financial statements, segments, estimates, multiples, market data, key developments, transactions, professionals and compensation, business relationships. Per the analyst's tool routing, S&amp;P Adaptive Retrieval was used for cross-company screens (peers, transactions) and S&amp;P drill-down for GENM-specific data.</w:t>
      </w:r>
    </w:p>
    <w:p>
      <w:pPr>
        <w:pStyle w:val="ListParagraph"/>
        <w:numPr>
          <w:ilvl w:val="0"/>
          <w:numId w:val="3"/>
        </w:numPr>
        <w:spacing w:after="60" w:before="0" w:line="252"/>
      </w:pPr>
      <w:r>
        <w:rPr>
          <w:rFonts w:ascii="Arial" w:cs="Arial" w:eastAsia="Arial" w:hAnsi="Arial"/>
          <w:b/>
          <w:bCs/>
          <w:color w:val="1F2937"/>
          <w:sz w:val="19"/>
          <w:szCs w:val="19"/>
        </w:rPr>
        <w:t xml:space="preserve">Company filings:</w:t>
      </w:r>
      <w:r>
        <w:rPr>
          <w:rFonts w:ascii="Arial" w:cs="Arial" w:eastAsia="Arial" w:hAnsi="Arial"/>
          <w:color w:val="1F2937"/>
          <w:sz w:val="19"/>
          <w:szCs w:val="19"/>
        </w:rPr>
        <w:t xml:space="preserve"> GENM Integrated Annual Report 2025; quarterly reports and press releases 1Q25-2Q26 (via S&amp;P machine-readable filings); Bursa Malaysia announcements.</w:t>
      </w:r>
    </w:p>
    <w:p>
      <w:pPr>
        <w:pStyle w:val="ListParagraph"/>
        <w:numPr>
          <w:ilvl w:val="0"/>
          <w:numId w:val="3"/>
        </w:numPr>
        <w:spacing w:after="60" w:before="0" w:line="252"/>
      </w:pPr>
      <w:r>
        <w:rPr>
          <w:rFonts w:ascii="Arial" w:cs="Arial" w:eastAsia="Arial" w:hAnsi="Arial"/>
          <w:b/>
          <w:bCs/>
          <w:color w:val="1F2937"/>
          <w:sz w:val="19"/>
          <w:szCs w:val="19"/>
        </w:rPr>
        <w:t xml:space="preserve">Regulators and government:</w:t>
      </w:r>
      <w:r>
        <w:rPr>
          <w:rFonts w:ascii="Arial" w:cs="Arial" w:eastAsia="Arial" w:hAnsi="Arial"/>
          <w:color w:val="1F2937"/>
          <w:sz w:val="19"/>
          <w:szCs w:val="19"/>
        </w:rPr>
        <w:t xml:space="preserve"> New York State Gaming Commission, nycasinos.ny.gov, Franchise Oversight Board; Malaysian Budget 2026/2027 documents (via summaries); UK HMRC/gov.uk.</w:t>
      </w:r>
    </w:p>
    <w:p>
      <w:pPr>
        <w:pStyle w:val="ListParagraph"/>
        <w:numPr>
          <w:ilvl w:val="0"/>
          <w:numId w:val="3"/>
        </w:numPr>
        <w:spacing w:after="60" w:before="0" w:line="252"/>
      </w:pPr>
      <w:r>
        <w:rPr>
          <w:rFonts w:ascii="Arial" w:cs="Arial" w:eastAsia="Arial" w:hAnsi="Arial"/>
          <w:b/>
          <w:bCs/>
          <w:color w:val="1F2937"/>
          <w:sz w:val="19"/>
          <w:szCs w:val="19"/>
        </w:rPr>
        <w:t xml:space="preserve">News and research (via search-result summaries):</w:t>
      </w:r>
      <w:r>
        <w:rPr>
          <w:rFonts w:ascii="Arial" w:cs="Arial" w:eastAsia="Arial" w:hAnsi="Arial"/>
          <w:color w:val="1F2937"/>
          <w:sz w:val="19"/>
          <w:szCs w:val="19"/>
        </w:rPr>
        <w:t xml:space="preserve"> The Edge Malaysia, The Star, New Straits Times, Malay Mail, Bernama, BusinessToday, Free Malaysia Today, GGRAsia, Asia Gaming Brief, Inside Asian Gaming/ASGAM, CDC Gaming, NY Focus, iGaming Business, Yogonet, Bloomberg, Fitch, S&amp;P, RAM, UOB Kay Hian, Maybank IB, Kenanga, HLIB, Affin Hwang, TA Securities, Nomura, CreditSights.</w:t>
      </w:r>
    </w:p>
    <w:p>
      <w:pPr>
        <w:pStyle w:val="ListParagraph"/>
        <w:numPr>
          <w:ilvl w:val="0"/>
          <w:numId w:val="3"/>
        </w:numPr>
        <w:spacing w:after="60" w:before="0" w:line="252"/>
      </w:pPr>
      <w:r>
        <w:rPr>
          <w:rFonts w:ascii="Arial" w:cs="Arial" w:eastAsia="Arial" w:hAnsi="Arial"/>
          <w:b/>
          <w:bCs/>
          <w:color w:val="1F2937"/>
          <w:sz w:val="19"/>
          <w:szCs w:val="19"/>
        </w:rPr>
        <w:t xml:space="preserve">Not available:</w:t>
      </w:r>
      <w:r>
        <w:rPr>
          <w:rFonts w:ascii="Arial" w:cs="Arial" w:eastAsia="Arial" w:hAnsi="Arial"/>
          <w:color w:val="1F2937"/>
          <w:sz w:val="19"/>
          <w:szCs w:val="19"/>
        </w:rPr>
        <w:t xml:space="preserve"> ProntoNLP is not authorised in this session, so sentiment uses a disclosed analyst rubric. S&amp;P holds no GENM call transcripts.</w:t>
      </w:r>
    </w:p>
    <w:p>
      <w:pPr>
        <w:pStyle w:val="ListParagraph"/>
        <w:numPr>
          <w:ilvl w:val="0"/>
          <w:numId w:val="3"/>
        </w:numPr>
        <w:spacing w:after="60" w:before="0" w:line="252"/>
      </w:pPr>
      <w:r>
        <w:rPr>
          <w:rFonts w:ascii="Arial" w:cs="Arial" w:eastAsia="Arial" w:hAnsi="Arial"/>
          <w:b/>
          <w:bCs/>
          <w:color w:val="1F2937"/>
          <w:sz w:val="19"/>
          <w:szCs w:val="19"/>
        </w:rPr>
        <w:t xml:space="preserve">24-Oct-2026 update:</w:t>
      </w:r>
      <w:r>
        <w:rPr>
          <w:rFonts w:ascii="Arial" w:cs="Arial" w:eastAsia="Arial" w:hAnsi="Arial"/>
          <w:color w:val="1F2937"/>
          <w:sz w:val="19"/>
          <w:szCs w:val="19"/>
        </w:rPr>
        <w:t xml:space="preserve"> the S&amp;P Global connectors were not authorised for this refresh. Price-dependent figures were re-based to the 21-Oct-2026 close (RM1.19; Investing.com, Morningstar, Yahoo Finance and TradingView quote pages via search) and new developments come from news searches (The Edge, The Star, BusinessToday, CDC Gaming, gambling.com, GGRAsia). Peer multiples, consensus and company financials are carried from S&amp;P Capital IQ as of 16-Oct-2026. The 22-23 Oct closes could not be verified.</w:t>
      </w:r>
    </w:p>
    <w:p>
      <w:pPr>
        <w:pStyle w:val="Heading2"/>
        <w:keepNext/>
      </w:pPr>
      <w:r>
        <w:rPr>
          <w:rFonts w:ascii="Arial" w:cs="Arial" w:eastAsia="Arial" w:hAnsi="Arial"/>
        </w:rPr>
        <w:t xml:space="preserve">A.2 Key definitions</w:t>
      </w:r>
    </w:p>
    <w:p>
      <w:pPr>
        <w:pStyle w:val="ListParagraph"/>
        <w:numPr>
          <w:ilvl w:val="0"/>
          <w:numId w:val="3"/>
        </w:numPr>
        <w:spacing w:after="60" w:before="0" w:line="252"/>
      </w:pPr>
      <w:r>
        <w:rPr>
          <w:rFonts w:ascii="Arial" w:cs="Arial" w:eastAsia="Arial" w:hAnsi="Arial"/>
          <w:b/>
          <w:bCs/>
          <w:color w:val="1F2937"/>
          <w:sz w:val="19"/>
          <w:szCs w:val="19"/>
        </w:rPr>
        <w:t xml:space="preserve">Adj. EBITDA (company):</w:t>
      </w:r>
      <w:r>
        <w:rPr>
          <w:rFonts w:ascii="Arial" w:cs="Arial" w:eastAsia="Arial" w:hAnsi="Arial"/>
          <w:color w:val="1F2937"/>
          <w:sz w:val="19"/>
          <w:szCs w:val="19"/>
        </w:rPr>
        <w:t xml:space="preserve"> EBITDA excluding impairments, pre-opening costs, disposal gains/losses and write-offs. </w:t>
      </w:r>
      <w:r>
        <w:rPr>
          <w:rFonts w:ascii="Arial" w:cs="Arial" w:eastAsia="Arial" w:hAnsi="Arial"/>
          <w:b/>
          <w:bCs/>
          <w:color w:val="1F2937"/>
          <w:sz w:val="19"/>
          <w:szCs w:val="19"/>
        </w:rPr>
        <w:t xml:space="preserve">It includes unrealised FX translation on USD borrowings</w:t>
      </w:r>
      <w:r>
        <w:rPr>
          <w:rFonts w:ascii="Arial" w:cs="Arial" w:eastAsia="Arial" w:hAnsi="Arial"/>
          <w:color w:val="1F2937"/>
          <w:sz w:val="19"/>
          <w:szCs w:val="19"/>
        </w:rPr>
        <w:t xml:space="preserve">; we show ex-FX figures alongside.</w:t>
      </w:r>
    </w:p>
    <w:p>
      <w:pPr>
        <w:pStyle w:val="ListParagraph"/>
        <w:numPr>
          <w:ilvl w:val="0"/>
          <w:numId w:val="3"/>
        </w:numPr>
        <w:spacing w:after="60" w:before="0" w:line="252"/>
      </w:pPr>
      <w:r>
        <w:rPr>
          <w:rFonts w:ascii="Arial" w:cs="Arial" w:eastAsia="Arial" w:hAnsi="Arial"/>
          <w:b/>
          <w:bCs/>
          <w:color w:val="1F2937"/>
          <w:sz w:val="19"/>
          <w:szCs w:val="19"/>
        </w:rPr>
        <w:t xml:space="preserve">EV / TEV:</w:t>
      </w:r>
      <w:r>
        <w:rPr>
          <w:rFonts w:ascii="Arial" w:cs="Arial" w:eastAsia="Arial" w:hAnsi="Arial"/>
          <w:color w:val="1F2937"/>
          <w:sz w:val="19"/>
          <w:szCs w:val="19"/>
        </w:rPr>
        <w:t xml:space="preserve"> market cap plus total debt including leases, less cash and money-market funds. CIQ TEV also deducts the negative non-controlling interest (Bimini), hence ~RM19.9bn vs RM20.9bn on our basis at RM1.19 (RM20.4bn vs RM21.4bn at RM1.27 in the 18-Oct note).</w:t>
      </w:r>
    </w:p>
    <w:p>
      <w:pPr>
        <w:pStyle w:val="ListParagraph"/>
        <w:numPr>
          <w:ilvl w:val="0"/>
          <w:numId w:val="3"/>
        </w:numPr>
        <w:spacing w:after="60" w:before="0" w:line="252"/>
      </w:pPr>
      <w:r>
        <w:rPr>
          <w:rFonts w:ascii="Arial" w:cs="Arial" w:eastAsia="Arial" w:hAnsi="Arial"/>
          <w:b/>
          <w:bCs/>
          <w:color w:val="1F2937"/>
          <w:sz w:val="19"/>
          <w:szCs w:val="19"/>
        </w:rPr>
        <w:t xml:space="preserve">Segment EBIT:</w:t>
      </w:r>
      <w:r>
        <w:rPr>
          <w:rFonts w:ascii="Arial" w:cs="Arial" w:eastAsia="Arial" w:hAnsi="Arial"/>
          <w:color w:val="1F2937"/>
          <w:sz w:val="19"/>
          <w:szCs w:val="19"/>
        </w:rPr>
        <w:t xml:space="preserve"> segment adj. EBITDA less segment D&amp;A (our derivation; GENM does not report segment EBIT, PBT or net income).</w:t>
      </w:r>
    </w:p>
    <w:p>
      <w:pPr>
        <w:pStyle w:val="ListParagraph"/>
        <w:numPr>
          <w:ilvl w:val="0"/>
          <w:numId w:val="3"/>
        </w:numPr>
        <w:spacing w:after="60" w:before="0" w:line="252"/>
      </w:pPr>
      <w:r>
        <w:rPr>
          <w:rFonts w:ascii="Arial" w:cs="Arial" w:eastAsia="Arial" w:hAnsi="Arial"/>
          <w:b/>
          <w:bCs/>
          <w:color w:val="1F2937"/>
          <w:sz w:val="19"/>
          <w:szCs w:val="19"/>
        </w:rPr>
        <w:t xml:space="preserve">[u]</w:t>
      </w:r>
      <w:r>
        <w:rPr>
          <w:rFonts w:ascii="Arial" w:cs="Arial" w:eastAsia="Arial" w:hAnsi="Arial"/>
          <w:color w:val="1F2937"/>
          <w:sz w:val="19"/>
          <w:szCs w:val="19"/>
        </w:rPr>
        <w:t xml:space="preserve"> = unverified or single secondary source; </w:t>
      </w:r>
      <w:r>
        <w:rPr>
          <w:rFonts w:ascii="Arial" w:cs="Arial" w:eastAsia="Arial" w:hAnsi="Arial"/>
          <w:b/>
          <w:bCs/>
          <w:color w:val="1F2937"/>
          <w:sz w:val="19"/>
          <w:szCs w:val="19"/>
        </w:rPr>
        <w:t xml:space="preserve">[e]</w:t>
      </w:r>
      <w:r>
        <w:rPr>
          <w:rFonts w:ascii="Arial" w:cs="Arial" w:eastAsia="Arial" w:hAnsi="Arial"/>
          <w:color w:val="1F2937"/>
          <w:sz w:val="19"/>
          <w:szCs w:val="19"/>
        </w:rPr>
        <w:t xml:space="preserve"> = our estimate or derivation.</w:t>
      </w:r>
    </w:p>
    <w:p>
      <w:pPr>
        <w:pStyle w:val="Heading2"/>
        <w:keepNext/>
      </w:pPr>
      <w:r>
        <w:rPr>
          <w:rFonts w:ascii="Arial" w:cs="Arial" w:eastAsia="Arial" w:hAnsi="Arial"/>
        </w:rPr>
        <w:t xml:space="preserve">A.3 Model notes</w:t>
      </w:r>
    </w:p>
    <w:p>
      <w:pPr>
        <w:pStyle w:val="ListParagraph"/>
        <w:numPr>
          <w:ilvl w:val="0"/>
          <w:numId w:val="3"/>
        </w:numPr>
        <w:spacing w:after="60" w:before="0" w:line="252"/>
      </w:pPr>
      <w:r>
        <w:rPr>
          <w:rFonts w:ascii="Arial" w:cs="Arial" w:eastAsia="Arial" w:hAnsi="Arial"/>
          <w:b/>
          <w:bCs/>
          <w:color w:val="1F2937"/>
          <w:sz w:val="19"/>
          <w:szCs w:val="19"/>
        </w:rPr>
        <w:t xml:space="preserve">Our FY26-28E forecasts</w:t>
      </w:r>
      <w:r>
        <w:rPr>
          <w:rFonts w:ascii="Arial" w:cs="Arial" w:eastAsia="Arial" w:hAnsi="Arial"/>
          <w:color w:val="1F2937"/>
          <w:sz w:val="19"/>
          <w:szCs w:val="19"/>
        </w:rPr>
        <w:t xml:space="preserve"> build up segment EBITDA:</w:t>
      </w:r>
    </w:p>
    <w:p>
      <w:pPr>
        <w:pStyle w:val="ListParagraph"/>
        <w:numPr>
          <w:ilvl w:val="1"/>
          <w:numId w:val="3"/>
        </w:numPr>
        <w:spacing w:after="60" w:before="0" w:line="252"/>
      </w:pPr>
      <w:r>
        <w:rPr>
          <w:rFonts w:ascii="Arial" w:cs="Arial" w:eastAsia="Arial" w:hAnsi="Arial"/>
          <w:color w:val="1F2937"/>
          <w:sz w:val="19"/>
          <w:szCs w:val="19"/>
        </w:rPr>
        <w:t xml:space="preserve">RWNYC ramp: ~US$62m a quarter for the US&amp;B segment in 2H26, then US$262m in FY27E and US$310m in FY28E, net of ~US$40m a year assumed racing support.</w:t>
      </w:r>
    </w:p>
    <w:p>
      <w:pPr>
        <w:pStyle w:val="ListParagraph"/>
        <w:numPr>
          <w:ilvl w:val="1"/>
          <w:numId w:val="3"/>
        </w:numPr>
        <w:spacing w:after="60" w:before="0" w:line="252"/>
      </w:pPr>
      <w:r>
        <w:rPr>
          <w:rFonts w:ascii="Arial" w:cs="Arial" w:eastAsia="Arial" w:hAnsi="Arial"/>
          <w:color w:val="1F2937"/>
          <w:sz w:val="19"/>
          <w:szCs w:val="19"/>
        </w:rPr>
        <w:t xml:space="preserve">Interest rising with debt, with ~RM100m a year capitalised from FY27; Malaysian tax at 24% with limited US shelter; no change in share count.</w:t>
      </w:r>
    </w:p>
    <w:p>
      <w:pPr>
        <w:pStyle w:val="ListParagraph"/>
        <w:numPr>
          <w:ilvl w:val="0"/>
          <w:numId w:val="3"/>
        </w:numPr>
        <w:spacing w:after="60" w:before="0" w:line="252"/>
      </w:pPr>
      <w:r>
        <w:rPr>
          <w:rFonts w:ascii="Arial" w:cs="Arial" w:eastAsia="Arial" w:hAnsi="Arial"/>
          <w:b/>
          <w:bCs/>
          <w:color w:val="1F2937"/>
          <w:sz w:val="19"/>
          <w:szCs w:val="19"/>
        </w:rPr>
        <w:t xml:space="preserve">SOTP</w:t>
      </w:r>
      <w:r>
        <w:rPr>
          <w:rFonts w:ascii="Arial" w:cs="Arial" w:eastAsia="Arial" w:hAnsi="Arial"/>
          <w:color w:val="1F2937"/>
          <w:sz w:val="19"/>
          <w:szCs w:val="19"/>
        </w:rPr>
        <w:t xml:space="preserve"> on FY27E segment EBITDA, Jun-26 net debt including leases, NY phase 2 treated as NPV-neutral in the base case, and a 15% control/governance discount (10% in bear and bull).</w:t>
      </w:r>
    </w:p>
    <w:p>
      <w:pPr>
        <w:pStyle w:val="ListParagraph"/>
        <w:numPr>
          <w:ilvl w:val="0"/>
          <w:numId w:val="3"/>
        </w:numPr>
        <w:spacing w:after="60" w:before="0" w:line="252"/>
      </w:pPr>
      <w:r>
        <w:rPr>
          <w:rFonts w:ascii="Arial" w:cs="Arial" w:eastAsia="Arial" w:hAnsi="Arial"/>
          <w:b/>
          <w:bCs/>
          <w:color w:val="1F2937"/>
          <w:sz w:val="19"/>
          <w:szCs w:val="19"/>
        </w:rPr>
        <w:t xml:space="preserve">Regression:</w:t>
      </w:r>
      <w:r>
        <w:rPr>
          <w:rFonts w:ascii="Arial" w:cs="Arial" w:eastAsia="Arial" w:hAnsi="Arial"/>
          <w:color w:val="1F2937"/>
          <w:sz w:val="19"/>
          <w:szCs w:val="19"/>
        </w:rPr>
        <w:t xml:space="preserve"> OLS of TEV/Sales on LTM EBIT margin across 22 core listed peers (R² 0.63). The chart plots TEV/Sales on the x-axis and EBIT margin on the y-axis, as requested.</w:t>
      </w:r>
    </w:p>
    <w:p>
      <w:pPr>
        <w:pStyle w:val="Heading2"/>
        <w:keepNext/>
      </w:pPr>
      <w:r>
        <w:rPr>
          <w:rFonts w:ascii="Arial" w:cs="Arial" w:eastAsia="Arial" w:hAnsi="Arial"/>
        </w:rPr>
        <w:t xml:space="preserve">A.4 Important caveats</w:t>
      </w:r>
    </w:p>
    <w:p>
      <w:pPr>
        <w:pStyle w:val="ListParagraph"/>
        <w:numPr>
          <w:ilvl w:val="0"/>
          <w:numId w:val="3"/>
        </w:numPr>
        <w:spacing w:after="60" w:before="0" w:line="252"/>
      </w:pPr>
      <w:r>
        <w:rPr>
          <w:rFonts w:ascii="Arial" w:cs="Arial" w:eastAsia="Arial" w:hAnsi="Arial"/>
          <w:color w:val="1F2937"/>
          <w:sz w:val="19"/>
          <w:szCs w:val="19"/>
        </w:rPr>
        <w:t xml:space="preserve">Direct access to news websites was blocked in this environment. Press-sourced facts rest on search-engine summaries and should be verified against primary documents before external use. Items marked [u] in particular: the Bursa delisting-objection threshold and post-offer acquisition restrictions, the NY licence term and racing-support status, the VIP casino duty rate, and the Budget 2027 tax annex.</w:t>
      </w:r>
    </w:p>
    <w:p>
      <w:pPr>
        <w:pStyle w:val="ListParagraph"/>
        <w:numPr>
          <w:ilvl w:val="0"/>
          <w:numId w:val="3"/>
        </w:numPr>
        <w:spacing w:after="60" w:before="0" w:line="252"/>
      </w:pPr>
      <w:r>
        <w:rPr>
          <w:rFonts w:ascii="Arial" w:cs="Arial" w:eastAsia="Arial" w:hAnsi="Arial"/>
          <w:color w:val="1F2937"/>
          <w:sz w:val="19"/>
          <w:szCs w:val="19"/>
        </w:rPr>
        <w:t xml:space="preserve">Consensus target prices predate the 12-Oct-2026 sell-off and Affin's mid-October Sell call; expect the mean to fall.</w:t>
      </w:r>
    </w:p>
    <w:p>
      <w:pPr>
        <w:pStyle w:val="ListParagraph"/>
        <w:numPr>
          <w:ilvl w:val="0"/>
          <w:numId w:val="3"/>
        </w:numPr>
        <w:spacing w:after="60" w:before="0" w:line="252"/>
      </w:pPr>
      <w:r>
        <w:rPr>
          <w:rFonts w:ascii="Arial" w:cs="Arial" w:eastAsia="Arial" w:hAnsi="Arial"/>
          <w:color w:val="1F2937"/>
          <w:sz w:val="19"/>
          <w:szCs w:val="19"/>
        </w:rPr>
        <w:t xml:space="preserve">This document is for internal investment-committee discussion only and is not investment advice.</w:t>
      </w:r>
    </w:p>
    <w:sectPr>
      <w:headerReference w:type="default" r:id="rId7"/>
      <w:headerReference w:type="first" r:id="rId8"/>
      <w:footerReference w:type="default" r:id="rId9"/>
      <w:footerReference w:type="first" r:id="rId10"/>
      <w:pgSz w:w="12240" w:h="15840" w:orient="portrait"/>
      <w:pgMar w:top="1080" w:right="1080" w:bottom="1080" w:left="108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Arial" w:cs="Arial" w:eastAsia="Arial" w:hAnsi="Arial"/>
        <w:color w:val="6B7280"/>
        <w:sz w:val="14"/>
        <w:szCs w:val="14"/>
      </w:rPr>
      <w:t xml:space="preserve">For investment-committee discussion only; not investment advice. [e] = estimate, [u] = unverified.</w:t>
    </w:r>
    <w:r>
      <w:rPr>
        <w:rFonts w:ascii="Arial" w:cs="Arial" w:eastAsia="Arial" w:hAnsi="Arial"/>
        <w:color w:val="6B728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B7280"/>
        <w:sz w:val="14"/>
        <w:szCs w:val="14"/>
      </w:rPr>
      <w:t xml:space="preserve">Genting Malaysia Bhd (GENM MK) | Reference price RM1.19 (21-Oct-2026 close) | For investment-committee discussion only; not investment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rFonts w:ascii="Arial" w:cs="Arial" w:eastAsia="Arial" w:hAnsi="Arial"/>
        <w:color w:val="6B7280"/>
        <w:sz w:val="15"/>
        <w:szCs w:val="15"/>
      </w:rPr>
      <w:t xml:space="preserve">Genting Malaysia Bhd (GENM MK) | Equity Research | 24 October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2B6CC4"/>
      </w:rPr>
    </w:lvl>
    <w:lvl w:ilvl="1" w15:tentative="1">
      <w:start w:val="1"/>
      <w:numFmt w:val="bullet"/>
      <w:lvlText w:val="–"/>
      <w:lvlJc w:val="left"/>
      <w:pPr>
        <w:ind w:left="720" w:hanging="240"/>
      </w:pPr>
      <w:rPr>
        <w:color w:val="6B7280"/>
      </w:rPr>
    </w:lvl>
  </w:abstractNum>
  <w:abstractNum w:abstractNumId="3" w15:restartNumberingAfterBreak="0">
    <w:multiLevelType w:val="hybridMultilevel"/>
    <w:lvl w:ilvl="0" w15:tentative="1">
      <w:start w:val="1"/>
      <w:numFmt w:val="decimal"/>
      <w:lvlText w:val="%1."/>
      <w:lvlJc w:val="left"/>
      <w:pPr>
        <w:ind w:left="360" w:hanging="300"/>
      </w:pPr>
      <w:rPr>
        <w:b/>
        <w:bCs/>
        <w:color w:val="14213D"/>
      </w:rPr>
    </w:lvl>
    <w:lvl w:ilvl="1" w15:tentative="1">
      <w:start w:val="1"/>
      <w:numFmt w:val="lowerLetter"/>
      <w:lvlText w:val="%2)"/>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4213D" w:sz="8" w:space="4"/>
      </w:pBdr>
      <w:spacing w:after="140" w:before="360"/>
      <w:outlineLvl w:val="0"/>
    </w:pPr>
    <w:rPr>
      <w:rFonts w:ascii="Arial" w:cs="Arial" w:eastAsia="Arial" w:hAnsi="Arial"/>
      <w:b/>
      <w:bCs/>
      <w:color w:val="14213D"/>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B6C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1e035b410c1ad2f06810d5fe5a4c4df295d54e9.png"/><Relationship Id="rId12" Type="http://schemas.openxmlformats.org/officeDocument/2006/relationships/image" Target="media/218a9c7e94bf8b9c1eb8b9f1b576809a43deb1de.png"/><Relationship Id="rId13" Type="http://schemas.openxmlformats.org/officeDocument/2006/relationships/image" Target="media/780b42d8c6fb376fe80d021a394ca07ec7569ce4.png"/><Relationship Id="rId14" Type="http://schemas.openxmlformats.org/officeDocument/2006/relationships/image" Target="media/564da822fc206239d41eb7e4d549a04d0f98418c.png"/><Relationship Id="rId15" Type="http://schemas.openxmlformats.org/officeDocument/2006/relationships/image" Target="media/af1ebbfa226baab24a18c4ce2a8e29c2fc2ed573.png"/><Relationship Id="rId16" Type="http://schemas.openxmlformats.org/officeDocument/2006/relationships/image" Target="media/d012234ab19f43888ce3f6c5ab4203a33dcd9d6c.png"/><Relationship Id="rId17" Type="http://schemas.openxmlformats.org/officeDocument/2006/relationships/image" Target="media/c7c889169372c9f2aed0ed3d472573c61cb4019c.png"/><Relationship Id="rId18" Type="http://schemas.openxmlformats.org/officeDocument/2006/relationships/image" Target="media/865878ef0958dc6a2d3b39111e815e99a9c199b3.png"/><Relationship Id="rId19" Type="http://schemas.openxmlformats.org/officeDocument/2006/relationships/image" Target="media/34f84660861223e766b5c502a1568341374c8e74.png"/><Relationship Id="rId20" Type="http://schemas.openxmlformats.org/officeDocument/2006/relationships/image" Target="media/b927cfc33ecaecc5a29fb833ebd92f4e3f08fda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Genting Malaysia Berhad (GENM MK) - Equity Research Deep-Dive</dc:title>
  <dc:creator>Equity Research</dc:creator>
  <dc:description>Event-driven equity research deep-dive on Genting Malaysia, updated 24-Oct-2026</dc:description>
  <cp:lastModifiedBy>Un-named</cp:lastModifiedBy>
  <cp:revision>1</cp:revision>
  <dcterms:created xsi:type="dcterms:W3CDTF">2026-10-24T16:36:41.232Z</dcterms:created>
  <dcterms:modified xsi:type="dcterms:W3CDTF">2026-10-24T16:36:41.233Z</dcterms:modified>
</cp:coreProperties>
</file>

<file path=docProps/custom.xml><?xml version="1.0" encoding="utf-8"?>
<Properties xmlns="http://schemas.openxmlformats.org/officeDocument/2006/custom-properties" xmlns:vt="http://schemas.openxmlformats.org/officeDocument/2006/docPropsVTypes"/>
</file>