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7772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00"/>
        <w:gridCol w:w="4956"/>
      </w:tblGrid>
      <w:tr>
        <w:trPr>
          <w:cantSplit/>
          <w:trHeight w:val="9350" w:hRule="atLeast"/>
        </w:trP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420" w:before="700"/>
            </w:pPr>
            <w:r>
              <w:rPr>
                <w:rFonts w:ascii="Arial" w:cs="Arial" w:eastAsia="Arial" w:hAnsi="Arial"/>
                <w:b/>
                <w:bCs/>
                <w:color w:val="8DB4F0"/>
                <w:sz w:val="18"/>
                <w:szCs w:val="18"/>
                <w:u w:val="single" w:color="8DB4F0"/>
              </w:rPr>
              <w:t xml:space="preserve">INVESTMENT COMMITTEE MEMO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Genting Malaysia Bhd</w:t>
            </w:r>
          </w:p>
          <w:p>
            <w:pPr>
              <w:spacing w:after="360" w:line="300"/>
            </w:pPr>
            <w:r>
              <w:rPr>
                <w:rFonts w:ascii="Arial" w:cs="Arial" w:eastAsia="Arial" w:hAnsi="Arial"/>
                <w:color w:val="C9D3E6"/>
                <w:sz w:val="26"/>
                <w:szCs w:val="26"/>
              </w:rPr>
              <w:t xml:space="preserve">Bursa: GENM MK (4715) - Malaysia's only casino and New York City's only full casino, owned through a levered equity stub that the market has priced for its parent's problems</w:t>
            </w:r>
          </w:p>
          <w:tbl>
            <w:tblPr>
              <w:tblW w:type="dxa" w:w="8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900"/>
              <w:gridCol w:w="260"/>
              <w:gridCol w:w="3900"/>
            </w:tblGrid>
            <w:tr>
              <w:trPr>
                <w:cantSplit/>
              </w:trP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B6CC4" w:color="auto" w:val="clear"/>
                  <w:tcMar>
                    <w:top w:type="dxa" w:w="150"/>
                    <w:left w:type="dxa" w:w="100"/>
                    <w:bottom w:type="dxa" w:w="1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RECOMMENDATION: SPECULATIVE BUY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00"/>
                  <w:tcBorders>
                    <w:top w:val="single" w:color="FFFFFF" w:sz="8"/>
                    <w:left w:val="single" w:color="FFFFFF" w:sz="8"/>
                    <w:bottom w:val="single" w:color="FFFFFF" w:sz="8"/>
                    <w:right w:val="single" w:color="FFFFFF" w:sz="8"/>
                  </w:tcBorders>
                  <w:tcMar>
                    <w:top w:type="dxa" w:w="150"/>
                    <w:left w:type="dxa" w:w="100"/>
                    <w:bottom w:type="dxa" w:w="1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12-MO TARGET: RM1.85 (+55%)</w:t>
                  </w:r>
                </w:p>
              </w:tc>
            </w:tr>
          </w:tbl>
          <w:p>
            <w:pPr>
              <w:spacing w:after="280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> </w:t>
            </w:r>
          </w:p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50"/>
              <w:gridCol w:w="2250"/>
              <w:gridCol w:w="2250"/>
              <w:gridCol w:w="225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Reference price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52-wk range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Mkt cap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Net debt (incl. leases)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RM1.19 (21-Oct-26)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RM1.18-2.39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RM6.7bn / US$1.65bn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RM14.2bn (Jun-26)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Dividend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Largest holder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Lapsed parent offer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FB0CC"/>
                      <w:sz w:val="15"/>
                      <w:szCs w:val="15"/>
                    </w:rPr>
                    <w:t xml:space="preserve">Sell-side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FY25 7 sen (5.9%)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Genting Bhd 73.84%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RM2.35 (Dec-25)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12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Affin Sell RM1.00; cons. RM2.19</w:t>
                  </w:r>
                </w:p>
              </w:tc>
            </w:tr>
          </w:tbl>
          <w:p/>
        </w:tc>
        <w:tc>
          <w:tcPr>
            <w:tcW w:type="dxa" w:w="4956"/>
            <w:tcBorders>
              <w:top w:val="none" w:color="FFFFFF" w:sz="0"/>
              <w:left w:val="single" w:color="3B4A6B" w:sz="6"/>
              <w:bottom w:val="none" w:color="FFFFFF" w:sz="0"/>
              <w:right w:val="none" w:color="FFFFFF" w:sz="0"/>
            </w:tcBorders>
            <w:tcMar>
              <w:top w:type="dxa" w:w="0"/>
              <w:left w:type="dxa" w:w="500"/>
              <w:bottom w:type="dxa" w:w="0"/>
              <w:right w:type="dxa" w:w="0"/>
            </w:tcMar>
            <w:vAlign w:val="top"/>
          </w:tcPr>
          <w:p>
            <w:pPr>
              <w:spacing w:before="400"/>
            </w:pPr>
          </w:p>
          <w:p>
            <w:pPr>
              <w:spacing w:after="11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6.5x</w:t>
            </w:r>
          </w:p>
          <w:p>
            <w:pPr>
              <w:pBdr>
                <w:bottom w:val="single" w:color="3B4A6B" w:sz="4" w:space="14"/>
              </w:pBdr>
              <w:spacing w:after="260" w:line="270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TEV / NTM EBITDA: bottom decile of its 10-year range (median 8.8x); listed peer median 7.5x; casino control deals 9.2x</w:t>
            </w:r>
          </w:p>
          <w:p>
            <w:pPr>
              <w:spacing w:after="11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~US$0.56bn</w:t>
            </w:r>
          </w:p>
          <w:p>
            <w:pPr>
              <w:pBdr>
                <w:bottom w:val="single" w:color="3B4A6B" w:sz="4" w:space="14"/>
              </w:pBdr>
              <w:spacing w:after="260" w:line="270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What the market pays for the entire US business if Resorts World Genting is valued at 7x EBITDA. The NYC licence fee alone was US$500m (Jan-26)</w:t>
            </w:r>
          </w:p>
          <w:p>
            <w:pPr>
              <w:spacing w:after="110" w:before="260"/>
            </w:pPr>
            <w:r>
              <w:rPr>
                <w:rFonts w:ascii="Arial" w:cs="Arial" w:eastAsia="Arial" w:hAnsi="Arial"/>
                <w:b/>
                <w:bCs/>
                <w:color w:val="8DB4F0"/>
                <w:sz w:val="50"/>
                <w:szCs w:val="50"/>
              </w:rPr>
              <w:t xml:space="preserve">RM1.94</w:t>
            </w:r>
          </w:p>
          <w:p>
            <w:pPr>
              <w:spacing w:after="260" w:line="270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Probability-weighted value (+63%): bull RM3.28 / base RM1.86 / bear RM0.76, plus a ~4% dividend yield</w:t>
            </w:r>
          </w:p>
        </w:tc>
      </w:tr>
    </w:tbl>
    <w:p>
      <w:pPr>
        <w:pBdr>
          <w:top w:val="single" w:color="3B4A6B" w:sz="6" w:space="10"/>
        </w:pBdr>
        <w:spacing w:before="200"/>
      </w:pPr>
      <w:r>
        <w:rPr>
          <w:rFonts w:ascii="Arial" w:cs="Arial" w:eastAsia="Arial" w:hAnsi="Arial"/>
          <w:color w:val="9FB0CC"/>
          <w:sz w:val="15"/>
          <w:szCs w:val="15"/>
        </w:rPr>
        <w:t xml:space="preserve">Prepared for Investment Committee review | 24 October 2026 (update of the 18-Oct-2026 memo)</w:t>
      </w:r>
    </w:p>
    <w:p>
      <w:pPr>
        <w:sectPr>
          <w:footerReference w:type="default" r:id="rId7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46"/>
        <w:gridCol w:w="2310"/>
      </w:tblGrid>
      <w:tr>
        <w:trPr>
          <w:cantSplit/>
        </w:trPr>
        <w:tc>
          <w:tcPr>
            <w:tcW w:type="dxa" w:w="11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2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Speculative Buy: a casino monopoly plus NYC's only casino, priced for its parent's balance sheet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51"/>
        <w:gridCol w:w="2851"/>
        <w:gridCol w:w="2851"/>
        <w:gridCol w:w="2851"/>
        <w:gridCol w:w="2852"/>
      </w:tblGrid>
      <w:tr>
        <w:trPr>
          <w:cantSplit/>
          <w:trHeight w:val="1350" w:hRule="atLeast"/>
        </w:trPr>
        <w:tc>
          <w:tcPr>
            <w:tcW w:type="dxa" w:w="28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6.5x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NTM EV/EBITDA (peers 7.5x, own 10-yr median 8.8x); 0.60x book, a record low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−49%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Discount to Genting Bhd's lapsed RM2.35 offer; the independent adviser's SOTP was RM3.48-3.77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US$126.7m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RWNYC September GGR (~US$1.5bn annualised); 69% of New York's commercial casino GGR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RM1.85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12-mo target (+55%); bull +176% / bear −36%; probability-weighted RM1.94</w:t>
            </w:r>
          </w:p>
        </w:tc>
        <w:tc>
          <w:tcPr>
            <w:tcW w:type="dxa" w:w="2852"/>
            <w:tcBorders>
              <w:top w:val="none" w:color="FFFFFF" w:sz="0"/>
              <w:left w:val="single" w:color="FFFFFF" w:sz="48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25%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Bear-case probability (NY racing-support tax enforced, RWG de-rates, phase-2 value destruction)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28"/>
        <w:gridCol w:w="400"/>
        <w:gridCol w:w="6928"/>
      </w:tblGrid>
      <w:tr>
        <w:trPr>
          <w:cantSplit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Why now - four forces converging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Forced, non-fundamental selling: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−20% since 9-Oct on the parent's RM1.25bn rights issue and a broker downgrade; no GENM news. Premium to the parent at a 2nd-percentile 0.6x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New York inflection: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live tables since 28-Apr-26; slot tax cut from ~68% to 56%; +1,400 slots in Jul-26. 3Q26 (~19-26 Nov) is the first full quarter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Minority veto: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the parent is 1.16pp from 75% but cannot fund a fair cash offer; a &gt;10% objection blocks a delisting [u]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Self-help: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Miami land (US$1.225bn bid in 2023), NY PropCo sale-leaseback (GLPI/VICI precedents), ~RM848m a year of related-party fees, a US listing of the US business [u]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has to go right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 &amp; Bahamas adj. EBITDA ≥US$60m a quarter from 3Q26; RWNYC GGR holds ≥US$125m a month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Racing-support dispute settles at ≤US$50m a year, or is offset by tax equalisation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Malaysia EBITDA ≥RM2.1bn through the Jun-27 minimum-wage step-up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GENM equity raise; non-core sales fund part of the US$3.7bn left to spend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Any privatisation is priced at or above the RM2.35 anchor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6"/>
      </w:tblGrid>
      <w:tr>
        <w:trPr>
          <w:cantSplit/>
        </w:trPr>
        <w:tc>
          <w:tcPr>
            <w:tcW w:type="dxa" w:w="14256"/>
            <w:tcBorders>
              <w:top w:val="none" w:color="FFFFFF" w:sz="0"/>
              <w:left w:val="single" w:color="14213D" w:sz="36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top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Position sizing: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event-driven, low-to-medium conviction. Hold a half position; do not add before the UK Budget (28-Oct) and 3Q26 (~19-26 Nov). Add on a ≥US$60m NY quarter, completion of the parent's rights issue (1Q27) or an asset-monetisation announcement. An optional long GENM / short Genting Bhd pair (subject to borrow) isolates minority value from parent and Malaysian-policy beta.</w:t>
            </w:r>
          </w:p>
        </w:tc>
      </w:tr>
    </w:tbl>
    <w:p>
      <w:pPr>
        <w:sectPr>
          <w:footerReference w:type="default" r:id="rId8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56"/>
        <w:gridCol w:w="1500"/>
      </w:tblGrid>
      <w:tr>
        <w:trPr>
          <w:cantSplit/>
        </w:trPr>
        <w:tc>
          <w:tcPr>
            <w:tcW w:type="dxa" w:w="12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BUSINESS OVERVIEW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GENM at a glance - a Malaysian monopoly with a New York growth engine bolted on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78"/>
        <w:gridCol w:w="400"/>
        <w:gridCol w:w="7278"/>
      </w:tblGrid>
      <w:tr>
        <w:trPr>
          <w:cantSplit/>
        </w:trPr>
        <w:tc>
          <w:tcPr>
            <w:tcW w:type="dxa" w:w="6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it 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Resorts World Genting: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Malaysia's only licensed casino (since 1969; licence renewed quarterly); ~10,500 rooms, SkyWorlds theme park, mall, cable cars; 28.6m visitors, 98% occupancy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Resorts World New York City: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converted from a VLT racino to a full commercial casino on 28-Apr-26; 242 tables, ~3,900 slots; US$5.5bn masterplan to ~2029-30; US$126.7m GGR in Sep-26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Also: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~32 UK casinos, Crockfords Cairo, RW Catskills and Hudson Valley (Empire, loss-making), RW Bimini, Hilton Miami and 30 acres of Miami waterfront 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FY25: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revenue RM11.9bn; adj. EBITDA RM3.3bn (RM2.9bn ex-FX); NI RM755m; ~73% of revenue is gaming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Control: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Genting Bhd 73.84% (Lim family via Kien Huat); free float ~26%; EPF, KWAP and PNB have left the register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Revenue and adj. EBITDA by division (RM m)</w:t>
            </w:r>
          </w:p>
          <w:tbl>
            <w:tblPr>
              <w:tblW w:type="dxa" w:w="72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900"/>
              <w:gridCol w:w="900"/>
              <w:gridCol w:w="900"/>
              <w:gridCol w:w="2278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Division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FY24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FY25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1H26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Trend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Malaysia revenue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6,823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7,134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3,434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+5% FY25; flat 1H26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- adj. EBITDA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2,092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2,139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1,127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30-33% margin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UK &amp; Egypt revenue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1,896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1,994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967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Middle East hit; MGD risk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- adj. EBITDA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298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322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120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12-16% margin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 &amp; Bahamas revenue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1,980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2,566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2,228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+107% 1H26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- adj. EBITDA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530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472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297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+83% in 2Q26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Group revenue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10,912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11,884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6,720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FY26E 13.7bn (ours)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Group adj. EBITDA ex-FX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2,795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2,946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1,492</w:t>
                  </w:r>
                </w:p>
              </w:tc>
              <w:tc>
                <w:tcPr>
                  <w:tcW w:type="dxa" w:w="22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FY26E 3.1bn (ours)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Company basis; adj. EBITDA includes unrealised FX on USD debt, shown ex-FX at group level. Source: GENM AR2025, quarterly reports, S&amp;P Capital IQ.</w:t>
            </w:r>
          </w:p>
        </w:tc>
      </w:tr>
    </w:tbl>
    <w:p>
      <w:pPr>
        <w:spacing w:after="32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6"/>
      </w:tblGrid>
      <w:tr>
        <w:trPr>
          <w:cantSplit/>
        </w:trPr>
        <w:tc>
          <w:tcPr>
            <w:tcW w:type="dxa" w:w="14256"/>
            <w:tcBorders>
              <w:top w:val="none" w:color="FFFFFF" w:sz="0"/>
              <w:left w:val="single" w:color="14213D" w:sz="36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top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The single most distinctive fact: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in January GENM paid US$500m for New York City's first full casino licence. By September RWNYC was taking in US$126.7m a month (~US$1.5bn annualised). Yet at RM1.19, after valuing the Malaysian monopoly at 7x EBITDA, the market pays ~US$0.56bn for the entire US business, about what the licence cost.</w:t>
            </w:r>
          </w:p>
        </w:tc>
      </w:tr>
    </w:tbl>
    <w:p>
      <w:pPr>
        <w:sectPr>
          <w:footerReference w:type="default" r:id="rId9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56"/>
        <w:gridCol w:w="1500"/>
      </w:tblGrid>
      <w:tr>
        <w:trPr>
          <w:cantSplit/>
        </w:trPr>
        <w:tc>
          <w:tcPr>
            <w:tcW w:type="dxa" w:w="12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THE SETUP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Tax hike (2018), Empire (2019), dividend cut (2025), lapsed offer and parent cash call (2026): −75% in ten years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0"/>
        <w:gridCol w:w="300"/>
        <w:gridCol w:w="5456"/>
      </w:tblGrid>
      <w:tr>
        <w:trPr>
          <w:cantSplit/>
        </w:trP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5353050" cy="2457450"/>
                  <wp:effectExtent t="0" r="0" b="0" l="0"/>
                  <wp:docPr id="1" name="price_10y.png" descr="price_10y.png" title="price_10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Weekly close to 16-Oct-2026 (last RM1.27); GENM closed at a record-low RM1.19 on 21-Oct (RM1.18 intraday). Only two single-day moves above 10% in five years, both corporate or parent events. Source: S&amp;P Capital IQ, Investing.com.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5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Key catalysts</w:t>
            </w:r>
          </w:p>
          <w:tbl>
            <w:tblPr>
              <w:tblW w:type="dxa" w:w="545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4206"/>
            </w:tblGrid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Date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Event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NOV 2018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Budget 2019 casino duty 25%→35% (−21% wk); Fox/Disney cancel theme park (−20% wk)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AUG 2019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Empire Resorts related-party deal with Kien Huat (−12% day)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28-FEB-25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4Q24 loss, DPS 9→4 sen, MSCI deletion (−19.5% day)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13-OCT-25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Genting Bhd RM2.35 offer; lapsed at 73.13% on 1-Dec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15-DEC-25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NY downstate licence awarded; US$500m fee paid Jan-26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28-APR-26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RWNYC opens NYC's first live table games (+16% rally)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AUG-SEP 26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2Q26 NP −89%, no interim; Fitch cut to BBB-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12-OCT-26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Parent RM1.25bn rights issue: GENM −17.4% to RM1.23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21-OCT-26</w:t>
                  </w:r>
                </w:p>
              </w:tc>
              <w:tc>
                <w:tcPr>
                  <w:tcW w:type="dxa" w:w="420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Affin Sell (TP RM1.00); record-low close RM1.19</w:t>
                  </w:r>
                </w:p>
              </w:tc>
            </w:tr>
          </w:tbl>
          <w:p/>
        </w:tc>
      </w:tr>
    </w:tbl>
    <w:p>
      <w:pPr>
        <w:sectPr>
          <w:footerReference w:type="default" r:id="rId10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QUESTION 1 - IS GENM UNDERVALUED?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Cheap on EBITDA, sales and book; expensive on earnings - leverage sits between the two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6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</w:tblGrid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GENM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Genting Sing.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Genting Bhd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Sands China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Galaxy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MGM China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Caesars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Boyd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Rank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Median (31)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TEV/Sales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1.52x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1.81x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1.78x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2.23x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2.71x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1.45x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2.66x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1.96x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0.61x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1.86x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TEV/EBITDA (LTM)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7.9x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6.4x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8.5x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10.1x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8.4x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6.0x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4.0x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7.9x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TEV/EBITDA (NTM)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6.5x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9.2x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8.3x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3.9x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7.5x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TEV/EBIT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17.8x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11.7x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12.4x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13.7x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14.1x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8.5x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15.1x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9.7x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12.8x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P/E (NTM)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14.0x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17.0x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11.3x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13.2x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8.3x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n/a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9.7x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8.4x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10.1x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EBITDA margin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19.2%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32.4%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28.0%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26.3%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26.9%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23.5%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31.6%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32.6%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15.2%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24.7%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EBIT margin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8.6%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15.4%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14.3%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16.3%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19.2%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17.1%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17.6%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20.3%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9.3%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13.0%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Sales growth (LTM)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19.1%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2.2%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7.9%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11.5%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11.1%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11.6%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2.4%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1.8%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5.0%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5.9%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Net debt/EBITDA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-3.7x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3.6x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-0.8x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1.7x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6.8x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2.2x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1.3x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4.3x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Dividend yield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5.9%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3.5%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6.5%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4.5%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6.8%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0.0%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1.1%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3.9%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20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FCF yield (CFO − capex)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7.8%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2.3%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4.6%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14.4%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7.6%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17.7%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10.4%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0.7%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20.1%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10.0%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LTM to 30-Jun-2026; peer prices 16-Oct-2026; GENM re-based to RM1.19 (21-Oct-2026). CIQ TEV includes leases. Median of 31 listed casino peers (ex-GENM, Kangwon Land). FCF yield excludes GENM's US$500m licence fee. Source: S&amp;P Capital IQ.</w:t>
      </w:r>
    </w:p>
    <w:p>
      <w:pPr>
        <w:spacing w:after="12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28"/>
        <w:gridCol w:w="400"/>
        <w:gridCol w:w="6928"/>
      </w:tblGrid>
      <w:tr>
        <w:trPr>
          <w:cantSplit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the comparison shows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NTM EV/EBITDA 6.5x vs 7.5x for peers: bottom decile of its 10-year range (median 8.8x); TEV/Sales and P/B at record 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GENM's 10-year premium of ~2.5 turns over its parent has collapsed to 0.6x (2nd percentile)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RM2.35 offer was 8.1x LTM EBITDA, below every land-based casino precedent (Caesars 9.1x, Golden 9.8x, Crown 11.2x)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The honest counter-read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P/E is 14.0x NTM vs 10.1x for peers and TEV/EBIT 17.8x vs 12.8x: D&amp;A, interest and tax absorb the EBITDA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Net debt/EBITDA is 5.6x (CIQ) vs 4.3x for peers. Because debt rose RM3.8bn after the offer, EV is down only ~9-13%, so "−49% vs the offer" overstates the de-rating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Our FY26-28E EPS is 27-42% below consensus (interest, tax, stale broker net debt)</w:t>
            </w:r>
          </w:p>
        </w:tc>
      </w:tr>
    </w:tbl>
    <w:p>
      <w:pPr>
        <w:sectPr>
          <w:footerReference w:type="default" r:id="rId11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QUESTION 1 - IS GENM UNDERVALUED?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Regression: slightly below the line on today's margins - the upside is margin recovery as New York ramps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00"/>
        <w:gridCol w:w="300"/>
        <w:gridCol w:w="5256"/>
      </w:tblGrid>
      <w:tr>
        <w:trPr>
          <w:cantSplit/>
        </w:trPr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5486400" cy="3314700"/>
                  <wp:effectExtent t="0" r="0" b="0" l="0"/>
                  <wp:docPr id="1" name="regression.png" descr="regression.png" title="regress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OLS: TEV/Sales = 1.039 + 0.0702 x EBIT margin (%), R² = 0.63, n = 22; reverse fit EBIT margin = −3.9% + 9.0% x TEV/Sales. Peers: S&amp;P Capital IQ (16-Oct-2026); GENM at RM1.19.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How to read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GENM at 1.52x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TEV/Sales sits below the line: OLS implies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1.64x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at its 8.6% LTM EBIT margin (+8% EV; RM1.30-1.47 a share, +9% to +24%)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Slope 0.070x per point of EBIT margin: each 1pp of margin is worth ~RM0.9bn of EV (~RM0.16 a share)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R² 0.63, t = 5.9 (n = 22 core peers; net-cash, negative-EBIT, micro-cap and double-count names excluded). Full sample R² 0.20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At the FY26E consensus EBIT margin of 12.7%, the line implies 1.93x, i.e.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RM1.96-2.13 a share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(+65% to +79%)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With net debt ~2.1x market cap, small EV gaps become large equity moves. Our base case does not rely on the regression</w:t>
            </w:r>
          </w:p>
        </w:tc>
      </w:tr>
    </w:tbl>
    <w:p>
      <w:pPr>
        <w:sectPr>
          <w:footerReference w:type="default" r:id="rId12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WHERE THE VALUE SITS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Sum-of-the-parts: RM1.86 per share in the base case, after a 15% control and governance discount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00"/>
        <w:gridCol w:w="300"/>
        <w:gridCol w:w="5656"/>
      </w:tblGrid>
      <w:tr>
        <w:trPr>
          <w:cantSplit/>
        </w:trP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5257800" cy="2809875"/>
                  <wp:effectExtent t="0" r="0" b="0" l="0"/>
                  <wp:docPr id="1" name="sotp.png" descr="sotp.png" title="sot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5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Base-case SOTP (RM m)</w:t>
            </w:r>
          </w:p>
          <w:tbl>
            <w:tblPr>
              <w:tblW w:type="dxa" w:w="565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50"/>
              <w:gridCol w:w="2550"/>
              <w:gridCol w:w="1456"/>
            </w:tblGrid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Component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Method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RM 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RWG / Malaysia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7.0x FY27E EBITDA (2,190)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15,330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UK &amp; Egypt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5.0x FY27E EBITDA (250)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1,250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US &amp; Bahamas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7.5x FY27E EBITDA (1,060; US$262m)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7,950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Miami land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US$700m (2023 bid US$1.225bn)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2,835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Corporate costs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7x (110)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(770)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Net debt incl. leases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Jun-26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(14,166)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Control / governance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−15% of equity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(1,864)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Equity / per share</w:t>
                  </w:r>
                </w:p>
              </w:tc>
              <w:tc>
                <w:tcPr>
                  <w:tcW w:type="dxa" w:w="25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5,667m shares</w:t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10,565 / RM1.86</w:t>
                  </w:r>
                </w:p>
              </w:tc>
            </w:tr>
          </w:tbl>
          <w:p>
            <w:pPr>
              <w:spacing w:after="160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Implied 7.8x FY27E EV/EBITDA before the discount: below the 9.2x deal median and GENM's 8.8x 10-year median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NY phase 2 (US$3.3bn) treated as NPV-neutral; racing support partially charged (~US$40m a 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Market cap (RM6.7bn) is 64% of base-case equity value. Each 1x on group EBITDA = ~RM0.60 a share</w:t>
            </w:r>
          </w:p>
        </w:tc>
      </w:tr>
    </w:tbl>
    <w:p>
      <w:pPr>
        <w:sectPr>
          <w:footerReference w:type="default" r:id="rId13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196"/>
        <w:gridCol w:w="2060"/>
      </w:tblGrid>
      <w:tr>
        <w:trPr>
          <w:cantSplit/>
        </w:trPr>
        <w:tc>
          <w:tcPr>
            <w:tcW w:type="dxa" w:w="12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THE NEW YORK BUSINESS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HIDDEN ASSET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NYC's only full casino until ~2030, running ~US$1.5bn of annualised GGR - valued at ~2.1x EBITDA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51"/>
        <w:gridCol w:w="2851"/>
        <w:gridCol w:w="2851"/>
        <w:gridCol w:w="2851"/>
        <w:gridCol w:w="2852"/>
      </w:tblGrid>
      <w:tr>
        <w:trPr>
          <w:cantSplit/>
          <w:trHeight w:val="1350" w:hRule="atLeast"/>
        </w:trPr>
        <w:tc>
          <w:tcPr>
            <w:tcW w:type="dxa" w:w="285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242 / ~3,900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Live tables / slots after the Jul-26 expansion; masterplan 800 tables, ~6,000 slots, 2,000 rooms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US$126.7m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September GGR: slots/ETGs US$85.2m, tables US$41.5m; 69% of NY commercial casino GGR (+220% YoY)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56% → 72%?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Slot tax bid vs the State's view that ~US$150m a year of racing support is owed on top (live dispute)</w:t>
            </w:r>
          </w:p>
        </w:tc>
        <w:tc>
          <w:tcPr>
            <w:tcW w:type="dxa" w:w="2851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US$3.7bn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Capex still to spend (Fitch); US$2.0bn Genting Americas facility signed Jun-26</w:t>
            </w:r>
          </w:p>
        </w:tc>
        <w:tc>
          <w:tcPr>
            <w:tcW w:type="dxa" w:w="2852"/>
            <w:tcBorders>
              <w:top w:val="none" w:color="FFFFFF" w:sz="0"/>
              <w:left w:val="single" w:color="FFFFFF" w:sz="48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~2030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Metropolitan Park (Cohen/Hard Rock) and Bally's Bronx open, paying 25-30% slot tax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8"/>
        <w:gridCol w:w="400"/>
        <w:gridCol w:w="6278"/>
      </w:tblGrid>
      <w:tr>
        <w:trPr>
          <w:cantSplit/>
        </w:trPr>
        <w:tc>
          <w:tcPr>
            <w:tcW w:type="dxa" w:w="7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5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700"/>
              <w:gridCol w:w="1050"/>
              <w:gridCol w:w="1050"/>
              <w:gridCol w:w="900"/>
              <w:gridCol w:w="1878"/>
            </w:tblGrid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US EBITDA (FY27E) x multiple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US value (RM bn)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Equity / share*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vs RM1.19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Context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US$150m x 6.0x (racing support in full)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3.6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RM1.22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+3%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Fitch-type downside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US$200m x 7.0x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5.7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RM1.52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+28%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~Fitch 2026E level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US$262m x 7.5x (base)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8.0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RM1.86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+56%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DCE6F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Partial racing support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US$320m x 9.0x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11.7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RM2.42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+103%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Tax equalisation path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US$450m x 9.0x (2028)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16.4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RM3.13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+163%</w:t>
                  </w:r>
                </w:p>
              </w:tc>
              <w:tc>
                <w:tcPr>
                  <w:tcW w:type="dxa" w:w="1878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Fitch NY EBITDA by 2028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*Holding the rest of the base-case SOTP constant, after a 15% discount; USD/MYR 4.05 [e].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to 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NY Gaming Commission data: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weekly peak ~US$30.8m (Jul); September ~US$29.6m a week. The October report (mid-Nov) shows whether the fade stabilises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Racing support: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the one-year legislative fix expires in 2027; GENM has threatened to drop the US$3.3bn 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Returns: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no IRR or hurdle rate disclosed for phase 2, the key governance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Monetisation: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a PropCo sale-leaseback (GLPI paid US$700m for Bally's Lincoln real estate, Feb-26) or a US listing of a combined Genting Americas [u] would fund the build without GENM equity</w:t>
            </w:r>
          </w:p>
        </w:tc>
      </w:tr>
    </w:tbl>
    <w:p>
      <w:pPr>
        <w:sectPr>
          <w:footerReference w:type="default" r:id="rId14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96"/>
        <w:gridCol w:w="1560"/>
      </w:tblGrid>
      <w:tr>
        <w:trPr>
          <w:cantSplit/>
        </w:trPr>
        <w:tc>
          <w:tcPr>
            <w:tcW w:type="dxa" w:w="12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QUESTION 2 - VALUE TRAP OR GENUINE RECOVERY?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EARNINGS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EBITDA is inflecting with New York - but consensus EPS is 27-42% too high once interest and tax are modelled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00"/>
        <w:gridCol w:w="300"/>
        <w:gridCol w:w="6056"/>
      </w:tblGrid>
      <w:tr>
        <w:trPr>
          <w:cantSplit/>
        </w:trPr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4981575" cy="2800350"/>
                  <wp:effectExtent t="0" r="0" b="0" l="0"/>
                  <wp:docPr id="1" name="quarterly_ebitda.png" descr="quarterly_ebitda.png" title="quarterly_ebit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05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56"/>
              <w:gridCol w:w="1000"/>
              <w:gridCol w:w="1000"/>
              <w:gridCol w:w="1000"/>
              <w:gridCol w:w="1000"/>
            </w:tblGrid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RM m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FY25A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FY26E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FY27E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FY28E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Revenue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11,884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13,720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15,200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16,300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Adj. EBITDA ex-FX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2,946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3,139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3,415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3,680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Consensus EBITDA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2,974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3,455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3,765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Net income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755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243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485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545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EPS (sen)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13.3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4.3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8.6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9.6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Consensus EPS (sen)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7.5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11.8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14.8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DPS (sen)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7.0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5.0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5.0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6.0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P/E at RM1.19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8.9x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27.7x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13.8x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12.4x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56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Net debt / EBITDA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3.5x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5.0x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4.9x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4.7x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Our estimates [e]; consensus S&amp;P Capital IQ (Oct-2026).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2Q26: record revenue (+32%); ex-FX EBITDA +2% YoY / +37% QoQ; NP −89%; no interim dividend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3Q26 preview [e]: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US&amp;B adj. EBITDA ≥RM250m is the key number; group ex-FX EBITDA ~RM0.88-0.92bn; NI ~RM90-140m before FX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Finance costs +43% YoY; brokers' FY27E interest (RM910m) and FY26E net debt (RM10.0bn vs RM14.2bn actual) look stale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Affin's Sell (TP RM1.00) is the first broker call to price the parent overhang; expect consensus to fall</w:t>
            </w:r>
          </w:p>
        </w:tc>
      </w:tr>
    </w:tbl>
    <w:p>
      <w:pPr>
        <w:sectPr>
          <w:footerReference w:type="default" r:id="rId15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QUESTION 2 - DEEP DIVE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DEEP DIVE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The capex cycle: spending quadruples just as leverage peaks - the source of the discount and of the option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50"/>
        <w:gridCol w:w="150"/>
        <w:gridCol w:w="4750"/>
        <w:gridCol w:w="300"/>
        <w:gridCol w:w="4306"/>
      </w:tblGrid>
      <w:tr>
        <w:trPr>
          <w:cantSplit/>
        </w:trP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2971800" cy="2047875"/>
                  <wp:effectExtent t="0" r="0" b="0" l="0"/>
                  <wp:docPr id="1" name="capex_da.png" descr="capex_da.png" title="capex_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2971800" cy="2028825"/>
                  <wp:effectExtent t="0" r="0" b="0" l="0"/>
                  <wp:docPr id="1" name="net_debt.png" descr="net_debt.png" title="net_deb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Why returns collapsed - and why they could 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 decade of low returns: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ROE averaged ~1.6% and ROIC ~3.6% over FY15-25; equity fell from RM19.7bn to RM11.6bn while debt tripled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Debt-funded dividends: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payout 195-226% in FY23-24, largely up-streamed to the 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Capex reset: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~RM0.9bn a year historically → RM3.1-3.9bn a year in FY26-28E (consensus) for RWNYC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The turn: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NY EBITDA ramps (Fitch ~US$450m by 2028) while capex rolls off after 2028; FCF turns positive in FY27E (consensus)</w:t>
            </w:r>
          </w:p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Fitch BBB- (Sep-26) is the floor; RM1.1bn MTN due Mar-27; 2029 and 2031 bond walls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Lease liabilities +RM0.78bn in 1H26 (Aqueduct lease remeasured)</w:t>
            </w:r>
          </w:p>
        </w:tc>
      </w:tr>
    </w:tbl>
    <w:p>
      <w:pPr>
        <w:sectPr>
          <w:footerReference w:type="default" r:id="rId16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46"/>
        <w:gridCol w:w="2310"/>
      </w:tblGrid>
      <w:tr>
        <w:trPr>
          <w:cantSplit/>
        </w:trPr>
        <w:tc>
          <w:tcPr>
            <w:tcW w:type="dxa" w:w="11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MANAGEMENT AND SENTIMENT</w:t>
            </w:r>
          </w:p>
        </w:tc>
        <w:tc>
          <w:tcPr>
            <w:tcW w:type="dxa" w:w="2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EARNINGS CALLS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Tone has moved from "defend Malaysia" to "build New York"; the market has stopped paying for jam tomorrow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00"/>
        <w:gridCol w:w="300"/>
        <w:gridCol w:w="5356"/>
      </w:tblGrid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5438775" cy="2028825"/>
                  <wp:effectExtent t="0" r="0" b="0" l="0"/>
                  <wp:docPr id="1" name="sentiment.png" descr="sentiment.png" title="sentim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No transcripts on S&amp;P Capital IQ; ProntoNLP not connected. Scores use a disclosed four-part rubric (tone, capital action, vs expectations, catalysts) on results releases and broker coverage, 3Q24-2Q26.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5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management is focused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NY ramp, phase 2 (hotel tower, arena) and the racing-support tax fight dominate every briefing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Malaysia: cost control, mass-market floor, refurbishment; VIP volatility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Funding: US$2bn facility, perpetuals, defending BBB-; dividends de-prioritised (no interims in FY25-26); a token buyback (550,000 shares, 12-Oct)</w:t>
            </w:r>
          </w:p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Tan Sri Lim Kok Thay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(CEO; GENM board since 1988): built RWS and RWNYC; also Mashpee, Empire and Genting HK. Paid RM54.7m (FY25)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Lim Keong Hui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(Deputy CEO; third generation)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Lee Thiam Kit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(President since Mar-26, after Lee Choong Yan stepped down);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Loh Wai Yee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(CFO since Apr-25)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Insider buying is at the parent only: Kien Huat bought 422,500 Genting Bhd shares and CEO Tan Kong Han bought at ~RM1.42 (Oct-26)</w:t>
            </w:r>
          </w:p>
        </w:tc>
      </w:tr>
    </w:tbl>
    <w:p>
      <w:pPr>
        <w:sectPr>
          <w:footerReference w:type="default" r:id="rId17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56"/>
        <w:gridCol w:w="1500"/>
      </w:tblGrid>
      <w:tr>
        <w:trPr>
          <w:cantSplit/>
        </w:trPr>
        <w:tc>
          <w:tcPr>
            <w:tcW w:type="dxa" w:w="12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BALANCE SHEET AND CAPITAL ALLOCATION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CAPITAL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Stretched balance sheet and a parent that charges ~RM848m a year: capital allocation is the thesis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64"/>
        <w:gridCol w:w="3564"/>
        <w:gridCol w:w="3564"/>
        <w:gridCol w:w="3564"/>
      </w:tblGrid>
      <w:tr>
        <w:trPr>
          <w:cantSplit/>
          <w:trHeight w:val="1350" w:hRule="atLeast"/>
        </w:trPr>
        <w:tc>
          <w:tcPr>
            <w:tcW w:type="dxa" w:w="356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RM14.2bn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Net debt incl. leases (Jun-26), 4.9x LTM adj. EBITDA ex-FX; +RM3.8bn in 1H26 (licence fee, capex)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BBB-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Fitch (cut Sep-26); RAM AA1; parent S&amp;P BBB-/Negative with "fallen angel" risk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~RM848m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FY25 fees to Genting Bhd/RWI (management RM498m, brand RM233m, US IP RM90m): 26% of adj. EBITDA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7 sen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FY25 DPS (from 15 sen in FY23); no interim in FY25 or FY26; first buyback executions Oct-26 (RM0.7m)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28"/>
        <w:gridCol w:w="400"/>
        <w:gridCol w:w="6928"/>
      </w:tblGrid>
      <w:tr>
        <w:trPr>
          <w:cantSplit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Capital-allocation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Good: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won the scarce NYC licence; fixed the payout (from 226% to ~50%); refinanced Empire's 7.75% notes 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Poor: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Mashpee notes (RM1.83bn impaired), Empire (~US$765m; serial related-party deals with Kien Huat, each below the 5% vote threshold), Bimini, Fox World, the collapsed Miami sale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Leakage: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related-party fees ~7% of revenue; CEO pay RM54.7m; 3 of 8 directors independent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Returns: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ROE ~1.6% average FY15-25; attributable equity −41% since FY16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Priorities we would push for</w:t>
            </w:r>
          </w:p>
          <w:p>
            <w:pPr>
              <w:spacing w:after="75" w:line="264"/>
              <w:ind w:left="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1. Sell the Miami land and run a RWNYC PropCo sale-leaseback to fund phase 2 without equity</w:t>
            </w:r>
          </w:p>
          <w:p>
            <w:pPr>
              <w:spacing w:after="75" w:line="264"/>
              <w:ind w:left="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2. Independent benchmarking of the management, know-how and brand fees; a minority vote on the RRPT mandate</w:t>
            </w:r>
          </w:p>
          <w:p>
            <w:pPr>
              <w:spacing w:after="75" w:line="264"/>
              <w:ind w:left="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3. Publish the NY phase-2 IRR and hurdle; tie pay to ROIC/TSR</w:t>
            </w:r>
          </w:p>
          <w:p>
            <w:pPr>
              <w:spacing w:after="75" w:line="264"/>
              <w:ind w:left="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4. Exit or close Empire's upstate assets and Bimini; ring-fence the UK</w:t>
            </w:r>
          </w:p>
        </w:tc>
      </w:tr>
    </w:tbl>
    <w:p>
      <w:pPr>
        <w:spacing w:after="28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6"/>
      </w:tblGrid>
      <w:tr>
        <w:trPr>
          <w:cantSplit/>
        </w:trPr>
        <w:tc>
          <w:tcPr>
            <w:tcW w:type="dxa" w:w="14256"/>
            <w:tcBorders>
              <w:top w:val="none" w:color="FFFFFF" w:sz="0"/>
              <w:left w:val="single" w:color="14213D" w:sz="36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top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Is the balance sheet efficient? No.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Leverage peaks at ~5x through FY27E while ~RM848m a year flows to the parent in fees. Non-core assets (Miami, Empire upstate, Bimini) and a NY PropCo are the only non-dilutive levers. The 12-Oct buyback (RM0.7m) is symbolic next to RM14.2bn of net debt.</w:t>
            </w:r>
          </w:p>
        </w:tc>
      </w:tr>
    </w:tbl>
    <w:p>
      <w:pPr>
        <w:sectPr>
          <w:footerReference w:type="default" r:id="rId18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446"/>
        <w:gridCol w:w="1810"/>
      </w:tblGrid>
      <w:tr>
        <w:trPr>
          <w:cantSplit/>
        </w:trPr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IS THERE AN ACTIVIST IN HERE?</w:t>
            </w:r>
          </w:p>
        </w:tc>
        <w:tc>
          <w:tcPr>
            <w:tcW w:type="dxa" w:w="1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GOVERNANCE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Not a proxy fight - a blocking stake: minorities hold the veto on delisting and on related-party mandates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64"/>
        <w:gridCol w:w="3564"/>
        <w:gridCol w:w="3564"/>
        <w:gridCol w:w="3564"/>
      </w:tblGrid>
      <w:tr>
        <w:trPr>
          <w:cantSplit/>
          <w:trHeight w:val="1350" w:hRule="atLeast"/>
        </w:trPr>
        <w:tc>
          <w:tcPr>
            <w:tcW w:type="dxa" w:w="356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73.84%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Genting Bhd (Mar-26), 1.16pp (~66m shares, ~RM78m) below the 75% level that reopens a delisting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~26.2%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Free float; EPF, KWAP and PNB gone; largest outside holder UBS (1.0%), then Vanguard, Dimensional, iShares, Norges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single" w:color="FFFFFF" w:sz="48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~10%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Objection level that typically defeats a delisting resolution [u]: ~567m shares, ~RM675m / US$165m at RM1.19</w:t>
            </w:r>
          </w:p>
        </w:tc>
        <w:tc>
          <w:tcPr>
            <w:tcW w:type="dxa" w:w="3564"/>
            <w:tcBorders>
              <w:top w:val="none" w:color="FFFFFF" w:sz="0"/>
              <w:left w:val="single" w:color="FFFFFF" w:sz="48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4213D"/>
                <w:sz w:val="34"/>
                <w:szCs w:val="34"/>
              </w:rPr>
              <w:t xml:space="preserve">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Activist campaigns ever at GENM; opposition has been passive (2019 Empire backlash, 2025 offer rejection)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28"/>
        <w:gridCol w:w="400"/>
        <w:gridCol w:w="6928"/>
      </w:tblGrid>
      <w:tr>
        <w:trPr>
          <w:cantSplit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Why activism could work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 quantifiable "value to unlock": fees of ~RM848m a year (halving them is worth ~RM0.50 a share at 7x), Miami land, NY real estate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Independent adviser on record that RM2.35 was "not fair and not reasonable" (SOTP RM3.48-3.77)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Interested parties must abstain on RRPT mandates, so minorities decide the fee mandate each AGM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disclosed short interest; a 4-6% dividend yield supports the holding cost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Where the limits 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 73.84% controller makes board change impossible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Liquidity of ~2-4m shares a day means building 10% takes months and moves the price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Malaysian institutions rarely oppose the Lim family publicly; the float is dispersed foreign/retail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delisting-objection rule and post-offer creep restrictions need legal confirmation [u]</w:t>
            </w:r>
          </w:p>
        </w:tc>
      </w:tr>
    </w:tbl>
    <w:p>
      <w:pPr>
        <w:spacing w:after="28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256"/>
      </w:tblGrid>
      <w:tr>
        <w:trPr>
          <w:cantSplit/>
        </w:trPr>
        <w:tc>
          <w:tcPr>
            <w:tcW w:type="dxa" w:w="14256"/>
            <w:tcBorders>
              <w:top w:val="none" w:color="FFFFFF" w:sz="0"/>
              <w:left w:val="single" w:color="14213D" w:sz="36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top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What an activist would ask for: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(1) independent benchmarking and reduction of related-party fees; (2) a Miami sale and a NY PropCo sale-leaseback to fund phase 2 without equity; (3) published IRR hurdles and ROIC-linked pay; (4) an independent board majority; (5) a public floor of RM2.35 for any privatisation, backed by a quiet 5-10% blocking stake.</w:t>
            </w:r>
          </w:p>
        </w:tc>
      </w:tr>
    </w:tbl>
    <w:p>
      <w:pPr>
        <w:sectPr>
          <w:footerReference w:type="default" r:id="rId19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56"/>
        <w:gridCol w:w="1500"/>
      </w:tblGrid>
      <w:tr>
        <w:trPr>
          <w:cantSplit/>
        </w:trPr>
        <w:tc>
          <w:tcPr>
            <w:tcW w:type="dxa" w:w="12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QUESTION 3 - TAKEOVER TARGET?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M&amp;A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One natural buyer, already at 73.84% - but short of cash; precedents say 9-11x, the last offer was 8.1x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00"/>
        <w:gridCol w:w="300"/>
        <w:gridCol w:w="6456"/>
      </w:tblGrid>
      <w:tr>
        <w:trPr>
          <w:cantSplit/>
        </w:trP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50"/>
              <w:gridCol w:w="750"/>
              <w:gridCol w:w="1100"/>
              <w:gridCol w:w="1050"/>
              <w:gridCol w:w="2450"/>
            </w:tblGrid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Transaction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Date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EV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EV/EBITDA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Read-across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GENM minority - Genting Bhd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Oct-25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RM22.9bn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8.1x LTM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Lapsed at 73.13%; 9.8% premium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Caesars - Fertitta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May-26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US$31.7bn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9.1x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Pending; US regional + LV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Golden Ent. - VICI / Sartini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Nov-25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US$1.2bn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9.8x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OpCo/PropCo split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SkyCity - Oaktree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Aug-26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NZ$1.5bn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~10.8x [e]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Cancelled; single-market casino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Crown Resorts - Blackstone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Feb-22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A$9.8bn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11.2x (FY19)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IR take-private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Cirsa - Lottomatica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Sep-26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€4.7bn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7.1x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Diversified gaming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OPAP - Allwyn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Oct-25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€6.6bn</w:t>
                  </w:r>
                </w:p>
              </w:tc>
              <w:tc>
                <w:tcPr>
                  <w:tcW w:type="dxa" w:w="10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8.4x</w:t>
                  </w:r>
                </w:p>
              </w:tc>
              <w:tc>
                <w:tcPr>
                  <w:tcW w:type="dxa" w:w="245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Lottery/betting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Median 9.2x (n=10). Bally's Lincoln real estate → GLPI US$700m (Feb-26) is the PropCo precedent. Source: S&amp;P Capital IQ Transactions.</w:t>
            </w:r>
          </w:p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Takeout value grid (TEV / FY26E consensus EBITDA of RM2,974m)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00"/>
              <w:gridCol w:w="900"/>
              <w:gridCol w:w="900"/>
              <w:gridCol w:w="9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TEV / EBITDA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7.0x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8.0x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9.0x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9.2x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10.0x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13D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11.0x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Value per share (RM)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1.17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1.70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2.22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2.33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2.75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3.27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5"/>
                      <w:szCs w:val="15"/>
                    </w:rPr>
                    <w:t xml:space="preserve">Premium to RM1.19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−2%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+43%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+87%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+96%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+131%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EEF1F5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+175%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Equity = multiple x FY26E EBITDA − net debt incl. leases (RM14,166m, Jun-26); 5,667m shares.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1D5DB" w:sz="4" w:space="5"/>
              </w:pBdr>
              <w:spacing w:after="110" w:before="60"/>
            </w:pPr>
            <w:r>
              <w:rPr>
                <w:rFonts w:ascii="Arial" w:cs="Arial" w:eastAsia="Arial" w:hAnsi="Arial"/>
                <w:b/>
                <w:bCs/>
                <w:color w:val="14213D"/>
                <w:sz w:val="21"/>
                <w:szCs w:val="21"/>
              </w:rPr>
              <w:t xml:space="preserve">What a control price would look 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RM2.35 today = 9.2x FY26E EBITDA (it was 8.1x LTM when offered, before RM3.8bn of new debt)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Our realistic takeout range: 8.5-10x =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RM1.96-2.75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(+65% to +131%); the independent adviser's RM3.48-3.77 = 11.4-11.9x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Impediments: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the parent's rights issue to repay debt; S&amp;P negative outlook; CreditSights expects no debt-funded GENM buying for 12-18 months; Lim family dilution in a share swap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Most likely sequence: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(1) parent rights done (1Q27); (2) creep past 75% (2027); (3) delisting with an exit offer once NY earnings are visible (2027-28); or asset-level deals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Overlooked route [u]: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the Nov-2025 offer document flagged combining Genting Bhd's US assets with GENM's US business and listing it in the US, a way to value New York without a cash bid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5" w:line="264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Third-party bid: effectively impossible without the Lim family</w:t>
            </w:r>
          </w:p>
        </w:tc>
      </w:tr>
    </w:tbl>
    <w:p>
      <w:pPr>
        <w:sectPr>
          <w:footerReference w:type="default" r:id="rId20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SCENARIO ANALYSIS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Asymmetric but fat-tailed: −36% bear vs +176% bull; probability-weighted RM1.94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6"/>
        <w:gridCol w:w="3500"/>
        <w:gridCol w:w="3400"/>
        <w:gridCol w:w="3500"/>
      </w:tblGrid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 (25%)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(50%)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Bull (25%)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Malaysia FY27E EBITDA / multiple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RM2,100m / 6.0x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RM2,190m / 7.0x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RM2,300m / 8.0x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US &amp; Bahamas FY27E EBITDA / multiple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US$198m (racing support in full) / 6.5x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US$262m (partial) / 7.5x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US$321m (tax equalisation) / 9.0x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UK &amp; Egypt / Miami land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4.0x / US$500m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5.0x / US$700m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5.5x / US$1.0bn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NY phase-2 NPV; discount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−RM1.0bn; 10%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Neutral; 15%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Neutral; 10%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Revenue CAGR FY26-28E / FY27E EBITDA margin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~3% / ~20%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~11% / ~22.5%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~14% / ~24.5%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Implied EV / FY27E EBITDA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5.6x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7.8x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EEF1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10.2x (8.2x ex-Miami)</w:t>
            </w:r>
          </w:p>
        </w:tc>
      </w:tr>
      <w:tr>
        <w:trPr>
          <w:cantSplit/>
        </w:trPr>
        <w:tc>
          <w:tcPr>
            <w:tcW w:type="dxa" w:w="38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Per share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RM0.76 (−36%)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RM1.86 (+56%)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RM3.28 (+176%)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2937"/>
          <w:sz w:val="4"/>
          <w:szCs w:val="4"/>
        </w:rPr>
        <w:t xml:space="preserve"> 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0"/>
        <w:gridCol w:w="300"/>
        <w:gridCol w:w="5156"/>
      </w:tblGrid>
      <w:tr>
        <w:trPr>
          <w:cantSplit/>
        </w:trP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5486400" cy="2171700"/>
                  <wp:effectExtent t="0" r="0" b="0" l="0"/>
                  <wp:docPr id="1" name="scenarios.png" descr="scenarios.png" title="scenari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5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0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> </w:t>
            </w:r>
          </w:p>
          <w:tbl>
            <w:tblPr>
              <w:tblW w:type="dxa" w:w="515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156"/>
            </w:tblGrid>
            <w:tr>
              <w:trPr>
                <w:cantSplit/>
              </w:trPr>
              <w:tc>
                <w:tcPr>
                  <w:tcW w:type="dxa" w:w="5156"/>
                  <w:tcBorders>
                    <w:top w:val="none" w:color="FFFFFF" w:sz="0"/>
                    <w:left w:val="single" w:color="14213D" w:sz="36"/>
                    <w:bottom w:val="none" w:color="FFFFFF" w:sz="0"/>
                    <w:right w:val="none" w:color="FFFFFF" w:sz="0"/>
                  </w:tcBorders>
                  <w:shd w:fill="EEF1F5" w:color="auto" w:val="clear"/>
                  <w:tcMar>
                    <w:top w:type="dxa" w:w="170"/>
                    <w:left w:type="dxa" w:w="260"/>
                    <w:bottom w:type="dxa" w:w="170"/>
                    <w:right w:type="dxa" w:w="260"/>
                  </w:tcMar>
                  <w:vAlign w:val="top"/>
                </w:tcPr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Downside support:</w:t>
                  </w:r>
                  <w:r>
                    <w:rPr>
                      <w:rFonts w:ascii="Arial" w:cs="Arial" w:eastAsia="Arial" w:hAnsi="Arial"/>
                      <w:color w:val="1F2937"/>
                      <w:sz w:val="17"/>
                      <w:szCs w:val="17"/>
                    </w:rPr>
                    <w:t xml:space="preserve"> the Malaysian monopoly (~RM2.1bn EBITDA), a ~4% dividend, 0.60x book and the RM2.35 anchor; even the bear case values RWG at 6x.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Upside driver:</w:t>
                  </w:r>
                  <w:r>
                    <w:rPr>
                      <w:rFonts w:ascii="Arial" w:cs="Arial" w:eastAsia="Arial" w:hAnsi="Arial"/>
                      <w:color w:val="1F2937"/>
                      <w:sz w:val="17"/>
                      <w:szCs w:val="17"/>
                    </w:rPr>
                    <w:t xml:space="preserve"> the market putting any value on New York, and the minority's veto over a cheap delisting. Probability-weighted ~RM1.94 (+63%); ~67% expected total return with dividends.</w:t>
                  </w:r>
                </w:p>
              </w:tc>
            </w:tr>
          </w:tbl>
          <w:p/>
        </w:tc>
      </w:tr>
    </w:tbl>
    <w:p>
      <w:pPr>
        <w:sectPr>
          <w:footerReference w:type="default" r:id="rId21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71"/>
        <w:gridCol w:w="1685"/>
      </w:tblGrid>
      <w:tr>
        <w:trPr>
          <w:cantSplit/>
        </w:trPr>
        <w:tc>
          <w:tcPr>
            <w:tcW w:type="dxa" w:w="12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CATALYST CALENDAR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CATALYSTS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UK Budget, 3Q26, the end of the post-offer window and Albany's racing-support decision dominate the next two quarters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200"/>
        <w:gridCol w:w="6156"/>
        <w:gridCol w:w="1600"/>
      </w:tblGrid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28-OCT-26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UK Autumn Budget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Machine games duty doubling would make 13 of 32 UK casinos unviable; impairments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MID-NOV-26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NY October GGR report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Whether the Jul-Sep fade stabilises at ≥US$125m a month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MID-NOV-26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MSCI review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Small-cap deletion or weight cut risk at a 26% float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~19-26 NOV-26 [U]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3Q26 results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First full quarter of NY tables; US&amp;B ≥RM250m; any dividend signal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~1-DEC-26 [U]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12 months since the offer lapsed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Genting Bhd free to resume buying; 75% reopens a delisting route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4Q26-1Q27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Genting Bhd rights issue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EGM, books close, completion; parent overhang removed or confirmed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JAN-JUN 2027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NY legislative session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Racing-support fix expires; tax equalisation debate (~US$150m a year swing)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~25-FEB-27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FY26 results and final dividend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Consensus 7.3 sen vs our 5 sen; capex and funding guidance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31-MAR-27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RM1.1bn MTN maturity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First refinancing test at BBB-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JUN-27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AGM: RRPT and buyback mandates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Minority vote on the related-party fee mandate; minimum wage to RM2,000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rHeight w:val="47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ANY TIME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Miami sale / NY PropCo / US listing / privatisation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Value crystallisation and deleveraging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6CC4"/>
                <w:sz w:val="17"/>
                <w:szCs w:val="17"/>
              </w:rPr>
              <w:t xml:space="preserve">CRITICAL</w:t>
            </w:r>
          </w:p>
        </w:tc>
      </w:tr>
    </w:tbl>
    <w:p>
      <w:pPr>
        <w:sectPr>
          <w:footerReference w:type="default" r:id="rId22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756"/>
        <w:gridCol w:w="1500"/>
      </w:tblGrid>
      <w:tr>
        <w:trPr>
          <w:cantSplit/>
        </w:trPr>
        <w:tc>
          <w:tcPr>
            <w:tcW w:type="dxa" w:w="12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B6CC4"/>
                <w:sz w:val="18"/>
                <w:szCs w:val="18"/>
              </w:rPr>
              <w:t xml:space="preserve">KEY RISKS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RISKS</w:t>
            </w:r>
          </w:p>
        </w:tc>
      </w:tr>
    </w:tbl>
    <w:p>
      <w:pPr>
        <w:pBdr>
          <w:bottom w:val="single" w:color="C9CED6" w:sz="6" w:space="8"/>
        </w:pBdr>
        <w:spacing w:after="160" w:before="140"/>
      </w:pPr>
      <w:r>
        <w:rPr>
          <w:rFonts w:ascii="Arial" w:cs="Arial" w:eastAsia="Arial" w:hAnsi="Arial"/>
          <w:b/>
          <w:bCs/>
          <w:color w:val="14213D"/>
          <w:sz w:val="38"/>
          <w:szCs w:val="38"/>
        </w:rPr>
        <w:t xml:space="preserve">What would make this thesis wrong</w:t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28"/>
        <w:gridCol w:w="400"/>
        <w:gridCol w:w="6928"/>
      </w:tblGrid>
      <w:tr>
        <w:trPr>
          <w:cantSplit/>
          <w:trHeight w:val="1450" w:hRule="atLeast"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01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NY tax and competition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Racing support enforced on top of the 56% slot tax (effective ~72%; &gt;US$500m over four years); rivals open ~2030 at 25-30% slot tax; phase 2 may never earn its cost of capital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02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Parent extraction or a low-ball squeeze-out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A cash-strapped Genting Bhd leans on fees (~RM848m a year) and dividends, or delists at a low price if the float disperses below the 10% objection threshold</w:t>
                  </w:r>
                </w:p>
              </w:tc>
            </w:tr>
          </w:tbl>
          <w:p/>
        </w:tc>
      </w:tr>
      <w:tr>
        <w:trPr>
          <w:cantSplit/>
          <w:trHeight w:val="220" w:hRule="exact"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rHeight w:val="1450" w:hRule="atLeast"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03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Malaysian policy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Quarterly licence renewal; duty raised in 1998 and 2019; service tax in 2024; PAS vow to close RWG if it wins Pahang (GE16 by early 2028)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04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Funding and dilution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~5x leverage through 2027; Fitch BBB-; US$3.7bn of capex left; a GENM rights issue the parent could not take up would be deeply dilutive</w:t>
                  </w:r>
                </w:p>
              </w:tc>
            </w:tr>
          </w:tbl>
          <w:p/>
        </w:tc>
      </w:tr>
      <w:tr>
        <w:trPr>
          <w:cantSplit/>
          <w:trHeight w:val="220" w:hRule="exact"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rHeight w:val="1450" w:hRule="atLeast"/>
        </w:trPr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05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Earnings quality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FX on USD debt inside adj. EBITDA; one-off gains (~35% of FY25 NI); VIP hold swings; consensus EPS too high in our view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tbl>
            <w:tblPr>
              <w:tblW w:type="dxa" w:w="648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5588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6CC4"/>
                      <w:sz w:val="40"/>
                      <w:szCs w:val="40"/>
                    </w:rPr>
                    <w:t xml:space="preserve">06</w:t>
                  </w:r>
                </w:p>
              </w:tc>
              <w:tc>
                <w:tcPr>
                  <w:tcW w:type="dxa" w:w="55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13D"/>
                      <w:sz w:val="21"/>
                      <w:szCs w:val="21"/>
                    </w:rPr>
                    <w:t xml:space="preserve">Liquidity and flows</w:t>
                  </w:r>
                </w:p>
                <w:p>
                  <w:pPr>
                    <w:spacing w:line="264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~26% float, ~2-4m shares a day; out of the KLCI (Dec-24) and MSCI Standard (Feb-25); the first broker Sell (Affin, TP RM1.00) could trigger more downgrades</w:t>
                  </w:r>
                </w:p>
              </w:tc>
            </w:tr>
          </w:tbl>
          <w:p/>
        </w:tc>
      </w:tr>
    </w:tbl>
    <w:p>
      <w:pPr>
        <w:sectPr>
          <w:footerReference w:type="default" r:id="rId23"/>
          <w:pgSz w:w="15840" w:h="12240" w:orient="landscape"/>
          <w:pgMar w:top="640" w:right="792" w:bottom="560" w:left="792" w:header="300" w:footer="300" w:gutter="0"/>
          <w:pgNumType/>
          <w:docGrid w:linePitch="360"/>
        </w:sectPr>
      </w:pPr>
    </w:p>
    <w:p>
      <w:pPr>
        <w:spacing w:after="0"/>
      </w:pPr>
      <w:r>
        <w:drawing>
          <wp:anchor distT="0" distB="0" distL="0" distR="0" simplePos="0" allowOverlap="1" behindDoc="1" locked="0" layoutInCell="1" relativeHeight="7772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42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00"/>
        <w:gridCol w:w="300"/>
        <w:gridCol w:w="4756"/>
      </w:tblGrid>
      <w:tr>
        <w:trPr>
          <w:cantSplit/>
          <w:trHeight w:val="9300" w:hRule="atLeast"/>
        </w:trP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40" w:before="500"/>
            </w:pPr>
            <w:r>
              <w:rPr>
                <w:rFonts w:ascii="Arial" w:cs="Arial" w:eastAsia="Arial" w:hAnsi="Arial"/>
                <w:b/>
                <w:bCs/>
                <w:color w:val="8DB4F0"/>
                <w:sz w:val="18"/>
                <w:szCs w:val="18"/>
              </w:rPr>
              <w:t xml:space="preserve">INVESTMENT COMMITTEE DECISION</w:t>
            </w:r>
          </w:p>
          <w:p>
            <w:pPr>
              <w:spacing w:after="320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Recommendation: SPECULATIVE BUY</w:t>
            </w:r>
          </w:p>
          <w:tbl>
            <w:tblPr>
              <w:tblW w:type="dxa" w:w="9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00"/>
              <w:gridCol w:w="2300"/>
              <w:gridCol w:w="2800"/>
              <w:gridCol w:w="2200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DB4F0"/>
                      <w:sz w:val="36"/>
                      <w:szCs w:val="36"/>
                    </w:rPr>
                    <w:t xml:space="preserve">RM1.85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9D3E6"/>
                      <w:sz w:val="15"/>
                      <w:szCs w:val="15"/>
                    </w:rPr>
                    <w:t xml:space="preserve">12-mo target (+55%)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6.5x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9D3E6"/>
                      <w:sz w:val="15"/>
                      <w:szCs w:val="15"/>
                    </w:rPr>
                    <w:t xml:space="preserve">NTM EV/EBITDA (10-yr median 8.8x)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~US$0.56bn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9D3E6"/>
                      <w:sz w:val="15"/>
                      <w:szCs w:val="15"/>
                    </w:rPr>
                    <w:t xml:space="preserve">Implied value of the whole US business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RM1.94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9D3E6"/>
                      <w:sz w:val="15"/>
                      <w:szCs w:val="15"/>
                    </w:rPr>
                    <w:t xml:space="preserve">Probability-weighted (bear RM0.76)</w:t>
                  </w:r>
                </w:p>
              </w:tc>
            </w:tr>
          </w:tbl>
          <w:p>
            <w:pPr>
              <w:spacing w:after="360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20" w:line="27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Malaysia's casino monopoly (~RM2.1bn EBITDA) plus NYC's only full casino (~US$1.5bn annualised GGR), at 6.5x NTM EBITDA and 0.60x book, 49% below the lapsed RM2.35 parent offer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20" w:line="27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The 20% fall since 9-Oct came from the parent's rights issue and a broker downgrade, not from GENM. The market prices the US business at about the licence fee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20" w:line="27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 event-driven asset: the parent wants control but cannot pay a fair cash price; a &gt;10% minority objection can block a cheap delisting, and RM2.35 is the anchor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20" w:line="276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Main risks: the NY racing-support tax, parent extraction, Malaysian policy and 5x leverage. Hence half sizing and hard triggers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325A" w:color="auto" w:val="clear"/>
            <w:tcMar>
              <w:top w:type="dxa" w:w="300"/>
              <w:left w:type="dxa" w:w="360"/>
              <w:bottom w:type="dxa" w:w="300"/>
              <w:right w:type="dxa" w:w="360"/>
            </w:tcMar>
            <w:vAlign w:val="top"/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Sizing and monitoring</w:t>
            </w:r>
          </w:p>
          <w:p>
            <w:pPr>
              <w:spacing w:after="200" w:line="276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Event-driven, low-to-medium conviction. Hold half the position; do not add before the UK Budget (28-Oct) and 3Q26 (~19-26 Nov). Add on a 3Q26 NY run-rate of ≥US$60m a quarter, completion of the parent's rights issue, or an asset-monetisation announcement. Consider building towards a 5-10% blocking stake if the parent signals a privatisation.</w:t>
            </w:r>
          </w:p>
          <w:p>
            <w:pPr>
              <w:spacing w:after="200" w:line="276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Hard review triggers: racing support enforced in full with no offset; a GENM rights issue or punitive perpetuals; Fitch below BBB-; Genting Bhd pledging or selling GENM shares; a privatisation proposal below RM1.80.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C9D3E6"/>
                <w:sz w:val="16"/>
                <w:szCs w:val="16"/>
              </w:rPr>
              <w:t xml:space="preserve">Track separately: UK Budget (28-Oct), NY October data (mid-Nov), 3Q26 (~19-26 Nov), post-offer window (~1-Dec), parent rights issue (1Q27), Albany session (1H27), FY26 DPS (Feb-27).</w:t>
            </w:r>
          </w:p>
        </w:tc>
      </w:tr>
    </w:tbl>
    <w:p>
      <w:pPr>
        <w:pBdr>
          <w:top w:val="single" w:color="3B4A6B" w:sz="6" w:space="10"/>
        </w:pBdr>
        <w:spacing w:before="200"/>
      </w:pPr>
      <w:r>
        <w:rPr>
          <w:rFonts w:ascii="Arial" w:cs="Arial" w:eastAsia="Arial" w:hAnsi="Arial"/>
          <w:color w:val="9FB0CC"/>
          <w:sz w:val="15"/>
          <w:szCs w:val="15"/>
        </w:rPr>
        <w:t xml:space="preserve">Genting Malaysia Bhd | Bursa: GENM MK | Reference price RM1.19 (21-Oct-2026) | 24 October 2026</w:t>
      </w:r>
    </w:p>
    <w:sectPr>
      <w:footerReference w:type="default" r:id="rId24"/>
      <w:pgSz w:w="15840" w:h="12240" w:orient="landscape"/>
      <w:pgMar w:top="640" w:right="792" w:bottom="560" w:left="792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256"/>
      </w:tabs>
      <w:spacing w:after="0" w:before="0"/>
    </w:pPr>
    <w:r>
      <w:rPr>
        <w:rFonts w:ascii="Arial" w:cs="Arial" w:eastAsia="Arial" w:hAnsi="Arial"/>
        <w:color w:val="6B7280"/>
        <w:sz w:val="14"/>
        <w:szCs w:val="14"/>
      </w:rPr>
      <w:t xml:space="preserve">Genting Malaysia Bhd | Bursa: GENM MK | Reference price RM1.19 (21-Oct-2026 close) | [u] = unverified, [e] = estimate</w:t>
    </w:r>
    <w:r>
      <w:rPr>
        <w:rFonts w:ascii="Arial" w:cs="Arial" w:eastAsia="Arial" w:hAnsi="Arial"/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00" w:hanging="300"/>
      </w:pPr>
      <w:rPr>
        <w:rFonts w:ascii="Arial" w:cs="Arial" w:eastAsia="Arial" w:hAnsi="Arial"/>
        <w:color w:val="2B6CC4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00" w:hanging="300"/>
      </w:pPr>
      <w:rPr>
        <w:rFonts w:ascii="Arial" w:cs="Arial" w:eastAsia="Arial" w:hAnsi="Arial"/>
        <w:color w:val="7B8494"/>
        <w:sz w:val="14"/>
        <w:szCs w:val="1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00" w:hanging="300"/>
      </w:pPr>
      <w:rPr>
        <w:rFonts w:ascii="Arial" w:cs="Arial" w:eastAsia="Arial" w:hAnsi="Arial"/>
        <w:color w:val="8DB4F0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image" Target="media/baff1253a7af0c24e733be33e288b08826ee13c2.png"/><Relationship Id="rId26" Type="http://schemas.openxmlformats.org/officeDocument/2006/relationships/image" Target="media/564da822fc206239d41eb7e4d549a04d0f98418c.png"/><Relationship Id="rId27" Type="http://schemas.openxmlformats.org/officeDocument/2006/relationships/image" Target="media/d012234ab19f43888ce3f6c5ab4203a33dcd9d6c.png"/><Relationship Id="rId28" Type="http://schemas.openxmlformats.org/officeDocument/2006/relationships/image" Target="media/34f84660861223e766b5c502a1568341374c8e74.png"/><Relationship Id="rId29" Type="http://schemas.openxmlformats.org/officeDocument/2006/relationships/image" Target="media/780b42d8c6fb376fe80d021a394ca07ec7569ce4.png"/><Relationship Id="rId30" Type="http://schemas.openxmlformats.org/officeDocument/2006/relationships/image" Target="media/e61ecdac5f45f9d39fc0c78aec8a11e77f515b6d.png"/><Relationship Id="rId31" Type="http://schemas.openxmlformats.org/officeDocument/2006/relationships/image" Target="media/83ae2ee2afc2b3c97c3a14823e52c8fdde054342.png"/><Relationship Id="rId32" Type="http://schemas.openxmlformats.org/officeDocument/2006/relationships/image" Target="media/af1ebbfa226baab24a18c4ce2a8e29c2fc2ed573.png"/><Relationship Id="rId33" Type="http://schemas.openxmlformats.org/officeDocument/2006/relationships/image" Target="media/b927cfc33ecaecc5a29fb833ebd92f4e3f08fdac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Genting Malaysia Bhd (GENM MK) - Investment Committee Memo</dc:title>
  <dc:creator>Equity Research</dc:creator>
  <dc:description>IC memo on Genting Malaysia, updated 24-Oct-2026</dc:description>
  <cp:lastModifiedBy>Un-named</cp:lastModifiedBy>
  <cp:revision>1</cp:revision>
  <dcterms:created xsi:type="dcterms:W3CDTF">2026-10-24T16:35:56.819Z</dcterms:created>
  <dcterms:modified xsi:type="dcterms:W3CDTF">2026-10-24T16:35:56.819Z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