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573"/>
        <w:gridCol w:w="5266"/>
      </w:tblGrid>
      <w:tr>
        <w:trPr>
          <w:trHeight w:val="11808" w:hRule="exact"/>
        </w:trPr>
        <w:tc>
          <w:tcPr>
            <w:tcW w:type="dxa" w:w="10573"/>
            <w:shd w:val="clear" w:color="auto" w:fill="13213F"/>
            <w:tcMar>
              <w:top w:w="1100" w:type="dxa"/>
              <w:left w:w="1150" w:type="dxa"/>
              <w:bottom w:w="200" w:type="dxa"/>
              <w:right w:w="300" w:type="dxa"/>
            </w:tcMar>
            <w:tcBorders>
              <w:top w:val="nil"/>
              <w:left w:val="nil"/>
              <w:bottom w:val="nil"/>
              <w:right w:val="single" w:sz="6" w:color="4B5A78"/>
            </w:tcBorders>
          </w:tcPr>
          <w:p>
            <w:pPr>
              <w:pBdr>
                <w:bottom w:val="single" w:sz="6" w:space="2" w:color="8FB3F0"/>
              </w:pBdr>
              <w:spacing w:after="280"/>
            </w:pPr>
            <w:r>
              <w:rPr>
                <w:rFonts w:ascii="Arial" w:hAnsi="Arial"/>
                <w:b/>
                <w:i w:val="0"/>
                <w:color w:val="8FB3F0"/>
                <w:sz w:val="18"/>
              </w:rPr>
              <w:t>INVESTMENT COMMITTEE MEMO</w:t>
            </w:r>
          </w:p>
          <w:p>
            <w:pPr>
              <w:spacing w:before="200" w:after="20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64"/>
              </w:rPr>
              <w:t>Halyk Bank of Kazakhstan JSC</w:t>
            </w:r>
          </w:p>
          <w:p>
            <w:pPr>
              <w:spacing w:before="0" w:after="440" w:line="276" w:lineRule="auto"/>
            </w:pPr>
            <w:r>
              <w:rPr>
                <w:rFonts w:ascii="Arial" w:hAnsi="Arial"/>
                <w:b w:val="0"/>
                <w:i w:val="0"/>
                <w:color w:val="C9D3E6"/>
                <w:sz w:val="26"/>
              </w:rPr>
              <w:t>LSE: HSBK - Kazakhstan's dominant bank at 4.5x earnings and a 13% yield; 2026 is the earnings trough and the ALMEX lock-up expiry is the entry point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851"/>
              <w:gridCol w:w="216"/>
              <w:gridCol w:w="3920"/>
            </w:tblGrid>
            <w:tr>
              <w:tc>
                <w:tcPr>
                  <w:tcW w:type="dxa" w:w="2851"/>
                  <w:shd w:val="clear" w:color="auto" w:fill="2F6FD0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22"/>
                    </w:rPr>
                    <w:t>RECOMMENDATION: BUY</w:t>
                  </w:r>
                </w:p>
              </w:tc>
              <w:tc>
                <w:tcPr>
                  <w:tcW w:type="dxa" w:w="216"/>
                </w:tcPr>
                <w:p/>
              </w:tc>
              <w:tc>
                <w:tcPr>
                  <w:tcW w:type="dxa" w:w="3920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tcBorders>
                    <w:top w:val="single" w:sz="12" w:color="FFFFFF"/>
                    <w:left w:val="single" w:sz="12" w:color="FFFFFF"/>
                    <w:bottom w:val="single" w:sz="12" w:color="FFFFFF"/>
                    <w:right w:val="single" w:sz="12" w:color="FFFFFF"/>
                  </w:tcBorders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22"/>
                    </w:rPr>
                    <w:t>12-MO TARGET: US$38.0 (+14%)</w:t>
                  </w:r>
                </w:p>
              </w:tc>
            </w:tr>
          </w:tbl>
          <w:p/>
          <w:p>
            <w:pPr>
              <w:spacing w:before="0" w:after="520" w:line="240" w:lineRule="auto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316"/>
              <w:gridCol w:w="2316"/>
              <w:gridCol w:w="2316"/>
              <w:gridCol w:w="2316"/>
            </w:tblGrid>
            <w:tr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Reference price</w:t>
                  </w:r>
                </w:p>
              </w:tc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52-wk range</w:t>
                  </w:r>
                </w:p>
              </w:tc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Mkt cap</w:t>
                  </w:r>
                </w:p>
              </w:tc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P/B (Jun-26)</w:t>
                  </w:r>
                </w:p>
              </w:tc>
            </w:tr>
            <w:tr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US$33.30 / GDR (40 sh)</w:t>
                  </w:r>
                </w:p>
              </w:tc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US$22.90-36.45</w:t>
                  </w:r>
                </w:p>
              </w:tc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US$9.1bn / KZT4.1trn</w:t>
                  </w:r>
                </w:p>
              </w:tc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1.12x</w:t>
                  </w:r>
                </w:p>
              </w:tc>
            </w:tr>
            <w:tr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Dividend FY25</w:t>
                  </w:r>
                </w:p>
              </w:tc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Largest holder</w:t>
                  </w:r>
                </w:p>
              </w:tc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ROAE FY25 / 1H26</w:t>
                  </w:r>
                </w:p>
              </w:tc>
              <w:tc>
                <w:tcPr>
                  <w:tcW w:type="dxa" w:w="2317"/>
                  <w:tcMar>
                    <w:top w:w="140" w:type="dxa"/>
                    <w:left w:w="0" w:type="dxa"/>
                    <w:bottom w:w="4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A9B4C8"/>
                      <w:sz w:val="16"/>
                    </w:rPr>
                    <w:t>Next event</w:t>
                  </w:r>
                </w:p>
              </w:tc>
            </w:tr>
            <w:tr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KZT58.19 (15.6% yield)</w:t>
                  </w:r>
                </w:p>
              </w:tc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ALMEX ~62%</w:t>
                  </w:r>
                </w:p>
              </w:tc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32.6% / ~25%</w:t>
                  </w:r>
                </w:p>
              </w:tc>
              <w:tc>
                <w:tcPr>
                  <w:tcW w:type="dxa" w:w="2317"/>
                  <w:tcMar>
                    <w:top w:w="0" w:type="dxa"/>
                    <w:left w:w="0" w:type="dxa"/>
                    <w:bottom w:w="16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FFFFFF"/>
                      <w:sz w:val="20"/>
                    </w:rPr>
                    <w:t>9M26 results, mid-Nov</w:t>
                  </w:r>
                </w:p>
              </w:tc>
            </w:tr>
          </w:tbl>
          <w:p/>
          <w:p>
            <w:pPr>
              <w:spacing w:before="0" w:after="2600" w:line="240" w:lineRule="auto"/>
            </w:pPr>
          </w:p>
          <w:p>
            <w:pPr>
              <w:spacing w:before="1200" w:after="0" w:line="240" w:lineRule="auto"/>
            </w:pPr>
            <w:r>
              <w:rPr>
                <w:rFonts w:ascii="Arial" w:hAnsi="Arial"/>
                <w:b w:val="0"/>
                <w:i w:val="0"/>
                <w:color w:val="A9B4C8"/>
                <w:sz w:val="16"/>
              </w:rPr>
              <w:t>Prepared for Investment Committee review | 23 October 2026</w:t>
            </w:r>
          </w:p>
        </w:tc>
        <w:tc>
          <w:tcPr>
            <w:tcW w:type="dxa" w:w="5267"/>
            <w:shd w:val="clear" w:color="auto" w:fill="13213F"/>
            <w:tcMar>
              <w:top w:w="1100" w:type="dxa"/>
              <w:left w:w="400" w:type="dxa"/>
              <w:bottom w:w="200" w:type="dxa"/>
              <w:right w:w="700" w:type="dxa"/>
            </w:tcMar>
          </w:tcPr>
          <w:p/>
          <w:p>
            <w:pPr>
              <w:spacing w:before="360" w:after="12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52"/>
              </w:rPr>
              <w:t>4.5x</w:t>
            </w:r>
          </w:p>
          <w:p>
            <w:pPr>
              <w:spacing w:before="0" w:after="440" w:line="240" w:lineRule="auto"/>
              <w:pBdr>
                <w:bottom w:val="single" w:sz="4" w:space="2" w:color="4B5A78"/>
              </w:pBdr>
            </w:pPr>
            <w:r>
              <w:rPr>
                <w:rFonts w:ascii="Arial" w:hAnsi="Arial"/>
                <w:b w:val="0"/>
                <w:i w:val="0"/>
                <w:color w:val="C9D3E6"/>
                <w:sz w:val="16"/>
              </w:rPr>
              <w:t>P/E 2026E vs peer median ~7.5x</w:t>
            </w:r>
          </w:p>
          <w:p>
            <w:pPr>
              <w:spacing w:before="360" w:after="12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52"/>
              </w:rPr>
              <w:t>13.2%</w:t>
            </w:r>
          </w:p>
          <w:p>
            <w:pPr>
              <w:spacing w:before="0" w:after="440" w:line="240" w:lineRule="auto"/>
              <w:pBdr>
                <w:bottom w:val="single" w:sz="4" w:space="2" w:color="4B5A78"/>
              </w:pBdr>
            </w:pPr>
            <w:r>
              <w:rPr>
                <w:rFonts w:ascii="Arial" w:hAnsi="Arial"/>
                <w:b w:val="0"/>
                <w:i w:val="0"/>
                <w:color w:val="C9D3E6"/>
                <w:sz w:val="16"/>
              </w:rPr>
              <w:t>FY26E dividend yield at a 60% payout</w:t>
            </w:r>
          </w:p>
          <w:p>
            <w:pPr>
              <w:spacing w:before="360" w:after="120" w:line="240" w:lineRule="auto"/>
            </w:pPr>
            <w:r>
              <w:rPr>
                <w:rFonts w:ascii="Arial" w:hAnsi="Arial"/>
                <w:b/>
                <w:i w:val="0"/>
                <w:color w:val="8FB3F0"/>
                <w:sz w:val="52"/>
              </w:rPr>
              <w:t>US$38.0</w:t>
            </w:r>
          </w:p>
          <w:p>
            <w:pPr>
              <w:spacing w:before="0" w:after="440" w:line="240" w:lineRule="auto"/>
              <w:pBdr>
                <w:bottom w:val="single" w:sz="4" w:space="2" w:color="4B5A78"/>
              </w:pBdr>
            </w:pPr>
            <w:r>
              <w:rPr>
                <w:rFonts w:ascii="Arial" w:hAnsi="Arial"/>
                <w:b w:val="0"/>
                <w:i w:val="0"/>
                <w:color w:val="C9D3E6"/>
                <w:sz w:val="16"/>
              </w:rPr>
              <w:t>12-mo target; ~27% total return incl. dividends; prob-weighted US$38.9</w:t>
            </w:r>
          </w:p>
        </w:tc>
      </w:tr>
    </w:tbl>
    <w:p>
      <w:pPr>
        <w:spacing w:before="0" w:after="0" w:line="20" w:lineRule="exact"/>
        <w:sectPr>
          <w:pgSz w:w="15840" w:h="12240" w:orient="landscape"/>
          <w:pgMar w:top="0" w:right="0" w:bottom="0" w:left="0" w:header="0" w:footer="0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EXECUTIVE SUMMARY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937"/>
            </w:tblGrid>
            <w:tr>
              <w:tc>
                <w:tcPr>
                  <w:tcW w:type="dxa" w:w="2938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RECOMMENDATION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Buy: a 25% ROE franchise at 4.5x earnings; use the ALMEX overhang to build the position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793"/>
        <w:gridCol w:w="144"/>
        <w:gridCol w:w="2793"/>
        <w:gridCol w:w="144"/>
        <w:gridCol w:w="2793"/>
        <w:gridCol w:w="144"/>
        <w:gridCol w:w="2793"/>
        <w:gridCol w:w="144"/>
        <w:gridCol w:w="2793"/>
      </w:tblGrid>
      <w:tr>
        <w:trPr>
          <w:trHeight w:val="1512" w:hRule="atLeast"/>
        </w:trPr>
        <w:tc>
          <w:tcPr>
            <w:tcW w:type="dxa" w:w="2794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4.5x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2026E P/E (4.1x 2027E); ~40% below the peer median P/E of 7.5x</w:t>
            </w:r>
          </w:p>
        </w:tc>
        <w:tc>
          <w:tcPr>
            <w:tcW w:type="dxa" w:w="144"/>
          </w:tcPr>
          <w:p/>
        </w:tc>
        <w:tc>
          <w:tcPr>
            <w:tcW w:type="dxa" w:w="2794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13.2%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FY26E dividend yield (60% payout); FY25 paid KZT58.19, +15%</w:t>
            </w:r>
          </w:p>
        </w:tc>
        <w:tc>
          <w:tcPr>
            <w:tcW w:type="dxa" w:w="144"/>
          </w:tcPr>
          <w:p/>
        </w:tc>
        <w:tc>
          <w:tcPr>
            <w:tcW w:type="dxa" w:w="2794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19.0%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k2 = CET1 capital ratio; ~700bp over the 12% minimum; ~KZT850bn surplus [e]</w:t>
            </w:r>
          </w:p>
        </w:tc>
        <w:tc>
          <w:tcPr>
            <w:tcW w:type="dxa" w:w="144"/>
          </w:tcPr>
          <w:p/>
        </w:tc>
        <w:tc>
          <w:tcPr>
            <w:tcW w:type="dxa" w:w="2794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US$38.0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12-mo target (+14%); with ~US$4.3 of dividends, ~27% total return</w:t>
            </w:r>
          </w:p>
        </w:tc>
        <w:tc>
          <w:tcPr>
            <w:tcW w:type="dxa" w:w="144"/>
          </w:tcPr>
          <w:p/>
        </w:tc>
        <w:tc>
          <w:tcPr>
            <w:tcW w:type="dxa" w:w="2794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25%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Bear-case probability (US$23.5, -29%); bull US$56.2 (+69%)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020"/>
        <w:gridCol w:w="503"/>
        <w:gridCol w:w="7020"/>
      </w:tblGrid>
      <w:tr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now - four forces converging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Earnings trough is visible: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1H26 NI -15% (MRR, BNPL rules, 25% bank CIT, VAT on fees); we forecast KZT900bn for 2026E, then +9% p.a.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Rate cuts: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NBK down 225bp to 15.75% (23-Oct); deposit costs lag, but volumes and credit quality improve from 2027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Supply event: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ALMEX's 365-day lock-up ends ~25-Nov-26; it plans to keep &gt;=51% (~11pp saleable)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Sovereign upgrade: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S&amp;P to BBB (Aug-26); Halyk's S&amp;P outlook positive; strong tenge</w:t>
            </w:r>
          </w:p>
        </w:tc>
        <w:tc>
          <w:tcPr>
            <w:tcW w:type="dxa" w:w="504"/>
          </w:tcPr>
          <w:p/>
        </w:tc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has to go right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NIM bottoms at ~6.5% in 2027 (6.8% in 1H26), not below 6.2%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Retail NPL 90+ (9.2%) is mostly 'mechanical' - the collector-sale pause - and CoR stays ~1.5%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Payout holds at ~60% (DPS FY26E KZT49.5) despite the new 2% retail buffer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No permanent bank levy: the 2025 10% excess-profit tax stays a one-off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544"/>
      </w:tblGrid>
      <w:tr>
        <w:tc>
          <w:tcPr>
            <w:tcW w:type="dxa" w:w="14544"/>
            <w:shd w:val="clear" w:color="auto" w:fill="EFF1F5"/>
            <w:tcBorders>
              <w:top w:val="nil"/>
              <w:left w:val="single" w:sz="36" w:color="13213F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b/>
                <w:i w:val="0"/>
                <w:color w:val="1F2937"/>
                <w:sz w:val="17"/>
              </w:rPr>
              <w:t>Position sizing: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value/income with an event overlay, medium conviction. Buy a third of the position now; add on the 9M26 print (mid-Nov) and any ALMEX placement after ~25-Nov (Nov-25 precedent: ~10% discount, then +31% in six weeks). Review triggers: dividend-policy change, NIM below 6.4%, any profit levy, block above 5% at a &gt;15% discount.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BUSINESS OVERVIEW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828"/>
            </w:tblGrid>
            <w:tr>
              <w:tc>
                <w:tcPr>
                  <w:tcW w:type="dxa" w:w="1829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CONTEXT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Halyk at a glance - #1 bank with 28% of assets and half of corporate lending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018"/>
        <w:gridCol w:w="503"/>
        <w:gridCol w:w="7112"/>
      </w:tblGrid>
      <w:tr>
        <w:tc>
          <w:tcPr>
            <w:tcW w:type="dxa" w:w="701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it does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The former State Savings Bank. The 2017 rescue-merger with Kazkommertsbank (bought for KZT2) made it the clear #1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Market shares: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~48% of corporate loans, 27% of retail deposits, 17.8% of retail loans; 531 branches; Super App 8.6m MAU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Revenue mix (FY25):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NII 73%, fees 8%, insurance 4%, FX/other 15%; cost/income 17.5%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Kazakhstan is ~98% of profit; exited Russia, Tajikistan (2022) and Kyrgyzstan (2024); Georgia and Uzbekistan remain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Controlled by ALMEX (Kulibayev family) ~62%; GDRs ~35%; ~28% of MSCI Kazakhstan</w:t>
            </w:r>
          </w:p>
        </w:tc>
        <w:tc>
          <w:tcPr>
            <w:tcW w:type="dxa" w:w="504"/>
          </w:tcPr>
          <w:p/>
        </w:tc>
        <w:tc>
          <w:tcPr>
            <w:tcW w:type="dxa" w:w="71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Key financials (KZT bn)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930"/>
              <w:gridCol w:w="877"/>
              <w:gridCol w:w="877"/>
              <w:gridCol w:w="877"/>
              <w:gridCol w:w="877"/>
              <w:gridCol w:w="1520"/>
            </w:tblGrid>
            <w:tr>
              <w:trPr>
                <w:tblHeader w:val="true"/>
                <w:cantSplit/>
              </w:trPr>
              <w:tc>
                <w:tcPr>
                  <w:tcW w:type="dxa" w:w="1930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/>
              </w:tc>
              <w:tc>
                <w:tcPr>
                  <w:tcW w:type="dxa" w:w="877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FY23</w:t>
                  </w:r>
                </w:p>
              </w:tc>
              <w:tc>
                <w:tcPr>
                  <w:tcW w:type="dxa" w:w="877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FY24</w:t>
                  </w:r>
                </w:p>
              </w:tc>
              <w:tc>
                <w:tcPr>
                  <w:tcW w:type="dxa" w:w="877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FY25</w:t>
                  </w:r>
                </w:p>
              </w:tc>
              <w:tc>
                <w:tcPr>
                  <w:tcW w:type="dxa" w:w="877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1H26</w:t>
                  </w:r>
                </w:p>
              </w:tc>
              <w:tc>
                <w:tcPr>
                  <w:tcW w:type="dxa" w:w="1521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Trend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3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Net interest income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797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1,108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1,288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658</w:t>
                  </w:r>
                </w:p>
              </w:tc>
              <w:tc>
                <w:tcPr>
                  <w:tcW w:type="dxa" w:w="152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+2.6% y/y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3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Net income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693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921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1,058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448</w:t>
                  </w:r>
                </w:p>
              </w:tc>
              <w:tc>
                <w:tcPr>
                  <w:tcW w:type="dxa" w:w="152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-15.3% y/y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3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ROAE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32.5%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34.0%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32.6%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~25%</w:t>
                  </w:r>
                </w:p>
              </w:tc>
              <w:tc>
                <w:tcPr>
                  <w:tcW w:type="dxa" w:w="152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Peak passed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3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NIM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6.2%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7.2%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7.1%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6.8%</w:t>
                  </w:r>
                </w:p>
              </w:tc>
              <w:tc>
                <w:tcPr>
                  <w:tcW w:type="dxa" w:w="152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MRR -40bp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3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Cost / income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19.2%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17.6%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17.5%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19.2%</w:t>
                  </w:r>
                </w:p>
              </w:tc>
              <w:tc>
                <w:tcPr>
                  <w:tcW w:type="dxa" w:w="152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Guide 18-20%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3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Cost of risk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1.0%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1.2%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1.4%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1.4%</w:t>
                  </w:r>
                </w:p>
              </w:tc>
              <w:tc>
                <w:tcPr>
                  <w:tcW w:type="dxa" w:w="152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Guide 1.4-1.5%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30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NPL 90+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n/a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2.6%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4.3%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5.3%</w:t>
                  </w:r>
                </w:p>
              </w:tc>
              <w:tc>
                <w:tcPr>
                  <w:tcW w:type="dxa" w:w="152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Retail 9.2%</w:t>
                  </w:r>
                </w:p>
              </w:tc>
            </w:tr>
          </w:tbl>
          <w:p/>
          <w:p>
            <w:pPr>
              <w:spacing w:before="80" w:after="0" w:line="240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4"/>
              </w:rPr>
              <w:t>Source: Halyk results releases; 2023 restated (IFRS 17).</w:t>
            </w:r>
          </w:p>
        </w:tc>
      </w:tr>
    </w:tbl>
    <w:p>
      <w:pPr>
        <w:spacing w:before="0" w:after="28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544"/>
      </w:tblGrid>
      <w:tr>
        <w:tc>
          <w:tcPr>
            <w:tcW w:type="dxa" w:w="14544"/>
            <w:shd w:val="clear" w:color="auto" w:fill="EFF1F5"/>
            <w:tcBorders>
              <w:top w:val="nil"/>
              <w:left w:val="single" w:sz="36" w:color="13213F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b/>
                <w:i w:val="0"/>
                <w:color w:val="1F2937"/>
                <w:sz w:val="17"/>
              </w:rPr>
              <w:t>The single most distinctive fact: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Halyk earned a 30%+ ROE for five straight years with a 17-20% cost/income ratio and a 19% all-CET1 capital ratio, yet trades at 1.1x book and 4.5x forward earnings - the market prices a ~20% sustainable ROE at a 19.5% KZT cost of equity.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THE SETUP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828"/>
            </w:tblGrid>
            <w:tr>
              <w:tc>
                <w:tcPr>
                  <w:tcW w:type="dxa" w:w="1829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CONTEXT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Unrest and war (2022), re-rating (2023-25), ALMEX placement (Nov-25), trough earnings (2026)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9241"/>
        <w:gridCol w:w="503"/>
        <w:gridCol w:w="4889"/>
      </w:tblGrid>
      <w:tr>
        <w:tc>
          <w:tcPr>
            <w:tcW w:type="dxa" w:w="9241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868251" cy="29281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_5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251" cy="2928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489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Key catalysts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462"/>
              <w:gridCol w:w="3450"/>
            </w:tblGrid>
            <w:tr>
              <w:trPr>
                <w:tblHeader w:val="true"/>
                <w:cantSplit/>
              </w:trPr>
              <w:tc>
                <w:tcPr>
                  <w:tcW w:type="dxa" w:w="146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Date</w:t>
                  </w:r>
                </w:p>
              </w:tc>
              <w:tc>
                <w:tcPr>
                  <w:tcW w:type="dxa" w:w="3451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Event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JAN 2022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Unrest: GDR -16% to -20%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FEB-MAR 2022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Russia invades; -45% to ~US$8.6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DEC 2022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Exits Russia &amp; Tajikistan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2023 / 2024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+46% / ~+29%: record ROE, payout to 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NOV 2025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ALMEX sells 7.6% at US$23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DEC 2025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+31% re-rating to ~US$30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MAR 2026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First guided profit decline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AUG 2026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1H26 miss (-14% vs cons.); high US$36.45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23 OCT 2026</w:t>
                  </w:r>
                </w:p>
              </w:tc>
              <w:tc>
                <w:tcPr>
                  <w:tcW w:type="dxa" w:w="3451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NBK cuts to 15.75%; GDR US$33.30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1 - IS HALYK UNDERVALUED?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Cheapest high-ROE bank in the peer set - but at the top of its own range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041"/>
        <w:gridCol w:w="1427"/>
        <w:gridCol w:w="1427"/>
        <w:gridCol w:w="1427"/>
        <w:gridCol w:w="1427"/>
        <w:gridCol w:w="1427"/>
        <w:gridCol w:w="1427"/>
        <w:gridCol w:w="1427"/>
        <w:gridCol w:w="1427"/>
      </w:tblGrid>
      <w:tr>
        <w:trPr>
          <w:tblHeader w:val="true"/>
          <w:cantSplit/>
        </w:trPr>
        <w:tc>
          <w:tcPr>
            <w:tcW w:type="dxa" w:w="3041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Metric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Halyk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Kaspi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BCC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Lion Fin.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TBC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OTP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PKO BP</w:t>
            </w:r>
          </w:p>
        </w:tc>
        <w:tc>
          <w:tcPr>
            <w:tcW w:type="dxa" w:w="1427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Garanti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P/E (LTM)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4.2x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~7.5x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~3.1x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~8.0x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5.9x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~11.1x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~14.0x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~4.1x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P/B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1.12x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~3.7x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~1.0x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~1.9x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1.4x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~2.3x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2.56x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1.46x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ROE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~27%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~55%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~36%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27%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~24%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22%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19.5%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28%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P/Revenue (bank EV/Sales)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2.3x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2.7x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1.6x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4.1x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2.5x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4.4x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4.8x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PBT margin (bank EBIT margin)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74%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~42%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63%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60%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49%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52%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45%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Dividend yield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15.6%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~8.5%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0%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~6%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~5%</w:t>
            </w:r>
          </w:p>
        </w:tc>
        <w:tc>
          <w:tcPr>
            <w:tcW w:type="dxa" w:w="1427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n/a</w:t>
            </w:r>
          </w:p>
        </w:tc>
      </w:tr>
    </w:tbl>
    <w:p>
      <w:pPr>
        <w:spacing w:before="60" w:after="80" w:line="240" w:lineRule="auto"/>
      </w:pPr>
      <w:r>
        <w:rPr>
          <w:rFonts w:ascii="Arial" w:hAnsi="Arial"/>
          <w:b w:val="0"/>
          <w:i w:val="0"/>
          <w:color w:val="6B7280"/>
          <w:sz w:val="14"/>
        </w:rPr>
        <w:t>Snapshots Jun-Oct 2026 [u]; FY25 income. P/Revenue = market cap / total operating income. Garanti on IAS 29 (no revenue multiple).</w:t>
      </w:r>
    </w:p>
    <w:p>
      <w:pPr>
        <w:spacing w:before="0" w:after="16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020"/>
        <w:gridCol w:w="503"/>
        <w:gridCol w:w="7020"/>
      </w:tblGrid>
      <w:tr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the comparison shows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~40% discount to the peer median on P/E (7.5x) and P/B (1.9x), despite a top-half ROE and the highest pre-tax margin (74%)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On the peer P/B-ROE regression Halyk's 27% ROE maps to ~1.55x book (page 7); it trades at 1.1x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Justified P/B ~1.35x (ROE 23.5%, COE 19.5% KZT, g 8%)</w:t>
            </w:r>
          </w:p>
        </w:tc>
        <w:tc>
          <w:tcPr>
            <w:tcW w:type="dxa" w:w="504"/>
          </w:tcPr>
          <w:p/>
        </w:tc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The honest counter-read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Against its own history it is not cheap: 5-yr average P/E 3.4x and P/B 0.95x; now 4.2x and 1.12x after +314% in 3 years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The discount is partly structural - controlling family, state appetite for bank profits, tenge risk; we do not underwrite peer multiples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1 - IS HALYK UNDERVALUED?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Regression: highest margin, third-lowest revenue multiple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890"/>
        <w:gridCol w:w="503"/>
        <w:gridCol w:w="5240"/>
      </w:tblGrid>
      <w:tr>
        <w:tc>
          <w:tcPr>
            <w:tcW w:type="dxa" w:w="889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459702" cy="32976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ression_prev_marg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9702" cy="3297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5241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How to read it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As requested: x-axis = 'EV/Sales' (bank version: market cap / operating income); y-axis = 'EBIT margin' (pre-tax margin)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Peer OLS: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margin = 57.8 - 1.82 x P/Rev; R2 = 0.08 - no cross-sectional link; country risk, not margin, sets the multiple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Halyk sits ~21pp above the line: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at 2.3x revenue, peers' line implies a 53% margin; Halyk earns 74%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P/B vs ROE (bank-standard):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see next page - Halyk's ROE maps to ~1.55x book vs 1.12x actual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Conclusion: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cheap on every relative screen; the gap is a country/governance discount we expect to narrow only partly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1 - IS HALYK UNDERVALUED?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Regression: P/B vs ROE - more return per unit of book multiple than any peer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890"/>
        <w:gridCol w:w="503"/>
        <w:gridCol w:w="5240"/>
      </w:tblGrid>
      <w:tr>
        <w:tc>
          <w:tcPr>
            <w:tcW w:type="dxa" w:w="889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459702" cy="3402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ression_pb_x_roe_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9702" cy="340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5241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How to read it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x-axis = price / book value; y-axis = return on equity. Points above the line earn more ROE than their P/B implies - i.e. they are cheaper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Peer OLS (7 banks):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ROE = 16.8 + 6.59 x P/B; R2 = 0.24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Halyk sits ~3pp above the line: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at 1.12x book the peer line implies a 24.1% ROE; Halyk earns ~27% (LTM)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Read the other way: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Halyk's 27% ROE maps to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~1.55x P/B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on the line - ~39% above today's 1.12x (KZT~520, ~US$46/GDR at spot) [e]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Caveat: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Kaspi (3.7x, 55%) drives the positive slope. Ex-Kaspi the line slopes down (R2 0.75): CEE banks with lower ROE trade at higher P/B - country risk dominates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Use: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supports a P/B of 1.2-1.55x; our target uses 1.14x 2027E book (and our justified P/B is 1.35x), so we do not underwrite the full gap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WHERE THE VALUE SITS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Blended value KZT449 (US$38.6); target US$38 rounded down for the overhang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539"/>
        <w:gridCol w:w="503"/>
        <w:gridCol w:w="5591"/>
      </w:tblGrid>
      <w:tr>
        <w:tc>
          <w:tcPr>
            <w:tcW w:type="dxa" w:w="853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422561" cy="229070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otball_fiel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2561" cy="22907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559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Target build (12-month, KZT per share)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228"/>
              <w:gridCol w:w="2515"/>
              <w:gridCol w:w="701"/>
              <w:gridCol w:w="935"/>
            </w:tblGrid>
            <w:tr>
              <w:trPr>
                <w:tblHeader w:val="true"/>
                <w:cantSplit/>
              </w:trPr>
              <w:tc>
                <w:tcPr>
                  <w:tcW w:type="dxa" w:w="1228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Method</w:t>
                  </w:r>
                </w:p>
              </w:tc>
              <w:tc>
                <w:tcPr>
                  <w:tcW w:type="dxa" w:w="2515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Basis</w:t>
                  </w:r>
                </w:p>
              </w:tc>
              <w:tc>
                <w:tcPr>
                  <w:tcW w:type="dxa" w:w="70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KZT</w:t>
                  </w:r>
                </w:p>
              </w:tc>
              <w:tc>
                <w:tcPr>
                  <w:tcW w:type="dxa" w:w="936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US$/GDR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P/E</w:t>
                  </w:r>
                </w:p>
              </w:tc>
              <w:tc>
                <w:tcPr>
                  <w:tcW w:type="dxa" w:w="251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5.0x 2027E EPS (KZT90.2)</w:t>
                  </w:r>
                </w:p>
              </w:tc>
              <w:tc>
                <w:tcPr>
                  <w:tcW w:type="dxa" w:w="70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451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38.8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P/B</w:t>
                  </w:r>
                </w:p>
              </w:tc>
              <w:tc>
                <w:tcPr>
                  <w:tcW w:type="dxa" w:w="251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1.2x 2027E BVPS (KZT388)</w:t>
                  </w:r>
                </w:p>
              </w:tc>
              <w:tc>
                <w:tcPr>
                  <w:tcW w:type="dxa" w:w="70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466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Residual income</w:t>
                  </w:r>
                </w:p>
              </w:tc>
              <w:tc>
                <w:tcPr>
                  <w:tcW w:type="dxa" w:w="251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COE 19.5%, ROE fade to 21%, g 8%</w:t>
                  </w:r>
                </w:p>
              </w:tc>
              <w:tc>
                <w:tcPr>
                  <w:tcW w:type="dxa" w:w="70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431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37.0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Blend</w:t>
                  </w:r>
                </w:p>
              </w:tc>
              <w:tc>
                <w:tcPr>
                  <w:tcW w:type="dxa" w:w="251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Equal weights</w:t>
                  </w:r>
                </w:p>
              </w:tc>
              <w:tc>
                <w:tcPr>
                  <w:tcW w:type="dxa" w:w="70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449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38.6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28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Target</w:t>
                  </w:r>
                </w:p>
              </w:tc>
              <w:tc>
                <w:tcPr>
                  <w:tcW w:type="dxa" w:w="251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Rounded down (ALMEX overhang)</w:t>
                  </w:r>
                </w:p>
              </w:tc>
              <w:tc>
                <w:tcPr>
                  <w:tcW w:type="dxa" w:w="70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442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38.0</w:t>
                  </w:r>
                </w:p>
              </w:tc>
            </w:tr>
          </w:tbl>
          <w:p/>
          <w:p>
            <w:pPr>
              <w:spacing w:before="0" w:after="80" w:line="240" w:lineRule="auto"/>
            </w:pP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FX: KZT465/US$ 12-month forward (spot 449); a 10% weaker tenge cuts US$ value ~9%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Implied at target: 4.9x 2027E P/E, 1.14x P/B, 12.3% yield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Dividends add ~US$4.3/GDR over 12 months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2 - VALUE TRAP OR TROUGH?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987"/>
            </w:tblGrid>
            <w:tr>
              <w:tc>
                <w:tcPr>
                  <w:tcW w:type="dxa" w:w="1987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EARNINGS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2026 is the trough: four regulatory hits at once, then ~9% EPS growth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539"/>
        <w:gridCol w:w="503"/>
        <w:gridCol w:w="5591"/>
      </w:tblGrid>
      <w:tr>
        <w:tc>
          <w:tcPr>
            <w:tcW w:type="dxa" w:w="853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422561" cy="18613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rterly_ni_ni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2561" cy="18613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559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754"/>
              <w:gridCol w:w="935"/>
              <w:gridCol w:w="935"/>
              <w:gridCol w:w="994"/>
              <w:gridCol w:w="935"/>
            </w:tblGrid>
            <w:tr>
              <w:trPr>
                <w:tblHeader w:val="true"/>
                <w:cantSplit/>
              </w:trPr>
              <w:tc>
                <w:tcPr>
                  <w:tcW w:type="dxa" w:w="1755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KZT bn</w:t>
                  </w:r>
                </w:p>
              </w:tc>
              <w:tc>
                <w:tcPr>
                  <w:tcW w:type="dxa" w:w="936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FY25A</w:t>
                  </w:r>
                </w:p>
              </w:tc>
              <w:tc>
                <w:tcPr>
                  <w:tcW w:type="dxa" w:w="936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FY26E</w:t>
                  </w:r>
                </w:p>
              </w:tc>
              <w:tc>
                <w:tcPr>
                  <w:tcW w:type="dxa" w:w="994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FY27E</w:t>
                  </w:r>
                </w:p>
              </w:tc>
              <w:tc>
                <w:tcPr>
                  <w:tcW w:type="dxa" w:w="936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FY28E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Total op. income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1,760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1,638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1,805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1,964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Net income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1,058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900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984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  <w:shd w:val="clear" w:color="auto" w:fill="DCE5F7"/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1,081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EPS (KZT)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97.1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82.5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90.2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99.0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DPS (KZT)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58.19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49.5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54.1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59.4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ROAE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32.6%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24.7%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24.5%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24.1%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NIM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7.1%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6.75%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6.5%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6.4%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Company guide (NI)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~1,000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5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Consensus (NI) [u]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950-1,000</w:t>
                  </w:r>
                </w:p>
              </w:tc>
              <w:tc>
                <w:tcPr>
                  <w:tcW w:type="dxa" w:w="99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1,000-1,100</w:t>
                  </w:r>
                </w:p>
              </w:tc>
              <w:tc>
                <w:tcPr>
                  <w:tcW w:type="dxa" w:w="936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-</w:t>
                  </w:r>
                </w:p>
              </w:tc>
            </w:tr>
          </w:tbl>
          <w:p/>
          <w:p>
            <w:pPr>
              <w:spacing w:before="60" w:after="120" w:line="240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4"/>
              </w:rPr>
              <w:t>Our estimates [e]. 2H26 needs ~KZT552bn for guidance (~30% above the 2Q run-rate).</w:t>
            </w:r>
          </w:p>
          <w:p>
            <w:pPr>
              <w:spacing w:before="0" w:after="80" w:line="240" w:lineRule="auto"/>
            </w:pP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1H26: NI -15.3%; 2Q missed consensus by 13.7% and the lowest estimate by ~10%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Drivers: MRR (-40bp NIM), BNPL/unsecured caps (fees -20%), insurance loss, CIT 25%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We expect the KZT1trn guide to be cut at 9M26; the stock barely reacted to the 1H miss (-3%)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2 - THE MARGIN DEBATE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DEEP DIVE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NIM rode the rate cycle up; cuts and reserve rules now reverse it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539"/>
        <w:gridCol w:w="503"/>
        <w:gridCol w:w="5591"/>
      </w:tblGrid>
      <w:tr>
        <w:tc>
          <w:tcPr>
            <w:tcW w:type="dxa" w:w="853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422561" cy="26889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m_baserat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2561" cy="26889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559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NIM falls in 2026-27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Reserve requirements: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three-stage MRR increase (Sep-25, Apr-26, Sep-26) sterilises ~KZT4.3trn system-wide; ~40bp drag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Rate cuts: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-225bp since June; floating corporate loans and NBK notes reprice before term deposits (avg 9.9%)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Mix: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BNPL/unsecured retail curtailed (GEIR cap 46%, 350% risk weights)</w:t>
            </w:r>
          </w:p>
          <w:p>
            <w:pPr>
              <w:spacing w:before="160" w:after="120" w:line="240" w:lineRule="auto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it should stabilise ~6.5%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Deposit repricing lag works in Halyk's favour from 1H27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Lowest-cost funding base (payroll, current accounts) in the system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SME (+25%) and secured retail growth; each 10bp of NIM = ~KZT20bn PBT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2 - ASSET QUALITY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DEEP DIVE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NPL 90+ doubled to 5.3% - management says 'partly mechanical'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890"/>
        <w:gridCol w:w="503"/>
        <w:gridCol w:w="5240"/>
      </w:tblGrid>
      <w:tr>
        <w:tc>
          <w:tcPr>
            <w:tcW w:type="dxa" w:w="889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645406" cy="191554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sset_quality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5406" cy="1915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5241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we know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NPL 90+ KZT715bn (5.3%) vs KZT358bn (3.0%) a year ago; retail 9.2%, SME ~5%, corporate 2.6% (coverage 123%)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Stage 3 8.6%, coverage 58% [u] (from ~73%); provisions 5.0% of loans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Moratorium on selling retail NPLs to collectors ran to 1-May-26 - inflating the stock of NPLs</w:t>
            </w:r>
          </w:p>
          <w:p>
            <w:pPr>
              <w:spacing w:before="160" w:after="120" w:line="240" w:lineRule="auto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to watch at 9M26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NPL sales or write-offs vs new formation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CoR vs the 1.4-1.5% guide (we use 1.5%; bear 2.1%)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ARDFM's Feb-26 sector review flagged reserve 'discrepancies' [u]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BALANCE SHEET &amp; CAPITAL ALLOCATION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828"/>
            </w:tblGrid>
            <w:tr>
              <w:tc>
                <w:tcPr>
                  <w:tcW w:type="dxa" w:w="1829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CAPITAL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Over-capitalised and self-funding - the payout is safe, buybacks are token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527"/>
        <w:gridCol w:w="144"/>
        <w:gridCol w:w="3527"/>
        <w:gridCol w:w="144"/>
        <w:gridCol w:w="3527"/>
        <w:gridCol w:w="144"/>
        <w:gridCol w:w="3527"/>
      </w:tblGrid>
      <w:tr>
        <w:trPr>
          <w:trHeight w:val="1512" w:hRule="atLeast"/>
        </w:trPr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19.0%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k1-1 = k2 (all CET1), 30-Jun-26; minimum 9.5% / 12.0% incl. buffers</w:t>
            </w:r>
          </w:p>
        </w:tc>
        <w:tc>
          <w:tcPr>
            <w:tcW w:type="dxa" w:w="144"/>
          </w:tcPr>
          <w:p/>
        </w:tc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16.5%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Equity / assets; loans / deposits ~94%; deposits ~81% of liabilities</w:t>
            </w:r>
          </w:p>
        </w:tc>
        <w:tc>
          <w:tcPr>
            <w:tcW w:type="dxa" w:w="144"/>
          </w:tcPr>
          <w:p/>
        </w:tc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~KZT850bn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Surplus capital over a ~14.5% operating target [e] = ~20% of market cap</w:t>
            </w:r>
          </w:p>
        </w:tc>
        <w:tc>
          <w:tcPr>
            <w:tcW w:type="dxa" w:w="144"/>
          </w:tcPr>
          <w:p/>
        </w:tc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2.54bn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Treasury shares (19% of issued) never cancelled; buybacks ~US$20m vs US$50m caps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020"/>
        <w:gridCol w:w="503"/>
        <w:gridCol w:w="7020"/>
      </w:tblGrid>
      <w:tr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Capital-allocation record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Good: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Kazkom (2017) for KZT2 after the state clean-up; exits from Russia/Tajikistan/Kyrgyzstan; payout raised from 30% to 60%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Poor: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BNPL/unsecured push into 2025 (retail NPL 9.2%); KSF deposit one-off (~KZT145bn pre-tax, 2024); Click deal (US$176m for 49%) lapsed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Unclear: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auditor switched to EY from 9M26; FY21 dividend first withheld (2022) then paid</w:t>
            </w:r>
          </w:p>
        </w:tc>
        <w:tc>
          <w:tcPr>
            <w:tcW w:type="dxa" w:w="504"/>
          </w:tcPr>
          <w:p/>
        </w:tc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Priorities we would push for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1. A CET1 target plus a special-dividend or tender mechanism for capital above it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2. Cancel the 2.54bn treasury shares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3. An orderly ALMEX sell-down to 51%, with the bank participating via tender (2011 precedent)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4. Per-person pay disclosure and an ROE/TSR-linked LTIP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IS THERE AN ACTIVIST IN HERE?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304"/>
            </w:tblGrid>
            <w:tr>
              <w:tc>
                <w:tcPr>
                  <w:tcW w:type="dxa" w:w="2304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GOVERNANCE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No - ALMEX's ~62% blocks it; the controlling family's need for liquidity is the catalyst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527"/>
        <w:gridCol w:w="144"/>
        <w:gridCol w:w="3527"/>
        <w:gridCol w:w="144"/>
        <w:gridCol w:w="3527"/>
        <w:gridCol w:w="144"/>
        <w:gridCol w:w="3527"/>
      </w:tblGrid>
      <w:tr>
        <w:trPr>
          <w:trHeight w:val="1512" w:hRule="atLeast"/>
        </w:trPr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~62%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ALMEX (Timur Kulibayev &amp; Dinara Kulibayeva via Almex Holding Ltd, AIFC); 51% floor stated</w:t>
            </w:r>
          </w:p>
        </w:tc>
        <w:tc>
          <w:tcPr>
            <w:tcW w:type="dxa" w:w="144"/>
          </w:tcPr>
          <w:p/>
        </w:tc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~38%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Free float after the Nov-25 7.6% placement (from ~30.5%)</w:t>
            </w:r>
          </w:p>
        </w:tc>
        <w:tc>
          <w:tcPr>
            <w:tcW w:type="dxa" w:w="144"/>
          </w:tcPr>
          <w:p/>
        </w:tc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4 of 7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Independent directors (6 of 8 in 2024); chair no longer independent</w:t>
            </w:r>
          </w:p>
        </w:tc>
        <w:tc>
          <w:tcPr>
            <w:tcW w:type="dxa" w:w="144"/>
          </w:tcPr>
          <w:p/>
        </w:tc>
        <w:tc>
          <w:tcPr>
            <w:tcW w:type="dxa" w:w="3528"/>
            <w:shd w:val="clear" w:color="auto" w:fill="EFF1F5"/>
            <w:tcMar>
              <w:top w:w="140" w:type="dxa"/>
              <w:left w:w="140" w:type="dxa"/>
              <w:bottom w:w="120" w:type="dxa"/>
              <w:right w:w="140" w:type="dxa"/>
            </w:tcMar>
          </w:tcPr>
          <w:p>
            <w:pPr>
              <w:spacing w:after="100"/>
            </w:pPr>
            <w:r>
              <w:rPr>
                <w:rFonts w:ascii="Arial" w:hAnsi="Arial"/>
                <w:b/>
                <w:i w:val="0"/>
                <w:color w:val="13213F"/>
                <w:sz w:val="32"/>
              </w:rPr>
              <w:t>0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i w:val="0"/>
                <w:color w:val="6B7280"/>
                <w:sz w:val="15"/>
              </w:rPr>
              <w:t>Activist campaigns, proxy fights or FCA-disclosed short positions found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020"/>
        <w:gridCol w:w="503"/>
        <w:gridCol w:w="7020"/>
      </w:tblGrid>
      <w:tr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Why activism is hard here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Every ordinary resolution passes on ALMEX's vote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Systemic bank: any &gt;10% holder needs ARDFM approval; political sensitivity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Owners rely on dividends (ALMEX pays its owners ~KZT462bn) - payout already aligned</w:t>
            </w:r>
          </w:p>
        </w:tc>
        <w:tc>
          <w:tcPr>
            <w:tcW w:type="dxa" w:w="504"/>
          </w:tcPr>
          <w:p/>
        </w:tc>
        <w:tc>
          <w:tcPr>
            <w:tcW w:type="dxa" w:w="702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Where the pressure could come from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ALMEX's own sell-down: placements need investor-friendly capital policy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Index inclusion and free-float growth draw larger EM funds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Governance asks: independent chair, pay disclosure, treasury-share cancellation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6B728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Political tail: an independent director sits on the asset-recovery commission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QUESTION 3 - TAKEOVER TARGET?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296"/>
            </w:tblGrid>
            <w:tr>
              <w:tc>
                <w:tcPr>
                  <w:tcW w:type="dxa" w:w="129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M&amp;A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No - control is not for sale; the realistic event is ALMEX selling down to 51%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837"/>
        <w:gridCol w:w="503"/>
        <w:gridCol w:w="6293"/>
      </w:tblGrid>
      <w:tr>
        <w:tc>
          <w:tcPr>
            <w:tcW w:type="dxa" w:w="783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924"/>
              <w:gridCol w:w="877"/>
              <w:gridCol w:w="1403"/>
              <w:gridCol w:w="2632"/>
            </w:tblGrid>
            <w:tr>
              <w:trPr>
                <w:tblHeader w:val="true"/>
                <w:cantSplit/>
              </w:trPr>
              <w:tc>
                <w:tcPr>
                  <w:tcW w:type="dxa" w:w="2924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Transaction</w:t>
                  </w:r>
                </w:p>
              </w:tc>
              <w:tc>
                <w:tcPr>
                  <w:tcW w:type="dxa" w:w="877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Date</w:t>
                  </w:r>
                </w:p>
              </w:tc>
              <w:tc>
                <w:tcPr>
                  <w:tcW w:type="dxa" w:w="1404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Value</w:t>
                  </w:r>
                </w:p>
              </w:tc>
              <w:tc>
                <w:tcPr>
                  <w:tcW w:type="dxa" w:w="2632"/>
                  <w:shd w:val="clear" w:color="auto" w:fill="13213F"/>
                  <w:tcMar>
                    <w:top w:w="55" w:type="dxa"/>
                    <w:left w:w="80" w:type="dxa"/>
                    <w:bottom w:w="55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Multiple / read-across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ForteBank - Home Credit KZ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2025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~KZT172-274bn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~0.9-1.4x P/B; healthy retail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Kim - Jusan (Alatau City)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Jul-25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Undisclosed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Kaspi-linked capital enters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Lesha Bank (Qatar) - Bereke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Oct-24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KZT65bn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~0.40x P/B; forced exit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Bank of Georgia - Ameriabank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2024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US$303.6m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0.65x P/B, 2.6x P/E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Kaspi - Hepsiburada 65%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Jan-25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US$1.13bn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Kaspi exports its model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BCC - Alfa-Bank KZ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May-22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KZT50bn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~0.37x P/B; bargain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Halyk - Click 49% (lapsed)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Jul-25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US$176.4m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Uzbek fintech; not completed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2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/>
                      <w:i w:val="0"/>
                      <w:color w:val="1F2937"/>
                      <w:sz w:val="15"/>
                    </w:rPr>
                    <w:t>ALMEX - 7.6% of Halyk</w:t>
                  </w:r>
                </w:p>
              </w:tc>
              <w:tc>
                <w:tcPr>
                  <w:tcW w:type="dxa" w:w="877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Nov-25</w:t>
                  </w:r>
                </w:p>
              </w:tc>
              <w:tc>
                <w:tcPr>
                  <w:tcW w:type="dxa" w:w="1404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US$475m</w:t>
                  </w:r>
                </w:p>
              </w:tc>
              <w:tc>
                <w:tcPr>
                  <w:tcW w:type="dxa" w:w="2632"/>
                  <w:tcMar>
                    <w:top w:w="45" w:type="dxa"/>
                    <w:left w:w="80" w:type="dxa"/>
                    <w:bottom w:w="45" w:type="dxa"/>
                    <w:right w:w="60" w:type="dxa"/>
                  </w:tcMar>
                  <w:tcBorders>
                    <w:top w:val="nil"/>
                    <w:left w:val="nil"/>
                    <w:bottom w:val="single" w:sz="4" w:color="C9CCD3"/>
                    <w:right w:val="nil"/>
                  </w:tcBorders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1F2937"/>
                      <w:sz w:val="15"/>
                    </w:rPr>
                    <w:t>~0.93x P/B, ~3.1x P/E</w:t>
                  </w:r>
                </w:p>
              </w:tc>
            </w:tr>
          </w:tbl>
          <w:p/>
        </w:tc>
        <w:tc>
          <w:tcPr>
            <w:tcW w:type="dxa" w:w="504"/>
          </w:tcPr>
          <w:p/>
        </w:tc>
        <w:tc>
          <w:tcPr>
            <w:tcW w:type="dxa" w:w="6293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What a control price would look like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Theoretical: 25-40% premium = 1.3-1.6x 2027E book = US$43-53/GDR (5.6-6.9x P/E) - a ceiling, above every regional precedent (0.4-1.4x)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Impediments: 62% control and a 51% floor; D-SIB status; antitrust (only Kaspi is big enough); politics; size (US$9bn+)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Plausible acquirers only in theory: Gulf-linked banks (Qatar bought Bereke) or China (CITIC owns 60% of Altyn)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In order of likelihood: (1) ALMEX placements at ~10% discounts; (2) bank-funded tender alongside a placement; (3) strategic minority stake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SCENARIO ANALYSIS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VALUATION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Upside/downside skew ~2.4:1 - and the dividend cushions the bear case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041"/>
        <w:gridCol w:w="3684"/>
        <w:gridCol w:w="3684"/>
        <w:gridCol w:w="3719"/>
      </w:tblGrid>
      <w:tr>
        <w:trPr>
          <w:tblHeader w:val="true"/>
          <w:cantSplit/>
        </w:trPr>
        <w:tc>
          <w:tcPr>
            <w:tcW w:type="dxa" w:w="3041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/>
        </w:tc>
        <w:tc>
          <w:tcPr>
            <w:tcW w:type="dxa" w:w="3685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Bear (25%)</w:t>
            </w:r>
          </w:p>
        </w:tc>
        <w:tc>
          <w:tcPr>
            <w:tcW w:type="dxa" w:w="3685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Base (50%)</w:t>
            </w:r>
          </w:p>
        </w:tc>
        <w:tc>
          <w:tcPr>
            <w:tcW w:type="dxa" w:w="3720"/>
            <w:shd w:val="clear" w:color="auto" w:fill="13213F"/>
            <w:tcMar>
              <w:top w:w="55" w:type="dxa"/>
              <w:left w:w="80" w:type="dxa"/>
              <w:bottom w:w="55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5"/>
              </w:rPr>
              <w:t>Bull (25%)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Net income 2027E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KZT800bn (NIM 6.1%, CoR 2.1%)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KZT984bn (NIM 6.5%, CoR 1.5%)</w:t>
            </w:r>
          </w:p>
        </w:tc>
        <w:tc>
          <w:tcPr>
            <w:tcW w:type="dxa" w:w="3720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KZT1,120bn (NIM 6.9%, CoR 1.2%)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Payout / DPS FY26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50% / ~KZT37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60% / KZT49.5</w:t>
            </w:r>
          </w:p>
        </w:tc>
        <w:tc>
          <w:tcPr>
            <w:tcW w:type="dxa" w:w="3720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65% + special / ~KZT60+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Exit multiple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0.85x P/B (4.2x P/E)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1.14x P/B (4.9x P/E)</w:t>
            </w:r>
          </w:p>
        </w:tc>
        <w:tc>
          <w:tcPr>
            <w:tcW w:type="dxa" w:w="3720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1.6x P/B (6.2x P/E)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USD/KZT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520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465</w:t>
            </w:r>
          </w:p>
        </w:tc>
        <w:tc>
          <w:tcPr>
            <w:tcW w:type="dxa" w:w="3720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450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Per GDR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US$23.5 (-29%)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US$38.0 (+14%)</w:t>
            </w:r>
          </w:p>
        </w:tc>
        <w:tc>
          <w:tcPr>
            <w:tcW w:type="dxa" w:w="3720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  <w:shd w:val="clear" w:color="auto" w:fill="DCE5F7"/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US$56.2 (+69%)</w:t>
            </w:r>
          </w:p>
        </w:tc>
      </w:tr>
      <w:tr>
        <w:trPr>
          <w:cantSplit/>
        </w:trPr>
        <w:tc>
          <w:tcPr>
            <w:tcW w:type="dxa" w:w="3041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F2937"/>
                <w:sz w:val="15"/>
              </w:rPr>
              <w:t>Plus 12-mo dividends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~US$3.0</w:t>
            </w:r>
          </w:p>
        </w:tc>
        <w:tc>
          <w:tcPr>
            <w:tcW w:type="dxa" w:w="3685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~US$4.3</w:t>
            </w:r>
          </w:p>
        </w:tc>
        <w:tc>
          <w:tcPr>
            <w:tcW w:type="dxa" w:w="3720"/>
            <w:tcMar>
              <w:top w:w="45" w:type="dxa"/>
              <w:left w:w="80" w:type="dxa"/>
              <w:bottom w:w="45" w:type="dxa"/>
              <w:right w:w="6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1F2937"/>
                <w:sz w:val="15"/>
              </w:rPr>
              <w:t>~US$5.0+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6316"/>
        <w:gridCol w:w="503"/>
        <w:gridCol w:w="7814"/>
      </w:tblGrid>
      <w:tr>
        <w:tc>
          <w:tcPr>
            <w:tcW w:type="dxa" w:w="631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4011210" cy="21400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enario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1210" cy="21400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"/>
          </w:tcPr>
          <w:p/>
        </w:tc>
        <w:tc>
          <w:tcPr>
            <w:tcW w:type="dxa" w:w="7814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20"/>
              <w:pBdr>
                <w:bottom w:val="single" w:sz="4" w:space="2" w:color="C9CCD3"/>
              </w:pBdr>
            </w:pPr>
            <w:r>
              <w:rPr>
                <w:rFonts w:ascii="Arial" w:hAnsi="Arial"/>
                <w:b/>
                <w:i w:val="0"/>
                <w:color w:val="13213F"/>
                <w:sz w:val="21"/>
              </w:rPr>
              <w:t>Reading the scenarios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Bear (25%):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guidance abandoned, CoR 2%+, payout cut to 50%, a bank levy, tenge to 520 - back to the 2022-24 average 0.85x book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Base (50%):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2026 trough at KZT900bn, ~9% EPS growth from 2027, 60% payout, modest re-rating to 1.14x book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Bull (25%):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NIM holds ~6.9%, credit normalises, special dividend or tender alongside ALMEX's sell-down, 1.6x book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2F6FD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>Prob-weighted US$38.9 (+17%) before ~US$4.2 of dividends</w:t>
            </w:r>
          </w:p>
        </w:tc>
      </w:tr>
    </w:tbl>
    <w:p>
      <w:pPr>
        <w:spacing w:before="0" w:after="120" w:line="240" w:lineRule="auto"/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4544"/>
      </w:tblGrid>
      <w:tr>
        <w:tc>
          <w:tcPr>
            <w:tcW w:type="dxa" w:w="14544"/>
            <w:shd w:val="clear" w:color="auto" w:fill="EFF1F5"/>
            <w:tcBorders>
              <w:top w:val="nil"/>
              <w:left w:val="single" w:sz="36" w:color="13213F"/>
              <w:bottom w:val="nil"/>
              <w:right w:val="nil"/>
            </w:tcBorders>
            <w:tcMar>
              <w:top w:w="130" w:type="dxa"/>
              <w:left w:w="200" w:type="dxa"/>
              <w:bottom w:w="13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b/>
                <w:i w:val="0"/>
                <w:color w:val="1F2937"/>
                <w:sz w:val="17"/>
              </w:rPr>
              <w:t>Downside support: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even in the bear case the FY26 dividend (~KZT37) yields ~10% on today's price, and P/B of 0.85x matches the 2022-24 average. </w:t>
            </w:r>
            <w:r>
              <w:rPr>
                <w:rFonts w:ascii="Arial" w:hAnsi="Arial"/>
                <w:b/>
                <w:i w:val="0"/>
                <w:color w:val="1F2937"/>
                <w:sz w:val="17"/>
              </w:rPr>
              <w:t>Upside driver:</w:t>
            </w:r>
            <w:r>
              <w:rPr>
                <w:rFonts w:ascii="Arial" w:hAnsi="Arial"/>
                <w:b w:val="0"/>
                <w:i w:val="0"/>
                <w:color w:val="1F2937"/>
                <w:sz w:val="17"/>
              </w:rPr>
              <w:t xml:space="preserve"> a capital-return event (special dividend or tender from ~KZT850bn of surplus capital) alongside ALMEX's sell-down, plus re-rating as free float and index weight rise.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CATALYST CALENDAR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145"/>
            </w:tblGrid>
            <w:tr>
              <w:tc>
                <w:tcPr>
                  <w:tcW w:type="dxa" w:w="2146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CATALYSTS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9M26 results and the ALMEX lock-up expiry dominate the next six weeks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456"/>
        <w:gridCol w:w="4094"/>
        <w:gridCol w:w="6550"/>
        <w:gridCol w:w="1442"/>
      </w:tblGrid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9-NOV-26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Kaspi.kz 3Q26 results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Retail lending and payments read-across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MEDIUM</w:t>
            </w:r>
          </w:p>
        </w:tc>
      </w:tr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~13-19 NOV-26 [E]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Halyk 9M/3Q26 results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Fate of the KZT1trn guide; NIM after the Sep MRR step; NPL trend; dividend wording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~25-NOV-26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ALMEX lock-up expiry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Block or placement size and discount; any bank participation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CRITICAL</w:t>
            </w:r>
          </w:p>
        </w:tc>
      </w:tr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4-DEC-26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NBK base-rate decision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NBK signalled a hold at 15.75%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MEDIUM</w:t>
            </w:r>
          </w:p>
        </w:tc>
      </w:tr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DEC-26 - FEB-27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Budget / ARDFM measures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Any bank levy; total-debt cap (8x income); large-loan limits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FEB-27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MSCI quarterly review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Weight change from the higher free float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MEDIUM</w:t>
            </w:r>
          </w:p>
        </w:tc>
      </w:tr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MAR-27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FY26 results and 2027 guidance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NIM, CoR, ROE guide; payout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  <w:tr>
        <w:tc>
          <w:tcPr>
            <w:tcW w:type="dxa" w:w="2457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2F6FD0"/>
                <w:sz w:val="16"/>
              </w:rPr>
              <w:t>APR-27</w:t>
            </w:r>
          </w:p>
        </w:tc>
        <w:tc>
          <w:tcPr>
            <w:tcW w:type="dxa" w:w="4094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/>
                <w:i w:val="0"/>
                <w:color w:val="13213F"/>
                <w:sz w:val="18"/>
              </w:rPr>
              <w:t>AGM; 2% retail buffer fully phased</w:t>
            </w:r>
          </w:p>
        </w:tc>
        <w:tc>
          <w:tcPr>
            <w:tcW w:type="dxa" w:w="6551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r>
              <w:rPr>
                <w:rFonts w:ascii="Arial" w:hAnsi="Arial"/>
                <w:b w:val="0"/>
                <w:i w:val="0"/>
                <w:color w:val="6B7280"/>
                <w:sz w:val="16"/>
              </w:rPr>
              <w:t>FY26 first dividend tranche vs our KZT49.5 total</w:t>
            </w:r>
          </w:p>
        </w:tc>
        <w:tc>
          <w:tcPr>
            <w:tcW w:type="dxa" w:w="1442"/>
            <w:tcMar>
              <w:top w:w="110" w:type="dxa"/>
              <w:left w:w="0" w:type="dxa"/>
              <w:bottom w:w="110" w:type="dxa"/>
              <w:right w:w="80" w:type="dxa"/>
            </w:tcMar>
            <w:tcBorders>
              <w:top w:val="nil"/>
              <w:left w:val="nil"/>
              <w:bottom w:val="single" w:sz="4" w:color="C9CCD3"/>
              <w:right w:val="nil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2F6FD0"/>
                <w:sz w:val="16"/>
              </w:rPr>
              <w:t>HIGH</w:t>
            </w:r>
          </w:p>
        </w:tc>
      </w:tr>
    </w:tbl>
    <w:p>
      <w:pPr>
        <w:spacing w:after="0" w:before="0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76"/>
        <w:gridCol w:w="3168"/>
      </w:tblGrid>
      <w:tr>
        <w:tc>
          <w:tcPr>
            <w:tcW w:type="dxa" w:w="113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rPr>
                <w:rFonts w:ascii="Arial" w:hAnsi="Arial"/>
                <w:b/>
                <w:i w:val="0"/>
                <w:color w:val="2F6FD0"/>
                <w:sz w:val="17"/>
              </w:rPr>
              <w:t>KEY RISKS</w:t>
            </w:r>
          </w:p>
        </w:tc>
        <w:tc>
          <w:tcPr>
            <w:tcW w:type="dxa" w:w="3168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jc w:val="right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1512"/>
            </w:tblGrid>
            <w:tr>
              <w:tc>
                <w:tcPr>
                  <w:tcW w:type="dxa" w:w="1512"/>
                  <w:shd w:val="clear" w:color="auto" w:fill="13213F"/>
                  <w:tcMar>
                    <w:top w:w="90" w:type="dxa"/>
                    <w:left w:w="80" w:type="dxa"/>
                    <w:bottom w:w="90" w:type="dxa"/>
                    <w:right w:w="80" w:type="dxa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15"/>
                    </w:rPr>
                    <w:t>RISKS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pPr>
        <w:spacing w:before="0" w:after="80" w:line="40" w:lineRule="exact"/>
        <w:pBdr>
          <w:bottom w:val="single" w:sz="6" w:space="2" w:color="1F2937"/>
        </w:pBdr>
      </w:pPr>
    </w:p>
    <w:p>
      <w:pPr>
        <w:spacing w:before="80" w:after="160" w:line="240" w:lineRule="auto"/>
      </w:pPr>
      <w:r>
        <w:rPr>
          <w:rFonts w:ascii="Arial" w:hAnsi="Arial"/>
          <w:b/>
          <w:i w:val="0"/>
          <w:color w:val="13213F"/>
          <w:sz w:val="32"/>
        </w:rPr>
        <w:t>What would make this thesis wrong</w:t>
      </w: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128"/>
        <w:gridCol w:w="288"/>
        <w:gridCol w:w="7128"/>
      </w:tblGrid>
      <w:tr>
        <w:tc>
          <w:tcPr>
            <w:tcW w:type="dxa" w:w="712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5832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01</w:t>
                  </w:r>
                </w:p>
              </w:tc>
              <w:tc>
                <w:tcPr>
                  <w:tcW w:type="dxa" w:w="583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State taxes the franchise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A permanent bank levy, profit tax revival or forced lending as oil falls (NBK: US$75 in 2027, US$65 in 2028) pushes sustainable ROE to the high teens</w:t>
                  </w:r>
                </w:p>
              </w:tc>
            </w:tr>
          </w:tbl>
          <w:p/>
        </w:tc>
        <w:tc>
          <w:tcPr>
            <w:tcW w:type="dxa" w:w="288"/>
          </w:tcPr>
          <w:p/>
        </w:tc>
        <w:tc>
          <w:tcPr>
            <w:tcW w:type="dxa" w:w="712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5832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02</w:t>
                  </w:r>
                </w:p>
              </w:tc>
              <w:tc>
                <w:tcPr>
                  <w:tcW w:type="dxa" w:w="583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Margin compression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Further cuts with sticky deposit costs (Freedom's pricing) take NIM to 6.0-6.2%: ~KZT100bn of PBT</w:t>
                  </w:r>
                </w:p>
              </w:tc>
            </w:tr>
          </w:tbl>
          <w:p/>
        </w:tc>
      </w:tr>
      <w:tr>
        <w:trPr>
          <w:trHeight w:val="216" w:hRule="exact"/>
        </w:trPr>
        <w:tc>
          <w:tcPr>
            <w:tcW w:type="dxa" w:w="7128"/>
          </w:tcPr>
          <w:p/>
        </w:tc>
        <w:tc>
          <w:tcPr>
            <w:tcW w:type="dxa" w:w="288"/>
          </w:tcPr>
          <w:p/>
        </w:tc>
        <w:tc>
          <w:tcPr>
            <w:tcW w:type="dxa" w:w="7128"/>
          </w:tcPr>
          <w:p/>
        </w:tc>
      </w:tr>
      <w:tr>
        <w:tc>
          <w:tcPr>
            <w:tcW w:type="dxa" w:w="712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5832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03</w:t>
                  </w:r>
                </w:p>
              </w:tc>
              <w:tc>
                <w:tcPr>
                  <w:tcW w:type="dxa" w:w="583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Retail credit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Retail NPL 90+ of 9.2% proves real, not 'mechanical'; CoR of 2-2.5% for two years</w:t>
                  </w:r>
                </w:p>
              </w:tc>
            </w:tr>
          </w:tbl>
          <w:p/>
        </w:tc>
        <w:tc>
          <w:tcPr>
            <w:tcW w:type="dxa" w:w="288"/>
          </w:tcPr>
          <w:p/>
        </w:tc>
        <w:tc>
          <w:tcPr>
            <w:tcW w:type="dxa" w:w="712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5832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04</w:t>
                  </w:r>
                </w:p>
              </w:tc>
              <w:tc>
                <w:tcPr>
                  <w:tcW w:type="dxa" w:w="583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ALMEX overhang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Repeated placements at wider discounts; or a reversal of the sell-down policy</w:t>
                  </w:r>
                </w:p>
              </w:tc>
            </w:tr>
          </w:tbl>
          <w:p/>
        </w:tc>
      </w:tr>
      <w:tr>
        <w:trPr>
          <w:trHeight w:val="216" w:hRule="exact"/>
        </w:trPr>
        <w:tc>
          <w:tcPr>
            <w:tcW w:type="dxa" w:w="7128"/>
          </w:tcPr>
          <w:p/>
        </w:tc>
        <w:tc>
          <w:tcPr>
            <w:tcW w:type="dxa" w:w="288"/>
          </w:tcPr>
          <w:p/>
        </w:tc>
        <w:tc>
          <w:tcPr>
            <w:tcW w:type="dxa" w:w="7128"/>
          </w:tcPr>
          <w:p/>
        </w:tc>
      </w:tr>
      <w:tr>
        <w:tc>
          <w:tcPr>
            <w:tcW w:type="dxa" w:w="712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5832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05</w:t>
                  </w:r>
                </w:p>
              </w:tc>
              <w:tc>
                <w:tcPr>
                  <w:tcW w:type="dxa" w:w="583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Political tail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Owners are related to the former president; the asset-recovery law (2023); succession risk at both owner and CEO level</w:t>
                  </w:r>
                </w:p>
              </w:tc>
            </w:tr>
          </w:tbl>
          <w:p/>
        </w:tc>
        <w:tc>
          <w:tcPr>
            <w:tcW w:type="dxa" w:w="288"/>
          </w:tcPr>
          <w:p/>
        </w:tc>
        <w:tc>
          <w:tcPr>
            <w:tcW w:type="dxa" w:w="7128"/>
            <w:shd w:val="clear" w:color="auto" w:fill="EFF1F5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936"/>
              <w:gridCol w:w="5832"/>
            </w:tblGrid>
            <w:tr>
              <w:tc>
                <w:tcPr>
                  <w:tcW w:type="dxa" w:w="936"/>
                </w:tcPr>
                <w:p>
                  <w:r>
                    <w:rPr>
                      <w:rFonts w:ascii="Arial" w:hAnsi="Arial"/>
                      <w:b/>
                      <w:i w:val="0"/>
                      <w:color w:val="2F6FD0"/>
                      <w:sz w:val="40"/>
                    </w:rPr>
                    <w:t>06</w:t>
                  </w:r>
                </w:p>
              </w:tc>
              <w:tc>
                <w:tcPr>
                  <w:tcW w:type="dxa" w:w="5832"/>
                </w:tcPr>
                <w:p>
                  <w:pPr>
                    <w:spacing w:after="100"/>
                  </w:pPr>
                  <w:r>
                    <w:rPr>
                      <w:rFonts w:ascii="Arial" w:hAnsi="Arial"/>
                      <w:b/>
                      <w:i w:val="0"/>
                      <w:color w:val="13213F"/>
                      <w:sz w:val="20"/>
                    </w:rPr>
                    <w:t>Tenge and dividend</w:t>
                  </w:r>
                </w:p>
                <w:p>
                  <w:pPr>
                    <w:spacing w:before="0" w:after="0" w:line="269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6B7280"/>
                      <w:sz w:val="16"/>
                    </w:rPr>
                    <w:t>10% devaluation cuts US$ value ~9%; a dividend cut (payout to 50%) removes the valuation anchor</w:t>
                  </w:r>
                </w:p>
              </w:tc>
            </w:tr>
          </w:tbl>
          <w:p/>
        </w:tc>
      </w:tr>
    </w:tbl>
    <w:p>
      <w:pPr>
        <w:spacing w:before="0" w:after="0" w:line="20" w:lineRule="exact"/>
        <w:sectPr>
          <w:footerReference w:type="default" r:id="rId9"/>
          <w:headerReference w:type="default" r:id="rId10"/>
          <w:pgSz w:w="15840" w:h="12240" w:orient="landscape"/>
          <w:pgMar w:top="504" w:right="648" w:bottom="648" w:left="648" w:header="288" w:footer="288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  <w:tblInd w:w="0" w:type="dxa"/>
        <w:tblCellMar>
          <w:left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395"/>
        <w:gridCol w:w="5444"/>
      </w:tblGrid>
      <w:tr>
        <w:trPr>
          <w:trHeight w:val="11736" w:hRule="exact"/>
        </w:trPr>
        <w:tc>
          <w:tcPr>
            <w:tcW w:type="dxa" w:w="10395"/>
            <w:shd w:val="clear" w:color="auto" w:fill="13213F"/>
            <w:tcMar>
              <w:top w:w="1000" w:type="dxa"/>
              <w:left w:w="1050" w:type="dxa"/>
              <w:bottom w:w="200" w:type="dxa"/>
              <w:right w:w="200" w:type="dxa"/>
            </w:tcMar>
          </w:tcPr>
          <w:p>
            <w:r>
              <w:rPr>
                <w:rFonts w:ascii="Arial" w:hAnsi="Arial"/>
                <w:b/>
                <w:i w:val="0"/>
                <w:color w:val="8FB3F0"/>
                <w:sz w:val="18"/>
              </w:rPr>
              <w:t>INVESTMENT COMMITTEE DECISION</w:t>
            </w:r>
          </w:p>
          <w:p>
            <w:pPr>
              <w:spacing w:before="200" w:after="32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48"/>
              </w:rPr>
              <w:t>Recommendation: BUY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2257"/>
              <w:gridCol w:w="2257"/>
              <w:gridCol w:w="2257"/>
              <w:gridCol w:w="2257"/>
            </w:tblGrid>
            <w:tr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8FB3F0"/>
                      <w:sz w:val="38"/>
                    </w:rPr>
                    <w:t>US$38.0</w:t>
                  </w:r>
                </w:p>
              </w:tc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38"/>
                    </w:rPr>
                    <w:t>4.5x</w:t>
                  </w:r>
                </w:p>
              </w:tc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38"/>
                    </w:rPr>
                    <w:t>13.2%</w:t>
                  </w:r>
                </w:p>
              </w:tc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pPr>
                    <w:spacing w:after="8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38"/>
                    </w:rPr>
                    <w:t>~27%</w:t>
                  </w:r>
                </w:p>
              </w:tc>
            </w:tr>
            <w:tr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12-mo target (+14%)</w:t>
                  </w:r>
                </w:p>
              </w:tc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P/E 2026E</w:t>
                  </w:r>
                </w:p>
              </w:tc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FY26E yield</w:t>
                  </w:r>
                </w:p>
              </w:tc>
              <w:tc>
                <w:tcPr>
                  <w:tcW w:type="dxa" w:w="2257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>
                  <w:r>
                    <w:rPr>
                      <w:rFonts w:ascii="Arial" w:hAnsi="Arial"/>
                      <w:b w:val="0"/>
                      <w:i w:val="0"/>
                      <w:color w:val="C9D3E6"/>
                      <w:sz w:val="16"/>
                    </w:rPr>
                    <w:t>Expected total return</w:t>
                  </w:r>
                </w:p>
              </w:tc>
            </w:tr>
          </w:tbl>
          <w:p/>
          <w:p>
            <w:pPr>
              <w:spacing w:before="0" w:after="280" w:line="240" w:lineRule="auto"/>
            </w:pP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Kazakhstan's dominant bank - 28% of assets, ~48% of corporate loans, the cheapest funding - at 4.5x 2026E earnings and 1.1x book for a ~25% ROE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2026 is the regulatory/tax trough (NI -15%); we are below guidance at KZT900bn and still see ~9% EPS growth from 2027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A 60% payout is self-funded (19% CET1, ~KZT850bn surplus); the dividend gives a 13% yield and floors the bear case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The ALMEX lock-up expiry (~25-Nov) is the entry point: Nov-25 placed at a ~10% discount and re-rated +31% within six weeks</w:t>
            </w:r>
          </w:p>
          <w:p>
            <w:pPr>
              <w:spacing w:after="80" w:line="269" w:lineRule="auto"/>
              <w:ind w:left="259" w:hanging="259"/>
            </w:pPr>
            <w:r>
              <w:rPr>
                <w:color w:val="8FB3F0"/>
                <w:sz w:val="12"/>
              </w:rPr>
              <w:t xml:space="preserve">■  </w:t>
            </w:r>
            <w:r>
              <w:rPr>
                <w:rFonts w:ascii="Arial" w:hAnsi="Arial"/>
                <w:b w:val="0"/>
                <w:i w:val="0"/>
                <w:color w:val="E5EAF3"/>
                <w:sz w:val="19"/>
              </w:rPr>
              <w:t>Main risks are policy, not competition - hence medium conviction and staged entry</w:t>
            </w:r>
          </w:p>
          <w:p>
            <w:pPr>
              <w:spacing w:before="0" w:after="600" w:line="240" w:lineRule="auto"/>
            </w:pPr>
          </w:p>
          <w:p>
            <w:pPr>
              <w:spacing w:before="600" w:after="0" w:line="240" w:lineRule="auto"/>
            </w:pPr>
            <w:r>
              <w:rPr>
                <w:rFonts w:ascii="Arial" w:hAnsi="Arial"/>
                <w:b w:val="0"/>
                <w:i w:val="0"/>
                <w:color w:val="A9B4C8"/>
                <w:sz w:val="15"/>
              </w:rPr>
              <w:t>Halyk Bank of Kazakhstan JSC | LSE: HSBK | Reference price US$33.30 (21-Oct-2026) | 23 October 2026</w:t>
            </w:r>
          </w:p>
        </w:tc>
        <w:tc>
          <w:tcPr>
            <w:tcW w:type="dxa" w:w="5445"/>
            <w:shd w:val="clear" w:color="auto" w:fill="13213F"/>
            <w:tcMar>
              <w:top w:w="1000" w:type="dxa"/>
              <w:left w:w="150" w:type="dxa"/>
              <w:bottom w:w="300" w:type="dxa"/>
              <w:right w:w="700" w:type="dxa"/>
            </w:tcMar>
          </w:tcPr>
          <w:p>
            <w:pPr>
              <w:spacing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tblInd w:w="0" w:type="dxa"/>
              <w:tblCellMar>
                <w:left w:w="0" w:type="dxa"/>
                <w:right w:w="0" w:type="dxa"/>
              </w:tblCellMar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</w:tblPr>
            <w:tblGrid>
              <w:gridCol w:w="4580"/>
            </w:tblGrid>
            <w:tr>
              <w:tc>
                <w:tcPr>
                  <w:tcW w:type="dxa" w:w="4581"/>
                  <w:shd w:val="clear" w:color="auto" w:fill="22355E"/>
                  <w:tcMar>
                    <w:top w:w="200" w:type="dxa"/>
                    <w:left w:w="220" w:type="dxa"/>
                    <w:bottom w:w="300" w:type="dxa"/>
                    <w:right w:w="220" w:type="dxa"/>
                  </w:tcMar>
                </w:tcPr>
                <w:p>
                  <w:pPr>
                    <w:spacing w:after="200"/>
                  </w:pPr>
                  <w:r>
                    <w:rPr>
                      <w:rFonts w:ascii="Arial" w:hAnsi="Arial"/>
                      <w:b/>
                      <w:i w:val="0"/>
                      <w:color w:val="FFFFFF"/>
                      <w:sz w:val="21"/>
                    </w:rPr>
                    <w:t>Sizing &amp; monitoring</w:t>
                  </w:r>
                </w:p>
                <w:p>
                  <w:pPr>
                    <w:spacing w:before="0" w:after="180" w:line="264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D5DCEA"/>
                      <w:sz w:val="17"/>
                    </w:rPr>
                    <w:t>Medium-conviction value/income position with an event overlay. One third now; add on the 9M26 print and any ALMEX placement.</w:t>
                  </w:r>
                </w:p>
                <w:p>
                  <w:pPr>
                    <w:spacing w:before="0" w:after="180" w:line="264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D5DCEA"/>
                      <w:sz w:val="17"/>
                    </w:rPr>
                    <w:t>Hard review triggers: dividend-policy change or payout below 50%; NIM below 6.4%; any bank profit levy; block above 5% at a &gt;15% discount; political action against the owners.</w:t>
                  </w:r>
                </w:p>
                <w:p>
                  <w:pPr>
                    <w:spacing w:before="0" w:after="180" w:line="264" w:lineRule="auto"/>
                  </w:pPr>
                  <w:r>
                    <w:rPr>
                      <w:rFonts w:ascii="Arial" w:hAnsi="Arial"/>
                      <w:b w:val="0"/>
                      <w:i w:val="0"/>
                      <w:color w:val="D5DCEA"/>
                      <w:sz w:val="17"/>
                    </w:rPr>
                    <w:t>Track separately: 9M26 results (mid-Nov), ALMEX lock-up (~25-Nov), NBK (4-Dec), 2027 budget measures, FY26 guidance (Mar-27).</w:t>
                  </w:r>
                </w:p>
              </w:tc>
            </w:tr>
          </w:tbl>
          <w:p/>
        </w:tc>
      </w:tr>
    </w:tbl>
    <w:sectPr w:rsidR="00FC693F" w:rsidRPr="0006063C" w:rsidSect="00034616">
      <w:footerReference w:type="default" r:id="rId19"/>
      <w:headerReference w:type="default" r:id="rId20"/>
      <w:pgSz w:w="15840" w:h="12240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Ind w:w="0" w:type="dxa"/>
      <w:tblCellMar>
        <w:left w:w="0" w:type="dxa"/>
        <w:right w:w="0" w:type="dxa"/>
      </w:tblCellMar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3104"/>
      <w:gridCol w:w="1440"/>
    </w:tblGrid>
    <w:tr>
      <w:tc>
        <w:tcPr>
          <w:tcW w:type="dxa" w:w="13104"/>
        </w:tcPr>
        <w:p>
          <w:r>
            <w:rPr>
              <w:rFonts w:ascii="Arial" w:hAnsi="Arial"/>
              <w:b w:val="0"/>
              <w:i w:val="0"/>
              <w:color w:val="6B7280"/>
              <w:sz w:val="14"/>
            </w:rPr>
            <w:t>Halyk Bank of Kazakhstan JSC | LSE: HSBK | Reference price US$33.30 (21-Oct-2026) | [u] = unverified, [e] = estimate</w:t>
          </w:r>
        </w:p>
      </w:tc>
      <w:tc>
        <w:tcPr>
          <w:tcW w:type="dxa" w:w="1440"/>
        </w:tcPr>
        <w:p>
          <w:pPr>
            <w:jc w:val="right"/>
          </w:pPr>
          <w:r>
            <w:rPr>
              <w:color w:val="6B7280"/>
              <w:sz w:val="14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0" w:lineRule="exact" w:after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footer" Target="footer2.xml"/><Relationship Id="rId2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Event-Driven &amp; Special Situations | Equity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