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595959"/>
          <w:sz w:val="16"/>
          <w:szCs w:val="16"/>
        </w:rPr>
        <w:t xml:space="preserve">EQUITY RESEARCH  |  SPECIAL SITUATIONS / DUAL-LISTED STRUCTURES</w:t>
      </w:r>
    </w:p>
    <w:p>
      <w:pPr>
        <w:pBdr>
          <w:bottom w:val="single" w:color="1F3864" w:sz="12"/>
        </w:pBdr>
        <w:spacing w:after="60"/>
      </w:pPr>
    </w:p>
    <w:p>
      <w:pPr>
        <w:spacing w:after="60" w:before="120"/>
      </w:pPr>
      <w:r>
        <w:rPr>
          <w:b/>
          <w:bCs/>
          <w:color w:val="1F3864"/>
          <w:sz w:val="34"/>
          <w:szCs w:val="34"/>
        </w:rPr>
        <w:t xml:space="preserve">Interparfums Inc (IPAR US) vs Interparfums SA (ITP FP)</w:t>
      </w:r>
    </w:p>
    <w:p>
      <w:pPr>
        <w:spacing w:after="60"/>
      </w:pPr>
      <w:r>
        <w:rPr>
          <w:i/>
          <w:iCs/>
          <w:color w:val="2E5597"/>
          <w:sz w:val="22"/>
          <w:szCs w:val="22"/>
        </w:rPr>
        <w:t xml:space="preserve">Anatomy of a Parent–Subsidiary Premium: Why the Nasdaq Parent Trades ~50–60% Richer Than Its Paris-Listed Subsidiary</w:t>
      </w:r>
    </w:p>
    <w:p>
      <w:pPr>
        <w:spacing w:after="160"/>
      </w:pPr>
      <w:r>
        <w:rPr>
          <w:color w:val="595959"/>
          <w:sz w:val="18"/>
          <w:szCs w:val="18"/>
        </w:rPr>
        <w:t xml:space="preserve">6 August 2026  |  Prepared for internal research use  |  Prices as of 5–7 August 2026 unless noted</w:t>
      </w:r>
    </w:p>
    <w:p>
      <w:pPr>
        <w:pStyle w:val="Heading1"/>
        <w:spacing w:after="120" w:before="280"/>
      </w:pPr>
      <w:r>
        <w:rPr>
          <w:b/>
          <w:bCs/>
          <w:color w:val="1F3864"/>
          <w:sz w:val="26"/>
          <w:szCs w:val="26"/>
        </w:rPr>
        <w:t xml:space="preserve">1. Executive Summary</w:t>
      </w:r>
    </w:p>
    <w:p>
      <w:pPr>
        <w:spacing w:after="100" w:line="264"/>
      </w:pPr>
      <w:r>
        <w:rPr>
          <w:b/>
          <w:bCs/>
          <w:sz w:val="20"/>
          <w:szCs w:val="20"/>
        </w:rPr>
        <w:t xml:space="preserve">The two listings are not the same claim on the same assets, but they overlap heavily. </w:t>
      </w:r>
      <w:r>
        <w:rPr>
          <w:sz w:val="20"/>
          <w:szCs w:val="20"/>
        </w:rPr>
        <w:t xml:space="preserve">Interparfums Inc (IPAR US, Nasdaq) owns ~72% of Interparfums SA (ITP FP, Euronext Paris) plus 100% of a separate, wholly-owned US-based fragrance business. ITP FP is a pure claim on the European operations (Montblanc, Jimmy Choo, Coach, Lacoste, etc.), which generated ~68% of consolidated group sales in FY2025. A naive P/E comparison therefore mixes a holding-company effect with a genuine valuation gap — but even after correcting for structure, the gap is real and large.</w:t>
      </w:r>
    </w:p>
    <w:p>
      <w:pPr>
        <w:pStyle w:val="ListParagraph"/>
        <w:numPr>
          <w:ilvl w:val="0"/>
          <w:numId w:val="2"/>
        </w:numPr>
        <w:spacing w:after="60" w:line="252"/>
      </w:pPr>
      <w:r>
        <w:rPr>
          <w:b/>
          <w:bCs/>
          <w:sz w:val="20"/>
          <w:szCs w:val="20"/>
        </w:rPr>
        <w:t xml:space="preserve">The headline premium: </w:t>
      </w:r>
      <w:r>
        <w:rPr>
          <w:sz w:val="20"/>
          <w:szCs w:val="20"/>
        </w:rPr>
        <w:t xml:space="preserve">IPAR US trades at ~24.5x trailing EPS ($128.55 / $5.24) and ~26.5x 2026 guided EPS ($4.85). ITP FP trades at ~16x trailing earnings and ~16.4x consensus 2026 EPS. That is a ~50% trailing and ~60% forward P/E premium.</w:t>
      </w:r>
    </w:p>
    <w:p>
      <w:pPr>
        <w:pStyle w:val="ListParagraph"/>
        <w:numPr>
          <w:ilvl w:val="0"/>
          <w:numId w:val="2"/>
        </w:numPr>
        <w:spacing w:after="60" w:line="252"/>
      </w:pPr>
      <w:r>
        <w:rPr>
          <w:b/>
          <w:bCs/>
          <w:sz w:val="20"/>
          <w:szCs w:val="20"/>
        </w:rPr>
        <w:t xml:space="preserve">The stub math is more striking: </w:t>
      </w:r>
      <w:r>
        <w:rPr>
          <w:sz w:val="20"/>
          <w:szCs w:val="20"/>
        </w:rPr>
        <w:t xml:space="preserve">IPAR's 72% stake in ITP is worth ~$1.8bn at market (43% of IPAR's $4.1bn market cap). The market therefore implicitly values IPAR's wholly-owned US operations (FY25 sales $482m, the group's lower-margin segment) at ~$2.3bn — roughly 30–40x our estimated US-segment earnings, versus ~16x for the larger, higher-margin European business via ITP.</w:t>
      </w:r>
    </w:p>
    <w:p>
      <w:pPr>
        <w:pStyle w:val="ListParagraph"/>
        <w:numPr>
          <w:ilvl w:val="0"/>
          <w:numId w:val="2"/>
        </w:numPr>
        <w:spacing w:after="60" w:line="252"/>
      </w:pPr>
      <w:r>
        <w:rPr>
          <w:b/>
          <w:bCs/>
          <w:sz w:val="20"/>
          <w:szCs w:val="20"/>
        </w:rPr>
        <w:t xml:space="preserve">Why it persists: </w:t>
      </w:r>
      <w:r>
        <w:rPr>
          <w:sz w:val="20"/>
          <w:szCs w:val="20"/>
        </w:rPr>
        <w:t xml:space="preserve">a ~20x liquidity gap ($35–40m/day vs ~€1.5–2m/day), a 27.4% free float in Paris vs ~55% in New York, US index membership and passive/institutional sponsorship for IPAR, far deeper US analyst coverage, a control premium embedded in the parent vs a structurally catalyst-free minority position in the subsidiary, and a currency-reporting asymmetry that has flattered IPAR's USD-reported results while penalising ITP's EUR-reported results as the euro strengthened through 2025–26.</w:t>
      </w:r>
    </w:p>
    <w:p>
      <w:pPr>
        <w:pStyle w:val="ListParagraph"/>
        <w:numPr>
          <w:ilvl w:val="0"/>
          <w:numId w:val="2"/>
        </w:numPr>
        <w:spacing w:after="60" w:line="252"/>
      </w:pPr>
      <w:r>
        <w:rPr>
          <w:b/>
          <w:bCs/>
          <w:sz w:val="20"/>
          <w:szCs w:val="20"/>
        </w:rPr>
        <w:t xml:space="preserve">Last 12 months widened the gap: </w:t>
      </w:r>
      <w:r>
        <w:rPr>
          <w:sz w:val="20"/>
          <w:szCs w:val="20"/>
        </w:rPr>
        <w:t xml:space="preserve">ITP FP is down ~25% over one year (52-week range €20.74–31.54, now ~€25.1–25.6) after a November 2025 guidance disappointment, a July 2026 H1 report showing sales −3.7% at constant FX (−7.3% reported), a H1 operating-margin guide of 19–20% vs 23.2% a year earlier, the Boucheron license exit to Kering Beauté, Middle East war headwinds and US tariffs. IPAR US, despite a deep mid-period drawdown (52-week low $77.21 amid a delayed 10-K, an internal-control material weakness and an auditor change), has recovered to $128.55 — near the upper half of its 52-week range — helped by an 18% Q2 rebound in its wholly-owned US brands (Ferragamo +41%, DKNY +28%, GUESS +10%), which ITP shareholders have zero exposure to.</w:t>
      </w:r>
    </w:p>
    <w:p>
      <w:pPr>
        <w:pStyle w:val="ListParagraph"/>
        <w:numPr>
          <w:ilvl w:val="0"/>
          <w:numId w:val="2"/>
        </w:numPr>
        <w:spacing w:after="60" w:line="252"/>
      </w:pPr>
      <w:r>
        <w:rPr>
          <w:b/>
          <w:bCs/>
          <w:sz w:val="20"/>
          <w:szCs w:val="20"/>
        </w:rPr>
        <w:t xml:space="preserve">Bottom line: </w:t>
      </w:r>
      <w:r>
        <w:rPr>
          <w:sz w:val="20"/>
          <w:szCs w:val="20"/>
        </w:rPr>
        <w:t xml:space="preserve">roughly half the 'premium' is structural and rational (control, liquidity, index sponsorship, plus the US stub); the remainder is a market-inefficiency discount on ITP that has no obvious near-term catalyst to close — the parent has no incentive to buy in a minority stake it already controls, and float/liquidity keep most institutions out of the Paris line. ITP is, on look-through numbers, the cheaper way to own the same core franchise — but it has been cheap for years, pays you ~4.1% (plus annual bonus shares) to wait, and is likely to stay cheap until the operating momentum of the European segment turns.</w:t>
      </w:r>
    </w:p>
    <w:p>
      <w:pPr>
        <w:pStyle w:val="Heading1"/>
        <w:spacing w:after="120" w:before="280"/>
      </w:pPr>
      <w:r>
        <w:rPr>
          <w:b/>
          <w:bCs/>
          <w:color w:val="1F3864"/>
          <w:sz w:val="26"/>
          <w:szCs w:val="26"/>
        </w:rPr>
        <w:t xml:space="preserve">2. Corporate &amp; Ownership Structure</w:t>
      </w:r>
    </w:p>
    <w:p>
      <w:pPr>
        <w:spacing w:after="100" w:line="264"/>
      </w:pPr>
      <w:r>
        <w:rPr>
          <w:sz w:val="20"/>
          <w:szCs w:val="20"/>
        </w:rPr>
        <w:t xml:space="preserve">The group operates one of the more unusual structures in global consumer staples: a US-listed parent that conducts about two-thirds of its business through a separately listed French subsidiary.</w:t>
      </w: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300"/>
        <w:gridCol w:w="3436"/>
      </w:tblGrid>
      <w:tr>
        <w:tc>
          <w:tcPr>
            <w:tcW w:type="dxa" w:w="32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33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Interparfums Inc (IPAR US)</w:t>
            </w:r>
          </w:p>
        </w:tc>
        <w:tc>
          <w:tcPr>
            <w:tcW w:type="dxa" w:w="3436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Interparfums SA (ITP FP)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Role in group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Parent / holding + operating co.</w:t>
            </w:r>
          </w:p>
        </w:tc>
        <w:tc>
          <w:tcPr>
            <w:tcW w:type="dxa" w:w="34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Operating subsidiary (European ops)</w:t>
            </w:r>
          </w:p>
        </w:tc>
      </w:tr>
      <w:tr>
        <w:tc>
          <w:tcPr>
            <w:tcW w:type="dxa" w:w="3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Listing</w:t>
            </w:r>
          </w:p>
        </w:tc>
        <w:tc>
          <w:tcPr>
            <w:tcW w:type="dxa" w:w="3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Nasdaq Global Select ('IPAR')</w:t>
            </w:r>
          </w:p>
        </w:tc>
        <w:tc>
          <w:tcPr>
            <w:tcW w:type="dxa" w:w="3436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Euronext Paris ('ITP', ISIN FR0004024222)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Founded / listed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1985 (as Jean Philippe Fragrances); renamed Inter Parfums 1999</w:t>
            </w:r>
          </w:p>
        </w:tc>
        <w:tc>
          <w:tcPr>
            <w:tcW w:type="dxa" w:w="34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1982 (France); listed on Paris bourse 1995</w:t>
            </w:r>
          </w:p>
        </w:tc>
      </w:tr>
      <w:tr>
        <w:tc>
          <w:tcPr>
            <w:tcW w:type="dxa" w:w="3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Control</w:t>
            </w:r>
          </w:p>
        </w:tc>
        <w:tc>
          <w:tcPr>
            <w:tcW w:type="dxa" w:w="3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Founders Jean Madar (Chairman/CEO) &amp; Philippe Benacin, combined beneficial ownership ~mid-40s% (~22% each)</w:t>
            </w:r>
          </w:p>
        </w:tc>
        <w:tc>
          <w:tcPr>
            <w:tcW w:type="dxa" w:w="3436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72.3% of capital / 83.2% of voting rights held by Interparfums Inc (directly since Dec 2025, previously via Interparfums Holding SAS); Philippe Benacin is CEO of the SA. Double voting rights accrue to registered shares held 3+ years (83.8m shares carry ~144.8m net votes)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Free float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~55% of shares</w:t>
            </w:r>
          </w:p>
        </w:tc>
        <w:tc>
          <w:tcPr>
            <w:tcW w:type="dxa" w:w="34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27.4% (free-float cap ~€0.5–0.6bn)</w:t>
            </w:r>
          </w:p>
        </w:tc>
      </w:tr>
      <w:tr>
        <w:tc>
          <w:tcPr>
            <w:tcW w:type="dxa" w:w="3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What it owns</w:t>
            </w:r>
          </w:p>
        </w:tc>
        <w:tc>
          <w:tcPr>
            <w:tcW w:type="dxa" w:w="3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72% of ITP FP + 100% of US-based operations (US &amp; Italy subsidiaries)</w:t>
            </w:r>
          </w:p>
        </w:tc>
        <w:tc>
          <w:tcPr>
            <w:tcW w:type="dxa" w:w="3436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European-based operations only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Reporting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US GAAP, USD</w:t>
            </w:r>
          </w:p>
        </w:tc>
        <w:tc>
          <w:tcPr>
            <w:tcW w:type="dxa" w:w="34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IFRS, EUR</w:t>
            </w:r>
          </w:p>
        </w:tc>
      </w:tr>
    </w:tbl>
    <w:p>
      <w:pPr>
        <w:spacing w:after="60"/>
      </w:pPr>
    </w:p>
    <w:p>
      <w:pPr>
        <w:spacing w:after="100" w:line="264"/>
      </w:pPr>
      <w:r>
        <w:rPr>
          <w:sz w:val="20"/>
          <w:szCs w:val="20"/>
        </w:rPr>
        <w:t xml:space="preserve">Two consequences follow. First, </w:t>
      </w:r>
      <w:r>
        <w:rPr>
          <w:b/>
          <w:bCs/>
          <w:sz w:val="20"/>
          <w:szCs w:val="20"/>
        </w:rPr>
        <w:t xml:space="preserve">IPAR consolidates 100% of ITP's results and deducts a ~28% minority interest</w:t>
      </w:r>
      <w:r>
        <w:rPr>
          <w:sz w:val="20"/>
          <w:szCs w:val="20"/>
        </w:rPr>
        <w:t xml:space="preserve"> — so IPAR's $5.24 FY25 diluted EPS already reflects only its 72% economic share of the European profits plus 100% of the US profits. Second, </w:t>
      </w:r>
      <w:r>
        <w:rPr>
          <w:b/>
          <w:bCs/>
          <w:sz w:val="20"/>
          <w:szCs w:val="20"/>
        </w:rPr>
        <w:t xml:space="preserve">ITP shareholders own none of the US business</w:t>
      </w:r>
      <w:r>
        <w:rPr>
          <w:sz w:val="20"/>
          <w:szCs w:val="20"/>
        </w:rPr>
        <w:t xml:space="preserve"> — the segment that is currently re-accelerating. The two equities are therefore claims on overlapping but different asset pools, and part of any 'premium' comparison must adjust for this.</w:t>
      </w:r>
    </w:p>
    <w:p>
      <w:pPr>
        <w:pStyle w:val="Heading1"/>
        <w:spacing w:after="120" w:before="280"/>
      </w:pPr>
      <w:r>
        <w:rPr>
          <w:b/>
          <w:bCs/>
          <w:color w:val="1F3864"/>
          <w:sz w:val="26"/>
          <w:szCs w:val="26"/>
        </w:rPr>
        <w:t xml:space="preserve">3. Market Snapshot &amp; Trading Comparison</w:t>
      </w: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400"/>
        <w:gridCol w:w="3536"/>
      </w:tblGrid>
      <w:tr>
        <w:tc>
          <w:tcPr>
            <w:tcW w:type="dxa" w:w="30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Metric (Aug 2026)</w:t>
            </w:r>
          </w:p>
        </w:tc>
        <w:tc>
          <w:tcPr>
            <w:tcW w:type="dxa" w:w="34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IPAR US</w:t>
            </w:r>
          </w:p>
        </w:tc>
        <w:tc>
          <w:tcPr>
            <w:tcW w:type="dxa" w:w="3536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ITP FP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Share price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$128.55</w:t>
            </w:r>
          </w:p>
        </w:tc>
        <w:tc>
          <w:tcPr>
            <w:tcW w:type="dxa" w:w="35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€25.58 (€25.10 last close per Boursorama)</w:t>
            </w:r>
          </w:p>
        </w:tc>
      </w:tr>
      <w:tr>
        <w:tc>
          <w:tcPr>
            <w:tcW w:type="dxa" w:w="3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Market cap</w:t>
            </w:r>
          </w:p>
        </w:tc>
        <w:tc>
          <w:tcPr>
            <w:tcW w:type="dxa" w:w="3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~$4.13bn (32.0m shares)</w:t>
            </w:r>
          </w:p>
        </w:tc>
        <w:tc>
          <w:tcPr>
            <w:tcW w:type="dxa" w:w="3536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~€2.12bn (~83m shares)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52-week range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$77.21 – $140.73</w:t>
            </w:r>
          </w:p>
        </w:tc>
        <w:tc>
          <w:tcPr>
            <w:tcW w:type="dxa" w:w="35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€20.74 – €31.54</w:t>
            </w:r>
          </w:p>
        </w:tc>
      </w:tr>
      <w:tr>
        <w:tc>
          <w:tcPr>
            <w:tcW w:type="dxa" w:w="3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1-year performance</w:t>
            </w:r>
          </w:p>
        </w:tc>
        <w:tc>
          <w:tcPr>
            <w:tcW w:type="dxa" w:w="3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Roughly flat-to-up; deep drawdown mid-period, since recovered to upper half of range</w:t>
            </w:r>
          </w:p>
        </w:tc>
        <w:tc>
          <w:tcPr>
            <w:tcW w:type="dxa" w:w="3536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c. −25% (partial 1-month rebound of ~+8% into August)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Avg daily volume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~287k shares ≈ $35–40m/day</w:t>
            </w:r>
          </w:p>
        </w:tc>
        <w:tc>
          <w:tcPr>
            <w:tcW w:type="dxa" w:w="35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~54–80k shares ≈ €1.5–2m/day</w:t>
            </w:r>
          </w:p>
        </w:tc>
      </w:tr>
      <w:tr>
        <w:tc>
          <w:tcPr>
            <w:tcW w:type="dxa" w:w="3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Trailing P/E</w:t>
            </w:r>
          </w:p>
        </w:tc>
        <w:tc>
          <w:tcPr>
            <w:tcW w:type="dxa" w:w="3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~24.5x (FY25 EPS $5.24)</w:t>
            </w:r>
          </w:p>
        </w:tc>
        <w:tc>
          <w:tcPr>
            <w:tcW w:type="dxa" w:w="3536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~16x (FY25 net margin 14.1% on ~€900m sales)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Forward P/E (2026E)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~26.5x (guided EPS $4.85)</w:t>
            </w:r>
          </w:p>
        </w:tc>
        <w:tc>
          <w:tcPr>
            <w:tcW w:type="dxa" w:w="35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~16.4x (consensus)</w:t>
            </w:r>
          </w:p>
        </w:tc>
      </w:tr>
      <w:tr>
        <w:tc>
          <w:tcPr>
            <w:tcW w:type="dxa" w:w="3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Dividend yield</w:t>
            </w:r>
          </w:p>
        </w:tc>
        <w:tc>
          <w:tcPr>
            <w:tcW w:type="dxa" w:w="3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~2.5–2.7% ($3.20/yr, paid quarterly)</w:t>
            </w:r>
          </w:p>
        </w:tc>
        <w:tc>
          <w:tcPr>
            <w:tcW w:type="dxa" w:w="3536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~4.1–4.4% (€1.05/share) + annual bonus shares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Index membership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S&amp;P MidCap 400 constituent; Nasdaq Composite; Russell indices</w:t>
            </w:r>
          </w:p>
        </w:tc>
        <w:tc>
          <w:tcPr>
            <w:tcW w:type="dxa" w:w="35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SBF 120, CAC Mid 60 (weight capped by 27.4% float)</w:t>
            </w:r>
          </w:p>
        </w:tc>
      </w:tr>
      <w:tr>
        <w:tc>
          <w:tcPr>
            <w:tcW w:type="dxa" w:w="3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Analyst coverage</w:t>
            </w:r>
          </w:p>
        </w:tc>
        <w:tc>
          <w:tcPr>
            <w:tcW w:type="dxa" w:w="3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US coverage, avg rating 'Strong Buy', PT ~$126</w:t>
            </w:r>
          </w:p>
        </w:tc>
        <w:tc>
          <w:tcPr>
            <w:tcW w:type="dxa" w:w="3536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Thin, mostly French mid-cap brokers</w:t>
            </w:r>
          </w:p>
        </w:tc>
      </w:tr>
    </w:tbl>
    <w:p>
      <w:pPr>
        <w:spacing w:after="60"/>
      </w:pPr>
    </w:p>
    <w:p>
      <w:pPr>
        <w:spacing w:after="100" w:line="264"/>
      </w:pPr>
      <w:r>
        <w:rPr>
          <w:sz w:val="20"/>
          <w:szCs w:val="20"/>
        </w:rPr>
        <w:t xml:space="preserve">The liquidity gap is roughly </w:t>
      </w:r>
      <w:r>
        <w:rPr>
          <w:b/>
          <w:bCs/>
          <w:sz w:val="20"/>
          <w:szCs w:val="20"/>
        </w:rPr>
        <w:t xml:space="preserve">20x in value terms</w:t>
      </w:r>
      <w:r>
        <w:rPr>
          <w:sz w:val="20"/>
          <w:szCs w:val="20"/>
        </w:rPr>
        <w:t xml:space="preserve">. For an institution needing to build a $50m position, IPAR is a ~1.5-day trade; ITP is a multi-month exercise in a 27% float. This alone disqualifies the Paris line for most US mid-cap mandates and explains much of the persistent structural discount.</w:t>
      </w:r>
    </w:p>
    <w:p>
      <w:pPr>
        <w:pStyle w:val="Heading1"/>
        <w:spacing w:after="120" w:before="280"/>
      </w:pPr>
      <w:r>
        <w:rPr>
          <w:b/>
          <w:bCs/>
          <w:color w:val="1F3864"/>
          <w:sz w:val="26"/>
          <w:szCs w:val="26"/>
        </w:rPr>
        <w:t xml:space="preserve">4. Product Offerings: Who Owns Which Brands</w:t>
      </w:r>
    </w:p>
    <w:p>
      <w:pPr>
        <w:spacing w:after="100" w:line="264"/>
      </w:pPr>
      <w:r>
        <w:rPr>
          <w:sz w:val="20"/>
          <w:szCs w:val="20"/>
        </w:rPr>
        <w:t xml:space="preserve">Both entities run the same business model — long-dated fragrance licenses (typically 10–15 years) for prestige fashion and luxury houses, plus a small number of owned brands — but the portfolios are entirely distinct:</w:t>
      </w:r>
    </w:p>
    <w:p>
      <w:pPr>
        <w:pStyle w:val="Heading2"/>
        <w:spacing w:after="80" w:before="200"/>
      </w:pPr>
      <w:r>
        <w:rPr>
          <w:b/>
          <w:bCs/>
          <w:color w:val="2E5597"/>
          <w:sz w:val="22"/>
          <w:szCs w:val="22"/>
        </w:rPr>
        <w:t xml:space="preserve">4.1 European operations — Interparfums SA (ITP FP; FY25 sales $1,016m / ~€900m, +7% in USD)</w:t>
      </w:r>
    </w:p>
    <w:p>
      <w:pPr>
        <w:pStyle w:val="ListParagraph"/>
        <w:numPr>
          <w:ilvl w:val="0"/>
          <w:numId w:val="2"/>
        </w:numPr>
        <w:spacing w:after="60" w:line="252"/>
      </w:pPr>
      <w:r>
        <w:rPr>
          <w:b/>
          <w:bCs/>
          <w:sz w:val="20"/>
          <w:szCs w:val="20"/>
        </w:rPr>
        <w:t xml:space="preserve">Anchor licenses: </w:t>
      </w:r>
      <w:r>
        <w:rPr>
          <w:sz w:val="20"/>
          <w:szCs w:val="20"/>
        </w:rPr>
        <w:t xml:space="preserve">Montblanc, Jimmy Choo, Coach — historically the three largest group brands; Jimmy Choo +23% in Q2 2026, Coach −8%.</w:t>
      </w:r>
    </w:p>
    <w:p>
      <w:pPr>
        <w:pStyle w:val="ListParagraph"/>
        <w:numPr>
          <w:ilvl w:val="0"/>
          <w:numId w:val="2"/>
        </w:numPr>
        <w:spacing w:after="60" w:line="252"/>
      </w:pPr>
      <w:r>
        <w:rPr>
          <w:b/>
          <w:bCs/>
          <w:sz w:val="20"/>
          <w:szCs w:val="20"/>
        </w:rPr>
        <w:t xml:space="preserve">Lacoste </w:t>
      </w:r>
      <w:r>
        <w:rPr>
          <w:sz w:val="20"/>
          <w:szCs w:val="20"/>
        </w:rPr>
        <w:t xml:space="preserve">(license took effect 2024, previously with Coty): a scale addition but currently soft — sales −19% in Q2 2026.</w:t>
      </w:r>
    </w:p>
    <w:p>
      <w:pPr>
        <w:pStyle w:val="ListParagraph"/>
        <w:numPr>
          <w:ilvl w:val="0"/>
          <w:numId w:val="2"/>
        </w:numPr>
        <w:spacing w:after="60" w:line="252"/>
      </w:pPr>
      <w:r>
        <w:rPr>
          <w:b/>
          <w:bCs/>
          <w:sz w:val="20"/>
          <w:szCs w:val="20"/>
        </w:rPr>
        <w:t xml:space="preserve">Other licenses: </w:t>
      </w:r>
      <w:r>
        <w:rPr>
          <w:sz w:val="20"/>
          <w:szCs w:val="20"/>
        </w:rPr>
        <w:t xml:space="preserve">Moncler, Karl Lagerfeld, Van Cleef &amp; Arpels, Kate Spade, and Boucheron — the Boucheron license, originally a 15-year agreement from 2011, has been extended by two years to end-2027, after which the brand moves in-house to Kering Beauté.</w:t>
      </w:r>
    </w:p>
    <w:p>
      <w:pPr>
        <w:pStyle w:val="ListParagraph"/>
        <w:numPr>
          <w:ilvl w:val="0"/>
          <w:numId w:val="2"/>
        </w:numPr>
        <w:spacing w:after="60" w:line="252"/>
      </w:pPr>
      <w:r>
        <w:rPr>
          <w:b/>
          <w:bCs/>
          <w:sz w:val="20"/>
          <w:szCs w:val="20"/>
        </w:rPr>
        <w:t xml:space="preserve">Owned brands: </w:t>
      </w:r>
      <w:r>
        <w:rPr>
          <w:sz w:val="20"/>
          <w:szCs w:val="20"/>
        </w:rPr>
        <w:t xml:space="preserve">Rochas (acquired 2015) and Goutal (acquired from Amorepacific, announced March 2025) — brand ownership rather than license.</w:t>
      </w:r>
    </w:p>
    <w:p>
      <w:pPr>
        <w:pStyle w:val="ListParagraph"/>
        <w:numPr>
          <w:ilvl w:val="0"/>
          <w:numId w:val="2"/>
        </w:numPr>
        <w:spacing w:after="60" w:line="252"/>
      </w:pPr>
      <w:r>
        <w:rPr>
          <w:b/>
          <w:bCs/>
          <w:sz w:val="20"/>
          <w:szCs w:val="20"/>
        </w:rPr>
        <w:t xml:space="preserve">Pipeline: </w:t>
      </w:r>
      <w:r>
        <w:rPr>
          <w:sz w:val="20"/>
          <w:szCs w:val="20"/>
        </w:rPr>
        <w:t xml:space="preserve">Off-White (perfume &amp; cosmetics license signed December 2024) and Longchamp (signed spring 2025) — both scheduled for first launches in 2027, partly refilling the Boucheron hole.</w:t>
      </w:r>
    </w:p>
    <w:p>
      <w:pPr>
        <w:pStyle w:val="Heading2"/>
        <w:spacing w:after="80" w:before="200"/>
      </w:pPr>
      <w:r>
        <w:rPr>
          <w:b/>
          <w:bCs/>
          <w:color w:val="2E5597"/>
          <w:sz w:val="22"/>
          <w:szCs w:val="22"/>
        </w:rPr>
        <w:t xml:space="preserve">4.2 US operations — wholly owned by Interparfums Inc (FY25 sales $482m, −6% in FY25, +18% in Q2 2026)</w:t>
      </w:r>
    </w:p>
    <w:p>
      <w:pPr>
        <w:pStyle w:val="ListParagraph"/>
        <w:numPr>
          <w:ilvl w:val="0"/>
          <w:numId w:val="2"/>
        </w:numPr>
        <w:spacing w:after="60" w:line="252"/>
      </w:pPr>
      <w:r>
        <w:rPr>
          <w:b/>
          <w:bCs/>
          <w:sz w:val="20"/>
          <w:szCs w:val="20"/>
        </w:rPr>
        <w:t xml:space="preserve">Key licenses: </w:t>
      </w:r>
      <w:r>
        <w:rPr>
          <w:sz w:val="20"/>
          <w:szCs w:val="20"/>
        </w:rPr>
        <w:t xml:space="preserve">GUESS, Donna Karan/DKNY, Salvatore Ferragamo, Roberto Cavalli, Abercrombie &amp; Fitch, Hollister, Oscar de la Renta, MCM, Anna Sui, Ungaro.</w:t>
      </w:r>
    </w:p>
    <w:p>
      <w:pPr>
        <w:pStyle w:val="ListParagraph"/>
        <w:numPr>
          <w:ilvl w:val="0"/>
          <w:numId w:val="2"/>
        </w:numPr>
        <w:spacing w:after="60" w:line="252"/>
      </w:pPr>
      <w:r>
        <w:rPr>
          <w:b/>
          <w:bCs/>
          <w:sz w:val="20"/>
          <w:szCs w:val="20"/>
        </w:rPr>
        <w:t xml:space="preserve">Momentum has flipped positive: </w:t>
      </w:r>
      <w:r>
        <w:rPr>
          <w:sz w:val="20"/>
          <w:szCs w:val="20"/>
        </w:rPr>
        <w:t xml:space="preserve">after a −6% FY2025, Q2 2026 US-segment sales rose 18% (Ferragamo +41%, Donna Karan/DKNY +28%, GUESS +10%), driving the group's consolidated +2% quarter. The FY25 results release also cited blockbuster launches across Jimmy Choo, GUESS and David Beckham lines.</w:t>
      </w:r>
    </w:p>
    <w:p>
      <w:pPr>
        <w:spacing w:after="100" w:line="264"/>
      </w:pPr>
      <w:r>
        <w:rPr>
          <w:b/>
          <w:bCs/>
          <w:sz w:val="20"/>
          <w:szCs w:val="20"/>
        </w:rPr>
        <w:t xml:space="preserve">Analytical point: </w:t>
      </w:r>
      <w:r>
        <w:rPr>
          <w:sz w:val="20"/>
          <w:szCs w:val="20"/>
        </w:rPr>
        <w:t xml:space="preserve">ITP FP offers the more 'luxury' portfolio (Montblanc, Jimmy Choo, VCA, Moncler) with structurally higher operating margins (FY25 SA operating margin 19.5%, ~20.3% ex-tariffs, vs low-teens historically in the US segment). IPAR US is the only way to access the currently faster-growing US mass-prestige portfolio — and the market is paying up aggressively for that access.</w:t>
      </w:r>
    </w:p>
    <w:p>
      <w:pPr>
        <w:pStyle w:val="Heading1"/>
        <w:spacing w:after="120" w:before="280"/>
      </w:pPr>
      <w:r>
        <w:rPr>
          <w:b/>
          <w:bCs/>
          <w:color w:val="1F3864"/>
          <w:sz w:val="26"/>
          <w:szCs w:val="26"/>
        </w:rPr>
        <w:t xml:space="preserve">5. Quantifying the Premium</w:t>
      </w:r>
    </w:p>
    <w:p>
      <w:pPr>
        <w:pStyle w:val="Heading2"/>
        <w:spacing w:after="80" w:before="200"/>
      </w:pPr>
      <w:r>
        <w:rPr>
          <w:b/>
          <w:bCs/>
          <w:color w:val="2E5597"/>
          <w:sz w:val="22"/>
          <w:szCs w:val="22"/>
        </w:rPr>
        <w:t xml:space="preserve">5.1 Look-through P/E</w:t>
      </w: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2600"/>
        <w:gridCol w:w="2736"/>
      </w:tblGrid>
      <w:tr>
        <w:tc>
          <w:tcPr>
            <w:tcW w:type="dxa" w:w="4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IPAR US</w:t>
            </w:r>
          </w:p>
        </w:tc>
        <w:tc>
          <w:tcPr>
            <w:tcW w:type="dxa" w:w="2736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ITP FP</w:t>
            </w:r>
          </w:p>
        </w:tc>
      </w:tr>
      <w:tr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FY2025 net income attributable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~$169m (EPS $5.24 × ~32.2m diluted)</w:t>
            </w:r>
          </w:p>
        </w:tc>
        <w:tc>
          <w:tcPr>
            <w:tcW w:type="dxa" w:w="27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~€127m (14.1% net margin × ~€900m)</w:t>
            </w:r>
          </w:p>
        </w:tc>
      </w:tr>
      <w:tr>
        <w:tc>
          <w:tcPr>
            <w:tcW w:type="dxa" w:w="4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Market cap</w:t>
            </w:r>
          </w:p>
        </w:tc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~$4.13bn</w:t>
            </w:r>
          </w:p>
        </w:tc>
        <w:tc>
          <w:tcPr>
            <w:tcW w:type="dxa" w:w="2736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~€2.12bn</w:t>
            </w:r>
          </w:p>
        </w:tc>
      </w:tr>
      <w:tr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Trailing P/E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~24.5x</w:t>
            </w:r>
          </w:p>
        </w:tc>
        <w:tc>
          <w:tcPr>
            <w:tcW w:type="dxa" w:w="27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~16.3x</w:t>
            </w:r>
          </w:p>
        </w:tc>
      </w:tr>
      <w:tr>
        <w:tc>
          <w:tcPr>
            <w:tcW w:type="dxa" w:w="4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2026E P/E</w:t>
            </w:r>
          </w:p>
        </w:tc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~26.5x (EPS $4.85 guided)</w:t>
            </w:r>
          </w:p>
        </w:tc>
        <w:tc>
          <w:tcPr>
            <w:tcW w:type="dxa" w:w="2736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~16.4x</w:t>
            </w:r>
          </w:p>
        </w:tc>
      </w:tr>
      <w:tr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Premium (IPAR over ITP)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≈ +50% trailing / +60% forward</w:t>
            </w:r>
          </w:p>
        </w:tc>
        <w:tc>
          <w:tcPr>
            <w:tcW w:type="dxa" w:w="27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/>
      </w:pPr>
    </w:p>
    <w:p>
      <w:pPr>
        <w:pStyle w:val="Heading2"/>
        <w:spacing w:after="80" w:before="200"/>
      </w:pPr>
      <w:r>
        <w:rPr>
          <w:b/>
          <w:bCs/>
          <w:color w:val="2E5597"/>
          <w:sz w:val="22"/>
          <w:szCs w:val="22"/>
        </w:rPr>
        <w:t xml:space="preserve">5.2 Stub / sum-of-the-parts view (at EUR/USD ≈ 1.16)</w:t>
      </w:r>
    </w:p>
    <w:p>
      <w:pPr>
        <w:pStyle w:val="ListParagraph"/>
        <w:numPr>
          <w:ilvl w:val="0"/>
          <w:numId w:val="2"/>
        </w:numPr>
        <w:spacing w:after="60" w:line="252"/>
      </w:pPr>
      <w:r>
        <w:rPr>
          <w:sz w:val="20"/>
          <w:szCs w:val="20"/>
        </w:rPr>
        <w:t xml:space="preserve">Value of IPAR's 72% of ITP at the Paris market price: 0.72 × €2.12bn ≈ €1.53bn ≈ </w:t>
      </w:r>
      <w:r>
        <w:rPr>
          <w:b/>
          <w:bCs/>
          <w:sz w:val="20"/>
          <w:szCs w:val="20"/>
        </w:rPr>
        <w:t xml:space="preserve">$1.77bn — only ~43% of IPAR's market cap.</w:t>
      </w:r>
    </w:p>
    <w:p>
      <w:pPr>
        <w:pStyle w:val="ListParagraph"/>
        <w:numPr>
          <w:ilvl w:val="0"/>
          <w:numId w:val="2"/>
        </w:numPr>
        <w:spacing w:after="60" w:line="252"/>
      </w:pPr>
      <w:r>
        <w:rPr>
          <w:sz w:val="20"/>
          <w:szCs w:val="20"/>
        </w:rPr>
        <w:t xml:space="preserve">Implied value of the residual 'stub' (100% of US operations plus parent-level net cash): </w:t>
      </w:r>
      <w:r>
        <w:rPr>
          <w:b/>
          <w:bCs/>
          <w:sz w:val="20"/>
          <w:szCs w:val="20"/>
        </w:rPr>
        <w:t xml:space="preserve">~$2.35bn.</w:t>
      </w:r>
    </w:p>
    <w:p>
      <w:pPr>
        <w:pStyle w:val="ListParagraph"/>
        <w:numPr>
          <w:ilvl w:val="0"/>
          <w:numId w:val="2"/>
        </w:numPr>
        <w:spacing w:after="60" w:line="252"/>
      </w:pPr>
      <w:r>
        <w:rPr>
          <w:sz w:val="20"/>
          <w:szCs w:val="20"/>
        </w:rPr>
        <w:t xml:space="preserve">Against FY25 US-segment sales of $482m and estimated US-segment net earnings of roughly $60–70m (group $169m less 72% of the SA's ~€127m), the stub is implicitly valued at </w:t>
      </w:r>
      <w:r>
        <w:rPr>
          <w:b/>
          <w:bCs/>
          <w:sz w:val="20"/>
          <w:szCs w:val="20"/>
        </w:rPr>
        <w:t xml:space="preserve">~4.9x sales and ~30–40x earnings</w:t>
      </w:r>
      <w:r>
        <w:rPr>
          <w:sz w:val="20"/>
          <w:szCs w:val="20"/>
        </w:rPr>
        <w:t xml:space="preserve"> — for the segment with the lower margin and, until this year, negative growth.</w:t>
      </w:r>
    </w:p>
    <w:p>
      <w:pPr>
        <w:pStyle w:val="ListParagraph"/>
        <w:numPr>
          <w:ilvl w:val="0"/>
          <w:numId w:val="2"/>
        </w:numPr>
        <w:spacing w:after="60" w:line="252"/>
      </w:pPr>
      <w:r>
        <w:rPr>
          <w:sz w:val="20"/>
          <w:szCs w:val="20"/>
        </w:rPr>
        <w:t xml:space="preserve">Read the other way: if the US stub were valued at a generous 25x, the market is pricing IPAR's ITP stake ~35–45% above the Paris quote — i.e. </w:t>
      </w:r>
      <w:r>
        <w:rPr>
          <w:b/>
          <w:bCs/>
          <w:sz w:val="20"/>
          <w:szCs w:val="20"/>
        </w:rPr>
        <w:t xml:space="preserve">the market pays a large premium to hold the European business through the US parent rather than directly in Paris.</w:t>
      </w:r>
    </w:p>
    <w:p>
      <w:pPr>
        <w:spacing w:after="100" w:line="264"/>
      </w:pPr>
      <w:r>
        <w:rPr>
          <w:b/>
          <w:bCs/>
          <w:sz w:val="20"/>
          <w:szCs w:val="20"/>
        </w:rPr>
        <w:t xml:space="preserve">Caveat: </w:t>
      </w:r>
      <w:r>
        <w:rPr>
          <w:sz w:val="20"/>
          <w:szCs w:val="20"/>
        </w:rPr>
        <w:t xml:space="preserve">US GAAP vs IFRS differences, parent-level cash and intercompany arrangements blur precision, and the FY25 EUR net income translates at the average (not spot) rate. But no reasonable adjustment eliminates a premium of this size.</w:t>
      </w:r>
    </w:p>
    <w:p>
      <w:pPr>
        <w:pStyle w:val="Heading1"/>
        <w:spacing w:after="120" w:before="280"/>
      </w:pPr>
      <w:r>
        <w:rPr>
          <w:b/>
          <w:bCs/>
          <w:color w:val="1F3864"/>
          <w:sz w:val="26"/>
          <w:szCs w:val="26"/>
        </w:rPr>
        <w:t xml:space="preserve">6. Why Does the Premium Exist?</w:t>
      </w:r>
    </w:p>
    <w:p>
      <w:pPr>
        <w:pStyle w:val="Heading2"/>
        <w:spacing w:after="80" w:before="200"/>
      </w:pPr>
      <w:r>
        <w:rPr>
          <w:b/>
          <w:bCs/>
          <w:color w:val="2E5597"/>
          <w:sz w:val="22"/>
          <w:szCs w:val="22"/>
        </w:rPr>
        <w:t xml:space="preserve">6.1 Structural / permanent factors</w:t>
      </w:r>
    </w:p>
    <w:p>
      <w:pPr>
        <w:pStyle w:val="ListParagraph"/>
        <w:numPr>
          <w:ilvl w:val="0"/>
          <w:numId w:val="2"/>
        </w:numPr>
        <w:spacing w:after="60" w:line="252"/>
      </w:pPr>
      <w:r>
        <w:rPr>
          <w:b/>
          <w:bCs/>
          <w:sz w:val="20"/>
          <w:szCs w:val="20"/>
        </w:rPr>
        <w:t xml:space="preserve">Liquidity: </w:t>
      </w:r>
      <w:r>
        <w:rPr>
          <w:sz w:val="20"/>
          <w:szCs w:val="20"/>
        </w:rPr>
        <w:t xml:space="preserve">~$35–40m/day traded in IPAR vs ~€1.5–2m/day in ITP. Most institutional mandates simply cannot own the Paris line at size.</w:t>
      </w:r>
    </w:p>
    <w:p>
      <w:pPr>
        <w:pStyle w:val="ListParagraph"/>
        <w:numPr>
          <w:ilvl w:val="0"/>
          <w:numId w:val="2"/>
        </w:numPr>
        <w:spacing w:after="60" w:line="252"/>
      </w:pPr>
      <w:r>
        <w:rPr>
          <w:b/>
          <w:bCs/>
          <w:sz w:val="20"/>
          <w:szCs w:val="20"/>
        </w:rPr>
        <w:t xml:space="preserve">Free float: </w:t>
      </w:r>
      <w:r>
        <w:rPr>
          <w:sz w:val="20"/>
          <w:szCs w:val="20"/>
        </w:rPr>
        <w:t xml:space="preserve">27.4% float in Paris (72% held by the parent) vs ~55% in New York. Low float depresses index weights, passive flows and price discovery in ITP.</w:t>
      </w:r>
    </w:p>
    <w:p>
      <w:pPr>
        <w:pStyle w:val="ListParagraph"/>
        <w:numPr>
          <w:ilvl w:val="0"/>
          <w:numId w:val="2"/>
        </w:numPr>
        <w:spacing w:after="60" w:line="252"/>
      </w:pPr>
      <w:r>
        <w:rPr>
          <w:b/>
          <w:bCs/>
          <w:sz w:val="20"/>
          <w:szCs w:val="20"/>
        </w:rPr>
        <w:t xml:space="preserve">Index sponsorship: </w:t>
      </w:r>
      <w:r>
        <w:rPr>
          <w:sz w:val="20"/>
          <w:szCs w:val="20"/>
        </w:rPr>
        <w:t xml:space="preserve">IPAR sits in the S&amp;P MidCap 400 and Russell universes, giving it a permanent passive bid from US index funds; ITP's SBF 120 / CAC Mid 60 membership carries a float-capped, much smaller passive following.</w:t>
      </w:r>
    </w:p>
    <w:p>
      <w:pPr>
        <w:pStyle w:val="ListParagraph"/>
        <w:numPr>
          <w:ilvl w:val="0"/>
          <w:numId w:val="2"/>
        </w:numPr>
        <w:spacing w:after="60" w:line="252"/>
      </w:pPr>
      <w:r>
        <w:rPr>
          <w:b/>
          <w:bCs/>
          <w:sz w:val="20"/>
          <w:szCs w:val="20"/>
        </w:rPr>
        <w:t xml:space="preserve">Listing-venue valuation regime: </w:t>
      </w:r>
      <w:r>
        <w:rPr>
          <w:sz w:val="20"/>
          <w:szCs w:val="20"/>
        </w:rPr>
        <w:t xml:space="preserve">US-listed beauty/fragrance names habitually command higher multiples than European mid-caps (deeper market, higher retail participation, richer consumer-staples comps). French mid-caps have additionally suffered years of outflows and de-rating.</w:t>
      </w:r>
    </w:p>
    <w:p>
      <w:pPr>
        <w:pStyle w:val="ListParagraph"/>
        <w:numPr>
          <w:ilvl w:val="0"/>
          <w:numId w:val="2"/>
        </w:numPr>
        <w:spacing w:after="60" w:line="252"/>
      </w:pPr>
      <w:r>
        <w:rPr>
          <w:b/>
          <w:bCs/>
          <w:sz w:val="20"/>
          <w:szCs w:val="20"/>
        </w:rPr>
        <w:t xml:space="preserve">Control premium vs minority discount: </w:t>
      </w:r>
      <w:r>
        <w:rPr>
          <w:sz w:val="20"/>
          <w:szCs w:val="20"/>
        </w:rPr>
        <w:t xml:space="preserve">IPAR is the control vehicle — the founders' economic exposure runs through it, strategy is set there, and the US ops are added at 100%. ITP is a permanent minority position: the parent has no need to bid for the ~28% it doesn't own, so the classic 'buy-in catalyst' that closes most parent/sub discounts is absent. It has been absent for nearly 30 years.</w:t>
      </w:r>
    </w:p>
    <w:p>
      <w:pPr>
        <w:pStyle w:val="ListParagraph"/>
        <w:numPr>
          <w:ilvl w:val="0"/>
          <w:numId w:val="2"/>
        </w:numPr>
        <w:spacing w:after="60" w:line="252"/>
      </w:pPr>
      <w:r>
        <w:rPr>
          <w:b/>
          <w:bCs/>
          <w:sz w:val="20"/>
          <w:szCs w:val="20"/>
        </w:rPr>
        <w:t xml:space="preserve">Coverage and visibility: </w:t>
      </w:r>
      <w:r>
        <w:rPr>
          <w:sz w:val="20"/>
          <w:szCs w:val="20"/>
        </w:rPr>
        <w:t xml:space="preserve">US analyst coverage with a 'Strong Buy' consensus vs thin French mid-cap coverage of ITP.</w:t>
      </w:r>
    </w:p>
    <w:p>
      <w:pPr>
        <w:pStyle w:val="Heading2"/>
        <w:spacing w:after="80" w:before="200"/>
      </w:pPr>
      <w:r>
        <w:rPr>
          <w:b/>
          <w:bCs/>
          <w:color w:val="2E5597"/>
          <w:sz w:val="22"/>
          <w:szCs w:val="22"/>
        </w:rPr>
        <w:t xml:space="preserve">6.2 Cyclical factors specific to the last 12 months</w:t>
      </w:r>
    </w:p>
    <w:p>
      <w:pPr>
        <w:pStyle w:val="ListParagraph"/>
        <w:numPr>
          <w:ilvl w:val="0"/>
          <w:numId w:val="2"/>
        </w:numPr>
        <w:spacing w:after="60" w:line="252"/>
      </w:pPr>
      <w:r>
        <w:rPr>
          <w:b/>
          <w:bCs/>
          <w:sz w:val="20"/>
          <w:szCs w:val="20"/>
        </w:rPr>
        <w:t xml:space="preserve">Currency asymmetry: </w:t>
      </w:r>
      <w:r>
        <w:rPr>
          <w:sz w:val="20"/>
          <w:szCs w:val="20"/>
        </w:rPr>
        <w:t xml:space="preserve">the euro's strength through 2025–26 boosts IPAR's USD-reported figures (European segment +7% in USD in FY25) while ITP's EUR-reported H1 2026 sales fell 7.3% reported vs 3.7% constant-FX (a €16.4m translation hit). Same business, opposite optical momentum.</w:t>
      </w:r>
    </w:p>
    <w:p>
      <w:pPr>
        <w:pStyle w:val="ListParagraph"/>
        <w:numPr>
          <w:ilvl w:val="0"/>
          <w:numId w:val="2"/>
        </w:numPr>
        <w:spacing w:after="60" w:line="252"/>
      </w:pPr>
      <w:r>
        <w:rPr>
          <w:b/>
          <w:bCs/>
          <w:sz w:val="20"/>
          <w:szCs w:val="20"/>
        </w:rPr>
        <w:t xml:space="preserve">Divergent segment momentum: </w:t>
      </w:r>
      <w:r>
        <w:rPr>
          <w:sz w:val="20"/>
          <w:szCs w:val="20"/>
        </w:rPr>
        <w:t xml:space="preserve">Q2 2026 European sales −4% (in USD) vs US segment +18%. The growth engine has rotated to the piece ITP holders don't own.</w:t>
      </w:r>
    </w:p>
    <w:p>
      <w:pPr>
        <w:pStyle w:val="ListParagraph"/>
        <w:numPr>
          <w:ilvl w:val="0"/>
          <w:numId w:val="2"/>
        </w:numPr>
        <w:spacing w:after="60" w:line="252"/>
      </w:pPr>
      <w:r>
        <w:rPr>
          <w:b/>
          <w:bCs/>
          <w:sz w:val="20"/>
          <w:szCs w:val="20"/>
        </w:rPr>
        <w:t xml:space="preserve">ITP-specific bad news: </w:t>
      </w:r>
      <w:r>
        <w:rPr>
          <w:sz w:val="20"/>
          <w:szCs w:val="20"/>
        </w:rPr>
        <w:t xml:space="preserve">H1 2026 operating-margin guidance cut to 19–20% (vs 23.2% in H1 2025); FY26 SA sales guided to €850–870m (~−3% constant-FX); Boucheron exit; ~€15m Middle East conflict impact; €7.6m FY25 US tariff cost; 'foggy' 2026 outlook that drove a −10% single-day fall in Paris in November 2025 and an −8.9% fall to €24.26 after the July 2026 H1 release.</w:t>
      </w:r>
    </w:p>
    <w:p>
      <w:pPr>
        <w:pStyle w:val="ListParagraph"/>
        <w:numPr>
          <w:ilvl w:val="0"/>
          <w:numId w:val="2"/>
        </w:numPr>
        <w:spacing w:after="60" w:line="252"/>
      </w:pPr>
      <w:r>
        <w:rPr>
          <w:b/>
          <w:bCs/>
          <w:sz w:val="20"/>
          <w:szCs w:val="20"/>
        </w:rPr>
        <w:t xml:space="preserve">IPAR-specific bad news that didn't stick: </w:t>
      </w:r>
      <w:r>
        <w:rPr>
          <w:sz w:val="20"/>
          <w:szCs w:val="20"/>
        </w:rPr>
        <w:t xml:space="preserve">the delayed 10-K, the material weakness in internal controls (FY2024 &amp; FY2025) and the May 2026 auditor switch from Forvis Mazars to Grant Thornton knocked the stock into the $77–90 area in spring 2026 — but clean audit opinions, record Q1 results and the reaffirmed FY26 guide ($1.48bn sales, $4.85 EPS) repaired sentiment within months.</w:t>
      </w:r>
    </w:p>
    <w:p>
      <w:pPr>
        <w:pStyle w:val="Heading1"/>
        <w:spacing w:after="120" w:before="280"/>
      </w:pPr>
      <w:r>
        <w:rPr>
          <w:b/>
          <w:bCs/>
          <w:color w:val="1F3864"/>
          <w:sz w:val="26"/>
          <w:szCs w:val="26"/>
        </w:rPr>
        <w:t xml:space="preserve">7. News Flow — Trailing 12 Months (Aug 2025 → Aug 2026)</w:t>
      </w:r>
    </w:p>
    <w:tbl>
      <w:tblPr>
        <w:tblW w:type="dxa" w:w="97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936"/>
      </w:tblGrid>
      <w:tr>
        <w:tc>
          <w:tcPr>
            <w:tcW w:type="dxa" w:w="18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7936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Event &amp; share-price relevance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Aug–Sep 2025</w:t>
            </w:r>
          </w:p>
        </w:tc>
        <w:tc>
          <w:tcPr>
            <w:tcW w:type="dxa" w:w="79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US tariffs on EU-manufactured goods begin to bite fragrance importers; SA later quantifies FY25 tariff impact at €7.6m (≈80bp of operating margin). Both stocks trade near 12-month highs (IPAR up to ~$140; ITP ~€31).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18–19 Nov 2025</w:t>
            </w:r>
          </w:p>
        </w:tc>
        <w:tc>
          <w:tcPr>
            <w:tcW w:type="dxa" w:w="7936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IPAR trims 2025 forecast and issues initial 2026 guidance: sales $1.48bn (~flat), EPS $4.85 (−5% vs 2025). ITP declines to give quantified 2026 guidance, citing geopolitical fog and the Boucheron exit — Paris stock falls ~10% in a day. The de-rating of ITP begins in earnest.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24 Feb 2026</w:t>
            </w:r>
          </w:p>
        </w:tc>
        <w:tc>
          <w:tcPr>
            <w:tcW w:type="dxa" w:w="79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Record FY2025 results: consolidated sales $1.49bn (+2%), diluted EPS $5.24; European segment +7% (USD), US segment −6%. SA reports operating margin 19.5% (20.3% ex-tariffs), net margin 14.1%, dividend €1.05 proposed.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Mar 2026</w:t>
            </w:r>
          </w:p>
        </w:tc>
        <w:tc>
          <w:tcPr>
            <w:tcW w:type="dxa" w:w="7936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IPAR files NT 10-K — annual report delayed for internal-control remediation; discloses material weakness in ICFR as of Dec 2024 and Dec 2025. Stock sells off toward its 52-week low ($77.21) amid a broader risk-off tape.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 May 2026</w:t>
            </w:r>
          </w:p>
        </w:tc>
        <w:tc>
          <w:tcPr>
            <w:tcW w:type="dxa" w:w="79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Record Q1 2026 results; FY26 guidance reaffirmed. Recovery in IPAR begins.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8–14 May 2026</w:t>
            </w:r>
          </w:p>
        </w:tc>
        <w:tc>
          <w:tcPr>
            <w:tcW w:type="dxa" w:w="7936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Audit Committee dismisses Forvis Mazars, appoints Grant Thornton (8-K filed 14 May). No disagreements or qualified opinions reported; market treats it as remediation, not scandal.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Nov–Dec 2025</w:t>
            </w:r>
          </w:p>
        </w:tc>
        <w:tc>
          <w:tcPr>
            <w:tcW w:type="dxa" w:w="79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Structure simplification: Interparfums SA absorbs Interparfums Holding SAS (the non-operating intermediate holdco whose sole asset was the 72.3% ITP stake), approved at the 17 Dec 2025 EGM, making Interparfums Inc the direct 72.3% shareholder. The AMF examined the operation (6 Nov 2025) and ruled under Article 236-6 that no public withdrawal offer (OPR) to minorities was required. Notably, management simplified the chain while leaving the minority listing untouched.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Jun 2026</w:t>
            </w:r>
          </w:p>
        </w:tc>
        <w:tc>
          <w:tcPr>
            <w:tcW w:type="dxa" w:w="7936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ITP completes its 27th consecutive annual free-share attribution (1 new share per 20 held; ~4.2m new shares) — a hallmark of its French retail-holder register.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22–27 Jul 2026</w:t>
            </w:r>
          </w:p>
        </w:tc>
        <w:tc>
          <w:tcPr>
            <w:tcW w:type="dxa" w:w="79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Q2/H1 sales. IPAR (USD): Q2 +2%, US segment +18%, Europe −4%. ITP (EUR): H1 sales €414m, −3.7% constant-FX / −7.3% reported; FY26 guided €850–870m; H1 operating margin guided 19–20% vs 23.2%. ITP drops ~9% to ~€23.8–24.3, near its 52-week low, then rebounds ~8% over the following weeks as brand detail (Jimmy Choo +23%) reassures.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 Aug 2026</w:t>
            </w:r>
          </w:p>
        </w:tc>
        <w:tc>
          <w:tcPr>
            <w:tcW w:type="dxa" w:w="7936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IPAR full Q2/H1 results: EPS on track, FY26 guidance ($1.48bn / $4.85) reaffirmed; Ferragamo +41%, DKNY +28%, GUESS +10%; Coach −8%, Lacoste −19%. IPAR trades ~$128 — the 12-month premium over ITP at its widest.</w:t>
            </w:r>
          </w:p>
        </w:tc>
      </w:tr>
    </w:tbl>
    <w:p>
      <w:pPr>
        <w:spacing w:after="60"/>
      </w:pPr>
    </w:p>
    <w:p>
      <w:pPr>
        <w:spacing w:after="100" w:line="264"/>
      </w:pPr>
      <w:r>
        <w:rPr>
          <w:b/>
          <w:bCs/>
          <w:sz w:val="20"/>
          <w:szCs w:val="20"/>
        </w:rPr>
        <w:t xml:space="preserve">Net effect: </w:t>
      </w:r>
      <w:r>
        <w:rPr>
          <w:sz w:val="20"/>
          <w:szCs w:val="20"/>
        </w:rPr>
        <w:t xml:space="preserve">over the trailing year ITP fell ~25% while IPAR round-tripped a severe drawdown to finish roughly flat-to-higher. The premium therefore widened materially — driven less by anything IPAR did than by ITP's compounding of FX translation, Middle East, tariffs, Lacoste softness, the Boucheron exit and a guidance style French investors punished.</w:t>
      </w:r>
    </w:p>
    <w:p>
      <w:pPr>
        <w:pStyle w:val="Heading1"/>
        <w:spacing w:after="120" w:before="280"/>
      </w:pPr>
      <w:r>
        <w:rPr>
          <w:b/>
          <w:bCs/>
          <w:color w:val="1F3864"/>
          <w:sz w:val="26"/>
          <w:szCs w:val="26"/>
        </w:rPr>
        <w:t xml:space="preserve">8. Assessment: Is the Premium Justified?</w:t>
      </w:r>
    </w:p>
    <w:p>
      <w:pPr>
        <w:pStyle w:val="Heading2"/>
        <w:spacing w:after="80" w:before="200"/>
      </w:pPr>
      <w:r>
        <w:rPr>
          <w:b/>
          <w:bCs/>
          <w:color w:val="2E5597"/>
          <w:sz w:val="22"/>
          <w:szCs w:val="22"/>
        </w:rPr>
        <w:t xml:space="preserve">8.1 The defensible portion</w:t>
      </w:r>
    </w:p>
    <w:p>
      <w:pPr>
        <w:pStyle w:val="ListParagraph"/>
        <w:numPr>
          <w:ilvl w:val="0"/>
          <w:numId w:val="2"/>
        </w:numPr>
        <w:spacing w:after="60" w:line="252"/>
      </w:pPr>
      <w:r>
        <w:rPr>
          <w:sz w:val="20"/>
          <w:szCs w:val="20"/>
        </w:rPr>
        <w:t xml:space="preserve">Liquidity, index membership and float mechanics justify a durable premium for the parent — arguably 15–25% on their own, consistent with discounts observed in comparable European parent/subsidiary pairs.</w:t>
      </w:r>
    </w:p>
    <w:p>
      <w:pPr>
        <w:pStyle w:val="ListParagraph"/>
        <w:numPr>
          <w:ilvl w:val="0"/>
          <w:numId w:val="2"/>
        </w:numPr>
        <w:spacing w:after="60" w:line="252"/>
      </w:pPr>
      <w:r>
        <w:rPr>
          <w:sz w:val="20"/>
          <w:szCs w:val="20"/>
        </w:rPr>
        <w:t xml:space="preserve">The control premium is real: IPAR sets capital allocation for the whole group and captures 100% of the US upside, which is currently the growth engine.</w:t>
      </w:r>
    </w:p>
    <w:p>
      <w:pPr>
        <w:pStyle w:val="ListParagraph"/>
        <w:numPr>
          <w:ilvl w:val="0"/>
          <w:numId w:val="2"/>
        </w:numPr>
        <w:spacing w:after="60" w:line="252"/>
      </w:pPr>
      <w:r>
        <w:rPr>
          <w:sz w:val="20"/>
          <w:szCs w:val="20"/>
        </w:rPr>
        <w:t xml:space="preserve">Currency: for a USD-based investor, IPAR is the natural instrument; ITP embeds EUR reporting and French withholding tax friction on its (higher) dividend.</w:t>
      </w:r>
    </w:p>
    <w:p>
      <w:pPr>
        <w:pStyle w:val="Heading2"/>
        <w:spacing w:after="80" w:before="200"/>
      </w:pPr>
      <w:r>
        <w:rPr>
          <w:b/>
          <w:bCs/>
          <w:color w:val="2E5597"/>
          <w:sz w:val="22"/>
          <w:szCs w:val="22"/>
        </w:rPr>
        <w:t xml:space="preserve">8.2 The excess portion</w:t>
      </w:r>
    </w:p>
    <w:p>
      <w:pPr>
        <w:pStyle w:val="ListParagraph"/>
        <w:numPr>
          <w:ilvl w:val="0"/>
          <w:numId w:val="2"/>
        </w:numPr>
        <w:spacing w:after="60" w:line="252"/>
      </w:pPr>
      <w:r>
        <w:rPr>
          <w:sz w:val="20"/>
          <w:szCs w:val="20"/>
        </w:rPr>
        <w:t xml:space="preserve">An implied ~30–40x on the US stub — the historically lower-margin, lower-quality segment — is difficult to defend against ~16x for the larger, more profitable, more 'luxury' European portfolio.</w:t>
      </w:r>
    </w:p>
    <w:p>
      <w:pPr>
        <w:pStyle w:val="ListParagraph"/>
        <w:numPr>
          <w:ilvl w:val="0"/>
          <w:numId w:val="2"/>
        </w:numPr>
        <w:spacing w:after="60" w:line="252"/>
      </w:pPr>
      <w:r>
        <w:rPr>
          <w:sz w:val="20"/>
          <w:szCs w:val="20"/>
        </w:rPr>
        <w:t xml:space="preserve">IPAR's own governance flags (material weakness, auditor change, delayed 10-K) sit oddly with a premium rating; the market has chosen to look through them quickly.</w:t>
      </w:r>
    </w:p>
    <w:p>
      <w:pPr>
        <w:pStyle w:val="ListParagraph"/>
        <w:numPr>
          <w:ilvl w:val="0"/>
          <w:numId w:val="2"/>
        </w:numPr>
        <w:spacing w:after="60" w:line="252"/>
      </w:pPr>
      <w:r>
        <w:rPr>
          <w:sz w:val="20"/>
          <w:szCs w:val="20"/>
        </w:rPr>
        <w:t xml:space="preserve">ITP's ~4.1–4.4% dividend yield, net-cash balance sheet, 27-year bonus-share record and 2027 pipeline (Off-White, Longchamp) are being priced as if the European franchise were ex-growth — 2026 is more plausibly a </w:t>
      </w:r>
      <w:r>
        <w:rPr>
          <w:b/>
          <w:bCs/>
          <w:sz w:val="20"/>
          <w:szCs w:val="20"/>
        </w:rPr>
        <w:t xml:space="preserve">transition year</w:t>
      </w:r>
      <w:r>
        <w:rPr>
          <w:sz w:val="20"/>
          <w:szCs w:val="20"/>
        </w:rPr>
        <w:t xml:space="preserve"> (Boucheron exit, FX, Middle East) than a structural break.</w:t>
      </w:r>
    </w:p>
    <w:p>
      <w:pPr>
        <w:pStyle w:val="Heading2"/>
        <w:spacing w:after="80" w:before="200"/>
      </w:pPr>
      <w:r>
        <w:rPr>
          <w:b/>
          <w:bCs/>
          <w:color w:val="2E5597"/>
          <w:sz w:val="22"/>
          <w:szCs w:val="22"/>
        </w:rPr>
        <w:t xml:space="preserve">8.3 What could close the gap</w:t>
      </w:r>
    </w:p>
    <w:p>
      <w:pPr>
        <w:pStyle w:val="ListParagraph"/>
        <w:numPr>
          <w:ilvl w:val="0"/>
          <w:numId w:val="2"/>
        </w:numPr>
        <w:spacing w:after="60" w:line="252"/>
      </w:pPr>
      <w:r>
        <w:rPr>
          <w:b/>
          <w:bCs/>
          <w:sz w:val="20"/>
          <w:szCs w:val="20"/>
        </w:rPr>
        <w:t xml:space="preserve">Fundamental catalysts (more likely): </w:t>
      </w:r>
      <w:r>
        <w:rPr>
          <w:sz w:val="20"/>
          <w:szCs w:val="20"/>
        </w:rPr>
        <w:t xml:space="preserve">European segment growth resuming in 2027 on Off-White/Longchamp launches and Lacoste stabilisation; euro weakening (reverses the optical asymmetry); H2 2026 beating the cautious 19–20% margin guide.</w:t>
      </w:r>
    </w:p>
    <w:p>
      <w:pPr>
        <w:pStyle w:val="ListParagraph"/>
        <w:numPr>
          <w:ilvl w:val="0"/>
          <w:numId w:val="2"/>
        </w:numPr>
        <w:spacing w:after="60" w:line="252"/>
      </w:pPr>
      <w:r>
        <w:rPr>
          <w:b/>
          <w:bCs/>
          <w:sz w:val="20"/>
          <w:szCs w:val="20"/>
        </w:rPr>
        <w:t xml:space="preserve">Structural catalysts (less likely): </w:t>
      </w:r>
      <w:r>
        <w:rPr>
          <w:sz w:val="20"/>
          <w:szCs w:val="20"/>
        </w:rPr>
        <w:t xml:space="preserve">any buy-in of ITP minorities (no sign in ~30 years; the free-share policy suggests the SA values its French listing), a float increase, or index/flow changes. None appears imminent — which is precisely why the discount persists.</w:t>
      </w:r>
    </w:p>
    <w:p>
      <w:pPr>
        <w:pStyle w:val="ListParagraph"/>
        <w:numPr>
          <w:ilvl w:val="0"/>
          <w:numId w:val="2"/>
        </w:numPr>
        <w:spacing w:after="60" w:line="252"/>
      </w:pPr>
      <w:r>
        <w:rPr>
          <w:b/>
          <w:bCs/>
          <w:sz w:val="20"/>
          <w:szCs w:val="20"/>
        </w:rPr>
        <w:t xml:space="preserve">Risks to owning ITP for convergence: </w:t>
      </w:r>
      <w:r>
        <w:rPr>
          <w:sz w:val="20"/>
          <w:szCs w:val="20"/>
        </w:rPr>
        <w:t xml:space="preserve">value-trap duration risk, near-zero liquidity for exit, continued euro strength, deeper European fragrance downcycle, and the possibility that Boucheron's departure marks the start of licensors in-housing beauty (the Kering Beauté precedent) — a risk that applies to both entities but is concentrated in the SA's luxury-heavy portfolio.</w:t>
      </w:r>
    </w:p>
    <w:p>
      <w:pPr>
        <w:pStyle w:val="Heading1"/>
        <w:spacing w:after="120" w:before="280"/>
      </w:pPr>
      <w:r>
        <w:rPr>
          <w:b/>
          <w:bCs/>
          <w:color w:val="1F3864"/>
          <w:sz w:val="26"/>
          <w:szCs w:val="26"/>
        </w:rPr>
        <w:t xml:space="preserve">9. Could IPAR Buy In the ITP Minorities? Structural &amp; Tax Analysis</w:t>
      </w:r>
    </w:p>
    <w:p>
      <w:pPr>
        <w:spacing w:after="100" w:line="264"/>
      </w:pPr>
      <w:r>
        <w:rPr>
          <w:b/>
          <w:bCs/>
          <w:sz w:val="20"/>
          <w:szCs w:val="20"/>
        </w:rPr>
        <w:t xml:space="preserve">Short answer: nothing prohibits it — the barriers are frictions and incentives, not law. </w:t>
      </w:r>
      <w:r>
        <w:rPr>
          <w:sz w:val="20"/>
          <w:szCs w:val="20"/>
        </w:rPr>
        <w:t xml:space="preserve">A buy-in would be mechanically straightforward in form: as an existing majority holder, IPAR could file a simplified cash tender offer (offre publique d'achat simplifiée) with the AMF at any time, and since the 2019 PACTE law a squeeze-out (retrait obligatoire) is available at 90% of both capital and voting rights (lowered from 95%). On voting rights IPAR is nearly there already — 83.2% — because its long-held registered shares carry double votes. The binding constraint is capital: 72.3%, meaning IPAR would need roughly two-thirds of the 27.7% free float (~17.7% of capital, ~€470m at market before any premium) to tender.</w:t>
      </w:r>
    </w:p>
    <w:p>
      <w:pPr>
        <w:pStyle w:val="Heading2"/>
        <w:spacing w:after="80" w:before="200"/>
      </w:pPr>
      <w:r>
        <w:rPr>
          <w:b/>
          <w:bCs/>
          <w:color w:val="2E5597"/>
          <w:sz w:val="22"/>
          <w:szCs w:val="22"/>
        </w:rPr>
        <w:t xml:space="preserve">9.1 Why execution would be harder than it looks</w:t>
      </w:r>
    </w:p>
    <w:p>
      <w:pPr>
        <w:pStyle w:val="ListParagraph"/>
        <w:numPr>
          <w:ilvl w:val="0"/>
          <w:numId w:val="2"/>
        </w:numPr>
        <w:spacing w:after="60" w:line="252"/>
      </w:pPr>
      <w:r>
        <w:rPr>
          <w:b/>
          <w:bCs/>
          <w:sz w:val="20"/>
          <w:szCs w:val="20"/>
        </w:rPr>
        <w:t xml:space="preserve">A sticky, tax-disincentivised retail register. </w:t>
      </w:r>
      <w:r>
        <w:rPr>
          <w:sz w:val="20"/>
          <w:szCs w:val="20"/>
        </w:rPr>
        <w:t xml:space="preserve">Much of the float sits with long-term French retail holders accumulated through 27 consecutive years of bonus-share attributions, with a near-zero cost basis. Tendering crystallises French capital gains tax (30% flat tax / PFU), whereas holding earns a ~4%+ yield and — under French rules — a basis step-up at death. A rational fraction of the register simply never tenders; a failed offer that stalls below 90% of capital would leave IPAR with an even less liquid, still-listed rump.</w:t>
      </w:r>
    </w:p>
    <w:p>
      <w:pPr>
        <w:pStyle w:val="ListParagraph"/>
        <w:numPr>
          <w:ilvl w:val="0"/>
          <w:numId w:val="2"/>
        </w:numPr>
        <w:spacing w:after="60" w:line="252"/>
      </w:pPr>
      <w:r>
        <w:rPr>
          <w:b/>
          <w:bCs/>
          <w:sz w:val="20"/>
          <w:szCs w:val="20"/>
        </w:rPr>
        <w:t xml:space="preserve">AMF process and price scrutiny. </w:t>
      </w:r>
      <w:r>
        <w:rPr>
          <w:sz w:val="20"/>
          <w:szCs w:val="20"/>
        </w:rPr>
        <w:t xml:space="preserve">A buy-in requires an independent expert's fairness opinion (attestation d'équité), and minority-shareholder associations routinely contest squeeze-out pricing. The optics are awkward: IPAR would be offering ~16x earnings (plus a control premium) for a business the market values inside IPAR's own shares at ~24x — an obvious line of attack for holdouts demanding a higher price, which erodes the arbitrage that motivates the deal.</w:t>
      </w:r>
    </w:p>
    <w:p>
      <w:pPr>
        <w:pStyle w:val="ListParagraph"/>
        <w:numPr>
          <w:ilvl w:val="0"/>
          <w:numId w:val="2"/>
        </w:numPr>
        <w:spacing w:after="60" w:line="252"/>
      </w:pPr>
      <w:r>
        <w:rPr>
          <w:b/>
          <w:bCs/>
          <w:sz w:val="20"/>
          <w:szCs w:val="20"/>
        </w:rPr>
        <w:t xml:space="preserve">Financing and founder dilution. </w:t>
      </w:r>
      <w:r>
        <w:rPr>
          <w:sz w:val="20"/>
          <w:szCs w:val="20"/>
        </w:rPr>
        <w:t xml:space="preserve">~€500–700m including a premium is fundable, but IPAR runs a conservative, licence-driven model in which balance-sheet strength is a commercial argument to licensors. Debt-funding changes that profile; equity-funding dilutes the founders' ~mid-40s% control of the parent — the one thing this structure exists to protect.</w:t>
      </w:r>
    </w:p>
    <w:p>
      <w:pPr>
        <w:pStyle w:val="ListParagraph"/>
        <w:numPr>
          <w:ilvl w:val="0"/>
          <w:numId w:val="2"/>
        </w:numPr>
        <w:spacing w:after="60" w:line="252"/>
      </w:pPr>
      <w:r>
        <w:rPr>
          <w:b/>
          <w:bCs/>
          <w:sz w:val="20"/>
          <w:szCs w:val="20"/>
        </w:rPr>
        <w:t xml:space="preserve">Creeping is legal but impractical. </w:t>
      </w:r>
      <w:r>
        <w:rPr>
          <w:sz w:val="20"/>
          <w:szCs w:val="20"/>
        </w:rPr>
        <w:t xml:space="preserve">Above 50% of capital, French rules impose no mandatory-offer constraint on further market purchases, so IPAR could in principle creep upward. At €1.5–2m of daily liquidity, however, accumulating 8 points of capital (to reach the 80% treaty threshold, see below) or 18 points (to 90%) through the market would take years and move the price against the buyer.</w:t>
      </w:r>
    </w:p>
    <w:p>
      <w:pPr>
        <w:pStyle w:val="Heading2"/>
        <w:spacing w:after="80" w:before="200"/>
      </w:pPr>
      <w:r>
        <w:rPr>
          <w:b/>
          <w:bCs/>
          <w:color w:val="2E5597"/>
          <w:sz w:val="22"/>
          <w:szCs w:val="22"/>
        </w:rPr>
        <w:t xml:space="preserve">9.2 Tax: mostly an argument FOR buying in, not against</w:t>
      </w:r>
    </w:p>
    <w:p>
      <w:pPr>
        <w:pStyle w:val="ListParagraph"/>
        <w:numPr>
          <w:ilvl w:val="0"/>
          <w:numId w:val="2"/>
        </w:numPr>
        <w:spacing w:after="60" w:line="252"/>
      </w:pPr>
      <w:r>
        <w:rPr>
          <w:b/>
          <w:bCs/>
          <w:sz w:val="20"/>
          <w:szCs w:val="20"/>
        </w:rPr>
        <w:t xml:space="preserve">Dividend withholding leakage today. </w:t>
      </w:r>
      <w:r>
        <w:rPr>
          <w:sz w:val="20"/>
          <w:szCs w:val="20"/>
        </w:rPr>
        <w:t xml:space="preserve">Under the France–US treaty, dividends from ITP to IPAR bear 5% French withholding at ≥10% ownership; the 2009 protocol added a 0% rate at ≥80% ownership (subject to limitation-on-benefits tests that a Nasdaq-listed parent should satisfy via the publicly-traded test). At 72.3%, IPAR leaks ~5% of a ~€64m annual dividend stream (~€3m/yr). Reaching 80% would eliminate this — a modest but real incentive to go up, not stay put.</w:t>
      </w:r>
    </w:p>
    <w:p>
      <w:pPr>
        <w:pStyle w:val="ListParagraph"/>
        <w:numPr>
          <w:ilvl w:val="0"/>
          <w:numId w:val="2"/>
        </w:numPr>
        <w:spacing w:after="60" w:line="252"/>
      </w:pPr>
      <w:r>
        <w:rPr>
          <w:b/>
          <w:bCs/>
          <w:sz w:val="20"/>
          <w:szCs w:val="20"/>
        </w:rPr>
        <w:t xml:space="preserve">No consolidation prize. </w:t>
      </w:r>
      <w:r>
        <w:rPr>
          <w:sz w:val="20"/>
          <w:szCs w:val="20"/>
        </w:rPr>
        <w:t xml:space="preserve">French tax integration (intégration fiscale) requires 95% ownership and US consolidated-return treatment is unavailable for a foreign subsidiary regardless, so a buy-in unlocks no group-relief benefit. ITP is already a CFC for US purposes (GILTI applies at any level above 50%), and the ~25.8% French corporate rate broadly covers the US minimum-tax exposure — so the US tax position barely changes with ownership percentage.</w:t>
      </w:r>
    </w:p>
    <w:p>
      <w:pPr>
        <w:pStyle w:val="ListParagraph"/>
        <w:numPr>
          <w:ilvl w:val="0"/>
          <w:numId w:val="2"/>
        </w:numPr>
        <w:spacing w:after="60" w:line="252"/>
      </w:pPr>
      <w:r>
        <w:rPr>
          <w:b/>
          <w:bCs/>
          <w:sz w:val="20"/>
          <w:szCs w:val="20"/>
        </w:rPr>
        <w:t xml:space="preserve">What they would avoid doing: </w:t>
      </w:r>
      <w:r>
        <w:rPr>
          <w:sz w:val="20"/>
          <w:szCs w:val="20"/>
        </w:rPr>
        <w:t xml:space="preserve">a cross-border merger of ITP into IPAR (as opposed to a cash tender + squeeze-out of a still-French SA) would risk French exit taxation on migrating IP and tax residence and is the one genuinely tax-hostile route. Any buy-in would keep the SA French and simply delist it.</w:t>
      </w:r>
    </w:p>
    <w:p>
      <w:pPr>
        <w:pStyle w:val="Heading2"/>
        <w:spacing w:after="80" w:before="200"/>
      </w:pPr>
      <w:r>
        <w:rPr>
          <w:b/>
          <w:bCs/>
          <w:color w:val="2E5597"/>
          <w:sz w:val="22"/>
          <w:szCs w:val="22"/>
        </w:rPr>
        <w:t xml:space="preserve">9.3 The revealed preference: December 2025</w:t>
      </w:r>
    </w:p>
    <w:p>
      <w:pPr>
        <w:spacing w:after="100" w:line="264"/>
      </w:pPr>
      <w:r>
        <w:rPr>
          <w:sz w:val="20"/>
          <w:szCs w:val="20"/>
        </w:rPr>
        <w:t xml:space="preserve">The clearest evidence that no buy-in is intended is that management just had the perfect window and used it for something else. In November–December 2025 the group merged Interparfums Holding SAS (the non-operating intermediate holdco) into Interparfums SA, making IPAR the direct 72.3% shareholder; the AMF reviewed the operation and confirmed no withdrawal offer to minorities was required. They simplified the chain </w:t>
      </w:r>
      <w:r>
        <w:rPr>
          <w:b/>
          <w:bCs/>
          <w:sz w:val="20"/>
          <w:szCs w:val="20"/>
        </w:rPr>
        <w:t xml:space="preserve">around</w:t>
      </w:r>
      <w:r>
        <w:rPr>
          <w:sz w:val="20"/>
          <w:szCs w:val="20"/>
        </w:rPr>
        <w:t xml:space="preserve"> the minority listing rather than eliminating it. The Paris listing appears to be valued for its own sake: it preserves the group's French identity and credibility with predominantly French/European luxury licensors (Montblanc, Van Cleef &amp; Arpels, Lacoste, Longchamp), underpins Philippe Benacin's autonomous French executive platform, provides a local acquisition and incentive currency (free shares, SA-level plans), and costs almost nothing to maintain. Meanwhile IPAR's 83.2% voting control means a buy-in would purchase no additional control — only earnings it already consolidates — at a contested premium. </w:t>
      </w:r>
      <w:r>
        <w:rPr>
          <w:b/>
          <w:bCs/>
          <w:sz w:val="20"/>
          <w:szCs w:val="20"/>
        </w:rPr>
        <w:t xml:space="preserve">Conclusion: the discount persists not because IPAR cannot buy in the minorities, but because it has never needed to — and the structure is working as designed for the people who control it.</w:t>
      </w:r>
    </w:p>
    <w:p>
      <w:pPr>
        <w:pStyle w:val="Heading1"/>
        <w:spacing w:after="120" w:before="280"/>
      </w:pPr>
      <w:r>
        <w:rPr>
          <w:b/>
          <w:bCs/>
          <w:color w:val="1F3864"/>
          <w:sz w:val="26"/>
          <w:szCs w:val="26"/>
        </w:rPr>
        <w:t xml:space="preserve">10. Conclusion</w:t>
      </w:r>
    </w:p>
    <w:p>
      <w:pPr>
        <w:spacing w:after="100" w:line="264"/>
      </w:pPr>
      <w:r>
        <w:rPr>
          <w:sz w:val="20"/>
          <w:szCs w:val="20"/>
        </w:rPr>
        <w:t xml:space="preserve">IPAR US's premium over ITP FP is the sum of three stacked effects: </w:t>
      </w:r>
      <w:r>
        <w:rPr>
          <w:b/>
          <w:bCs/>
          <w:sz w:val="20"/>
          <w:szCs w:val="20"/>
        </w:rPr>
        <w:t xml:space="preserve">(i) a composition effect</w:t>
      </w:r>
      <w:r>
        <w:rPr>
          <w:sz w:val="20"/>
          <w:szCs w:val="20"/>
        </w:rPr>
        <w:t xml:space="preserve"> — IPAR includes a wholly-owned US business currently growing 18% that ITP holders don't touch; </w:t>
      </w:r>
      <w:r>
        <w:rPr>
          <w:b/>
          <w:bCs/>
          <w:sz w:val="20"/>
          <w:szCs w:val="20"/>
        </w:rPr>
        <w:t xml:space="preserve">(ii) a structural market-access effect</w:t>
      </w:r>
      <w:r>
        <w:rPr>
          <w:sz w:val="20"/>
          <w:szCs w:val="20"/>
        </w:rPr>
        <w:t xml:space="preserve"> — liquidity, float, US indices, coverage and control all reside with the parent; and </w:t>
      </w:r>
      <w:r>
        <w:rPr>
          <w:b/>
          <w:bCs/>
          <w:sz w:val="20"/>
          <w:szCs w:val="20"/>
        </w:rPr>
        <w:t xml:space="preserve">(iii) a 12-month news-flow effect</w:t>
      </w:r>
      <w:r>
        <w:rPr>
          <w:sz w:val="20"/>
          <w:szCs w:val="20"/>
        </w:rPr>
        <w:t xml:space="preserve"> — FX translation and a run of SA-level disappointments (guidance fog, margin cut, Boucheron, Middle East, tariffs, Lacoste) de-rated the Paris line by ~25% while IPAR recovered fully from its own governance wobble. On look-through economics ITP is unambiguously the cheaper claim on the group's best assets and pays ~4%+ to wait; but with no buy-in catalyst, a 27% float and €1.5–2m daily liquidity, cheapness alone has never been sufficient here. For absolute-return investors the Paris line is a patient, income-carrying value position; for anyone benchmarked, liquidity-constrained or momentum-aware, the market's verdict — pay up for the parent — is likely to remain the path of least resistance into 2027.</w:t>
      </w:r>
    </w:p>
    <w:p>
      <w:pPr>
        <w:pStyle w:val="Heading1"/>
        <w:spacing w:after="120" w:before="280"/>
      </w:pPr>
      <w:r>
        <w:rPr>
          <w:b/>
          <w:bCs/>
          <w:color w:val="1F3864"/>
          <w:sz w:val="26"/>
          <w:szCs w:val="26"/>
        </w:rPr>
        <w:t xml:space="preserve">Appendix: Principal Sources</w:t>
      </w:r>
    </w:p>
    <w:p>
      <w:pPr>
        <w:pStyle w:val="ListParagraph"/>
        <w:numPr>
          <w:ilvl w:val="0"/>
          <w:numId w:val="2"/>
        </w:numPr>
        <w:spacing w:after="60" w:line="252"/>
      </w:pPr>
      <w:r>
        <w:rPr>
          <w:sz w:val="20"/>
          <w:szCs w:val="20"/>
        </w:rPr>
        <w:t xml:space="preserve">Interparfums Inc press releases: record FY2025 results (24 Feb 2026); Q1 2026 results (5 May 2026); Q2 2026 net sales (22 Jul 2026); Q2/H1 2026 results and reaffirmed guidance (4 Aug 2026) — GlobeNewswire/SEC filings.</w:t>
      </w:r>
    </w:p>
    <w:p>
      <w:pPr>
        <w:pStyle w:val="ListParagraph"/>
        <w:numPr>
          <w:ilvl w:val="0"/>
          <w:numId w:val="2"/>
        </w:numPr>
        <w:spacing w:after="60" w:line="252"/>
      </w:pPr>
      <w:r>
        <w:rPr>
          <w:sz w:val="20"/>
          <w:szCs w:val="20"/>
        </w:rPr>
        <w:t xml:space="preserve">Interparfums SA (interparfums-finance.fr): H1 2026 sales release (€414.3m, −3.7% cc / −7.3% reported; FY26 guide €850–870m); FY2025 results (operating margin 19.5%, net margin 14.1%, dividend €1.05).</w:t>
      </w:r>
    </w:p>
    <w:p>
      <w:pPr>
        <w:pStyle w:val="ListParagraph"/>
        <w:numPr>
          <w:ilvl w:val="0"/>
          <w:numId w:val="2"/>
        </w:numPr>
        <w:spacing w:after="60" w:line="252"/>
      </w:pPr>
      <w:r>
        <w:rPr>
          <w:sz w:val="20"/>
          <w:szCs w:val="20"/>
        </w:rPr>
        <w:t xml:space="preserve">SEC filings: NT 10-K (Mar 2026); 8-K auditor change Forvis Mazars → Grant Thornton (May 2026) via StockTitan/Investing.com summaries.</w:t>
      </w:r>
    </w:p>
    <w:p>
      <w:pPr>
        <w:pStyle w:val="ListParagraph"/>
        <w:numPr>
          <w:ilvl w:val="0"/>
          <w:numId w:val="2"/>
        </w:numPr>
        <w:spacing w:after="60" w:line="252"/>
      </w:pPr>
      <w:r>
        <w:rPr>
          <w:sz w:val="20"/>
          <w:szCs w:val="20"/>
        </w:rPr>
        <w:t xml:space="preserve">Market data: Yahoo Finance, stockanalysis.com, Investing.com, CNBC, Boursorama, MarketScreener, ABC Bourse (prices, ranges, volumes, float 27.4%, index memberships), early August 2026; Interparfums SA monthly voting-rights declarations (83.8m shares / ~144.8m net voting rights, mid-2026).</w:t>
      </w:r>
    </w:p>
    <w:p>
      <w:pPr>
        <w:pStyle w:val="ListParagraph"/>
        <w:numPr>
          <w:ilvl w:val="0"/>
          <w:numId w:val="2"/>
        </w:numPr>
        <w:spacing w:after="60" w:line="252"/>
      </w:pPr>
      <w:r>
        <w:rPr>
          <w:sz w:val="20"/>
          <w:szCs w:val="20"/>
        </w:rPr>
        <w:t xml:space="preserve">Holdco merger: Interparfums SA / Euronext press releases on the absorption of Interparfums Holding SAS (Nov 2025; AMF Art. 236-6 review 6 Nov 2025; EGM 17 Dec 2025); AMF/DILA filing of the merger project (Jun 2025).</w:t>
      </w:r>
    </w:p>
    <w:p>
      <w:pPr>
        <w:pStyle w:val="ListParagraph"/>
        <w:numPr>
          <w:ilvl w:val="0"/>
          <w:numId w:val="2"/>
        </w:numPr>
        <w:spacing w:after="60" w:line="252"/>
      </w:pPr>
      <w:r>
        <w:rPr>
          <w:sz w:val="20"/>
          <w:szCs w:val="20"/>
        </w:rPr>
        <w:t xml:space="preserve">Legal/tax framework: PACTE law 2019 squeeze-out threshold (90% of capital and voting rights) — Linklaters, Baker McKenzie, CMS takeover guides; France–US income tax treaty Art. 10 as amended by the 2009 Protocol (5% withholding at ≥10% ownership; 0% at ≥80% subject to LOB) — JCT explanation, KPMG.</w:t>
      </w:r>
    </w:p>
    <w:p>
      <w:pPr>
        <w:pStyle w:val="ListParagraph"/>
        <w:numPr>
          <w:ilvl w:val="0"/>
          <w:numId w:val="2"/>
        </w:numPr>
        <w:spacing w:after="60" w:line="252"/>
      </w:pPr>
      <w:r>
        <w:rPr>
          <w:sz w:val="20"/>
          <w:szCs w:val="20"/>
        </w:rPr>
        <w:t xml:space="preserve">Trade press: WWD, Business of Fashion, BeautyMatter, Cosmetics Business, Premium Beauty News, Happi, BFM Bourse/TradingSat (license changes: Boucheron extension to end-2027 and move to Kering Beauté; Off-White Dec 2024; Longchamp spring 2025; Lacoste performance).</w:t>
      </w:r>
    </w:p>
    <w:p>
      <w:pPr>
        <w:spacing w:after="60"/>
      </w:pPr>
    </w:p>
    <w:p>
      <w:pPr>
        <w:pBdr>
          <w:top w:val="single" w:color="595959" w:sz="6"/>
        </w:pBdr>
        <w:spacing w:before="120"/>
      </w:pPr>
      <w:r>
        <w:rPr>
          <w:i/>
          <w:iCs/>
          <w:color w:val="595959"/>
          <w:sz w:val="16"/>
          <w:szCs w:val="16"/>
        </w:rPr>
        <w:t xml:space="preserve">This note is for information and research purposes only and does not constitute investment advice or a recommendation. Figures marked '~' or 'estimated' are derived from public data with stated assumptions (EUR/USD ≈ 1.16 spot; FY25 average rate for income translation). Segment earnings splits are analyst estimates, not company disclosures.</w:t>
      </w:r>
    </w:p>
    <w:sectPr>
      <w:pgSz w:w="12240" w:h="15840" w:orient="portrait"/>
      <w:pgMar w:top="1080" w:right="1152" w:bottom="1080" w:left="115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  <w:lvl w:ilvl="1" w15:tentative="1">
      <w:start w:val="1"/>
      <w:numFmt w:val="bullet"/>
      <w:lvlText w:val="–"/>
      <w:lvlJc w:val="left"/>
      <w:pPr>
        <w:ind w:left="72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2026-08-06T14:42:09.740Z</dcterms:created>
  <dcterms:modified xsi:type="dcterms:W3CDTF">2026-08-06T14:42:09.753Z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