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0" w:lineRule="exact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058400" cy="7772400"/>
            <wp:effectExtent l="0" t="0" r="0" b="0"/>
            <wp:wrapNone/>
            <wp:docPr id="901" name="bg"/>
            <wp:cNvGraphicFramePr/>
            <a:graphic>
              <a:graphicData uri="http://schemas.openxmlformats.org/drawingml/2006/picture">
                <pic:pic>
                  <pic:nvPicPr>
                    <pic:cNvPr id="0" name="navy_b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  <w:tblW w:type="dxa" w:w="14256"/>
        <w:tblCellMar>
          <w:left w:type="dxa" w:w="0"/>
          <w:right w:type="dxa" w:w="0"/>
        </w:tblCellMar>
      </w:tblPr>
      <w:tblGrid>
        <w:gridCol w:w="9300"/>
        <w:gridCol w:w="4956"/>
      </w:tblGrid>
      <w:tr>
        <w:tc>
          <w:tcPr>
            <w:tcW w:type="dxa" w:w="9300"/>
            <w:tcBorders>
              <w:top w:val="nil"/>
              <w:left w:val="nil"/>
              <w:bottom w:val="nil"/>
              <w:right w:val="nil"/>
            </w:tcBorders>
            <w:tcMar>
              <w:top w:type="dxa" w:w="0"/>
              <w:left w:type="dxa" w:w="0"/>
              <w:bottom w:type="dxa" w:w="0"/>
              <w:right w:type="dxa" w:w="300"/>
            </w:tcMar>
          </w:tcPr>
          <w:p>
            <w:pPr>
              <w:spacing w:before="600" w:after="400"/>
            </w:pPr>
            <w:r>
              <w:rPr>
                <w:rFonts w:ascii="Arial" w:hAnsi="Arial"/>
                <w:b/>
                <w:color w:val="8DB4F0"/>
                <w:sz w:val="18"/>
                <w:u w:val="single"/>
              </w:rPr>
              <w:t>INVESTMENT COMMITTEE MEMO</w:t>
            </w:r>
          </w:p>
          <w:p>
            <w:pPr>
              <w:spacing w:before="0" w:after="200"/>
            </w:pPr>
            <w:r>
              <w:rPr>
                <w:rFonts w:ascii="Arial" w:hAnsi="Arial"/>
                <w:b/>
                <w:color w:val="FFFFFF"/>
                <w:sz w:val="68"/>
              </w:rPr>
              <w:t>Kangwon Land Inc.</w:t>
            </w:r>
          </w:p>
          <w:p>
            <w:pPr>
              <w:spacing w:before="0" w:after="360" w:line="300" w:lineRule="auto"/>
            </w:pPr>
            <w:r>
              <w:rPr>
                <w:rFonts w:ascii="Arial" w:hAnsi="Arial"/>
                <w:color w:val="C9D3E6"/>
                <w:sz w:val="26"/>
              </w:rPr>
              <w:t>KRX: 035250 - Korea's only casino open to Koreans (licence to 2045), with more net cash than market cap: the market prices the casino at roughly zero</w:t>
            </w:r>
          </w:p>
          <w:tbl>
            <w:tblPr>
              <w:tblW w:type="auto" w:w="0"/>
              <w:jc w:val="left"/>
              <w:tblLook w:firstColumn="1" w:firstRow="1" w:lastColumn="0" w:lastRow="0" w:noHBand="0" w:noVBand="1" w:val="04A0"/>
              <w:tblLayout w:type="fixed"/>
              <w:tblW w:type="dxa" w:w="8260"/>
              <w:tblCellMar>
                <w:left w:type="dxa" w:w="0"/>
                <w:right w:type="dxa" w:w="0"/>
              </w:tblCellMar>
            </w:tblPr>
            <w:tblGrid>
              <w:gridCol w:w="4300"/>
              <w:gridCol w:w="260"/>
              <w:gridCol w:w="3700"/>
            </w:tblGrid>
            <w:tr>
              <w:tc>
                <w:tcPr>
                  <w:tcW w:type="dxa" w:w="4300"/>
                  <w:tcBorders>
                    <w:top w:val="nil"/>
                    <w:left w:val="nil"/>
                    <w:bottom w:val="nil"/>
                    <w:right w:val="nil"/>
                  </w:tcBorders>
                  <w:shd w:fill="2B6CD4" w:color="auto" w:val="clear"/>
                  <w:tcMar>
                    <w:top w:type="dxa" w:w="110"/>
                    <w:left w:type="dxa" w:w="120"/>
                    <w:bottom w:type="dxa" w:w="11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/>
                      <w:color w:val="FFFFFF"/>
                      <w:sz w:val="17"/>
                    </w:rPr>
                    <w:t>RECOMMENDATION: BUY (VALUE / EVENT-DRIVEN)</w:t>
                  </w:r>
                </w:p>
              </w:tc>
              <w:tc>
                <w:tcPr>
                  <w:tcW w:type="dxa" w:w="260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/>
              </w:tc>
              <w:tc>
                <w:tcPr>
                  <w:tcW w:type="dxa" w:w="3700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single" w:sz="12" w:color="FFFFFF"/>
                    <w:left w:val="single" w:sz="12" w:color="FFFFFF"/>
                    <w:bottom w:val="single" w:sz="12" w:color="FFFFFF"/>
                    <w:right w:val="single" w:sz="12" w:color="FFFFFF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hAnsi="Arial"/>
                      <w:b/>
                      <w:color w:val="FFFFFF"/>
                      <w:sz w:val="17"/>
                    </w:rPr>
                    <w:t>12-MO TARGET: KRW17,000 (+20%)</w:t>
                  </w:r>
                </w:p>
              </w:tc>
            </w:tr>
          </w:tbl>
          <w:p/>
          <w:p>
            <w:pPr>
              <w:spacing w:before="0" w:after="280"/>
            </w:pPr>
          </w:p>
          <w:tbl>
            <w:tblPr>
              <w:tblW w:type="auto" w:w="0"/>
              <w:jc w:val="left"/>
              <w:tblLook w:firstColumn="1" w:firstRow="1" w:lastColumn="0" w:lastRow="0" w:noHBand="0" w:noVBand="1" w:val="04A0"/>
              <w:tblLayout w:type="fixed"/>
              <w:tblW w:type="dxa" w:w="9000"/>
              <w:tblCellMar>
                <w:left w:type="dxa" w:w="0"/>
                <w:right w:type="dxa" w:w="0"/>
              </w:tblCellMar>
            </w:tblPr>
            <w:tblGrid>
              <w:gridCol w:w="2250"/>
              <w:gridCol w:w="2250"/>
              <w:gridCol w:w="2250"/>
              <w:gridCol w:w="2250"/>
            </w:tblGrid>
            <w:tr>
              <w:tc>
                <w:tcPr>
                  <w:tcW w:type="dxa" w:w="225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0"/>
                    <w:bottom w:type="dxa" w:w="120"/>
                    <w:right w:type="dxa" w:w="100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Arial" w:hAnsi="Arial"/>
                      <w:color w:val="AEB7C7"/>
                      <w:sz w:val="14"/>
                    </w:rPr>
                    <w:t>Reference price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Arial" w:hAnsi="Arial"/>
                      <w:color w:val="FFFFFF"/>
                      <w:sz w:val="17"/>
                    </w:rPr>
                    <w:t>KRW14,180 (23-Oct-26)</w:t>
                  </w:r>
                </w:p>
              </w:tc>
              <w:tc>
                <w:tcPr>
                  <w:tcW w:type="dxa" w:w="225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0"/>
                    <w:bottom w:type="dxa" w:w="120"/>
                    <w:right w:type="dxa" w:w="100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Arial" w:hAnsi="Arial"/>
                      <w:color w:val="AEB7C7"/>
                      <w:sz w:val="14"/>
                    </w:rPr>
                    <w:t>52-wk range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Arial" w:hAnsi="Arial"/>
                      <w:color w:val="FFFFFF"/>
                      <w:sz w:val="17"/>
                    </w:rPr>
                    <w:t>KRW13,920-19,590</w:t>
                  </w:r>
                </w:p>
              </w:tc>
              <w:tc>
                <w:tcPr>
                  <w:tcW w:type="dxa" w:w="225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0"/>
                    <w:bottom w:type="dxa" w:w="120"/>
                    <w:right w:type="dxa" w:w="100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Arial" w:hAnsi="Arial"/>
                      <w:color w:val="AEB7C7"/>
                      <w:sz w:val="14"/>
                    </w:rPr>
                    <w:t>Mkt cap (ex-treasury)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Arial" w:hAnsi="Arial"/>
                      <w:color w:val="FFFFFF"/>
                      <w:sz w:val="17"/>
                    </w:rPr>
                    <w:t>KRW2.81tn / US$2.1bn</w:t>
                  </w:r>
                </w:p>
              </w:tc>
              <w:tc>
                <w:tcPr>
                  <w:tcW w:type="dxa" w:w="225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0"/>
                    <w:bottom w:type="dxa" w:w="120"/>
                    <w:right w:type="dxa" w:w="100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Arial" w:hAnsi="Arial"/>
                      <w:color w:val="AEB7C7"/>
                      <w:sz w:val="14"/>
                    </w:rPr>
                    <w:t>Net financial assets [e]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Arial" w:hAnsi="Arial"/>
                      <w:color w:val="FFFFFF"/>
                      <w:sz w:val="17"/>
                    </w:rPr>
                    <w:t>~KRW2.93tn</w:t>
                  </w:r>
                </w:p>
              </w:tc>
            </w:tr>
            <w:tr>
              <w:tc>
                <w:tcPr>
                  <w:tcW w:type="dxa" w:w="225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0"/>
                    <w:bottom w:type="dxa" w:w="120"/>
                    <w:right w:type="dxa" w:w="100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Arial" w:hAnsi="Arial"/>
                      <w:color w:val="AEB7C7"/>
                      <w:sz w:val="14"/>
                    </w:rPr>
                    <w:t>Dividend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Arial" w:hAnsi="Arial"/>
                      <w:color w:val="FFFFFF"/>
                      <w:sz w:val="17"/>
                    </w:rPr>
                    <w:t>FY25 KRW950 (6.7%)</w:t>
                  </w:r>
                </w:p>
              </w:tc>
              <w:tc>
                <w:tcPr>
                  <w:tcW w:type="dxa" w:w="225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0"/>
                    <w:bottom w:type="dxa" w:w="120"/>
                    <w:right w:type="dxa" w:w="100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Arial" w:hAnsi="Arial"/>
                      <w:color w:val="AEB7C7"/>
                      <w:sz w:val="14"/>
                    </w:rPr>
                    <w:t>Largest holder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Arial" w:hAnsi="Arial"/>
                      <w:color w:val="FFFFFF"/>
                      <w:sz w:val="17"/>
                    </w:rPr>
                    <w:t>KOMIR 36.27% (public 51%)</w:t>
                  </w:r>
                </w:p>
              </w:tc>
              <w:tc>
                <w:tcPr>
                  <w:tcW w:type="dxa" w:w="225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0"/>
                    <w:bottom w:type="dxa" w:w="120"/>
                    <w:right w:type="dxa" w:w="100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Arial" w:hAnsi="Arial"/>
                      <w:color w:val="AEB7C7"/>
                      <w:sz w:val="14"/>
                    </w:rPr>
                    <w:t>Treasury shares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Arial" w:hAnsi="Arial"/>
                      <w:color w:val="FFFFFF"/>
                      <w:sz w:val="17"/>
                    </w:rPr>
                    <w:t>7.36% (not cancelled)</w:t>
                  </w:r>
                </w:p>
              </w:tc>
              <w:tc>
                <w:tcPr>
                  <w:tcW w:type="dxa" w:w="2250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type="dxa" w:w="0"/>
                    <w:left w:type="dxa" w:w="0"/>
                    <w:bottom w:type="dxa" w:w="120"/>
                    <w:right w:type="dxa" w:w="100"/>
                  </w:tcMar>
                </w:tcPr>
                <w:p>
                  <w:pPr>
                    <w:spacing w:before="0" w:after="20"/>
                  </w:pPr>
                  <w:r>
                    <w:rPr>
                      <w:rFonts w:ascii="Arial" w:hAnsi="Arial"/>
                      <w:color w:val="AEB7C7"/>
                      <w:sz w:val="14"/>
                    </w:rPr>
                    <w:t>Broker targets</w:t>
                  </w:r>
                </w:p>
                <w:p>
                  <w:pPr>
                    <w:spacing w:before="0" w:after="0"/>
                  </w:pPr>
                  <w:r>
                    <w:rPr>
                      <w:rFonts w:ascii="Arial" w:hAnsi="Arial"/>
                      <w:color w:val="FFFFFF"/>
                      <w:sz w:val="17"/>
                    </w:rPr>
                    <w:t>KRW18,000-20,000 (all Buy)</w:t>
                  </w:r>
                </w:p>
              </w:tc>
            </w:tr>
          </w:tbl>
          <w:p/>
        </w:tc>
        <w:tc>
          <w:tcPr>
            <w:tcW w:type="dxa" w:w="4956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single" w:sz="6" w:color="3A4760"/>
              <w:bottom w:val="nil"/>
              <w:right w:val="nil"/>
            </w:tcBorders>
            <w:tcMar>
              <w:top w:type="dxa" w:w="0"/>
              <w:left w:type="dxa" w:w="420"/>
              <w:bottom w:type="dxa" w:w="0"/>
              <w:right w:type="dxa" w:w="0"/>
            </w:tcMar>
          </w:tcPr>
          <w:p>
            <w:pPr>
              <w:spacing w:before="400" w:after="120"/>
            </w:pPr>
            <w:r>
              <w:rPr>
                <w:rFonts w:ascii="Arial" w:hAnsi="Arial"/>
                <w:b/>
                <w:color w:val="FFFFFF"/>
                <w:sz w:val="50"/>
              </w:rPr>
              <w:t>104%</w:t>
            </w:r>
          </w:p>
          <w:p>
            <w:pPr>
              <w:spacing w:before="0" w:after="280" w:line="288" w:lineRule="auto"/>
              <w:pBdr>
                <w:bottom w:val="single" w:sz="4" w:space="12" w:color="3A4760"/>
              </w:pBdr>
            </w:pPr>
            <w:r>
              <w:rPr>
                <w:rFonts w:ascii="Arial" w:hAnsi="Arial"/>
                <w:color w:val="C5CDDB"/>
                <w:sz w:val="15"/>
              </w:rPr>
              <w:t>Net financial assets per share (~KRW14,780 [e]) as a share of the price. Enterprise value is negative (about −KRW0.12tn)</w:t>
            </w:r>
          </w:p>
          <w:p>
            <w:pPr>
              <w:spacing w:before="280" w:after="120"/>
            </w:pPr>
            <w:r>
              <w:rPr>
                <w:rFonts w:ascii="Arial" w:hAnsi="Arial"/>
                <w:b/>
                <w:color w:val="FFFFFF"/>
                <w:sz w:val="50"/>
              </w:rPr>
              <w:t>~0.9x</w:t>
            </w:r>
          </w:p>
          <w:p>
            <w:pPr>
              <w:spacing w:before="0" w:after="280" w:line="288" w:lineRule="auto"/>
              <w:pBdr>
                <w:bottom w:val="single" w:sz="4" w:space="12" w:color="3A4760"/>
              </w:pBdr>
            </w:pPr>
            <w:r>
              <w:rPr>
                <w:rFonts w:ascii="Arial" w:hAnsi="Arial"/>
                <w:color w:val="C5CDDB"/>
                <w:sz w:val="15"/>
              </w:rPr>
              <w:t>What the market pays for the casino resort (~KRW305bn LTM EBITDA) after a KRW0.4tn cash reserve. Listed peers 7.4x NTM; casino deals 9.2x</w:t>
            </w:r>
          </w:p>
          <w:p>
            <w:pPr>
              <w:spacing w:before="280" w:after="120"/>
            </w:pPr>
            <w:r>
              <w:rPr>
                <w:rFonts w:ascii="Arial" w:hAnsi="Arial"/>
                <w:b/>
                <w:color w:val="8DB4F0"/>
                <w:sz w:val="50"/>
              </w:rPr>
              <w:t>KRW17,300</w:t>
            </w:r>
          </w:p>
          <w:p>
            <w:pPr>
              <w:spacing w:before="0" w:after="280" w:line="288" w:lineRule="auto"/>
            </w:pPr>
            <w:r>
              <w:rPr>
                <w:rFonts w:ascii="Arial" w:hAnsi="Arial"/>
                <w:color w:val="C5CDDB"/>
                <w:sz w:val="15"/>
              </w:rPr>
              <w:t>Probability-weighted value (+22%): bull KRW24,900 / base KRW17,000 / bear KRW10,400, plus a ~6% dividend yield</w:t>
            </w:r>
          </w:p>
        </w:tc>
      </w:tr>
    </w:tbl>
    <w:p>
      <w:pPr>
        <w:sectPr>
          <w:footerReference w:type="default" r:id="rId9"/>
          <w:pgSz w:w="15840" w:h="12240" w:orient="landscape"/>
          <w:pgMar w:top="640" w:right="792" w:bottom="560" w:left="792" w:header="300" w:footer="300" w:gutter="0"/>
          <w:cols w:space="720"/>
          <w:docGrid w:linePitch="360"/>
        </w:sectPr>
      </w:pP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  <w:tblW w:type="dxa" w:w="14256"/>
        <w:tblCellMar>
          <w:left w:type="dxa" w:w="0"/>
          <w:right w:type="dxa" w:w="0"/>
        </w:tblCellMar>
      </w:tblPr>
      <w:tblGrid>
        <w:gridCol w:w="12356"/>
        <w:gridCol w:w="1900"/>
      </w:tblGrid>
      <w:tr>
        <w:tc>
          <w:tcPr>
            <w:tcW w:type="dxa" w:w="1235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B6CD4"/>
                <w:sz w:val="18"/>
              </w:rPr>
              <w:t>EXECUTIVE SUMMARY</w:t>
            </w:r>
          </w:p>
        </w:tc>
        <w:tc>
          <w:tcPr>
            <w:tcW w:type="dxa" w:w="1900"/>
            <w:tcBorders>
              <w:top w:val="nil"/>
              <w:left w:val="nil"/>
              <w:bottom w:val="nil"/>
              <w:right w:val="nil"/>
            </w:tcBorders>
            <w:shd w:fill="14213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RECOMMENDATION</w:t>
            </w:r>
          </w:p>
        </w:tc>
      </w:tr>
    </w:tbl>
    <w:p>
      <w:pPr>
        <w:spacing w:before="0" w:after="0" w:line="80" w:lineRule="exact"/>
        <w:pBdr>
          <w:bottom w:val="single" w:sz="6" w:space="1" w:color="1D2433"/>
        </w:pBdr>
      </w:pPr>
    </w:p>
    <w:p>
      <w:pPr>
        <w:spacing w:before="140" w:after="140" w:line="252" w:lineRule="auto"/>
      </w:pPr>
      <w:r>
        <w:rPr>
          <w:rFonts w:ascii="Arial" w:hAnsi="Arial"/>
          <w:b/>
          <w:color w:val="14213D"/>
          <w:sz w:val="38"/>
        </w:rPr>
        <w:t>Buy: a statutory monopoly priced at zero, with the controller needing the cash and new laws giving minorities a voice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  <w:tblW w:type="dxa" w:w="14255"/>
        <w:tblCellMar>
          <w:left w:type="dxa" w:w="0"/>
          <w:right w:type="dxa" w:w="0"/>
        </w:tblCellMar>
      </w:tblPr>
      <w:tblGrid>
        <w:gridCol w:w="2739"/>
        <w:gridCol w:w="140"/>
        <w:gridCol w:w="2739"/>
        <w:gridCol w:w="140"/>
        <w:gridCol w:w="2739"/>
        <w:gridCol w:w="140"/>
        <w:gridCol w:w="2739"/>
        <w:gridCol w:w="140"/>
        <w:gridCol w:w="2739"/>
      </w:tblGrid>
      <w:tr>
        <w:tc>
          <w:tcPr>
            <w:tcW w:type="dxa" w:w="2739"/>
            <w:tcBorders>
              <w:top w:val="nil"/>
              <w:left w:val="nil"/>
              <w:bottom w:val="nil"/>
              <w:right w:val="nil"/>
            </w:tcBorders>
            <w:shd w:fill="F1F3F7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before="0" w:after="60"/>
            </w:pPr>
            <w:r>
              <w:rPr>
                <w:rFonts w:ascii="Arial" w:hAnsi="Arial"/>
                <w:b/>
                <w:color w:val="14213D"/>
                <w:sz w:val="32"/>
              </w:rPr>
              <w:t>−KRW0.12tn</w:t>
            </w:r>
          </w:p>
          <w:p>
            <w:pPr>
              <w:spacing w:before="0" w:after="0" w:line="264" w:lineRule="auto"/>
            </w:pPr>
            <w:r>
              <w:rPr>
                <w:rFonts w:ascii="Arial" w:hAnsi="Arial"/>
                <w:color w:val="5A6270"/>
                <w:sz w:val="14"/>
              </w:rPr>
              <w:t>Enterprise value: net financial assets (~KRW2.93tn [e]) exceed the KRW2.81tn market cap</w:t>
            </w:r>
          </w:p>
        </w:tc>
        <w:tc>
          <w:tcPr>
            <w:tcW w:type="dxa" w:w="140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2739"/>
            <w:tcBorders>
              <w:top w:val="nil"/>
              <w:left w:val="nil"/>
              <w:bottom w:val="nil"/>
              <w:right w:val="nil"/>
            </w:tcBorders>
            <w:shd w:fill="F1F3F7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before="0" w:after="60"/>
            </w:pPr>
            <w:r>
              <w:rPr>
                <w:rFonts w:ascii="Arial" w:hAnsi="Arial"/>
                <w:b/>
                <w:color w:val="14213D"/>
                <w:sz w:val="32"/>
              </w:rPr>
              <w:t>0.74x</w:t>
            </w:r>
          </w:p>
          <w:p>
            <w:pPr>
              <w:spacing w:before="0" w:after="0" w:line="264" w:lineRule="auto"/>
            </w:pPr>
            <w:r>
              <w:rPr>
                <w:rFonts w:ascii="Arial" w:hAnsi="Arial"/>
                <w:color w:val="5A6270"/>
                <w:sz w:val="14"/>
              </w:rPr>
              <w:t>Price/book [u], the lowest in our data; Value-Up target 1.2x; 6.7% trailing yield</w:t>
            </w:r>
          </w:p>
        </w:tc>
        <w:tc>
          <w:tcPr>
            <w:tcW w:type="dxa" w:w="140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2739"/>
            <w:tcBorders>
              <w:top w:val="nil"/>
              <w:left w:val="nil"/>
              <w:bottom w:val="nil"/>
              <w:right w:val="nil"/>
            </w:tcBorders>
            <w:shd w:fill="F1F3F7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before="0" w:after="60"/>
            </w:pPr>
            <w:r>
              <w:rPr>
                <w:rFonts w:ascii="Arial" w:hAnsi="Arial"/>
                <w:b/>
                <w:color w:val="14213D"/>
                <w:sz w:val="32"/>
              </w:rPr>
              <w:t>−KRW3.16tn</w:t>
            </w:r>
          </w:p>
          <w:p>
            <w:pPr>
              <w:spacing w:before="0" w:after="0" w:line="264" w:lineRule="auto"/>
            </w:pPr>
            <w:r>
              <w:rPr>
                <w:rFonts w:ascii="Arial" w:hAnsi="Arial"/>
                <w:color w:val="5A6270"/>
                <w:sz w:val="14"/>
              </w:rPr>
              <w:t>KOMIR's equity (negative): the 36% controller needs dividends; public bodies get ~55% of payouts</w:t>
            </w:r>
          </w:p>
        </w:tc>
        <w:tc>
          <w:tcPr>
            <w:tcW w:type="dxa" w:w="140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2739"/>
            <w:tcBorders>
              <w:top w:val="nil"/>
              <w:left w:val="nil"/>
              <w:bottom w:val="nil"/>
              <w:right w:val="nil"/>
            </w:tcBorders>
            <w:shd w:fill="F1F3F7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before="0" w:after="60"/>
            </w:pPr>
            <w:r>
              <w:rPr>
                <w:rFonts w:ascii="Arial" w:hAnsi="Arial"/>
                <w:b/>
                <w:color w:val="14213D"/>
                <w:sz w:val="32"/>
              </w:rPr>
              <w:t>KRW17,000</w:t>
            </w:r>
          </w:p>
          <w:p>
            <w:pPr>
              <w:spacing w:before="0" w:after="0" w:line="264" w:lineRule="auto"/>
            </w:pPr>
            <w:r>
              <w:rPr>
                <w:rFonts w:ascii="Arial" w:hAnsi="Arial"/>
                <w:color w:val="5A6270"/>
                <w:sz w:val="14"/>
              </w:rPr>
              <w:t>12-month target (+20%); bull +75% / bear −27%; probability-weighted KRW17,300</w:t>
            </w:r>
          </w:p>
        </w:tc>
        <w:tc>
          <w:tcPr>
            <w:tcW w:type="dxa" w:w="140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2739"/>
            <w:tcBorders>
              <w:top w:val="nil"/>
              <w:left w:val="nil"/>
              <w:bottom w:val="nil"/>
              <w:right w:val="nil"/>
            </w:tcBorders>
            <w:shd w:fill="F1F3F7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before="0" w:after="60"/>
            </w:pPr>
            <w:r>
              <w:rPr>
                <w:rFonts w:ascii="Arial" w:hAnsi="Arial"/>
                <w:b/>
                <w:color w:val="14213D"/>
                <w:sz w:val="32"/>
              </w:rPr>
              <w:t>25%</w:t>
            </w:r>
          </w:p>
          <w:p>
            <w:pPr>
              <w:spacing w:before="0" w:after="0" w:line="264" w:lineRule="auto"/>
            </w:pPr>
            <w:r>
              <w:rPr>
                <w:rFonts w:ascii="Arial" w:hAnsi="Arial"/>
                <w:color w:val="5A6270"/>
                <w:sz w:val="14"/>
              </w:rPr>
              <w:t>Bear-case probability: AML rule, levy applies, K-HIT destroys KRW1.3tn</w:t>
            </w:r>
          </w:p>
        </w:tc>
      </w:tr>
    </w:tbl>
    <w:p>
      <w:pPr>
        <w:spacing w:before="0" w:after="80"/>
      </w:pP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  <w:tblW w:type="dxa" w:w="14256"/>
        <w:tblCellMar>
          <w:left w:type="dxa" w:w="0"/>
          <w:right w:type="dxa" w:w="0"/>
        </w:tblCellMar>
      </w:tblPr>
      <w:tblGrid>
        <w:gridCol w:w="6918"/>
        <w:gridCol w:w="420"/>
        <w:gridCol w:w="6918"/>
      </w:tblGrid>
      <w:tr>
        <w:tc>
          <w:tcPr>
            <w:tcW w:type="dxa" w:w="691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100"/>
              <w:pBdr>
                <w:bottom w:val="single" w:sz="4" w:space="4" w:color="D5D9E0"/>
              </w:pBdr>
            </w:pPr>
            <w:r>
              <w:rPr>
                <w:rFonts w:ascii="Arial" w:hAnsi="Arial"/>
                <w:b/>
                <w:color w:val="14213D"/>
                <w:sz w:val="21"/>
              </w:rPr>
              <w:t>Why now - four forces converging</w:t>
            </w:r>
          </w:p>
          <w:p>
            <w:pPr>
              <w:spacing w:before="0" w:after="70" w:line="269" w:lineRule="auto"/>
              <w:ind w:left="220" w:hanging="220"/>
            </w:pPr>
            <w:r>
              <w:rPr>
                <w:color w:val="2B6CD4"/>
                <w:sz w:val="11"/>
              </w:rPr>
              <w:t xml:space="preserve">■  </w:t>
            </w:r>
            <w:r>
              <w:rPr>
                <w:rFonts w:ascii="Arial" w:hAnsi="Arial"/>
                <w:b/>
                <w:color w:val="333B4A"/>
                <w:sz w:val="15"/>
              </w:rPr>
              <w:t>Casino for free:</w:t>
            </w:r>
            <w:r>
              <w:rPr>
                <w:rFonts w:ascii="Arial" w:hAnsi="Arial"/>
                <w:color w:val="333B4A"/>
                <w:sz w:val="15"/>
              </w:rPr>
              <w:t xml:space="preserve"> after a KRW0.4tn reserve the market values ~KRW305bn of EBITDA at ~0.9x; the peer regression implies ~KRW3.0tn for operations alone</w:t>
            </w:r>
          </w:p>
          <w:p>
            <w:pPr>
              <w:spacing w:before="0" w:after="70" w:line="269" w:lineRule="auto"/>
              <w:ind w:left="220" w:hanging="220"/>
            </w:pPr>
            <w:r>
              <w:rPr>
                <w:color w:val="2B6CD4"/>
                <w:sz w:val="11"/>
              </w:rPr>
              <w:t xml:space="preserve">■  </w:t>
            </w:r>
            <w:r>
              <w:rPr>
                <w:rFonts w:ascii="Arial" w:hAnsi="Arial"/>
                <w:b/>
                <w:color w:val="333B4A"/>
                <w:sz w:val="15"/>
              </w:rPr>
              <w:t>Controller wants cash:</w:t>
            </w:r>
            <w:r>
              <w:rPr>
                <w:rFonts w:ascii="Arial" w:hAnsi="Arial"/>
                <w:color w:val="333B4A"/>
                <w:sz w:val="15"/>
              </w:rPr>
              <w:t xml:space="preserve"> KOMIR has −KRW3.16tn of equity; Value-Up payout ≥50% / total return ≥60% met two years running; separate dividend taxation from 2026</w:t>
            </w:r>
          </w:p>
          <w:p>
            <w:pPr>
              <w:spacing w:before="0" w:after="70" w:line="269" w:lineRule="auto"/>
              <w:ind w:left="220" w:hanging="220"/>
            </w:pPr>
            <w:r>
              <w:rPr>
                <w:color w:val="2B6CD4"/>
                <w:sz w:val="11"/>
              </w:rPr>
              <w:t xml:space="preserve">■  </w:t>
            </w:r>
            <w:r>
              <w:rPr>
                <w:rFonts w:ascii="Arial" w:hAnsi="Arial"/>
                <w:b/>
                <w:color w:val="333B4A"/>
                <w:sz w:val="15"/>
              </w:rPr>
              <w:t>New minority levers:</w:t>
            </w:r>
            <w:r>
              <w:rPr>
                <w:rFonts w:ascii="Arial" w:hAnsi="Arial"/>
                <w:color w:val="333B4A"/>
                <w:sz w:val="15"/>
              </w:rPr>
              <w:t xml:space="preserve"> cumulative voting (from 10-Sep-26), 3% cap on the controller in audit-committee votes, treasury cancellation deadline ~Sep-27 [e]</w:t>
            </w:r>
          </w:p>
          <w:p>
            <w:pPr>
              <w:spacing w:before="0" w:after="70" w:line="269" w:lineRule="auto"/>
              <w:ind w:left="220" w:hanging="220"/>
            </w:pPr>
            <w:r>
              <w:rPr>
                <w:color w:val="2B6CD4"/>
                <w:sz w:val="11"/>
              </w:rPr>
              <w:t xml:space="preserve">■  </w:t>
            </w:r>
            <w:r>
              <w:rPr>
                <w:rFonts w:ascii="Arial" w:hAnsi="Arial"/>
                <w:b/>
                <w:color w:val="333B4A"/>
                <w:sz w:val="15"/>
              </w:rPr>
              <w:t>Levy fear misdirected:</w:t>
            </w:r>
            <w:r>
              <w:rPr>
                <w:rFonts w:ascii="Arial" w:hAnsi="Arial"/>
                <w:color w:val="333B4A"/>
                <w:sz w:val="15"/>
              </w:rPr>
              <w:t xml:space="preserve"> the MCST indicated a carve-out (13% mine fund already paid) [u]; Kangwon Land fell 3% vs Paradise 23% in the levy week</w:t>
            </w:r>
          </w:p>
        </w:tc>
        <w:tc>
          <w:tcPr>
            <w:tcW w:type="dxa" w:w="420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691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100"/>
              <w:pBdr>
                <w:bottom w:val="single" w:sz="4" w:space="4" w:color="D5D9E0"/>
              </w:pBdr>
            </w:pPr>
            <w:r>
              <w:rPr>
                <w:rFonts w:ascii="Arial" w:hAnsi="Arial"/>
                <w:b/>
                <w:color w:val="14213D"/>
                <w:sz w:val="21"/>
              </w:rPr>
              <w:t>What has to go right</w:t>
            </w:r>
          </w:p>
          <w:p>
            <w:pPr>
              <w:spacing w:before="0" w:after="70" w:line="269" w:lineRule="auto"/>
              <w:ind w:left="220" w:hanging="220"/>
            </w:pPr>
            <w:r>
              <w:rPr>
                <w:color w:val="7A8291"/>
                <w:sz w:val="11"/>
              </w:rPr>
              <w:t xml:space="preserve">■  </w:t>
            </w:r>
            <w:r>
              <w:rPr>
                <w:rFonts w:ascii="Arial" w:hAnsi="Arial"/>
                <w:color w:val="333B4A"/>
                <w:sz w:val="15"/>
              </w:rPr>
              <w:t>Carve-out from the 15% tourism-levy bracket, or a cost below ~KRW30bn a year</w:t>
            </w:r>
          </w:p>
          <w:p>
            <w:pPr>
              <w:spacing w:before="0" w:after="70" w:line="269" w:lineRule="auto"/>
              <w:ind w:left="220" w:hanging="220"/>
            </w:pPr>
            <w:r>
              <w:rPr>
                <w:color w:val="7A8291"/>
                <w:sz w:val="11"/>
              </w:rPr>
              <w:t xml:space="preserve">■  </w:t>
            </w:r>
            <w:r>
              <w:rPr>
                <w:rFonts w:ascii="Arial" w:hAnsi="Arial"/>
                <w:color w:val="333B4A"/>
                <w:sz w:val="15"/>
              </w:rPr>
              <w:t>AML due-diligence rule modified (thresholds) rather than applied to every chip purchase</w:t>
            </w:r>
          </w:p>
          <w:p>
            <w:pPr>
              <w:spacing w:before="0" w:after="70" w:line="269" w:lineRule="auto"/>
              <w:ind w:left="220" w:hanging="220"/>
            </w:pPr>
            <w:r>
              <w:rPr>
                <w:color w:val="7A8291"/>
                <w:sz w:val="11"/>
              </w:rPr>
              <w:t xml:space="preserve">■  </w:t>
            </w:r>
            <w:r>
              <w:rPr>
                <w:rFonts w:ascii="Arial" w:hAnsi="Arial"/>
                <w:color w:val="333B4A"/>
                <w:sz w:val="15"/>
              </w:rPr>
              <w:t>FY26 DPS ≥KRW850 and Value-Up 2.0 (Feb-27) keeps total return ≥60%</w:t>
            </w:r>
          </w:p>
          <w:p>
            <w:pPr>
              <w:spacing w:before="0" w:after="70" w:line="269" w:lineRule="auto"/>
              <w:ind w:left="220" w:hanging="220"/>
            </w:pPr>
            <w:r>
              <w:rPr>
                <w:color w:val="7A8291"/>
                <w:sz w:val="11"/>
              </w:rPr>
              <w:t xml:space="preserve">■  </w:t>
            </w:r>
            <w:r>
              <w:rPr>
                <w:rFonts w:ascii="Arial" w:hAnsi="Arial"/>
                <w:color w:val="333B4A"/>
                <w:sz w:val="15"/>
              </w:rPr>
              <w:t>7.36% treasury stake cancelled by the Commercial Act deadline</w:t>
            </w:r>
          </w:p>
          <w:p>
            <w:pPr>
              <w:spacing w:before="0" w:after="70" w:line="269" w:lineRule="auto"/>
              <w:ind w:left="220" w:hanging="220"/>
            </w:pPr>
            <w:r>
              <w:rPr>
                <w:color w:val="7A8291"/>
                <w:sz w:val="11"/>
              </w:rPr>
              <w:t xml:space="preserve">■  </w:t>
            </w:r>
            <w:r>
              <w:rPr>
                <w:rFonts w:ascii="Arial" w:hAnsi="Arial"/>
                <w:color w:val="333B4A"/>
                <w:sz w:val="15"/>
              </w:rPr>
              <w:t>K-HIT phased with IRR hurdles; net financial assets ≥KRW2tn through 2030</w:t>
            </w:r>
          </w:p>
        </w:tc>
      </w:tr>
    </w:tbl>
    <w:p>
      <w:pPr>
        <w:spacing w:before="0" w:after="40"/>
      </w:pP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  <w:tblW w:type="dxa" w:w="14256"/>
        <w:tblCellMar>
          <w:left w:type="dxa" w:w="0"/>
          <w:right w:type="dxa" w:w="0"/>
        </w:tblCellMar>
      </w:tblPr>
      <w:tblGrid>
        <w:gridCol w:w="14256"/>
      </w:tblGrid>
      <w:tr>
        <w:tc>
          <w:tcPr>
            <w:tcW w:type="dxa" w:w="14256"/>
            <w:tcBorders>
              <w:top w:val="nil"/>
              <w:left w:val="nil"/>
              <w:bottom w:val="nil"/>
              <w:right w:val="nil"/>
            </w:tcBorders>
            <w:shd w:fill="F1F3F7" w:color="auto" w:val="clear"/>
            <w:tcBorders>
              <w:top w:val="nil"/>
              <w:left w:val="single" w:sz="30" w:color="14213D"/>
              <w:bottom w:val="nil"/>
              <w:right w:val="nil"/>
            </w:tcBorders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color w:val="1D2433"/>
                <w:sz w:val="15"/>
              </w:rPr>
              <w:t>Position sizing:</w:t>
            </w:r>
            <w:r>
              <w:rPr>
                <w:rFonts w:ascii="Arial" w:hAnsi="Arial"/>
                <w:color w:val="1D2433"/>
                <w:sz w:val="15"/>
              </w:rPr>
              <w:t xml:space="preserve"> value / event-driven, medium conviction. Build a full position over 4-6 weeks (liquidity ~KRW4.8bn a day [e]). Add on 3Q26 (late Oct-early Nov), levy carve-out confirmation, FY26 DPS ≥KRW850 or a treasury-cancellation resolution. Optional pair: long Kangwon Land / short Paradise or Lotte Tour isolates the levy carve-out and the net-cash floor from China VIP and won risk.</w:t>
            </w:r>
          </w:p>
        </w:tc>
      </w:tr>
    </w:tbl>
    <w:p>
      <w:pPr>
        <w:sectPr>
          <w:footerReference w:type="default" r:id="rId11"/>
          <w:pgSz w:w="15840" w:h="12240" w:orient="landscape"/>
          <w:pgMar w:top="640" w:right="792" w:bottom="560" w:left="792" w:header="300" w:footer="300" w:gutter="0"/>
          <w:cols w:space="720"/>
          <w:docGrid w:linePitch="360"/>
        </w:sectPr>
      </w:pP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  <w:tblW w:type="dxa" w:w="14256"/>
        <w:tblCellMar>
          <w:left w:type="dxa" w:w="0"/>
          <w:right w:type="dxa" w:w="0"/>
        </w:tblCellMar>
      </w:tblPr>
      <w:tblGrid>
        <w:gridCol w:w="12356"/>
        <w:gridCol w:w="1900"/>
      </w:tblGrid>
      <w:tr>
        <w:tc>
          <w:tcPr>
            <w:tcW w:type="dxa" w:w="1235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B6CD4"/>
                <w:sz w:val="18"/>
              </w:rPr>
              <w:t>BUSINESS OVERVIEW</w:t>
            </w:r>
          </w:p>
        </w:tc>
        <w:tc>
          <w:tcPr>
            <w:tcW w:type="dxa" w:w="1900"/>
            <w:tcBorders>
              <w:top w:val="nil"/>
              <w:left w:val="nil"/>
              <w:bottom w:val="nil"/>
              <w:right w:val="nil"/>
            </w:tcBorders>
            <w:shd w:fill="14213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CONTEXT</w:t>
            </w:r>
          </w:p>
        </w:tc>
      </w:tr>
    </w:tbl>
    <w:p>
      <w:pPr>
        <w:spacing w:before="0" w:after="0" w:line="80" w:lineRule="exact"/>
        <w:pBdr>
          <w:bottom w:val="single" w:sz="6" w:space="1" w:color="1D2433"/>
        </w:pBdr>
      </w:pPr>
    </w:p>
    <w:p>
      <w:pPr>
        <w:spacing w:before="140" w:after="140" w:line="252" w:lineRule="auto"/>
      </w:pPr>
      <w:r>
        <w:rPr>
          <w:rFonts w:ascii="Arial" w:hAnsi="Arial"/>
          <w:b/>
          <w:color w:val="14213D"/>
          <w:sz w:val="38"/>
        </w:rPr>
        <w:t>Kangwon Land at a glance - a state-owned domestic monopoly whose biggest partner is the government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  <w:tblW w:type="dxa" w:w="14256"/>
        <w:tblCellMar>
          <w:left w:type="dxa" w:w="0"/>
          <w:right w:type="dxa" w:w="0"/>
        </w:tblCellMar>
      </w:tblPr>
      <w:tblGrid>
        <w:gridCol w:w="6918"/>
        <w:gridCol w:w="420"/>
        <w:gridCol w:w="6918"/>
      </w:tblGrid>
      <w:tr>
        <w:tc>
          <w:tcPr>
            <w:tcW w:type="dxa" w:w="691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100"/>
              <w:pBdr>
                <w:bottom w:val="single" w:sz="4" w:space="4" w:color="D5D9E0"/>
              </w:pBdr>
            </w:pPr>
            <w:r>
              <w:rPr>
                <w:rFonts w:ascii="Arial" w:hAnsi="Arial"/>
                <w:b/>
                <w:color w:val="14213D"/>
                <w:sz w:val="21"/>
              </w:rPr>
              <w:t>What it does</w:t>
            </w:r>
          </w:p>
          <w:p>
            <w:pPr>
              <w:spacing w:before="0" w:after="70" w:line="269" w:lineRule="auto"/>
              <w:ind w:left="220" w:hanging="220"/>
            </w:pPr>
            <w:r>
              <w:rPr>
                <w:color w:val="2B6CD4"/>
                <w:sz w:val="11"/>
              </w:rPr>
              <w:t xml:space="preserve">■  </w:t>
            </w:r>
            <w:r>
              <w:rPr>
                <w:rFonts w:ascii="Arial" w:hAnsi="Arial"/>
                <w:b/>
                <w:color w:val="333B4A"/>
                <w:sz w:val="15"/>
              </w:rPr>
              <w:t>High1 Resort</w:t>
            </w:r>
            <w:r>
              <w:rPr>
                <w:rFonts w:ascii="Arial" w:hAnsi="Arial"/>
                <w:color w:val="333B4A"/>
                <w:sz w:val="15"/>
              </w:rPr>
              <w:t>, Jeongseon (Gangwon): the only one of Korea's 17 casinos open to Korean nationals, under the 1995 Special Act on abandoned mine areas (extended to 31-Dec-2045)</w:t>
            </w:r>
          </w:p>
          <w:p>
            <w:pPr>
              <w:spacing w:before="0" w:after="70" w:line="269" w:lineRule="auto"/>
              <w:ind w:left="220" w:hanging="220"/>
            </w:pPr>
            <w:r>
              <w:rPr>
                <w:color w:val="2B6CD4"/>
                <w:sz w:val="11"/>
              </w:rPr>
              <w:t xml:space="preserve">■  </w:t>
            </w:r>
            <w:r>
              <w:rPr>
                <w:rFonts w:ascii="Arial" w:hAnsi="Arial"/>
                <w:color w:val="333B4A"/>
                <w:sz w:val="15"/>
              </w:rPr>
              <w:t>200 tables and ~1,360 machines (permit to 250 / 1,610 with the second casino, ~2028); ~1,850 rooms [e], 757 under renovation to Nov-27 / Apr-28; ski, golf, water park</w:t>
            </w:r>
          </w:p>
          <w:p>
            <w:pPr>
              <w:spacing w:before="0" w:after="70" w:line="269" w:lineRule="auto"/>
              <w:ind w:left="220" w:hanging="220"/>
            </w:pPr>
            <w:r>
              <w:rPr>
                <w:color w:val="2B6CD4"/>
                <w:sz w:val="11"/>
              </w:rPr>
              <w:t xml:space="preserve">■  </w:t>
            </w:r>
            <w:r>
              <w:rPr>
                <w:rFonts w:ascii="Arial" w:hAnsi="Arial"/>
                <w:color w:val="333B4A"/>
                <w:sz w:val="15"/>
              </w:rPr>
              <w:t>FY25: revenue KRW1.48tn (~87% casino), OP KRW235bn, NP KRW316.5bn; ~2.4m casino visits a year [e]</w:t>
            </w:r>
          </w:p>
          <w:p>
            <w:pPr>
              <w:spacing w:before="0" w:after="70" w:line="269" w:lineRule="auto"/>
              <w:ind w:left="220" w:hanging="220"/>
            </w:pPr>
            <w:r>
              <w:rPr>
                <w:color w:val="2B6CD4"/>
                <w:sz w:val="11"/>
              </w:rPr>
              <w:t xml:space="preserve">■  </w:t>
            </w:r>
            <w:r>
              <w:rPr>
                <w:rFonts w:ascii="Arial" w:hAnsi="Arial"/>
                <w:b/>
                <w:color w:val="333B4A"/>
                <w:sz w:val="15"/>
              </w:rPr>
              <w:t>Government take KRW603bn = 42% of gaming sales:</w:t>
            </w:r>
            <w:r>
              <w:rPr>
                <w:rFonts w:ascii="Arial" w:hAnsi="Arial"/>
                <w:color w:val="333B4A"/>
                <w:sz w:val="15"/>
              </w:rPr>
              <w:t xml:space="preserve"> tourism fund 10% + mine fund 13% of casino sales + taxes</w:t>
            </w:r>
          </w:p>
          <w:p>
            <w:pPr>
              <w:spacing w:before="0" w:after="70" w:line="269" w:lineRule="auto"/>
              <w:ind w:left="220" w:hanging="220"/>
            </w:pPr>
            <w:r>
              <w:rPr>
                <w:color w:val="2B6CD4"/>
                <w:sz w:val="11"/>
              </w:rPr>
              <w:t xml:space="preserve">■  </w:t>
            </w:r>
            <w:r>
              <w:rPr>
                <w:rFonts w:ascii="Arial" w:hAnsi="Arial"/>
                <w:color w:val="333B4A"/>
                <w:sz w:val="15"/>
              </w:rPr>
              <w:t>Control: public bodies 51.01% (KOMIR 36.27%, Jeongseon, Gangwon, Samcheok, Taebaek, Yeongwol); treasury 7.36%; free float ~41.6%</w:t>
            </w:r>
          </w:p>
        </w:tc>
        <w:tc>
          <w:tcPr>
            <w:tcW w:type="dxa" w:w="420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691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100"/>
              <w:pBdr>
                <w:bottom w:val="single" w:sz="4" w:space="4" w:color="D5D9E0"/>
              </w:pBdr>
            </w:pPr>
            <w:r>
              <w:rPr>
                <w:rFonts w:ascii="Arial" w:hAnsi="Arial"/>
                <w:b/>
                <w:color w:val="14213D"/>
                <w:sz w:val="21"/>
              </w:rPr>
              <w:t>Revenue and operating profit (KRW bn)</w:t>
            </w:r>
          </w:p>
          <w:tbl>
            <w:tblPr>
              <w:tblW w:type="auto" w:w="0"/>
              <w:jc w:val="left"/>
              <w:tblLook w:firstColumn="1" w:firstRow="1" w:lastColumn="0" w:lastRow="0" w:noHBand="0" w:noVBand="1" w:val="04A0"/>
              <w:tblLayout w:type="fixed"/>
              <w:tblW w:type="dxa" w:w="6914"/>
              <w:tblCellMar>
                <w:left w:type="dxa" w:w="0"/>
                <w:right w:type="dxa" w:w="0"/>
              </w:tblCellMar>
            </w:tblPr>
            <w:tblGrid>
              <w:gridCol w:w="3162"/>
              <w:gridCol w:w="691"/>
              <w:gridCol w:w="691"/>
              <w:gridCol w:w="691"/>
              <w:gridCol w:w="592"/>
              <w:gridCol w:w="1087"/>
            </w:tblGrid>
            <w:tr>
              <w:tc>
                <w:tcPr>
                  <w:tcW w:type="dxa" w:w="3162"/>
                  <w:tcBorders>
                    <w:top w:val="nil"/>
                    <w:left w:val="nil"/>
                    <w:bottom w:val="nil"/>
                    <w:right w:val="nil"/>
                  </w:tcBorders>
                  <w:shd w:fill="14213D" w:color="auto" w:val="clear"/>
                  <w:tcMar>
                    <w:top w:type="dxa" w:w="55"/>
                    <w:left w:type="dxa" w:w="80"/>
                    <w:bottom w:type="dxa" w:w="55"/>
                    <w:right w:type="dxa" w:w="80"/>
                  </w:tcMar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691"/>
                  <w:tcBorders>
                    <w:top w:val="nil"/>
                    <w:left w:val="nil"/>
                    <w:bottom w:val="nil"/>
                    <w:right w:val="nil"/>
                  </w:tcBorders>
                  <w:shd w:fill="14213D" w:color="auto" w:val="clear"/>
                  <w:tcMar>
                    <w:top w:type="dxa" w:w="55"/>
                    <w:left w:type="dxa" w:w="80"/>
                    <w:bottom w:type="dxa" w:w="55"/>
                    <w:right w:type="dxa" w:w="80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b/>
                      <w:color w:val="FFFFFF"/>
                      <w:sz w:val="15"/>
                    </w:rPr>
                    <w:t>FY23</w:t>
                  </w:r>
                </w:p>
              </w:tc>
              <w:tc>
                <w:tcPr>
                  <w:tcW w:type="dxa" w:w="691"/>
                  <w:tcBorders>
                    <w:top w:val="nil"/>
                    <w:left w:val="nil"/>
                    <w:bottom w:val="nil"/>
                    <w:right w:val="nil"/>
                  </w:tcBorders>
                  <w:shd w:fill="14213D" w:color="auto" w:val="clear"/>
                  <w:tcMar>
                    <w:top w:type="dxa" w:w="55"/>
                    <w:left w:type="dxa" w:w="80"/>
                    <w:bottom w:type="dxa" w:w="55"/>
                    <w:right w:type="dxa" w:w="80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b/>
                      <w:color w:val="FFFFFF"/>
                      <w:sz w:val="15"/>
                    </w:rPr>
                    <w:t>FY24</w:t>
                  </w:r>
                </w:p>
              </w:tc>
              <w:tc>
                <w:tcPr>
                  <w:tcW w:type="dxa" w:w="691"/>
                  <w:tcBorders>
                    <w:top w:val="nil"/>
                    <w:left w:val="nil"/>
                    <w:bottom w:val="nil"/>
                    <w:right w:val="nil"/>
                  </w:tcBorders>
                  <w:shd w:fill="14213D" w:color="auto" w:val="clear"/>
                  <w:tcMar>
                    <w:top w:type="dxa" w:w="55"/>
                    <w:left w:type="dxa" w:w="80"/>
                    <w:bottom w:type="dxa" w:w="55"/>
                    <w:right w:type="dxa" w:w="80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b/>
                      <w:color w:val="FFFFFF"/>
                      <w:sz w:val="15"/>
                    </w:rPr>
                    <w:t>FY25</w:t>
                  </w:r>
                </w:p>
              </w:tc>
              <w:tc>
                <w:tcPr>
                  <w:tcW w:type="dxa" w:w="592"/>
                  <w:tcBorders>
                    <w:top w:val="nil"/>
                    <w:left w:val="nil"/>
                    <w:bottom w:val="nil"/>
                    <w:right w:val="nil"/>
                  </w:tcBorders>
                  <w:shd w:fill="14213D" w:color="auto" w:val="clear"/>
                  <w:tcMar>
                    <w:top w:type="dxa" w:w="55"/>
                    <w:left w:type="dxa" w:w="80"/>
                    <w:bottom w:type="dxa" w:w="55"/>
                    <w:right w:type="dxa" w:w="80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b/>
                      <w:color w:val="FFFFFF"/>
                      <w:sz w:val="15"/>
                    </w:rPr>
                    <w:t>1H26</w:t>
                  </w:r>
                </w:p>
              </w:tc>
              <w:tc>
                <w:tcPr>
                  <w:tcW w:type="dxa" w:w="1087"/>
                  <w:tcBorders>
                    <w:top w:val="nil"/>
                    <w:left w:val="nil"/>
                    <w:bottom w:val="nil"/>
                    <w:right w:val="nil"/>
                  </w:tcBorders>
                  <w:shd w:fill="14213D" w:color="auto" w:val="clear"/>
                  <w:tcMar>
                    <w:top w:type="dxa" w:w="55"/>
                    <w:left w:type="dxa" w:w="80"/>
                    <w:bottom w:type="dxa" w:w="55"/>
                    <w:right w:type="dxa" w:w="80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b/>
                      <w:color w:val="FFFFFF"/>
                      <w:sz w:val="15"/>
                    </w:rPr>
                    <w:t>FY26E</w:t>
                  </w:r>
                </w:p>
              </w:tc>
            </w:tr>
            <w:tr>
              <w:tc>
                <w:tcPr>
                  <w:tcW w:type="dxa" w:w="3162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b/>
                      <w:color w:val="1D2433"/>
                      <w:sz w:val="15"/>
                    </w:rPr>
                    <w:t>Revenue</w:t>
                  </w:r>
                </w:p>
              </w:tc>
              <w:tc>
                <w:tcPr>
                  <w:tcW w:type="dxa" w:w="691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color w:val="1D2433"/>
                      <w:sz w:val="15"/>
                    </w:rPr>
                    <w:t>1,388.6</w:t>
                  </w:r>
                </w:p>
              </w:tc>
              <w:tc>
                <w:tcPr>
                  <w:tcW w:type="dxa" w:w="691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color w:val="1D2433"/>
                      <w:sz w:val="15"/>
                    </w:rPr>
                    <w:t>1,426.9</w:t>
                  </w:r>
                </w:p>
              </w:tc>
              <w:tc>
                <w:tcPr>
                  <w:tcW w:type="dxa" w:w="691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color w:val="1D2433"/>
                      <w:sz w:val="15"/>
                    </w:rPr>
                    <w:t>1,476.7</w:t>
                  </w:r>
                </w:p>
              </w:tc>
              <w:tc>
                <w:tcPr>
                  <w:tcW w:type="dxa" w:w="592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color w:val="1D2433"/>
                      <w:sz w:val="15"/>
                    </w:rPr>
                    <w:t>724.5</w:t>
                  </w:r>
                </w:p>
              </w:tc>
              <w:tc>
                <w:tcPr>
                  <w:tcW w:type="dxa" w:w="1087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color w:val="1D2433"/>
                      <w:sz w:val="15"/>
                    </w:rPr>
                    <w:t>1,454.5</w:t>
                  </w:r>
                </w:p>
              </w:tc>
            </w:tr>
            <w:tr>
              <w:tc>
                <w:tcPr>
                  <w:tcW w:type="dxa" w:w="3162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b/>
                      <w:color w:val="1D2433"/>
                      <w:sz w:val="15"/>
                    </w:rPr>
                    <w:t>Growth</w:t>
                  </w:r>
                </w:p>
              </w:tc>
              <w:tc>
                <w:tcPr>
                  <w:tcW w:type="dxa" w:w="691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color w:val="1D2433"/>
                      <w:sz w:val="15"/>
                    </w:rPr>
                    <w:t>+9.3%</w:t>
                  </w:r>
                </w:p>
              </w:tc>
              <w:tc>
                <w:tcPr>
                  <w:tcW w:type="dxa" w:w="691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color w:val="1D2433"/>
                      <w:sz w:val="15"/>
                    </w:rPr>
                    <w:t>+2.8%</w:t>
                  </w:r>
                </w:p>
              </w:tc>
              <w:tc>
                <w:tcPr>
                  <w:tcW w:type="dxa" w:w="691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color w:val="1D2433"/>
                      <w:sz w:val="15"/>
                    </w:rPr>
                    <w:t>+3.5%</w:t>
                  </w:r>
                </w:p>
              </w:tc>
              <w:tc>
                <w:tcPr>
                  <w:tcW w:type="dxa" w:w="592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color w:val="1D2433"/>
                      <w:sz w:val="15"/>
                    </w:rPr>
                    <w:t>−0.4%</w:t>
                  </w:r>
                </w:p>
              </w:tc>
              <w:tc>
                <w:tcPr>
                  <w:tcW w:type="dxa" w:w="1087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color w:val="1D2433"/>
                      <w:sz w:val="15"/>
                    </w:rPr>
                    <w:t>−1.5%</w:t>
                  </w:r>
                </w:p>
              </w:tc>
            </w:tr>
            <w:tr>
              <w:tc>
                <w:tcPr>
                  <w:tcW w:type="dxa" w:w="3162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b/>
                      <w:color w:val="1D2433"/>
                      <w:sz w:val="15"/>
                    </w:rPr>
                    <w:t>Operating profit</w:t>
                  </w:r>
                </w:p>
              </w:tc>
              <w:tc>
                <w:tcPr>
                  <w:tcW w:type="dxa" w:w="691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color w:val="1D2433"/>
                      <w:sz w:val="15"/>
                    </w:rPr>
                    <w:t>282.3</w:t>
                  </w:r>
                </w:p>
              </w:tc>
              <w:tc>
                <w:tcPr>
                  <w:tcW w:type="dxa" w:w="691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color w:val="1D2433"/>
                      <w:sz w:val="15"/>
                    </w:rPr>
                    <w:t>285.8</w:t>
                  </w:r>
                </w:p>
              </w:tc>
              <w:tc>
                <w:tcPr>
                  <w:tcW w:type="dxa" w:w="691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color w:val="1D2433"/>
                      <w:sz w:val="15"/>
                    </w:rPr>
                    <w:t>235.2</w:t>
                  </w:r>
                </w:p>
              </w:tc>
              <w:tc>
                <w:tcPr>
                  <w:tcW w:type="dxa" w:w="592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color w:val="1D2433"/>
                      <w:sz w:val="15"/>
                    </w:rPr>
                    <w:t>112.1</w:t>
                  </w:r>
                </w:p>
              </w:tc>
              <w:tc>
                <w:tcPr>
                  <w:tcW w:type="dxa" w:w="1087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color w:val="1D2433"/>
                      <w:sz w:val="15"/>
                    </w:rPr>
                    <w:t>201.1</w:t>
                  </w:r>
                </w:p>
              </w:tc>
            </w:tr>
            <w:tr>
              <w:tc>
                <w:tcPr>
                  <w:tcW w:type="dxa" w:w="3162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b/>
                      <w:color w:val="1D2433"/>
                      <w:sz w:val="15"/>
                    </w:rPr>
                    <w:t>OP margin</w:t>
                  </w:r>
                </w:p>
              </w:tc>
              <w:tc>
                <w:tcPr>
                  <w:tcW w:type="dxa" w:w="691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color w:val="1D2433"/>
                      <w:sz w:val="15"/>
                    </w:rPr>
                    <w:t>20.3%</w:t>
                  </w:r>
                </w:p>
              </w:tc>
              <w:tc>
                <w:tcPr>
                  <w:tcW w:type="dxa" w:w="691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color w:val="1D2433"/>
                      <w:sz w:val="15"/>
                    </w:rPr>
                    <w:t>20.0%</w:t>
                  </w:r>
                </w:p>
              </w:tc>
              <w:tc>
                <w:tcPr>
                  <w:tcW w:type="dxa" w:w="691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color w:val="1D2433"/>
                      <w:sz w:val="15"/>
                    </w:rPr>
                    <w:t>15.9%</w:t>
                  </w:r>
                </w:p>
              </w:tc>
              <w:tc>
                <w:tcPr>
                  <w:tcW w:type="dxa" w:w="592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color w:val="1D2433"/>
                      <w:sz w:val="15"/>
                    </w:rPr>
                    <w:t>15.5%</w:t>
                  </w:r>
                </w:p>
              </w:tc>
              <w:tc>
                <w:tcPr>
                  <w:tcW w:type="dxa" w:w="1087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color w:val="1D2433"/>
                      <w:sz w:val="15"/>
                    </w:rPr>
                    <w:t>13.8%</w:t>
                  </w:r>
                </w:p>
              </w:tc>
            </w:tr>
            <w:tr>
              <w:tc>
                <w:tcPr>
                  <w:tcW w:type="dxa" w:w="3162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b/>
                      <w:color w:val="1D2433"/>
                      <w:sz w:val="15"/>
                    </w:rPr>
                    <w:t>Net profit</w:t>
                  </w:r>
                </w:p>
              </w:tc>
              <w:tc>
                <w:tcPr>
                  <w:tcW w:type="dxa" w:w="691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color w:val="1D2433"/>
                      <w:sz w:val="15"/>
                    </w:rPr>
                    <w:t>341.0</w:t>
                  </w:r>
                </w:p>
              </w:tc>
              <w:tc>
                <w:tcPr>
                  <w:tcW w:type="dxa" w:w="691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color w:val="1D2433"/>
                      <w:sz w:val="15"/>
                    </w:rPr>
                    <w:t>456.7</w:t>
                  </w:r>
                </w:p>
              </w:tc>
              <w:tc>
                <w:tcPr>
                  <w:tcW w:type="dxa" w:w="691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color w:val="1D2433"/>
                      <w:sz w:val="15"/>
                    </w:rPr>
                    <w:t>316.5</w:t>
                  </w:r>
                </w:p>
              </w:tc>
              <w:tc>
                <w:tcPr>
                  <w:tcW w:type="dxa" w:w="592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color w:val="1D2433"/>
                      <w:sz w:val="15"/>
                    </w:rPr>
                    <w:t>140.0</w:t>
                  </w:r>
                </w:p>
              </w:tc>
              <w:tc>
                <w:tcPr>
                  <w:tcW w:type="dxa" w:w="1087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color w:val="1D2433"/>
                      <w:sz w:val="15"/>
                    </w:rPr>
                    <w:t>248.0</w:t>
                  </w:r>
                </w:p>
              </w:tc>
            </w:tr>
            <w:tr>
              <w:tc>
                <w:tcPr>
                  <w:tcW w:type="dxa" w:w="3162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b/>
                      <w:color w:val="1D2433"/>
                      <w:sz w:val="15"/>
                    </w:rPr>
                    <w:t>DPS (KRW)</w:t>
                  </w:r>
                </w:p>
              </w:tc>
              <w:tc>
                <w:tcPr>
                  <w:tcW w:type="dxa" w:w="691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color w:val="1D2433"/>
                      <w:sz w:val="15"/>
                    </w:rPr>
                    <w:t>930</w:t>
                  </w:r>
                </w:p>
              </w:tc>
              <w:tc>
                <w:tcPr>
                  <w:tcW w:type="dxa" w:w="691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color w:val="1D2433"/>
                      <w:sz w:val="15"/>
                    </w:rPr>
                    <w:t>1,170</w:t>
                  </w:r>
                </w:p>
              </w:tc>
              <w:tc>
                <w:tcPr>
                  <w:tcW w:type="dxa" w:w="691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color w:val="1D2433"/>
                      <w:sz w:val="15"/>
                    </w:rPr>
                    <w:t>950</w:t>
                  </w:r>
                </w:p>
              </w:tc>
              <w:tc>
                <w:tcPr>
                  <w:tcW w:type="dxa" w:w="592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  <w:jc w:val="right"/>
                  </w:pPr>
                </w:p>
              </w:tc>
              <w:tc>
                <w:tcPr>
                  <w:tcW w:type="dxa" w:w="1087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color w:val="1D2433"/>
                      <w:sz w:val="15"/>
                    </w:rPr>
                    <w:t>850E</w:t>
                  </w:r>
                </w:p>
              </w:tc>
            </w:tr>
            <w:tr>
              <w:tc>
                <w:tcPr>
                  <w:tcW w:type="dxa" w:w="3162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b/>
                      <w:color w:val="1D2433"/>
                      <w:sz w:val="15"/>
                    </w:rPr>
                    <w:t>Total return (payout + buybacks)</w:t>
                  </w:r>
                </w:p>
              </w:tc>
              <w:tc>
                <w:tcPr>
                  <w:tcW w:type="dxa" w:w="691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color w:val="1D2433"/>
                      <w:sz w:val="15"/>
                    </w:rPr>
                    <w:t>55%</w:t>
                  </w:r>
                </w:p>
              </w:tc>
              <w:tc>
                <w:tcPr>
                  <w:tcW w:type="dxa" w:w="691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color w:val="1D2433"/>
                      <w:sz w:val="15"/>
                    </w:rPr>
                    <w:t>60.1%</w:t>
                  </w:r>
                </w:p>
              </w:tc>
              <w:tc>
                <w:tcPr>
                  <w:tcW w:type="dxa" w:w="691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color w:val="1D2433"/>
                      <w:sz w:val="15"/>
                    </w:rPr>
                    <w:t>62.6%</w:t>
                  </w:r>
                </w:p>
              </w:tc>
              <w:tc>
                <w:tcPr>
                  <w:tcW w:type="dxa" w:w="592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  <w:jc w:val="right"/>
                  </w:pPr>
                </w:p>
              </w:tc>
              <w:tc>
                <w:tcPr>
                  <w:tcW w:type="dxa" w:w="1087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color w:val="1D2433"/>
                      <w:sz w:val="15"/>
                    </w:rPr>
                    <w:t>≥60% target</w:t>
                  </w:r>
                </w:p>
              </w:tc>
            </w:tr>
          </w:tbl>
          <w:p/>
          <w:p>
            <w:pPr>
              <w:spacing w:before="40" w:after="100" w:line="264" w:lineRule="auto"/>
            </w:pPr>
            <w:r>
              <w:rPr>
                <w:rFonts w:ascii="Arial" w:hAnsi="Arial"/>
                <w:color w:val="7A8291"/>
                <w:sz w:val="13"/>
              </w:rPr>
              <w:t>Consolidated. FY24 NP includes ~KRW123bn of VAT refunds; 2Q26 NP includes a KRW97.3bn valuation gain. FY26E ours. Source: company results via press, brokers.</w:t>
            </w:r>
          </w:p>
        </w:tc>
      </w:tr>
    </w:tbl>
    <w:p>
      <w:pPr>
        <w:spacing w:before="0" w:after="40"/>
      </w:pP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  <w:tblW w:type="dxa" w:w="14256"/>
        <w:tblCellMar>
          <w:left w:type="dxa" w:w="0"/>
          <w:right w:type="dxa" w:w="0"/>
        </w:tblCellMar>
      </w:tblPr>
      <w:tblGrid>
        <w:gridCol w:w="14256"/>
      </w:tblGrid>
      <w:tr>
        <w:tc>
          <w:tcPr>
            <w:tcW w:type="dxa" w:w="14256"/>
            <w:tcBorders>
              <w:top w:val="nil"/>
              <w:left w:val="nil"/>
              <w:bottom w:val="nil"/>
              <w:right w:val="nil"/>
            </w:tcBorders>
            <w:shd w:fill="F1F3F7" w:color="auto" w:val="clear"/>
            <w:tcBorders>
              <w:top w:val="nil"/>
              <w:left w:val="single" w:sz="30" w:color="14213D"/>
              <w:bottom w:val="nil"/>
              <w:right w:val="nil"/>
            </w:tcBorders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color w:val="1D2433"/>
                <w:sz w:val="15"/>
              </w:rPr>
              <w:t>The single most distinctive fact:</w:t>
            </w:r>
            <w:r>
              <w:rPr>
                <w:rFonts w:ascii="Arial" w:hAnsi="Arial"/>
                <w:color w:val="1D2433"/>
                <w:sz w:val="15"/>
              </w:rPr>
              <w:t xml:space="preserve"> Kangwon Land holds ~KRW2.9tn of net financial assets [e], more than its KRW2.81tn market cap. The market is paying nothing for the only legal casino for 52 million Koreans, which earned ~KRW305bn of EBITDA in the last 12 months even after the State took 42% of gaming sales.</w:t>
            </w:r>
          </w:p>
        </w:tc>
      </w:tr>
    </w:tbl>
    <w:p>
      <w:pPr>
        <w:sectPr>
          <w:footerReference w:type="default" r:id="rId12"/>
          <w:pgSz w:w="15840" w:h="12240" w:orient="landscape"/>
          <w:pgMar w:top="640" w:right="792" w:bottom="560" w:left="792" w:header="300" w:footer="300" w:gutter="0"/>
          <w:cols w:space="720"/>
          <w:docGrid w:linePitch="360"/>
        </w:sectPr>
      </w:pP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  <w:tblW w:type="dxa" w:w="14256"/>
        <w:tblCellMar>
          <w:left w:type="dxa" w:w="0"/>
          <w:right w:type="dxa" w:w="0"/>
        </w:tblCellMar>
      </w:tblPr>
      <w:tblGrid>
        <w:gridCol w:w="12356"/>
        <w:gridCol w:w="1900"/>
      </w:tblGrid>
      <w:tr>
        <w:tc>
          <w:tcPr>
            <w:tcW w:type="dxa" w:w="1235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B6CD4"/>
                <w:sz w:val="18"/>
              </w:rPr>
              <w:t>THE SETUP</w:t>
            </w:r>
          </w:p>
        </w:tc>
        <w:tc>
          <w:tcPr>
            <w:tcW w:type="dxa" w:w="1900"/>
            <w:tcBorders>
              <w:top w:val="nil"/>
              <w:left w:val="nil"/>
              <w:bottom w:val="nil"/>
              <w:right w:val="nil"/>
            </w:tcBorders>
            <w:shd w:fill="14213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CONTEXT</w:t>
            </w:r>
          </w:p>
        </w:tc>
      </w:tr>
    </w:tbl>
    <w:p>
      <w:pPr>
        <w:spacing w:before="0" w:after="0" w:line="80" w:lineRule="exact"/>
        <w:pBdr>
          <w:bottom w:val="single" w:sz="6" w:space="1" w:color="1D2433"/>
        </w:pBdr>
      </w:pPr>
    </w:p>
    <w:p>
      <w:pPr>
        <w:spacing w:before="140" w:after="140" w:line="252" w:lineRule="auto"/>
      </w:pPr>
      <w:r>
        <w:rPr>
          <w:rFonts w:ascii="Arial" w:hAnsi="Arial"/>
          <w:b/>
          <w:color w:val="14213D"/>
          <w:sz w:val="38"/>
        </w:rPr>
        <w:t>Hours cut (2018), mine-fund change (2021), D grade (2023), levy and AML scares (2026): −60% in ten years [e]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  <w:tblW w:type="dxa" w:w="14256"/>
        <w:tblCellMar>
          <w:left w:type="dxa" w:w="0"/>
          <w:right w:type="dxa" w:w="0"/>
        </w:tblCellMar>
      </w:tblPr>
      <w:tblGrid>
        <w:gridCol w:w="8855"/>
        <w:gridCol w:w="420"/>
        <w:gridCol w:w="4981"/>
      </w:tblGrid>
      <w:tr>
        <w:tc>
          <w:tcPr>
            <w:tcW w:type="dxa" w:w="885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40"/>
            </w:pPr>
            <w:r>
              <w:drawing>
                <wp:inline xmlns:a="http://schemas.openxmlformats.org/drawingml/2006/main" xmlns:pic="http://schemas.openxmlformats.org/drawingml/2006/picture">
                  <wp:extent cx="5622925" cy="2642031"/>
                  <wp:docPr id="902" name="Picture 9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ice_10y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2925" cy="26420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0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8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100"/>
              <w:pBdr>
                <w:bottom w:val="single" w:sz="4" w:space="4" w:color="D5D9E0"/>
              </w:pBdr>
            </w:pPr>
            <w:r>
              <w:rPr>
                <w:rFonts w:ascii="Arial" w:hAnsi="Arial"/>
                <w:b/>
                <w:color w:val="14213D"/>
                <w:sz w:val="21"/>
              </w:rPr>
              <w:t>Key catalysts</w:t>
            </w:r>
          </w:p>
          <w:tbl>
            <w:tblPr>
              <w:tblW w:type="auto" w:w="0"/>
              <w:jc w:val="left"/>
              <w:tblLook w:firstColumn="1" w:firstRow="1" w:lastColumn="0" w:lastRow="0" w:noHBand="0" w:noVBand="1" w:val="04A0"/>
              <w:tblLayout w:type="fixed"/>
              <w:tblW w:type="dxa" w:w="4981"/>
              <w:tblCellMar>
                <w:left w:type="dxa" w:w="0"/>
                <w:right w:type="dxa" w:w="0"/>
              </w:tblCellMar>
            </w:tblPr>
            <w:tblGrid>
              <w:gridCol w:w="1500"/>
              <w:gridCol w:w="3481"/>
            </w:tblGrid>
            <w:tr>
              <w:tc>
                <w:tcPr>
                  <w:tcW w:type="dxa" w:w="1500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b/>
                      <w:color w:val="2B6CD4"/>
                      <w:sz w:val="15"/>
                    </w:rPr>
                    <w:t>2018</w:t>
                  </w:r>
                </w:p>
              </w:tc>
              <w:tc>
                <w:tcPr>
                  <w:tcW w:type="dxa" w:w="3481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color w:val="1D2433"/>
                      <w:sz w:val="15"/>
                    </w:rPr>
                    <w:t>Licence renewal cuts hours by two and tables 180 → 160; hiring-scandal fallout</w:t>
                  </w:r>
                </w:p>
              </w:tc>
            </w:tr>
            <w:tr>
              <w:tc>
                <w:tcPr>
                  <w:tcW w:type="dxa" w:w="1500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b/>
                      <w:color w:val="2B6CD4"/>
                      <w:sz w:val="15"/>
                    </w:rPr>
                    <w:t>MAR-2021</w:t>
                  </w:r>
                </w:p>
              </w:tc>
              <w:tc>
                <w:tcPr>
                  <w:tcW w:type="dxa" w:w="3481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color w:val="1D2433"/>
                      <w:sz w:val="15"/>
                    </w:rPr>
                    <w:t>Special Act to 2045; mine fund changed to 13% of casino sales</w:t>
                  </w:r>
                </w:p>
              </w:tc>
            </w:tr>
            <w:tr>
              <w:tc>
                <w:tcPr>
                  <w:tcW w:type="dxa" w:w="1500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b/>
                      <w:color w:val="2B6CD4"/>
                      <w:sz w:val="15"/>
                    </w:rPr>
                    <w:t>JUN-2023</w:t>
                  </w:r>
                </w:p>
              </w:tc>
              <w:tc>
                <w:tcPr>
                  <w:tcW w:type="dxa" w:w="3481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color w:val="1D2433"/>
                      <w:sz w:val="15"/>
                    </w:rPr>
                    <w:t>First 'D' grade; CEO resigns (Nov/Dec); ~32 months of acting CEOs</w:t>
                  </w:r>
                </w:p>
              </w:tc>
            </w:tr>
            <w:tr>
              <w:tc>
                <w:tcPr>
                  <w:tcW w:type="dxa" w:w="1500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b/>
                      <w:color w:val="2B6CD4"/>
                      <w:sz w:val="15"/>
                    </w:rPr>
                    <w:t>SEP/OCT-2024</w:t>
                  </w:r>
                </w:p>
              </w:tc>
              <w:tc>
                <w:tcPr>
                  <w:tcW w:type="dxa" w:w="3481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color w:val="1D2433"/>
                      <w:sz w:val="15"/>
                    </w:rPr>
                    <w:t>Expansion permit + Value-Up plan: +35% rally</w:t>
                  </w:r>
                </w:p>
              </w:tc>
            </w:tr>
            <w:tr>
              <w:tc>
                <w:tcPr>
                  <w:tcW w:type="dxa" w:w="1500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b/>
                      <w:color w:val="2B6CD4"/>
                      <w:sz w:val="15"/>
                    </w:rPr>
                    <w:t>MID-2025</w:t>
                  </w:r>
                </w:p>
              </w:tc>
              <w:tc>
                <w:tcPr>
                  <w:tcW w:type="dxa" w:w="3481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color w:val="1D2433"/>
                      <w:sz w:val="15"/>
                    </w:rPr>
                    <w:t>Value-Up index; VIP limits 10x; 2025 high ~KRW20,600 [u]</w:t>
                  </w:r>
                </w:p>
              </w:tc>
            </w:tr>
            <w:tr>
              <w:tc>
                <w:tcPr>
                  <w:tcW w:type="dxa" w:w="1500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b/>
                      <w:color w:val="2B6CD4"/>
                      <w:sz w:val="15"/>
                    </w:rPr>
                    <w:t>JUL-2026</w:t>
                  </w:r>
                </w:p>
              </w:tc>
              <w:tc>
                <w:tcPr>
                  <w:tcW w:type="dxa" w:w="3481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color w:val="1D2433"/>
                      <w:sz w:val="15"/>
                    </w:rPr>
                    <w:t>Levy (15%) and AML proposals; peers −11% to −15% in a day</w:t>
                  </w:r>
                </w:p>
              </w:tc>
            </w:tr>
            <w:tr>
              <w:tc>
                <w:tcPr>
                  <w:tcW w:type="dxa" w:w="1500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b/>
                      <w:color w:val="2B6CD4"/>
                      <w:sz w:val="15"/>
                    </w:rPr>
                    <w:t>AUG-2026</w:t>
                  </w:r>
                </w:p>
              </w:tc>
              <w:tc>
                <w:tcPr>
                  <w:tcW w:type="dxa" w:w="3481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color w:val="1D2433"/>
                      <w:sz w:val="15"/>
                    </w:rPr>
                    <w:t>2Q26 OP −26%; targets cut; ex-general CEO elected</w:t>
                  </w:r>
                </w:p>
              </w:tc>
            </w:tr>
            <w:tr>
              <w:tc>
                <w:tcPr>
                  <w:tcW w:type="dxa" w:w="1500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b/>
                      <w:color w:val="2B6CD4"/>
                      <w:sz w:val="15"/>
                    </w:rPr>
                    <w:t>OCT-2026</w:t>
                  </w:r>
                </w:p>
              </w:tc>
              <w:tc>
                <w:tcPr>
                  <w:tcW w:type="dxa" w:w="3481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70"/>
                    <w:left w:type="dxa" w:w="60"/>
                    <w:bottom w:type="dxa" w:w="70"/>
                    <w:right w:type="dxa" w:w="6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color w:val="1D2433"/>
                      <w:sz w:val="15"/>
                    </w:rPr>
                    <w:t>Flat at ~KRW14,200; below net financial assets per share</w:t>
                  </w:r>
                </w:p>
              </w:tc>
            </w:tr>
          </w:tbl>
          <w:p/>
        </w:tc>
      </w:tr>
    </w:tbl>
    <w:p>
      <w:pPr>
        <w:spacing w:before="0" w:after="40"/>
      </w:pPr>
    </w:p>
    <w:p>
      <w:pPr>
        <w:spacing w:before="40" w:after="100" w:line="264" w:lineRule="auto"/>
      </w:pPr>
      <w:r>
        <w:rPr>
          <w:rFonts w:ascii="Arial" w:hAnsi="Arial"/>
          <w:color w:val="7A8291"/>
          <w:sz w:val="13"/>
        </w:rPr>
        <w:t>No single-day move above 10% found in five years (largest +5.7%, May-2020). Peak-to-trough −28% Feb-Jul 2026; 1-year −26% [u] vs KOSPI ~+82% [e]. Chart joins sourced dated levels with estimated year-end levels [e]; not a continuous series.</w:t>
      </w:r>
    </w:p>
    <w:p>
      <w:pPr>
        <w:sectPr>
          <w:footerReference w:type="default" r:id="rId13"/>
          <w:pgSz w:w="15840" w:h="12240" w:orient="landscape"/>
          <w:pgMar w:top="640" w:right="792" w:bottom="560" w:left="792" w:header="300" w:footer="300" w:gutter="0"/>
          <w:cols w:space="720"/>
          <w:docGrid w:linePitch="360"/>
        </w:sectPr>
      </w:pP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  <w:tblW w:type="dxa" w:w="14256"/>
        <w:tblCellMar>
          <w:left w:type="dxa" w:w="0"/>
          <w:right w:type="dxa" w:w="0"/>
        </w:tblCellMar>
      </w:tblPr>
      <w:tblGrid>
        <w:gridCol w:w="12356"/>
        <w:gridCol w:w="1900"/>
      </w:tblGrid>
      <w:tr>
        <w:tc>
          <w:tcPr>
            <w:tcW w:type="dxa" w:w="1235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B6CD4"/>
                <w:sz w:val="18"/>
              </w:rPr>
              <w:t>QUESTION 1 - IS KANGWON LAND UNDERVALUED?</w:t>
            </w:r>
          </w:p>
        </w:tc>
        <w:tc>
          <w:tcPr>
            <w:tcW w:type="dxa" w:w="1900"/>
            <w:tcBorders>
              <w:top w:val="nil"/>
              <w:left w:val="nil"/>
              <w:bottom w:val="nil"/>
              <w:right w:val="nil"/>
            </w:tcBorders>
            <w:shd w:fill="14213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VALUATION</w:t>
            </w:r>
          </w:p>
        </w:tc>
      </w:tr>
    </w:tbl>
    <w:p>
      <w:pPr>
        <w:spacing w:before="0" w:after="0" w:line="80" w:lineRule="exact"/>
        <w:pBdr>
          <w:bottom w:val="single" w:sz="6" w:space="1" w:color="1D2433"/>
        </w:pBdr>
      </w:pPr>
    </w:p>
    <w:p>
      <w:pPr>
        <w:spacing w:before="140" w:after="140" w:line="252" w:lineRule="auto"/>
      </w:pPr>
      <w:r>
        <w:rPr>
          <w:rFonts w:ascii="Arial" w:hAnsi="Arial"/>
          <w:b/>
          <w:color w:val="14213D"/>
          <w:sz w:val="38"/>
        </w:rPr>
        <w:t>On every enterprise-value measure it is free; on P/E it looks only fair - because half of profit is interest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  <w:tblW w:type="dxa" w:w="14256"/>
        <w:tblCellMar>
          <w:left w:type="dxa" w:w="0"/>
          <w:right w:type="dxa" w:w="0"/>
        </w:tblCellMar>
      </w:tblPr>
      <w:tblGrid>
        <w:gridCol w:w="1956"/>
        <w:gridCol w:w="1230"/>
        <w:gridCol w:w="1230"/>
        <w:gridCol w:w="1230"/>
        <w:gridCol w:w="1230"/>
        <w:gridCol w:w="1230"/>
        <w:gridCol w:w="1230"/>
        <w:gridCol w:w="1230"/>
        <w:gridCol w:w="1230"/>
        <w:gridCol w:w="1230"/>
        <w:gridCol w:w="1230"/>
      </w:tblGrid>
      <w:tr>
        <w:tc>
          <w:tcPr>
            <w:tcW w:type="dxa" w:w="1956"/>
            <w:tcBorders>
              <w:top w:val="nil"/>
              <w:left w:val="nil"/>
              <w:bottom w:val="nil"/>
              <w:right w:val="nil"/>
            </w:tcBorders>
            <w:shd w:fill="14213D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5"/>
              </w:rPr>
              <w:t>Metric</w:t>
            </w:r>
          </w:p>
        </w:tc>
        <w:tc>
          <w:tcPr>
            <w:tcW w:type="dxa" w:w="1230"/>
            <w:tcBorders>
              <w:top w:val="nil"/>
              <w:left w:val="nil"/>
              <w:bottom w:val="nil"/>
              <w:right w:val="nil"/>
            </w:tcBorders>
            <w:shd w:fill="14213D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color w:val="FFFFFF"/>
                <w:sz w:val="15"/>
              </w:rPr>
              <w:t>Kangwon Land</w:t>
            </w:r>
          </w:p>
        </w:tc>
        <w:tc>
          <w:tcPr>
            <w:tcW w:type="dxa" w:w="1230"/>
            <w:tcBorders>
              <w:top w:val="nil"/>
              <w:left w:val="nil"/>
              <w:bottom w:val="nil"/>
              <w:right w:val="nil"/>
            </w:tcBorders>
            <w:shd w:fill="14213D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color w:val="FFFFFF"/>
                <w:sz w:val="15"/>
              </w:rPr>
              <w:t>Paradise</w:t>
            </w:r>
          </w:p>
        </w:tc>
        <w:tc>
          <w:tcPr>
            <w:tcW w:type="dxa" w:w="1230"/>
            <w:tcBorders>
              <w:top w:val="nil"/>
              <w:left w:val="nil"/>
              <w:bottom w:val="nil"/>
              <w:right w:val="nil"/>
            </w:tcBorders>
            <w:shd w:fill="14213D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color w:val="FFFFFF"/>
                <w:sz w:val="15"/>
              </w:rPr>
              <w:t>GKL</w:t>
            </w:r>
          </w:p>
        </w:tc>
        <w:tc>
          <w:tcPr>
            <w:tcW w:type="dxa" w:w="1230"/>
            <w:tcBorders>
              <w:top w:val="nil"/>
              <w:left w:val="nil"/>
              <w:bottom w:val="nil"/>
              <w:right w:val="nil"/>
            </w:tcBorders>
            <w:shd w:fill="14213D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color w:val="FFFFFF"/>
                <w:sz w:val="15"/>
              </w:rPr>
              <w:t>Genting Sing.</w:t>
            </w:r>
          </w:p>
        </w:tc>
        <w:tc>
          <w:tcPr>
            <w:tcW w:type="dxa" w:w="1230"/>
            <w:tcBorders>
              <w:top w:val="nil"/>
              <w:left w:val="nil"/>
              <w:bottom w:val="nil"/>
              <w:right w:val="nil"/>
            </w:tcBorders>
            <w:shd w:fill="14213D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color w:val="FFFFFF"/>
                <w:sz w:val="15"/>
              </w:rPr>
              <w:t>GENM</w:t>
            </w:r>
          </w:p>
        </w:tc>
        <w:tc>
          <w:tcPr>
            <w:tcW w:type="dxa" w:w="1230"/>
            <w:tcBorders>
              <w:top w:val="nil"/>
              <w:left w:val="nil"/>
              <w:bottom w:val="nil"/>
              <w:right w:val="nil"/>
            </w:tcBorders>
            <w:shd w:fill="14213D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color w:val="FFFFFF"/>
                <w:sz w:val="15"/>
              </w:rPr>
              <w:t>Sands China</w:t>
            </w:r>
          </w:p>
        </w:tc>
        <w:tc>
          <w:tcPr>
            <w:tcW w:type="dxa" w:w="1230"/>
            <w:tcBorders>
              <w:top w:val="nil"/>
              <w:left w:val="nil"/>
              <w:bottom w:val="nil"/>
              <w:right w:val="nil"/>
            </w:tcBorders>
            <w:shd w:fill="14213D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color w:val="FFFFFF"/>
                <w:sz w:val="15"/>
              </w:rPr>
              <w:t>Galaxy</w:t>
            </w:r>
          </w:p>
        </w:tc>
        <w:tc>
          <w:tcPr>
            <w:tcW w:type="dxa" w:w="1230"/>
            <w:tcBorders>
              <w:top w:val="nil"/>
              <w:left w:val="nil"/>
              <w:bottom w:val="nil"/>
              <w:right w:val="nil"/>
            </w:tcBorders>
            <w:shd w:fill="14213D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color w:val="FFFFFF"/>
                <w:sz w:val="15"/>
              </w:rPr>
              <w:t>MGM China</w:t>
            </w:r>
          </w:p>
        </w:tc>
        <w:tc>
          <w:tcPr>
            <w:tcW w:type="dxa" w:w="1230"/>
            <w:tcBorders>
              <w:top w:val="nil"/>
              <w:left w:val="nil"/>
              <w:bottom w:val="nil"/>
              <w:right w:val="nil"/>
            </w:tcBorders>
            <w:shd w:fill="14213D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color w:val="FFFFFF"/>
                <w:sz w:val="15"/>
              </w:rPr>
              <w:t>NagaCorp</w:t>
            </w:r>
          </w:p>
        </w:tc>
        <w:tc>
          <w:tcPr>
            <w:tcW w:type="dxa" w:w="1230"/>
            <w:tcBorders>
              <w:top w:val="nil"/>
              <w:left w:val="nil"/>
              <w:bottom w:val="nil"/>
              <w:right w:val="nil"/>
            </w:tcBorders>
            <w:shd w:fill="14213D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color w:val="FFFFFF"/>
                <w:sz w:val="15"/>
              </w:rPr>
              <w:t>Median (31)</w:t>
            </w:r>
          </w:p>
        </w:tc>
      </w:tr>
      <w:tr>
        <w:tc>
          <w:tcPr>
            <w:tcW w:type="dxa" w:w="1956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D2433"/>
                <w:sz w:val="15"/>
              </w:rPr>
              <w:t>TEV/Sales</w:t>
            </w:r>
          </w:p>
        </w:tc>
        <w:tc>
          <w:tcPr>
            <w:tcW w:type="dxa" w:w="123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D2433"/>
                <w:sz w:val="15"/>
              </w:rPr>
              <w:t>−0.08x</w:t>
            </w:r>
          </w:p>
        </w:tc>
        <w:tc>
          <w:tcPr>
            <w:tcW w:type="dxa" w:w="123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D2433"/>
                <w:sz w:val="15"/>
              </w:rPr>
              <w:t>1.66x</w:t>
            </w:r>
          </w:p>
        </w:tc>
        <w:tc>
          <w:tcPr>
            <w:tcW w:type="dxa" w:w="123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D2433"/>
                <w:sz w:val="15"/>
              </w:rPr>
              <w:t>0.33x</w:t>
            </w:r>
          </w:p>
        </w:tc>
        <w:tc>
          <w:tcPr>
            <w:tcW w:type="dxa" w:w="123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D2433"/>
                <w:sz w:val="15"/>
              </w:rPr>
              <w:t>1.81x</w:t>
            </w:r>
          </w:p>
        </w:tc>
        <w:tc>
          <w:tcPr>
            <w:tcW w:type="dxa" w:w="123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D2433"/>
                <w:sz w:val="15"/>
              </w:rPr>
              <w:t>1.56x</w:t>
            </w:r>
          </w:p>
        </w:tc>
        <w:tc>
          <w:tcPr>
            <w:tcW w:type="dxa" w:w="123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D2433"/>
                <w:sz w:val="15"/>
              </w:rPr>
              <w:t>2.23x</w:t>
            </w:r>
          </w:p>
        </w:tc>
        <w:tc>
          <w:tcPr>
            <w:tcW w:type="dxa" w:w="123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D2433"/>
                <w:sz w:val="15"/>
              </w:rPr>
              <w:t>2.71x</w:t>
            </w:r>
          </w:p>
        </w:tc>
        <w:tc>
          <w:tcPr>
            <w:tcW w:type="dxa" w:w="123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D2433"/>
                <w:sz w:val="15"/>
              </w:rPr>
              <w:t>1.45x</w:t>
            </w:r>
          </w:p>
        </w:tc>
        <w:tc>
          <w:tcPr>
            <w:tcW w:type="dxa" w:w="123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D2433"/>
                <w:sz w:val="15"/>
              </w:rPr>
              <w:t>1.64x</w:t>
            </w:r>
          </w:p>
        </w:tc>
        <w:tc>
          <w:tcPr>
            <w:tcW w:type="dxa" w:w="123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D2433"/>
                <w:sz w:val="15"/>
              </w:rPr>
              <w:t>1.81x</w:t>
            </w:r>
          </w:p>
        </w:tc>
      </w:tr>
      <w:tr>
        <w:tc>
          <w:tcPr>
            <w:tcW w:type="dxa" w:w="1956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D2433"/>
                <w:sz w:val="15"/>
              </w:rPr>
              <w:t>TEV/EBITDA (LTM)</w:t>
            </w:r>
          </w:p>
        </w:tc>
        <w:tc>
          <w:tcPr>
            <w:tcW w:type="dxa" w:w="123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D2433"/>
                <w:sz w:val="15"/>
              </w:rPr>
              <w:t>n.m.</w:t>
            </w:r>
          </w:p>
        </w:tc>
        <w:tc>
          <w:tcPr>
            <w:tcW w:type="dxa" w:w="123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D2433"/>
                <w:sz w:val="15"/>
              </w:rPr>
              <w:t>9.6x</w:t>
            </w:r>
          </w:p>
        </w:tc>
        <w:tc>
          <w:tcPr>
            <w:tcW w:type="dxa" w:w="123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D2433"/>
                <w:sz w:val="15"/>
              </w:rPr>
              <w:t>1.7x</w:t>
            </w:r>
          </w:p>
        </w:tc>
        <w:tc>
          <w:tcPr>
            <w:tcW w:type="dxa" w:w="123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D2433"/>
                <w:sz w:val="15"/>
              </w:rPr>
              <w:t>5.6x</w:t>
            </w:r>
          </w:p>
        </w:tc>
        <w:tc>
          <w:tcPr>
            <w:tcW w:type="dxa" w:w="123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D2433"/>
                <w:sz w:val="15"/>
              </w:rPr>
              <w:t>8.1x</w:t>
            </w:r>
          </w:p>
        </w:tc>
        <w:tc>
          <w:tcPr>
            <w:tcW w:type="dxa" w:w="123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D2433"/>
                <w:sz w:val="15"/>
              </w:rPr>
              <w:t>8.5x</w:t>
            </w:r>
          </w:p>
        </w:tc>
        <w:tc>
          <w:tcPr>
            <w:tcW w:type="dxa" w:w="123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D2433"/>
                <w:sz w:val="15"/>
              </w:rPr>
              <w:t>10.1x</w:t>
            </w:r>
          </w:p>
        </w:tc>
        <w:tc>
          <w:tcPr>
            <w:tcW w:type="dxa" w:w="123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D2433"/>
                <w:sz w:val="15"/>
              </w:rPr>
              <w:t>6.2x</w:t>
            </w:r>
          </w:p>
        </w:tc>
        <w:tc>
          <w:tcPr>
            <w:tcW w:type="dxa" w:w="123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D2433"/>
                <w:sz w:val="15"/>
              </w:rPr>
              <w:t>2.6x</w:t>
            </w:r>
          </w:p>
        </w:tc>
        <w:tc>
          <w:tcPr>
            <w:tcW w:type="dxa" w:w="123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D2433"/>
                <w:sz w:val="15"/>
              </w:rPr>
              <w:t>8.0x</w:t>
            </w:r>
          </w:p>
        </w:tc>
      </w:tr>
      <w:tr>
        <w:tc>
          <w:tcPr>
            <w:tcW w:type="dxa" w:w="1956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D2433"/>
                <w:sz w:val="15"/>
              </w:rPr>
              <w:t>TEV/EBITDA (NTM)</w:t>
            </w:r>
          </w:p>
        </w:tc>
        <w:tc>
          <w:tcPr>
            <w:tcW w:type="dxa" w:w="123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D2433"/>
                <w:sz w:val="15"/>
              </w:rPr>
              <w:t>n.m.</w:t>
            </w:r>
          </w:p>
        </w:tc>
        <w:tc>
          <w:tcPr>
            <w:tcW w:type="dxa" w:w="123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D2433"/>
                <w:sz w:val="15"/>
              </w:rPr>
              <w:t>7.5x</w:t>
            </w:r>
          </w:p>
        </w:tc>
        <w:tc>
          <w:tcPr>
            <w:tcW w:type="dxa" w:w="123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D2433"/>
                <w:sz w:val="15"/>
              </w:rPr>
              <w:t>1.6x</w:t>
            </w:r>
          </w:p>
        </w:tc>
        <w:tc>
          <w:tcPr>
            <w:tcW w:type="dxa" w:w="123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D2433"/>
                <w:sz w:val="15"/>
              </w:rPr>
              <w:t>5.1x</w:t>
            </w:r>
          </w:p>
        </w:tc>
        <w:tc>
          <w:tcPr>
            <w:tcW w:type="dxa" w:w="123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D2433"/>
                <w:sz w:val="15"/>
              </w:rPr>
              <w:t>6.6x</w:t>
            </w:r>
          </w:p>
        </w:tc>
        <w:tc>
          <w:tcPr>
            <w:tcW w:type="dxa" w:w="123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D2433"/>
                <w:sz w:val="15"/>
              </w:rPr>
              <w:t>7.8x</w:t>
            </w:r>
          </w:p>
        </w:tc>
        <w:tc>
          <w:tcPr>
            <w:tcW w:type="dxa" w:w="123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D2433"/>
                <w:sz w:val="15"/>
              </w:rPr>
              <w:t>9.2x</w:t>
            </w:r>
          </w:p>
        </w:tc>
        <w:tc>
          <w:tcPr>
            <w:tcW w:type="dxa" w:w="123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D2433"/>
                <w:sz w:val="15"/>
              </w:rPr>
              <w:t>5.2x</w:t>
            </w:r>
          </w:p>
        </w:tc>
        <w:tc>
          <w:tcPr>
            <w:tcW w:type="dxa" w:w="123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D2433"/>
                <w:sz w:val="15"/>
              </w:rPr>
              <w:t>3.1x</w:t>
            </w:r>
          </w:p>
        </w:tc>
        <w:tc>
          <w:tcPr>
            <w:tcW w:type="dxa" w:w="123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D2433"/>
                <w:sz w:val="15"/>
              </w:rPr>
              <w:t>7.5x</w:t>
            </w:r>
          </w:p>
        </w:tc>
      </w:tr>
      <w:tr>
        <w:tc>
          <w:tcPr>
            <w:tcW w:type="dxa" w:w="1956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D2433"/>
                <w:sz w:val="15"/>
              </w:rPr>
              <w:t>P/E (LTM)</w:t>
            </w:r>
          </w:p>
        </w:tc>
        <w:tc>
          <w:tcPr>
            <w:tcW w:type="dxa" w:w="123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D2433"/>
                <w:sz w:val="15"/>
              </w:rPr>
              <w:t>8.8x</w:t>
            </w:r>
          </w:p>
        </w:tc>
        <w:tc>
          <w:tcPr>
            <w:tcW w:type="dxa" w:w="123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D2433"/>
                <w:sz w:val="15"/>
              </w:rPr>
              <w:t>11.6x</w:t>
            </w:r>
          </w:p>
        </w:tc>
        <w:tc>
          <w:tcPr>
            <w:tcW w:type="dxa" w:w="123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D2433"/>
                <w:sz w:val="15"/>
              </w:rPr>
              <w:t>11.2x</w:t>
            </w:r>
          </w:p>
        </w:tc>
        <w:tc>
          <w:tcPr>
            <w:tcW w:type="dxa" w:w="123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D2433"/>
                <w:sz w:val="15"/>
              </w:rPr>
              <w:t>23.5x</w:t>
            </w:r>
          </w:p>
        </w:tc>
        <w:tc>
          <w:tcPr>
            <w:tcW w:type="dxa" w:w="123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D2433"/>
                <w:sz w:val="15"/>
              </w:rPr>
              <w:t>23.1x</w:t>
            </w:r>
          </w:p>
        </w:tc>
        <w:tc>
          <w:tcPr>
            <w:tcW w:type="dxa" w:w="123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D2433"/>
                <w:sz w:val="15"/>
              </w:rPr>
              <w:t>13.4x</w:t>
            </w:r>
          </w:p>
        </w:tc>
        <w:tc>
          <w:tcPr>
            <w:tcW w:type="dxa" w:w="123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D2433"/>
                <w:sz w:val="15"/>
              </w:rPr>
              <w:t>13.7x</w:t>
            </w:r>
          </w:p>
        </w:tc>
        <w:tc>
          <w:tcPr>
            <w:tcW w:type="dxa" w:w="123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D2433"/>
                <w:sz w:val="15"/>
              </w:rPr>
              <w:t>8.2x</w:t>
            </w:r>
          </w:p>
        </w:tc>
        <w:tc>
          <w:tcPr>
            <w:tcW w:type="dxa" w:w="123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D2433"/>
                <w:sz w:val="15"/>
              </w:rPr>
              <w:t>4.5x</w:t>
            </w:r>
          </w:p>
        </w:tc>
        <w:tc>
          <w:tcPr>
            <w:tcW w:type="dxa" w:w="123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D2433"/>
                <w:sz w:val="15"/>
              </w:rPr>
              <w:t>13.6x</w:t>
            </w:r>
          </w:p>
        </w:tc>
      </w:tr>
      <w:tr>
        <w:tc>
          <w:tcPr>
            <w:tcW w:type="dxa" w:w="1956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D2433"/>
                <w:sz w:val="15"/>
              </w:rPr>
              <w:t>P/E (NTM)</w:t>
            </w:r>
          </w:p>
        </w:tc>
        <w:tc>
          <w:tcPr>
            <w:tcW w:type="dxa" w:w="123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D2433"/>
                <w:sz w:val="15"/>
              </w:rPr>
              <w:t>10.1x</w:t>
            </w:r>
          </w:p>
        </w:tc>
        <w:tc>
          <w:tcPr>
            <w:tcW w:type="dxa" w:w="123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D2433"/>
                <w:sz w:val="15"/>
              </w:rPr>
              <w:t>9.8x</w:t>
            </w:r>
          </w:p>
        </w:tc>
        <w:tc>
          <w:tcPr>
            <w:tcW w:type="dxa" w:w="123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D2433"/>
                <w:sz w:val="15"/>
              </w:rPr>
              <w:t>9.3x</w:t>
            </w:r>
          </w:p>
        </w:tc>
        <w:tc>
          <w:tcPr>
            <w:tcW w:type="dxa" w:w="123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D2433"/>
                <w:sz w:val="15"/>
              </w:rPr>
              <w:t>17.0x</w:t>
            </w:r>
          </w:p>
        </w:tc>
        <w:tc>
          <w:tcPr>
            <w:tcW w:type="dxa" w:w="123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D2433"/>
                <w:sz w:val="15"/>
              </w:rPr>
              <w:t>14.9x</w:t>
            </w:r>
          </w:p>
        </w:tc>
        <w:tc>
          <w:tcPr>
            <w:tcW w:type="dxa" w:w="123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D2433"/>
                <w:sz w:val="15"/>
              </w:rPr>
              <w:t>11.3x</w:t>
            </w:r>
          </w:p>
        </w:tc>
        <w:tc>
          <w:tcPr>
            <w:tcW w:type="dxa" w:w="123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D2433"/>
                <w:sz w:val="15"/>
              </w:rPr>
              <w:t>13.2x</w:t>
            </w:r>
          </w:p>
        </w:tc>
        <w:tc>
          <w:tcPr>
            <w:tcW w:type="dxa" w:w="123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D2433"/>
                <w:sz w:val="15"/>
              </w:rPr>
              <w:t>8.3x</w:t>
            </w:r>
          </w:p>
        </w:tc>
        <w:tc>
          <w:tcPr>
            <w:tcW w:type="dxa" w:w="123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D2433"/>
                <w:sz w:val="15"/>
              </w:rPr>
              <w:t>5.1x</w:t>
            </w:r>
          </w:p>
        </w:tc>
        <w:tc>
          <w:tcPr>
            <w:tcW w:type="dxa" w:w="123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D2433"/>
                <w:sz w:val="15"/>
              </w:rPr>
              <w:t>10.7x</w:t>
            </w:r>
          </w:p>
        </w:tc>
      </w:tr>
      <w:tr>
        <w:tc>
          <w:tcPr>
            <w:tcW w:type="dxa" w:w="1956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D2433"/>
                <w:sz w:val="15"/>
              </w:rPr>
              <w:t>EBITDA margin</w:t>
            </w:r>
          </w:p>
        </w:tc>
        <w:tc>
          <w:tcPr>
            <w:tcW w:type="dxa" w:w="123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D2433"/>
                <w:sz w:val="15"/>
              </w:rPr>
              <w:t>20.7%</w:t>
            </w:r>
          </w:p>
        </w:tc>
        <w:tc>
          <w:tcPr>
            <w:tcW w:type="dxa" w:w="123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D2433"/>
                <w:sz w:val="15"/>
              </w:rPr>
              <w:t>17.4%</w:t>
            </w:r>
          </w:p>
        </w:tc>
        <w:tc>
          <w:tcPr>
            <w:tcW w:type="dxa" w:w="123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D2433"/>
                <w:sz w:val="15"/>
              </w:rPr>
              <w:t>19.8%</w:t>
            </w:r>
          </w:p>
        </w:tc>
        <w:tc>
          <w:tcPr>
            <w:tcW w:type="dxa" w:w="123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D2433"/>
                <w:sz w:val="15"/>
              </w:rPr>
              <w:t>32.4%</w:t>
            </w:r>
          </w:p>
        </w:tc>
        <w:tc>
          <w:tcPr>
            <w:tcW w:type="dxa" w:w="123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D2433"/>
                <w:sz w:val="15"/>
              </w:rPr>
              <w:t>19.2%</w:t>
            </w:r>
          </w:p>
        </w:tc>
        <w:tc>
          <w:tcPr>
            <w:tcW w:type="dxa" w:w="123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D2433"/>
                <w:sz w:val="15"/>
              </w:rPr>
              <w:t>26.3%</w:t>
            </w:r>
          </w:p>
        </w:tc>
        <w:tc>
          <w:tcPr>
            <w:tcW w:type="dxa" w:w="123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D2433"/>
                <w:sz w:val="15"/>
              </w:rPr>
              <w:t>26.9%</w:t>
            </w:r>
          </w:p>
        </w:tc>
        <w:tc>
          <w:tcPr>
            <w:tcW w:type="dxa" w:w="123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D2433"/>
                <w:sz w:val="15"/>
              </w:rPr>
              <w:t>23.5%</w:t>
            </w:r>
          </w:p>
        </w:tc>
        <w:tc>
          <w:tcPr>
            <w:tcW w:type="dxa" w:w="123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D2433"/>
                <w:sz w:val="15"/>
              </w:rPr>
              <w:t>61.9%</w:t>
            </w:r>
          </w:p>
        </w:tc>
        <w:tc>
          <w:tcPr>
            <w:tcW w:type="dxa" w:w="123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D2433"/>
                <w:sz w:val="15"/>
              </w:rPr>
              <w:t>24.6%</w:t>
            </w:r>
          </w:p>
        </w:tc>
      </w:tr>
      <w:tr>
        <w:tc>
          <w:tcPr>
            <w:tcW w:type="dxa" w:w="1956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D2433"/>
                <w:sz w:val="15"/>
              </w:rPr>
              <w:t>EBIT margin</w:t>
            </w:r>
          </w:p>
        </w:tc>
        <w:tc>
          <w:tcPr>
            <w:tcW w:type="dxa" w:w="123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D2433"/>
                <w:sz w:val="15"/>
              </w:rPr>
              <w:t>14.6%</w:t>
            </w:r>
          </w:p>
        </w:tc>
        <w:tc>
          <w:tcPr>
            <w:tcW w:type="dxa" w:w="123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D2433"/>
                <w:sz w:val="15"/>
              </w:rPr>
              <w:t>10.8%</w:t>
            </w:r>
          </w:p>
        </w:tc>
        <w:tc>
          <w:tcPr>
            <w:tcW w:type="dxa" w:w="123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D2433"/>
                <w:sz w:val="15"/>
              </w:rPr>
              <w:t>12.4%</w:t>
            </w:r>
          </w:p>
        </w:tc>
        <w:tc>
          <w:tcPr>
            <w:tcW w:type="dxa" w:w="123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D2433"/>
                <w:sz w:val="15"/>
              </w:rPr>
              <w:t>15.4%</w:t>
            </w:r>
          </w:p>
        </w:tc>
        <w:tc>
          <w:tcPr>
            <w:tcW w:type="dxa" w:w="123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D2433"/>
                <w:sz w:val="15"/>
              </w:rPr>
              <w:t>8.6%</w:t>
            </w:r>
          </w:p>
        </w:tc>
        <w:tc>
          <w:tcPr>
            <w:tcW w:type="dxa" w:w="123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D2433"/>
                <w:sz w:val="15"/>
              </w:rPr>
              <w:t>16.3%</w:t>
            </w:r>
          </w:p>
        </w:tc>
        <w:tc>
          <w:tcPr>
            <w:tcW w:type="dxa" w:w="123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D2433"/>
                <w:sz w:val="15"/>
              </w:rPr>
              <w:t>19.2%</w:t>
            </w:r>
          </w:p>
        </w:tc>
        <w:tc>
          <w:tcPr>
            <w:tcW w:type="dxa" w:w="123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D2433"/>
                <w:sz w:val="15"/>
              </w:rPr>
              <w:t>17.1%</w:t>
            </w:r>
          </w:p>
        </w:tc>
        <w:tc>
          <w:tcPr>
            <w:tcW w:type="dxa" w:w="123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D2433"/>
                <w:sz w:val="15"/>
              </w:rPr>
              <w:t>46.5%</w:t>
            </w:r>
          </w:p>
        </w:tc>
        <w:tc>
          <w:tcPr>
            <w:tcW w:type="dxa" w:w="123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D2433"/>
                <w:sz w:val="15"/>
              </w:rPr>
              <w:t>12.6%</w:t>
            </w:r>
          </w:p>
        </w:tc>
      </w:tr>
      <w:tr>
        <w:tc>
          <w:tcPr>
            <w:tcW w:type="dxa" w:w="1956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D2433"/>
                <w:sz w:val="15"/>
              </w:rPr>
              <w:t>Net debt/EBITDA</w:t>
            </w:r>
          </w:p>
        </w:tc>
        <w:tc>
          <w:tcPr>
            <w:tcW w:type="dxa" w:w="123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D2433"/>
                <w:sz w:val="15"/>
              </w:rPr>
              <w:t>−9.6x</w:t>
            </w:r>
          </w:p>
        </w:tc>
        <w:tc>
          <w:tcPr>
            <w:tcW w:type="dxa" w:w="123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D2433"/>
                <w:sz w:val="15"/>
              </w:rPr>
              <w:t>3.0x</w:t>
            </w:r>
          </w:p>
        </w:tc>
        <w:tc>
          <w:tcPr>
            <w:tcW w:type="dxa" w:w="123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D2433"/>
                <w:sz w:val="15"/>
              </w:rPr>
              <w:t>−4.3x</w:t>
            </w:r>
          </w:p>
        </w:tc>
        <w:tc>
          <w:tcPr>
            <w:tcW w:type="dxa" w:w="123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D2433"/>
                <w:sz w:val="15"/>
              </w:rPr>
              <w:t>−3.7x</w:t>
            </w:r>
          </w:p>
        </w:tc>
        <w:tc>
          <w:tcPr>
            <w:tcW w:type="dxa" w:w="123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D2433"/>
                <w:sz w:val="15"/>
              </w:rPr>
              <w:t>5.6x</w:t>
            </w:r>
          </w:p>
        </w:tc>
        <w:tc>
          <w:tcPr>
            <w:tcW w:type="dxa" w:w="123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D2433"/>
                <w:sz w:val="15"/>
              </w:rPr>
              <w:t>2.7x</w:t>
            </w:r>
          </w:p>
        </w:tc>
        <w:tc>
          <w:tcPr>
            <w:tcW w:type="dxa" w:w="123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D2433"/>
                <w:sz w:val="15"/>
              </w:rPr>
              <w:t>−0.8x</w:t>
            </w:r>
          </w:p>
        </w:tc>
        <w:tc>
          <w:tcPr>
            <w:tcW w:type="dxa" w:w="123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D2433"/>
                <w:sz w:val="15"/>
              </w:rPr>
              <w:t>1.7x</w:t>
            </w:r>
          </w:p>
        </w:tc>
        <w:tc>
          <w:tcPr>
            <w:tcW w:type="dxa" w:w="123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D2433"/>
                <w:sz w:val="15"/>
              </w:rPr>
              <w:t>−0.8x</w:t>
            </w:r>
          </w:p>
        </w:tc>
        <w:tc>
          <w:tcPr>
            <w:tcW w:type="dxa" w:w="123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D2433"/>
                <w:sz w:val="15"/>
              </w:rPr>
              <w:t>4.4x</w:t>
            </w:r>
          </w:p>
        </w:tc>
      </w:tr>
      <w:tr>
        <w:tc>
          <w:tcPr>
            <w:tcW w:type="dxa" w:w="1956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D2433"/>
                <w:sz w:val="15"/>
              </w:rPr>
              <w:t>Dividend yield</w:t>
            </w:r>
          </w:p>
        </w:tc>
        <w:tc>
          <w:tcPr>
            <w:tcW w:type="dxa" w:w="123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D2433"/>
                <w:sz w:val="15"/>
              </w:rPr>
              <w:t>6.7%</w:t>
            </w:r>
          </w:p>
        </w:tc>
        <w:tc>
          <w:tcPr>
            <w:tcW w:type="dxa" w:w="123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D2433"/>
                <w:sz w:val="15"/>
              </w:rPr>
              <w:t>1.5%</w:t>
            </w:r>
          </w:p>
        </w:tc>
        <w:tc>
          <w:tcPr>
            <w:tcW w:type="dxa" w:w="123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D2433"/>
                <w:sz w:val="15"/>
              </w:rPr>
              <w:t>4.9%</w:t>
            </w:r>
          </w:p>
        </w:tc>
        <w:tc>
          <w:tcPr>
            <w:tcW w:type="dxa" w:w="123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D2433"/>
                <w:sz w:val="15"/>
              </w:rPr>
              <w:t>6.6%</w:t>
            </w:r>
          </w:p>
        </w:tc>
        <w:tc>
          <w:tcPr>
            <w:tcW w:type="dxa" w:w="123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D2433"/>
                <w:sz w:val="15"/>
              </w:rPr>
              <w:t>5.5%</w:t>
            </w:r>
          </w:p>
        </w:tc>
        <w:tc>
          <w:tcPr>
            <w:tcW w:type="dxa" w:w="123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D2433"/>
                <w:sz w:val="15"/>
              </w:rPr>
              <w:t>6.5%</w:t>
            </w:r>
          </w:p>
        </w:tc>
        <w:tc>
          <w:tcPr>
            <w:tcW w:type="dxa" w:w="123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D2433"/>
                <w:sz w:val="15"/>
              </w:rPr>
              <w:t>4.5%</w:t>
            </w:r>
          </w:p>
        </w:tc>
        <w:tc>
          <w:tcPr>
            <w:tcW w:type="dxa" w:w="123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D2433"/>
                <w:sz w:val="15"/>
              </w:rPr>
              <w:t>6.8%</w:t>
            </w:r>
          </w:p>
        </w:tc>
        <w:tc>
          <w:tcPr>
            <w:tcW w:type="dxa" w:w="123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D2433"/>
                <w:sz w:val="15"/>
              </w:rPr>
              <w:t>3.3%</w:t>
            </w:r>
          </w:p>
        </w:tc>
        <w:tc>
          <w:tcPr>
            <w:tcW w:type="dxa" w:w="123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color w:val="1D2433"/>
                <w:sz w:val="15"/>
              </w:rPr>
              <w:t>1.1%</w:t>
            </w:r>
          </w:p>
        </w:tc>
      </w:tr>
    </w:tbl>
    <w:p>
      <w:pPr>
        <w:spacing w:before="40" w:after="100" w:line="264" w:lineRule="auto"/>
      </w:pPr>
      <w:r>
        <w:rPr>
          <w:rFonts w:ascii="Arial" w:hAnsi="Arial"/>
          <w:color w:val="7A8291"/>
          <w:sz w:val="13"/>
        </w:rPr>
        <w:t>S&amp;P Capital IQ, 16-Oct-2026 (LTM to 30-Jun-2026); Kangwon Land TEV/Sales at KRW14,180 is our calculation. Median of 31 listed casino peers, ex-Kangwon Land.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  <w:tblW w:type="dxa" w:w="14256"/>
        <w:tblCellMar>
          <w:left w:type="dxa" w:w="0"/>
          <w:right w:type="dxa" w:w="0"/>
        </w:tblCellMar>
      </w:tblPr>
      <w:tblGrid>
        <w:gridCol w:w="6918"/>
        <w:gridCol w:w="420"/>
        <w:gridCol w:w="6918"/>
      </w:tblGrid>
      <w:tr>
        <w:tc>
          <w:tcPr>
            <w:tcW w:type="dxa" w:w="691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100"/>
              <w:pBdr>
                <w:bottom w:val="single" w:sz="4" w:space="4" w:color="D5D9E0"/>
              </w:pBdr>
            </w:pPr>
            <w:r>
              <w:rPr>
                <w:rFonts w:ascii="Arial" w:hAnsi="Arial"/>
                <w:b/>
                <w:color w:val="14213D"/>
                <w:sz w:val="21"/>
              </w:rPr>
              <w:t>What the comparison shows</w:t>
            </w:r>
          </w:p>
          <w:p>
            <w:pPr>
              <w:spacing w:before="0" w:after="70" w:line="269" w:lineRule="auto"/>
              <w:ind w:left="220" w:hanging="220"/>
            </w:pPr>
            <w:r>
              <w:rPr>
                <w:color w:val="2B6CD4"/>
                <w:sz w:val="11"/>
              </w:rPr>
              <w:t xml:space="preserve">■  </w:t>
            </w:r>
            <w:r>
              <w:rPr>
                <w:rFonts w:ascii="Arial" w:hAnsi="Arial"/>
                <w:color w:val="333B4A"/>
                <w:sz w:val="15"/>
              </w:rPr>
              <w:t>Negative EV: net financial assets ~KRW2.93tn [e] vs market cap KRW2.81tn. After a KRW0.4tn reserve, operations are valued at ~0.9x EBITDA</w:t>
            </w:r>
          </w:p>
          <w:p>
            <w:pPr>
              <w:spacing w:before="0" w:after="70" w:line="269" w:lineRule="auto"/>
              <w:ind w:left="220" w:hanging="220"/>
            </w:pPr>
            <w:r>
              <w:rPr>
                <w:color w:val="2B6CD4"/>
                <w:sz w:val="11"/>
              </w:rPr>
              <w:t xml:space="preserve">■  </w:t>
            </w:r>
            <w:r>
              <w:rPr>
                <w:rFonts w:ascii="Arial" w:hAnsi="Arial"/>
                <w:color w:val="333B4A"/>
                <w:sz w:val="15"/>
              </w:rPr>
              <w:t>Ex-cash P/E on FY27E operating NOPAT is ~1.8x [e]; the EBIT margin (14.6%) is above the peer median (12.6%) even after a 42% government take</w:t>
            </w:r>
          </w:p>
          <w:p>
            <w:pPr>
              <w:spacing w:before="0" w:after="70" w:line="269" w:lineRule="auto"/>
              <w:ind w:left="220" w:hanging="220"/>
            </w:pPr>
            <w:r>
              <w:rPr>
                <w:color w:val="2B6CD4"/>
                <w:sz w:val="11"/>
              </w:rPr>
              <w:t xml:space="preserve">■  </w:t>
            </w:r>
            <w:r>
              <w:rPr>
                <w:rFonts w:ascii="Arial" w:hAnsi="Arial"/>
                <w:color w:val="333B4A"/>
                <w:sz w:val="15"/>
              </w:rPr>
              <w:t>P/B ~0.74x [u] (2015: 2.60x) and a 6.7% yield, the top of its ten-year range</w:t>
            </w:r>
          </w:p>
        </w:tc>
        <w:tc>
          <w:tcPr>
            <w:tcW w:type="dxa" w:w="420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691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100"/>
              <w:pBdr>
                <w:bottom w:val="single" w:sz="4" w:space="4" w:color="D5D9E0"/>
              </w:pBdr>
            </w:pPr>
            <w:r>
              <w:rPr>
                <w:rFonts w:ascii="Arial" w:hAnsi="Arial"/>
                <w:b/>
                <w:color w:val="14213D"/>
                <w:sz w:val="21"/>
              </w:rPr>
              <w:t>The honest counter-read</w:t>
            </w:r>
          </w:p>
          <w:p>
            <w:pPr>
              <w:spacing w:before="0" w:after="70" w:line="269" w:lineRule="auto"/>
              <w:ind w:left="220" w:hanging="220"/>
            </w:pPr>
            <w:r>
              <w:rPr>
                <w:color w:val="7A8291"/>
                <w:sz w:val="11"/>
              </w:rPr>
              <w:t xml:space="preserve">■  </w:t>
            </w:r>
            <w:r>
              <w:rPr>
                <w:rFonts w:ascii="Arial" w:hAnsi="Arial"/>
                <w:color w:val="333B4A"/>
                <w:sz w:val="15"/>
              </w:rPr>
              <w:t>P/E (8.8x LTM, 11.3x FY26E ours) is only in line with peers: ~45% of pre-tax profit is financial income and valuation gains</w:t>
            </w:r>
          </w:p>
          <w:p>
            <w:pPr>
              <w:spacing w:before="0" w:after="70" w:line="269" w:lineRule="auto"/>
              <w:ind w:left="220" w:hanging="220"/>
            </w:pPr>
            <w:r>
              <w:rPr>
                <w:color w:val="7A8291"/>
                <w:sz w:val="11"/>
              </w:rPr>
              <w:t xml:space="preserve">■  </w:t>
            </w:r>
            <w:r>
              <w:rPr>
                <w:rFonts w:ascii="Arial" w:hAnsi="Arial"/>
                <w:color w:val="333B4A"/>
                <w:sz w:val="15"/>
              </w:rPr>
              <w:t>The cash is not fully the minority's: K-HIT targets ~KRW3tn of capex to 2035, and the State can redirect cash by levy or mandate</w:t>
            </w:r>
          </w:p>
          <w:p>
            <w:pPr>
              <w:spacing w:before="0" w:after="70" w:line="269" w:lineRule="auto"/>
              <w:ind w:left="220" w:hanging="220"/>
            </w:pPr>
            <w:r>
              <w:rPr>
                <w:color w:val="7A8291"/>
                <w:sz w:val="11"/>
              </w:rPr>
              <w:t xml:space="preserve">■  </w:t>
            </w:r>
            <w:r>
              <w:rPr>
                <w:rFonts w:ascii="Arial" w:hAnsi="Arial"/>
                <w:color w:val="333B4A"/>
                <w:sz w:val="15"/>
              </w:rPr>
              <w:t>Growth is below peers (LTM +1.8% vs +6.0%) and OP falls in FY26E (−15%) during the renovation</w:t>
            </w:r>
          </w:p>
        </w:tc>
      </w:tr>
    </w:tbl>
    <w:p>
      <w:pPr>
        <w:spacing w:before="0" w:after="40"/>
      </w:pPr>
    </w:p>
    <w:p>
      <w:pPr>
        <w:sectPr>
          <w:footerReference w:type="default" r:id="rId15"/>
          <w:pgSz w:w="15840" w:h="12240" w:orient="landscape"/>
          <w:pgMar w:top="640" w:right="792" w:bottom="560" w:left="792" w:header="300" w:footer="300" w:gutter="0"/>
          <w:cols w:space="720"/>
          <w:docGrid w:linePitch="360"/>
        </w:sectPr>
      </w:pP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  <w:tblW w:type="dxa" w:w="14256"/>
        <w:tblCellMar>
          <w:left w:type="dxa" w:w="0"/>
          <w:right w:type="dxa" w:w="0"/>
        </w:tblCellMar>
      </w:tblPr>
      <w:tblGrid>
        <w:gridCol w:w="12356"/>
        <w:gridCol w:w="1900"/>
      </w:tblGrid>
      <w:tr>
        <w:tc>
          <w:tcPr>
            <w:tcW w:type="dxa" w:w="1235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B6CD4"/>
                <w:sz w:val="18"/>
              </w:rPr>
              <w:t>QUESTION 1 - IS KANGWON LAND UNDERVALUED?</w:t>
            </w:r>
          </w:p>
        </w:tc>
        <w:tc>
          <w:tcPr>
            <w:tcW w:type="dxa" w:w="1900"/>
            <w:tcBorders>
              <w:top w:val="nil"/>
              <w:left w:val="nil"/>
              <w:bottom w:val="nil"/>
              <w:right w:val="nil"/>
            </w:tcBorders>
            <w:shd w:fill="14213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VALUATION</w:t>
            </w:r>
          </w:p>
        </w:tc>
      </w:tr>
    </w:tbl>
    <w:p>
      <w:pPr>
        <w:spacing w:before="0" w:after="0" w:line="80" w:lineRule="exact"/>
        <w:pBdr>
          <w:bottom w:val="single" w:sz="6" w:space="1" w:color="1D2433"/>
        </w:pBdr>
      </w:pPr>
    </w:p>
    <w:p>
      <w:pPr>
        <w:spacing w:before="140" w:after="140" w:line="252" w:lineRule="auto"/>
      </w:pPr>
      <w:r>
        <w:rPr>
          <w:rFonts w:ascii="Arial" w:hAnsi="Arial"/>
          <w:b/>
          <w:color w:val="14213D"/>
          <w:sz w:val="38"/>
        </w:rPr>
        <w:t>Regression: peers with a 14.6% EBIT margin trade at ~2.1x sales - Kangwon Land's operating business trades at zero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  <w:tblW w:type="dxa" w:w="14256"/>
        <w:tblCellMar>
          <w:left w:type="dxa" w:w="0"/>
          <w:right w:type="dxa" w:w="0"/>
        </w:tblCellMar>
      </w:tblPr>
      <w:tblGrid>
        <w:gridCol w:w="8024"/>
        <w:gridCol w:w="420"/>
        <w:gridCol w:w="5812"/>
      </w:tblGrid>
      <w:tr>
        <w:tc>
          <w:tcPr>
            <w:tcW w:type="dxa" w:w="802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40"/>
            </w:pPr>
            <w:r>
              <w:drawing>
                <wp:inline xmlns:a="http://schemas.openxmlformats.org/drawingml/2006/main" xmlns:pic="http://schemas.openxmlformats.org/drawingml/2006/picture">
                  <wp:extent cx="4904740" cy="3008241"/>
                  <wp:docPr id="903" name="Picture 9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gression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4740" cy="30082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0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81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100"/>
              <w:pBdr>
                <w:bottom w:val="single" w:sz="4" w:space="4" w:color="D5D9E0"/>
              </w:pBdr>
            </w:pPr>
            <w:r>
              <w:rPr>
                <w:rFonts w:ascii="Arial" w:hAnsi="Arial"/>
                <w:b/>
                <w:color w:val="14213D"/>
                <w:sz w:val="21"/>
              </w:rPr>
              <w:t>How to read it</w:t>
            </w:r>
          </w:p>
          <w:p>
            <w:pPr>
              <w:spacing w:before="0" w:after="70" w:line="269" w:lineRule="auto"/>
              <w:ind w:left="220" w:hanging="220"/>
            </w:pPr>
            <w:r>
              <w:rPr>
                <w:color w:val="2B6CD4"/>
                <w:sz w:val="11"/>
              </w:rPr>
              <w:t xml:space="preserve">■  </w:t>
            </w:r>
            <w:r>
              <w:rPr>
                <w:rFonts w:ascii="Arial" w:hAnsi="Arial"/>
                <w:color w:val="333B4A"/>
                <w:sz w:val="15"/>
              </w:rPr>
              <w:t>Kangwon Land at −0.07x TEV/Sales (orange) sits far left of every peer: net cash exceeds market cap</w:t>
            </w:r>
          </w:p>
          <w:p>
            <w:pPr>
              <w:spacing w:before="0" w:after="70" w:line="269" w:lineRule="auto"/>
              <w:ind w:left="220" w:hanging="220"/>
            </w:pPr>
            <w:r>
              <w:rPr>
                <w:color w:val="2B6CD4"/>
                <w:sz w:val="11"/>
              </w:rPr>
              <w:t xml:space="preserve">■  </w:t>
            </w:r>
            <w:r>
              <w:rPr>
                <w:rFonts w:ascii="Arial" w:hAnsi="Arial"/>
                <w:color w:val="333B4A"/>
                <w:sz w:val="15"/>
              </w:rPr>
              <w:t xml:space="preserve">OLS implies </w:t>
            </w:r>
            <w:r>
              <w:rPr>
                <w:rFonts w:ascii="Arial" w:hAnsi="Arial"/>
                <w:b/>
                <w:color w:val="333B4A"/>
                <w:sz w:val="15"/>
              </w:rPr>
              <w:t>2.06x</w:t>
            </w:r>
            <w:r>
              <w:rPr>
                <w:rFonts w:ascii="Arial" w:hAnsi="Arial"/>
                <w:color w:val="333B4A"/>
                <w:sz w:val="15"/>
              </w:rPr>
              <w:t xml:space="preserve"> at its 14.6% LTM EBIT margin, ~KRW3.0tn for operations, or </w:t>
            </w:r>
            <w:r>
              <w:rPr>
                <w:rFonts w:ascii="Arial" w:hAnsi="Arial"/>
                <w:b/>
                <w:color w:val="333B4A"/>
                <w:sz w:val="15"/>
              </w:rPr>
              <w:t>KRW28,100-30,100 a share</w:t>
            </w:r>
            <w:r>
              <w:rPr>
                <w:rFonts w:ascii="Arial" w:hAnsi="Arial"/>
                <w:color w:val="333B4A"/>
                <w:sz w:val="15"/>
              </w:rPr>
              <w:t xml:space="preserve"> with the cash</w:t>
            </w:r>
          </w:p>
          <w:p>
            <w:pPr>
              <w:spacing w:before="0" w:after="70" w:line="269" w:lineRule="auto"/>
              <w:ind w:left="220" w:hanging="220"/>
            </w:pPr>
            <w:r>
              <w:rPr>
                <w:color w:val="2B6CD4"/>
                <w:sz w:val="11"/>
              </w:rPr>
              <w:t xml:space="preserve">■  </w:t>
            </w:r>
            <w:r>
              <w:rPr>
                <w:rFonts w:ascii="Arial" w:hAnsi="Arial"/>
                <w:color w:val="333B4A"/>
                <w:sz w:val="15"/>
              </w:rPr>
              <w:t>Slope 0.071x per point of EBIT margin; R² 0.64, t = 6.1 (n = 23 core peers; net-cash, negative-EBIT, micro-cap and double-count names excluded)</w:t>
            </w:r>
          </w:p>
          <w:p>
            <w:pPr>
              <w:spacing w:before="0" w:after="70" w:line="269" w:lineRule="auto"/>
              <w:ind w:left="220" w:hanging="220"/>
            </w:pPr>
            <w:r>
              <w:rPr>
                <w:color w:val="2B6CD4"/>
                <w:sz w:val="11"/>
              </w:rPr>
              <w:t xml:space="preserve">■  </w:t>
            </w:r>
            <w:r>
              <w:rPr>
                <w:rFonts w:ascii="Arial" w:hAnsi="Arial"/>
                <w:b/>
                <w:color w:val="333B4A"/>
                <w:sz w:val="15"/>
              </w:rPr>
              <w:t>Even halving the implied operating value gives KRW20,400-22,400</w:t>
            </w:r>
            <w:r>
              <w:rPr>
                <w:rFonts w:ascii="Arial" w:hAnsi="Arial"/>
                <w:color w:val="333B4A"/>
                <w:sz w:val="15"/>
              </w:rPr>
              <w:t xml:space="preserve"> (+44% to +58%)</w:t>
            </w:r>
          </w:p>
          <w:p>
            <w:pPr>
              <w:spacing w:before="0" w:after="70" w:line="269" w:lineRule="auto"/>
              <w:ind w:left="220" w:hanging="220"/>
            </w:pPr>
            <w:r>
              <w:rPr>
                <w:color w:val="2B6CD4"/>
                <w:sz w:val="11"/>
              </w:rPr>
              <w:t xml:space="preserve">■  </w:t>
            </w:r>
            <w:r>
              <w:rPr>
                <w:rFonts w:ascii="Arial" w:hAnsi="Arial"/>
                <w:color w:val="333B4A"/>
                <w:sz w:val="15"/>
              </w:rPr>
              <w:t>We do not use the regression as a target: peers are not state-controlled single-site monopolies with a 2045 sunset</w:t>
            </w:r>
          </w:p>
        </w:tc>
      </w:tr>
    </w:tbl>
    <w:p>
      <w:pPr>
        <w:spacing w:before="0" w:after="40"/>
      </w:pPr>
    </w:p>
    <w:p>
      <w:pPr>
        <w:spacing w:before="40" w:after="100" w:line="264" w:lineRule="auto"/>
      </w:pPr>
      <w:r>
        <w:rPr>
          <w:rFonts w:ascii="Arial" w:hAnsi="Arial"/>
          <w:color w:val="7A8291"/>
          <w:sz w:val="13"/>
        </w:rPr>
        <w:t>OLS: TEV/Sales = 1.030 + 0.0706 x EBIT margin (%), R² = 0.64. EBITDA-margin cross-check R² 0.67. Source: S&amp;P Capital IQ (16-Oct-2026), our calculations.</w:t>
      </w:r>
    </w:p>
    <w:p>
      <w:pPr>
        <w:sectPr>
          <w:footerReference w:type="default" r:id="rId16"/>
          <w:pgSz w:w="15840" w:h="12240" w:orient="landscape"/>
          <w:pgMar w:top="640" w:right="792" w:bottom="560" w:left="792" w:header="300" w:footer="300" w:gutter="0"/>
          <w:cols w:space="720"/>
          <w:docGrid w:linePitch="360"/>
        </w:sectPr>
      </w:pP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  <w:tblW w:type="dxa" w:w="14256"/>
        <w:tblCellMar>
          <w:left w:type="dxa" w:w="0"/>
          <w:right w:type="dxa" w:w="0"/>
        </w:tblCellMar>
      </w:tblPr>
      <w:tblGrid>
        <w:gridCol w:w="12356"/>
        <w:gridCol w:w="1900"/>
      </w:tblGrid>
      <w:tr>
        <w:tc>
          <w:tcPr>
            <w:tcW w:type="dxa" w:w="1235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B6CD4"/>
                <w:sz w:val="18"/>
              </w:rPr>
              <w:t>WHERE THE VALUE SITS</w:t>
            </w:r>
          </w:p>
        </w:tc>
        <w:tc>
          <w:tcPr>
            <w:tcW w:type="dxa" w:w="1900"/>
            <w:tcBorders>
              <w:top w:val="nil"/>
              <w:left w:val="nil"/>
              <w:bottom w:val="nil"/>
              <w:right w:val="nil"/>
            </w:tcBorders>
            <w:shd w:fill="14213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VALUATION</w:t>
            </w:r>
          </w:p>
        </w:tc>
      </w:tr>
    </w:tbl>
    <w:p>
      <w:pPr>
        <w:spacing w:before="0" w:after="0" w:line="80" w:lineRule="exact"/>
        <w:pBdr>
          <w:bottom w:val="single" w:sz="6" w:space="1" w:color="1D2433"/>
        </w:pBdr>
      </w:pPr>
    </w:p>
    <w:p>
      <w:pPr>
        <w:spacing w:before="140" w:after="140" w:line="252" w:lineRule="auto"/>
      </w:pPr>
      <w:r>
        <w:rPr>
          <w:rFonts w:ascii="Arial" w:hAnsi="Arial"/>
          <w:b/>
          <w:color w:val="14213D"/>
          <w:sz w:val="38"/>
        </w:rPr>
        <w:t>Sum-of-the-parts: KRW17,000 per share in the base case, after charging KRW0.8tn for K-HIT and a 10% state-control discount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  <w:tblW w:type="dxa" w:w="14256"/>
        <w:tblCellMar>
          <w:left w:type="dxa" w:w="0"/>
          <w:right w:type="dxa" w:w="0"/>
        </w:tblCellMar>
      </w:tblPr>
      <w:tblGrid>
        <w:gridCol w:w="5811"/>
        <w:gridCol w:w="420"/>
        <w:gridCol w:w="8025"/>
      </w:tblGrid>
      <w:tr>
        <w:tc>
          <w:tcPr>
            <w:tcW w:type="dxa" w:w="581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100"/>
              <w:pBdr>
                <w:bottom w:val="single" w:sz="4" w:space="4" w:color="D5D9E0"/>
              </w:pBdr>
            </w:pPr>
            <w:r>
              <w:rPr>
                <w:rFonts w:ascii="Arial" w:hAnsi="Arial"/>
                <w:b/>
                <w:color w:val="14213D"/>
                <w:sz w:val="21"/>
              </w:rPr>
              <w:t>Base-case SOTP (KRW bn)</w:t>
            </w:r>
          </w:p>
          <w:tbl>
            <w:tblPr>
              <w:tblW w:type="auto" w:w="0"/>
              <w:jc w:val="left"/>
              <w:tblLook w:firstColumn="1" w:firstRow="1" w:lastColumn="0" w:lastRow="0" w:noHBand="0" w:noVBand="1" w:val="04A0"/>
              <w:tblLayout w:type="fixed"/>
              <w:tblW w:type="dxa" w:w="5809"/>
              <w:tblCellMar>
                <w:left w:type="dxa" w:w="0"/>
                <w:right w:type="dxa" w:w="0"/>
              </w:tblCellMar>
            </w:tblPr>
            <w:tblGrid>
              <w:gridCol w:w="1743"/>
              <w:gridCol w:w="2832"/>
              <w:gridCol w:w="1234"/>
            </w:tblGrid>
            <w:tr>
              <w:tc>
                <w:tcPr>
                  <w:tcW w:type="dxa" w:w="1743"/>
                  <w:tcBorders>
                    <w:top w:val="nil"/>
                    <w:left w:val="nil"/>
                    <w:bottom w:val="nil"/>
                    <w:right w:val="nil"/>
                  </w:tcBorders>
                  <w:shd w:fill="14213D" w:color="auto" w:val="clear"/>
                  <w:tcMar>
                    <w:top w:type="dxa" w:w="55"/>
                    <w:left w:type="dxa" w:w="80"/>
                    <w:bottom w:type="dxa" w:w="55"/>
                    <w:right w:type="dxa" w:w="8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b/>
                      <w:color w:val="FFFFFF"/>
                      <w:sz w:val="15"/>
                    </w:rPr>
                    <w:t>Component</w:t>
                  </w:r>
                </w:p>
              </w:tc>
              <w:tc>
                <w:tcPr>
                  <w:tcW w:type="dxa" w:w="2832"/>
                  <w:tcBorders>
                    <w:top w:val="nil"/>
                    <w:left w:val="nil"/>
                    <w:bottom w:val="nil"/>
                    <w:right w:val="nil"/>
                  </w:tcBorders>
                  <w:shd w:fill="14213D" w:color="auto" w:val="clear"/>
                  <w:tcMar>
                    <w:top w:type="dxa" w:w="55"/>
                    <w:left w:type="dxa" w:w="80"/>
                    <w:bottom w:type="dxa" w:w="55"/>
                    <w:right w:type="dxa" w:w="8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b/>
                      <w:color w:val="FFFFFF"/>
                      <w:sz w:val="15"/>
                    </w:rPr>
                    <w:t>Method</w:t>
                  </w:r>
                </w:p>
              </w:tc>
              <w:tc>
                <w:tcPr>
                  <w:tcW w:type="dxa" w:w="1234"/>
                  <w:tcBorders>
                    <w:top w:val="nil"/>
                    <w:left w:val="nil"/>
                    <w:bottom w:val="nil"/>
                    <w:right w:val="nil"/>
                  </w:tcBorders>
                  <w:shd w:fill="14213D" w:color="auto" w:val="clear"/>
                  <w:tcMar>
                    <w:top w:type="dxa" w:w="55"/>
                    <w:left w:type="dxa" w:w="80"/>
                    <w:bottom w:type="dxa" w:w="55"/>
                    <w:right w:type="dxa" w:w="80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b/>
                      <w:color w:val="FFFFFF"/>
                      <w:sz w:val="15"/>
                    </w:rPr>
                    <w:t>KRW bn</w:t>
                  </w:r>
                </w:p>
              </w:tc>
            </w:tr>
            <w:tr>
              <w:tc>
                <w:tcPr>
                  <w:tcW w:type="dxa" w:w="1743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b/>
                      <w:color w:val="1D2433"/>
                      <w:sz w:val="15"/>
                    </w:rPr>
                    <w:t>Casino resort operations</w:t>
                  </w:r>
                </w:p>
              </w:tc>
              <w:tc>
                <w:tcPr>
                  <w:tcW w:type="dxa" w:w="2832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color w:val="1D2433"/>
                      <w:sz w:val="15"/>
                    </w:rPr>
                    <w:t>6.5x FY27E EBITDA (310)</w:t>
                  </w:r>
                </w:p>
              </w:tc>
              <w:tc>
                <w:tcPr>
                  <w:tcW w:type="dxa" w:w="1234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color w:val="1D2433"/>
                      <w:sz w:val="15"/>
                    </w:rPr>
                    <w:t>2,015</w:t>
                  </w:r>
                </w:p>
              </w:tc>
            </w:tr>
            <w:tr>
              <w:tc>
                <w:tcPr>
                  <w:tcW w:type="dxa" w:w="1743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b/>
                      <w:color w:val="1D2433"/>
                      <w:sz w:val="15"/>
                    </w:rPr>
                    <w:t>Net financial assets</w:t>
                  </w:r>
                </w:p>
              </w:tc>
              <w:tc>
                <w:tcPr>
                  <w:tcW w:type="dxa" w:w="2832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color w:val="1D2433"/>
                      <w:sz w:val="15"/>
                    </w:rPr>
                    <w:t>S&amp;P CIQ-derived [e]</w:t>
                  </w:r>
                </w:p>
              </w:tc>
              <w:tc>
                <w:tcPr>
                  <w:tcW w:type="dxa" w:w="1234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color w:val="1D2433"/>
                      <w:sz w:val="15"/>
                    </w:rPr>
                    <w:t>2,929</w:t>
                  </w:r>
                </w:p>
              </w:tc>
            </w:tr>
            <w:tr>
              <w:tc>
                <w:tcPr>
                  <w:tcW w:type="dxa" w:w="1743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b/>
                      <w:color w:val="1D2433"/>
                      <w:sz w:val="15"/>
                    </w:rPr>
                    <w:t>Operating reserve</w:t>
                  </w:r>
                </w:p>
              </w:tc>
              <w:tc>
                <w:tcPr>
                  <w:tcW w:type="dxa" w:w="2832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color w:val="1D2433"/>
                      <w:sz w:val="15"/>
                    </w:rPr>
                    <w:t>Accrued levies, payables, float [e]</w:t>
                  </w:r>
                </w:p>
              </w:tc>
              <w:tc>
                <w:tcPr>
                  <w:tcW w:type="dxa" w:w="1234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color w:val="1D2433"/>
                      <w:sz w:val="15"/>
                    </w:rPr>
                    <w:t>(400)</w:t>
                  </w:r>
                </w:p>
              </w:tc>
            </w:tr>
            <w:tr>
              <w:tc>
                <w:tcPr>
                  <w:tcW w:type="dxa" w:w="1743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b/>
                      <w:color w:val="1D2433"/>
                      <w:sz w:val="15"/>
                    </w:rPr>
                    <w:t>K-HIT value destruction</w:t>
                  </w:r>
                </w:p>
              </w:tc>
              <w:tc>
                <w:tcPr>
                  <w:tcW w:type="dxa" w:w="2832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color w:val="1D2433"/>
                      <w:sz w:val="15"/>
                    </w:rPr>
                    <w:t>~KRW3tn capex below cost of capital [e]</w:t>
                  </w:r>
                </w:p>
              </w:tc>
              <w:tc>
                <w:tcPr>
                  <w:tcW w:type="dxa" w:w="1234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color w:val="1D2433"/>
                      <w:sz w:val="15"/>
                    </w:rPr>
                    <w:t>(800)</w:t>
                  </w:r>
                </w:p>
              </w:tc>
            </w:tr>
            <w:tr>
              <w:tc>
                <w:tcPr>
                  <w:tcW w:type="dxa" w:w="1743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b/>
                      <w:color w:val="1D2433"/>
                      <w:sz w:val="15"/>
                    </w:rPr>
                    <w:t>State-control discount</w:t>
                  </w:r>
                </w:p>
              </w:tc>
              <w:tc>
                <w:tcPr>
                  <w:tcW w:type="dxa" w:w="2832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color w:val="1D2433"/>
                      <w:sz w:val="15"/>
                    </w:rPr>
                    <w:t>−10% of equity</w:t>
                  </w:r>
                </w:p>
              </w:tc>
              <w:tc>
                <w:tcPr>
                  <w:tcW w:type="dxa" w:w="1234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color w:val="1D2433"/>
                      <w:sz w:val="15"/>
                    </w:rPr>
                    <w:t>(374)</w:t>
                  </w:r>
                </w:p>
              </w:tc>
            </w:tr>
            <w:tr>
              <w:tc>
                <w:tcPr>
                  <w:tcW w:type="dxa" w:w="1743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  <w:shd w:fill="E8EEF7" w:color="auto" w:val="clear"/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b/>
                      <w:color w:val="1D2433"/>
                      <w:sz w:val="15"/>
                    </w:rPr>
                    <w:t>Equity / per share</w:t>
                  </w:r>
                </w:p>
              </w:tc>
              <w:tc>
                <w:tcPr>
                  <w:tcW w:type="dxa" w:w="2832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  <w:shd w:fill="E8EEF7" w:color="auto" w:val="clear"/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b/>
                      <w:color w:val="1D2433"/>
                      <w:sz w:val="15"/>
                    </w:rPr>
                    <w:t>198.2m shares outstanding</w:t>
                  </w:r>
                </w:p>
              </w:tc>
              <w:tc>
                <w:tcPr>
                  <w:tcW w:type="dxa" w:w="1234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  <w:shd w:fill="E8EEF7" w:color="auto" w:val="clear"/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b/>
                      <w:color w:val="1D2433"/>
                      <w:sz w:val="15"/>
                    </w:rPr>
                    <w:t>3,370 / KRW17,000</w:t>
                  </w:r>
                </w:p>
              </w:tc>
            </w:tr>
            <w:tr>
              <w:tc>
                <w:tcPr>
                  <w:tcW w:type="dxa" w:w="1743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b/>
                      <w:color w:val="1D2433"/>
                      <w:sz w:val="15"/>
                    </w:rPr>
                    <w:t>Market cap today</w:t>
                  </w:r>
                </w:p>
              </w:tc>
              <w:tc>
                <w:tcPr>
                  <w:tcW w:type="dxa" w:w="2832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color w:val="1D2433"/>
                      <w:sz w:val="15"/>
                    </w:rPr>
                    <w:t>KRW14,180</w:t>
                  </w:r>
                </w:p>
              </w:tc>
              <w:tc>
                <w:tcPr>
                  <w:tcW w:type="dxa" w:w="1234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color w:val="1D2433"/>
                      <w:sz w:val="15"/>
                    </w:rPr>
                    <w:t>2,810</w:t>
                  </w:r>
                </w:p>
              </w:tc>
            </w:tr>
          </w:tbl>
          <w:p/>
          <w:p>
            <w:pPr>
              <w:spacing w:before="0" w:after="80"/>
            </w:pPr>
          </w:p>
          <w:p>
            <w:pPr>
              <w:spacing w:before="0" w:after="70" w:line="269" w:lineRule="auto"/>
              <w:ind w:left="220" w:hanging="220"/>
            </w:pPr>
            <w:r>
              <w:rPr>
                <w:color w:val="2B6CD4"/>
                <w:sz w:val="11"/>
              </w:rPr>
              <w:t xml:space="preserve">■  </w:t>
            </w:r>
            <w:r>
              <w:rPr>
                <w:rFonts w:ascii="Arial" w:hAnsi="Arial"/>
                <w:color w:val="333B4A"/>
                <w:sz w:val="15"/>
              </w:rPr>
              <w:t>Implied P/B 0.88x; implied 6.5x EV/EBITDA on operations vs 7.4x Asia-Pac peers and a 9.2x deal median</w:t>
            </w:r>
          </w:p>
          <w:p>
            <w:pPr>
              <w:spacing w:before="0" w:after="70" w:line="269" w:lineRule="auto"/>
              <w:ind w:left="220" w:hanging="220"/>
            </w:pPr>
            <w:r>
              <w:rPr>
                <w:color w:val="2B6CD4"/>
                <w:sz w:val="11"/>
              </w:rPr>
              <w:t xml:space="preserve">■  </w:t>
            </w:r>
            <w:r>
              <w:rPr>
                <w:rFonts w:ascii="Arial" w:hAnsi="Arial"/>
                <w:color w:val="333B4A"/>
                <w:sz w:val="15"/>
              </w:rPr>
              <w:t>Each 1x on the operating multiple = ~KRW1,410 a share; each KRW0.5tn of K-HIT charge = ~KRW2,270</w:t>
            </w:r>
          </w:p>
          <w:p>
            <w:pPr>
              <w:spacing w:before="0" w:after="70" w:line="269" w:lineRule="auto"/>
              <w:ind w:left="220" w:hanging="220"/>
            </w:pPr>
            <w:r>
              <w:rPr>
                <w:color w:val="2B6CD4"/>
                <w:sz w:val="11"/>
              </w:rPr>
              <w:t xml:space="preserve">■  </w:t>
            </w:r>
            <w:r>
              <w:rPr>
                <w:rFonts w:ascii="Arial" w:hAnsi="Arial"/>
                <w:color w:val="333B4A"/>
                <w:sz w:val="15"/>
              </w:rPr>
              <w:t>Market-implied: KRW14,180 charges the entire excess cash pile (~KRW2.5tn) to future value destruction</w:t>
            </w:r>
          </w:p>
        </w:tc>
        <w:tc>
          <w:tcPr>
            <w:tcW w:type="dxa" w:w="420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802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40"/>
            </w:pPr>
            <w:r>
              <w:drawing>
                <wp:inline xmlns:a="http://schemas.openxmlformats.org/drawingml/2006/main" xmlns:pic="http://schemas.openxmlformats.org/drawingml/2006/picture">
                  <wp:extent cx="5095875" cy="2529380"/>
                  <wp:docPr id="904" name="Picture 9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tp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5875" cy="25293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</w:p>
    <w:p>
      <w:pPr>
        <w:sectPr>
          <w:footerReference w:type="default" r:id="rId18"/>
          <w:pgSz w:w="15840" w:h="12240" w:orient="landscape"/>
          <w:pgMar w:top="640" w:right="792" w:bottom="560" w:left="792" w:header="300" w:footer="300" w:gutter="0"/>
          <w:cols w:space="720"/>
          <w:docGrid w:linePitch="360"/>
        </w:sectPr>
      </w:pP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  <w:tblW w:type="dxa" w:w="14256"/>
        <w:tblCellMar>
          <w:left w:type="dxa" w:w="0"/>
          <w:right w:type="dxa" w:w="0"/>
        </w:tblCellMar>
      </w:tblPr>
      <w:tblGrid>
        <w:gridCol w:w="12356"/>
        <w:gridCol w:w="1900"/>
      </w:tblGrid>
      <w:tr>
        <w:tc>
          <w:tcPr>
            <w:tcW w:type="dxa" w:w="1235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B6CD4"/>
                <w:sz w:val="18"/>
              </w:rPr>
              <w:t>THE CASH PILE</w:t>
            </w:r>
          </w:p>
        </w:tc>
        <w:tc>
          <w:tcPr>
            <w:tcW w:type="dxa" w:w="1900"/>
            <w:tcBorders>
              <w:top w:val="nil"/>
              <w:left w:val="nil"/>
              <w:bottom w:val="nil"/>
              <w:right w:val="nil"/>
            </w:tcBorders>
            <w:shd w:fill="14213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HIDDEN ASSET</w:t>
            </w:r>
          </w:p>
        </w:tc>
      </w:tr>
    </w:tbl>
    <w:p>
      <w:pPr>
        <w:spacing w:before="0" w:after="0" w:line="80" w:lineRule="exact"/>
        <w:pBdr>
          <w:bottom w:val="single" w:sz="6" w:space="1" w:color="1D2433"/>
        </w:pBdr>
      </w:pPr>
    </w:p>
    <w:p>
      <w:pPr>
        <w:spacing w:before="140" w:after="140" w:line="252" w:lineRule="auto"/>
      </w:pPr>
      <w:r>
        <w:rPr>
          <w:rFonts w:ascii="Arial" w:hAnsi="Arial"/>
          <w:b/>
          <w:color w:val="14213D"/>
          <w:sz w:val="38"/>
        </w:rPr>
        <w:t>~KRW2.9tn of net financial assets: still above KRW2tn in 2030 even with K-HIT ramping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  <w:tblW w:type="dxa" w:w="14255"/>
        <w:tblCellMar>
          <w:left w:type="dxa" w:w="0"/>
          <w:right w:type="dxa" w:w="0"/>
        </w:tblCellMar>
      </w:tblPr>
      <w:tblGrid>
        <w:gridCol w:w="2739"/>
        <w:gridCol w:w="140"/>
        <w:gridCol w:w="2739"/>
        <w:gridCol w:w="140"/>
        <w:gridCol w:w="2739"/>
        <w:gridCol w:w="140"/>
        <w:gridCol w:w="2739"/>
        <w:gridCol w:w="140"/>
        <w:gridCol w:w="2739"/>
      </w:tblGrid>
      <w:tr>
        <w:tc>
          <w:tcPr>
            <w:tcW w:type="dxa" w:w="2739"/>
            <w:tcBorders>
              <w:top w:val="nil"/>
              <w:left w:val="nil"/>
              <w:bottom w:val="nil"/>
              <w:right w:val="nil"/>
            </w:tcBorders>
            <w:shd w:fill="F1F3F7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before="0" w:after="60"/>
            </w:pPr>
            <w:r>
              <w:rPr>
                <w:rFonts w:ascii="Arial" w:hAnsi="Arial"/>
                <w:b/>
                <w:color w:val="14213D"/>
                <w:sz w:val="32"/>
              </w:rPr>
              <w:t>~KRW2.93tn</w:t>
            </w:r>
          </w:p>
          <w:p>
            <w:pPr>
              <w:spacing w:before="0" w:after="0" w:line="264" w:lineRule="auto"/>
            </w:pPr>
            <w:r>
              <w:rPr>
                <w:rFonts w:ascii="Arial" w:hAnsi="Arial"/>
                <w:color w:val="5A6270"/>
                <w:sz w:val="14"/>
              </w:rPr>
              <w:t>Net financial assets [e] (S&amp;P CIQ net debt/EBITDA −9.6x); ~KRW2.8tn current financial assets (IB Tomato, Oct-26)</w:t>
            </w:r>
          </w:p>
        </w:tc>
        <w:tc>
          <w:tcPr>
            <w:tcW w:type="dxa" w:w="140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2739"/>
            <w:tcBorders>
              <w:top w:val="nil"/>
              <w:left w:val="nil"/>
              <w:bottom w:val="nil"/>
              <w:right w:val="nil"/>
            </w:tcBorders>
            <w:shd w:fill="F1F3F7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before="0" w:after="60"/>
            </w:pPr>
            <w:r>
              <w:rPr>
                <w:rFonts w:ascii="Arial" w:hAnsi="Arial"/>
                <w:b/>
                <w:color w:val="14213D"/>
                <w:sz w:val="32"/>
              </w:rPr>
              <w:t>KRW14,780</w:t>
            </w:r>
          </w:p>
          <w:p>
            <w:pPr>
              <w:spacing w:before="0" w:after="0" w:line="264" w:lineRule="auto"/>
            </w:pPr>
            <w:r>
              <w:rPr>
                <w:rFonts w:ascii="Arial" w:hAnsi="Arial"/>
                <w:color w:val="5A6270"/>
                <w:sz w:val="14"/>
              </w:rPr>
              <w:t>Net financial assets per share [e]: 104% of the price</w:t>
            </w:r>
          </w:p>
        </w:tc>
        <w:tc>
          <w:tcPr>
            <w:tcW w:type="dxa" w:w="140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2739"/>
            <w:tcBorders>
              <w:top w:val="nil"/>
              <w:left w:val="nil"/>
              <w:bottom w:val="nil"/>
              <w:right w:val="nil"/>
            </w:tcBorders>
            <w:shd w:fill="F1F3F7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before="0" w:after="60"/>
            </w:pPr>
            <w:r>
              <w:rPr>
                <w:rFonts w:ascii="Arial" w:hAnsi="Arial"/>
                <w:b/>
                <w:color w:val="14213D"/>
                <w:sz w:val="32"/>
              </w:rPr>
              <w:t>466%</w:t>
            </w:r>
          </w:p>
          <w:p>
            <w:pPr>
              <w:spacing w:before="0" w:after="0" w:line="264" w:lineRule="auto"/>
            </w:pPr>
            <w:r>
              <w:rPr>
                <w:rFonts w:ascii="Arial" w:hAnsi="Arial"/>
                <w:color w:val="5A6270"/>
                <w:sz w:val="14"/>
              </w:rPr>
              <w:t>Current ratio; liabilities/equity 18%; no meaningful debt</w:t>
            </w:r>
          </w:p>
        </w:tc>
        <w:tc>
          <w:tcPr>
            <w:tcW w:type="dxa" w:w="140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2739"/>
            <w:tcBorders>
              <w:top w:val="nil"/>
              <w:left w:val="nil"/>
              <w:bottom w:val="nil"/>
              <w:right w:val="nil"/>
            </w:tcBorders>
            <w:shd w:fill="F1F3F7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before="0" w:after="60"/>
            </w:pPr>
            <w:r>
              <w:rPr>
                <w:rFonts w:ascii="Arial" w:hAnsi="Arial"/>
                <w:b/>
                <w:color w:val="14213D"/>
                <w:sz w:val="32"/>
              </w:rPr>
              <w:t>~KRW3tn</w:t>
            </w:r>
          </w:p>
          <w:p>
            <w:pPr>
              <w:spacing w:before="0" w:after="0" w:line="264" w:lineRule="auto"/>
            </w:pPr>
            <w:r>
              <w:rPr>
                <w:rFonts w:ascii="Arial" w:hAnsi="Arial"/>
                <w:color w:val="5A6270"/>
                <w:sz w:val="14"/>
              </w:rPr>
              <w:t>K-HIT master plan to 2035 (Nov-25): 13m visitors and KRW3.5tn revenue targeted; feasibility exemption sought</w:t>
            </w:r>
          </w:p>
        </w:tc>
        <w:tc>
          <w:tcPr>
            <w:tcW w:type="dxa" w:w="140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2739"/>
            <w:tcBorders>
              <w:top w:val="nil"/>
              <w:left w:val="nil"/>
              <w:bottom w:val="nil"/>
              <w:right w:val="nil"/>
            </w:tcBorders>
            <w:shd w:fill="F1F3F7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before="0" w:after="60"/>
            </w:pPr>
            <w:r>
              <w:rPr>
                <w:rFonts w:ascii="Arial" w:hAnsi="Arial"/>
                <w:b/>
                <w:color w:val="14213D"/>
                <w:sz w:val="32"/>
              </w:rPr>
              <w:t>KRW2.17tn</w:t>
            </w:r>
          </w:p>
          <w:p>
            <w:pPr>
              <w:spacing w:before="0" w:after="0" w:line="264" w:lineRule="auto"/>
            </w:pPr>
            <w:r>
              <w:rPr>
                <w:rFonts w:ascii="Arial" w:hAnsi="Arial"/>
                <w:color w:val="5A6270"/>
                <w:sz w:val="14"/>
              </w:rPr>
              <w:t>Our 2030E net financial assets after K-HIT ramp, dividends and buybacks [e]</w:t>
            </w:r>
          </w:p>
        </w:tc>
      </w:tr>
    </w:tbl>
    <w:p>
      <w:pPr>
        <w:spacing w:before="0" w:after="80"/>
      </w:pP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  <w:tblW w:type="dxa" w:w="14256"/>
        <w:tblCellMar>
          <w:left w:type="dxa" w:w="0"/>
          <w:right w:type="dxa" w:w="0"/>
        </w:tblCellMar>
      </w:tblPr>
      <w:tblGrid>
        <w:gridCol w:w="7609"/>
        <w:gridCol w:w="420"/>
        <w:gridCol w:w="6227"/>
      </w:tblGrid>
      <w:tr>
        <w:tc>
          <w:tcPr>
            <w:tcW w:type="dxa" w:w="76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100"/>
              <w:pBdr>
                <w:bottom w:val="single" w:sz="4" w:space="4" w:color="D5D9E0"/>
              </w:pBdr>
            </w:pPr>
            <w:r>
              <w:rPr>
                <w:rFonts w:ascii="Arial" w:hAnsi="Arial"/>
                <w:b/>
                <w:color w:val="14213D"/>
                <w:sz w:val="21"/>
              </w:rPr>
              <w:t>Cash path, base case (KRW tn) [e]</w:t>
            </w:r>
          </w:p>
          <w:tbl>
            <w:tblPr>
              <w:tblW w:type="auto" w:w="0"/>
              <w:jc w:val="left"/>
              <w:tblLook w:firstColumn="1" w:firstRow="1" w:lastColumn="0" w:lastRow="0" w:noHBand="0" w:noVBand="1" w:val="04A0"/>
              <w:tblLayout w:type="fixed"/>
              <w:tblW w:type="dxa" w:w="7608"/>
              <w:tblCellMar>
                <w:left w:type="dxa" w:w="0"/>
                <w:right w:type="dxa" w:w="0"/>
              </w:tblCellMar>
            </w:tblPr>
            <w:tblGrid>
              <w:gridCol w:w="4348"/>
              <w:gridCol w:w="652"/>
              <w:gridCol w:w="652"/>
              <w:gridCol w:w="652"/>
              <w:gridCol w:w="652"/>
              <w:gridCol w:w="652"/>
            </w:tblGrid>
            <w:tr>
              <w:tc>
                <w:tcPr>
                  <w:tcW w:type="dxa" w:w="4348"/>
                  <w:tcBorders>
                    <w:top w:val="nil"/>
                    <w:left w:val="nil"/>
                    <w:bottom w:val="nil"/>
                    <w:right w:val="nil"/>
                  </w:tcBorders>
                  <w:shd w:fill="14213D" w:color="auto" w:val="clear"/>
                  <w:tcMar>
                    <w:top w:type="dxa" w:w="55"/>
                    <w:left w:type="dxa" w:w="80"/>
                    <w:bottom w:type="dxa" w:w="55"/>
                    <w:right w:type="dxa" w:w="80"/>
                  </w:tcMar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652"/>
                  <w:tcBorders>
                    <w:top w:val="nil"/>
                    <w:left w:val="nil"/>
                    <w:bottom w:val="nil"/>
                    <w:right w:val="nil"/>
                  </w:tcBorders>
                  <w:shd w:fill="14213D" w:color="auto" w:val="clear"/>
                  <w:tcMar>
                    <w:top w:type="dxa" w:w="55"/>
                    <w:left w:type="dxa" w:w="80"/>
                    <w:bottom w:type="dxa" w:w="55"/>
                    <w:right w:type="dxa" w:w="80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b/>
                      <w:color w:val="FFFFFF"/>
                      <w:sz w:val="15"/>
                    </w:rPr>
                    <w:t>2026E</w:t>
                  </w:r>
                </w:p>
              </w:tc>
              <w:tc>
                <w:tcPr>
                  <w:tcW w:type="dxa" w:w="652"/>
                  <w:tcBorders>
                    <w:top w:val="nil"/>
                    <w:left w:val="nil"/>
                    <w:bottom w:val="nil"/>
                    <w:right w:val="nil"/>
                  </w:tcBorders>
                  <w:shd w:fill="14213D" w:color="auto" w:val="clear"/>
                  <w:tcMar>
                    <w:top w:type="dxa" w:w="55"/>
                    <w:left w:type="dxa" w:w="80"/>
                    <w:bottom w:type="dxa" w:w="55"/>
                    <w:right w:type="dxa" w:w="80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b/>
                      <w:color w:val="FFFFFF"/>
                      <w:sz w:val="15"/>
                    </w:rPr>
                    <w:t>2027E</w:t>
                  </w:r>
                </w:p>
              </w:tc>
              <w:tc>
                <w:tcPr>
                  <w:tcW w:type="dxa" w:w="652"/>
                  <w:tcBorders>
                    <w:top w:val="nil"/>
                    <w:left w:val="nil"/>
                    <w:bottom w:val="nil"/>
                    <w:right w:val="nil"/>
                  </w:tcBorders>
                  <w:shd w:fill="14213D" w:color="auto" w:val="clear"/>
                  <w:tcMar>
                    <w:top w:type="dxa" w:w="55"/>
                    <w:left w:type="dxa" w:w="80"/>
                    <w:bottom w:type="dxa" w:w="55"/>
                    <w:right w:type="dxa" w:w="80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b/>
                      <w:color w:val="FFFFFF"/>
                      <w:sz w:val="15"/>
                    </w:rPr>
                    <w:t>2028E</w:t>
                  </w:r>
                </w:p>
              </w:tc>
              <w:tc>
                <w:tcPr>
                  <w:tcW w:type="dxa" w:w="652"/>
                  <w:tcBorders>
                    <w:top w:val="nil"/>
                    <w:left w:val="nil"/>
                    <w:bottom w:val="nil"/>
                    <w:right w:val="nil"/>
                  </w:tcBorders>
                  <w:shd w:fill="14213D" w:color="auto" w:val="clear"/>
                  <w:tcMar>
                    <w:top w:type="dxa" w:w="55"/>
                    <w:left w:type="dxa" w:w="80"/>
                    <w:bottom w:type="dxa" w:w="55"/>
                    <w:right w:type="dxa" w:w="80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b/>
                      <w:color w:val="FFFFFF"/>
                      <w:sz w:val="15"/>
                    </w:rPr>
                    <w:t>2029E</w:t>
                  </w:r>
                </w:p>
              </w:tc>
              <w:tc>
                <w:tcPr>
                  <w:tcW w:type="dxa" w:w="652"/>
                  <w:tcBorders>
                    <w:top w:val="nil"/>
                    <w:left w:val="nil"/>
                    <w:bottom w:val="nil"/>
                    <w:right w:val="nil"/>
                  </w:tcBorders>
                  <w:shd w:fill="14213D" w:color="auto" w:val="clear"/>
                  <w:tcMar>
                    <w:top w:type="dxa" w:w="55"/>
                    <w:left w:type="dxa" w:w="80"/>
                    <w:bottom w:type="dxa" w:w="55"/>
                    <w:right w:type="dxa" w:w="80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b/>
                      <w:color w:val="FFFFFF"/>
                      <w:sz w:val="15"/>
                    </w:rPr>
                    <w:t>2030E</w:t>
                  </w:r>
                </w:p>
              </w:tc>
            </w:tr>
            <w:tr>
              <w:tc>
                <w:tcPr>
                  <w:tcW w:type="dxa" w:w="4348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b/>
                      <w:color w:val="1D2433"/>
                      <w:sz w:val="15"/>
                    </w:rPr>
                    <w:t>Operating cash flow</w:t>
                  </w:r>
                </w:p>
              </w:tc>
              <w:tc>
                <w:tcPr>
                  <w:tcW w:type="dxa" w:w="652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color w:val="1D2433"/>
                      <w:sz w:val="15"/>
                    </w:rPr>
                    <w:t>0.33</w:t>
                  </w:r>
                </w:p>
              </w:tc>
              <w:tc>
                <w:tcPr>
                  <w:tcW w:type="dxa" w:w="652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color w:val="1D2433"/>
                      <w:sz w:val="15"/>
                    </w:rPr>
                    <w:t>0.33</w:t>
                  </w:r>
                </w:p>
              </w:tc>
              <w:tc>
                <w:tcPr>
                  <w:tcW w:type="dxa" w:w="652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color w:val="1D2433"/>
                      <w:sz w:val="15"/>
                    </w:rPr>
                    <w:t>0.35</w:t>
                  </w:r>
                </w:p>
              </w:tc>
              <w:tc>
                <w:tcPr>
                  <w:tcW w:type="dxa" w:w="652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color w:val="1D2433"/>
                      <w:sz w:val="15"/>
                    </w:rPr>
                    <w:t>0.36</w:t>
                  </w:r>
                </w:p>
              </w:tc>
              <w:tc>
                <w:tcPr>
                  <w:tcW w:type="dxa" w:w="652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color w:val="1D2433"/>
                      <w:sz w:val="15"/>
                    </w:rPr>
                    <w:t>0.37</w:t>
                  </w:r>
                </w:p>
              </w:tc>
            </w:tr>
            <w:tr>
              <w:tc>
                <w:tcPr>
                  <w:tcW w:type="dxa" w:w="4348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b/>
                      <w:color w:val="1D2433"/>
                      <w:sz w:val="15"/>
                    </w:rPr>
                    <w:t>Capex (renovation, second casino, K-HIT)</w:t>
                  </w:r>
                </w:p>
              </w:tc>
              <w:tc>
                <w:tcPr>
                  <w:tcW w:type="dxa" w:w="652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color w:val="1D2433"/>
                      <w:sz w:val="15"/>
                    </w:rPr>
                    <w:t>(0.15)</w:t>
                  </w:r>
                </w:p>
              </w:tc>
              <w:tc>
                <w:tcPr>
                  <w:tcW w:type="dxa" w:w="652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color w:val="1D2433"/>
                      <w:sz w:val="15"/>
                    </w:rPr>
                    <w:t>(0.25)</w:t>
                  </w:r>
                </w:p>
              </w:tc>
              <w:tc>
                <w:tcPr>
                  <w:tcW w:type="dxa" w:w="652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color w:val="1D2433"/>
                      <w:sz w:val="15"/>
                    </w:rPr>
                    <w:t>(0.30)</w:t>
                  </w:r>
                </w:p>
              </w:tc>
              <w:tc>
                <w:tcPr>
                  <w:tcW w:type="dxa" w:w="652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color w:val="1D2433"/>
                      <w:sz w:val="15"/>
                    </w:rPr>
                    <w:t>(0.40)</w:t>
                  </w:r>
                </w:p>
              </w:tc>
              <w:tc>
                <w:tcPr>
                  <w:tcW w:type="dxa" w:w="652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color w:val="1D2433"/>
                      <w:sz w:val="15"/>
                    </w:rPr>
                    <w:t>(0.45)</w:t>
                  </w:r>
                </w:p>
              </w:tc>
            </w:tr>
            <w:tr>
              <w:tc>
                <w:tcPr>
                  <w:tcW w:type="dxa" w:w="4348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b/>
                      <w:color w:val="1D2433"/>
                      <w:sz w:val="15"/>
                    </w:rPr>
                    <w:t>Dividends paid</w:t>
                  </w:r>
                </w:p>
              </w:tc>
              <w:tc>
                <w:tcPr>
                  <w:tcW w:type="dxa" w:w="652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color w:val="1D2433"/>
                      <w:sz w:val="15"/>
                    </w:rPr>
                    <w:t>(0.19)</w:t>
                  </w:r>
                </w:p>
              </w:tc>
              <w:tc>
                <w:tcPr>
                  <w:tcW w:type="dxa" w:w="652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color w:val="1D2433"/>
                      <w:sz w:val="15"/>
                    </w:rPr>
                    <w:t>(0.17)</w:t>
                  </w:r>
                </w:p>
              </w:tc>
              <w:tc>
                <w:tcPr>
                  <w:tcW w:type="dxa" w:w="652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color w:val="1D2433"/>
                      <w:sz w:val="15"/>
                    </w:rPr>
                    <w:t>(0.17)</w:t>
                  </w:r>
                </w:p>
              </w:tc>
              <w:tc>
                <w:tcPr>
                  <w:tcW w:type="dxa" w:w="652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color w:val="1D2433"/>
                      <w:sz w:val="15"/>
                    </w:rPr>
                    <w:t>(0.18)</w:t>
                  </w:r>
                </w:p>
              </w:tc>
              <w:tc>
                <w:tcPr>
                  <w:tcW w:type="dxa" w:w="652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color w:val="1D2433"/>
                      <w:sz w:val="15"/>
                    </w:rPr>
                    <w:t>(0.19)</w:t>
                  </w:r>
                </w:p>
              </w:tc>
            </w:tr>
            <w:tr>
              <w:tc>
                <w:tcPr>
                  <w:tcW w:type="dxa" w:w="4348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b/>
                      <w:color w:val="1D2433"/>
                      <w:sz w:val="15"/>
                    </w:rPr>
                    <w:t>Buybacks</w:t>
                  </w:r>
                </w:p>
              </w:tc>
              <w:tc>
                <w:tcPr>
                  <w:tcW w:type="dxa" w:w="652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color w:val="1D2433"/>
                      <w:sz w:val="15"/>
                    </w:rPr>
                    <w:t>(0.05)</w:t>
                  </w:r>
                </w:p>
              </w:tc>
              <w:tc>
                <w:tcPr>
                  <w:tcW w:type="dxa" w:w="652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color w:val="1D2433"/>
                      <w:sz w:val="15"/>
                    </w:rPr>
                    <w:t>-</w:t>
                  </w:r>
                </w:p>
              </w:tc>
              <w:tc>
                <w:tcPr>
                  <w:tcW w:type="dxa" w:w="652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color w:val="1D2433"/>
                      <w:sz w:val="15"/>
                    </w:rPr>
                    <w:t>-</w:t>
                  </w:r>
                </w:p>
              </w:tc>
              <w:tc>
                <w:tcPr>
                  <w:tcW w:type="dxa" w:w="652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color w:val="1D2433"/>
                      <w:sz w:val="15"/>
                    </w:rPr>
                    <w:t>-</w:t>
                  </w:r>
                </w:p>
              </w:tc>
              <w:tc>
                <w:tcPr>
                  <w:tcW w:type="dxa" w:w="652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color w:val="1D2433"/>
                      <w:sz w:val="15"/>
                    </w:rPr>
                    <w:t>-</w:t>
                  </w:r>
                </w:p>
              </w:tc>
            </w:tr>
            <w:tr>
              <w:tc>
                <w:tcPr>
                  <w:tcW w:type="dxa" w:w="4348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  <w:shd w:fill="E8EEF7" w:color="auto" w:val="clear"/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b/>
                      <w:color w:val="1D2433"/>
                      <w:sz w:val="15"/>
                    </w:rPr>
                    <w:t>Year-end net financial assets</w:t>
                  </w:r>
                </w:p>
              </w:tc>
              <w:tc>
                <w:tcPr>
                  <w:tcW w:type="dxa" w:w="652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  <w:shd w:fill="E8EEF7" w:color="auto" w:val="clear"/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b/>
                      <w:color w:val="1D2433"/>
                      <w:sz w:val="15"/>
                    </w:rPr>
                    <w:t>2.88</w:t>
                  </w:r>
                </w:p>
              </w:tc>
              <w:tc>
                <w:tcPr>
                  <w:tcW w:type="dxa" w:w="652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  <w:shd w:fill="E8EEF7" w:color="auto" w:val="clear"/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b/>
                      <w:color w:val="1D2433"/>
                      <w:sz w:val="15"/>
                    </w:rPr>
                    <w:t>2.79</w:t>
                  </w:r>
                </w:p>
              </w:tc>
              <w:tc>
                <w:tcPr>
                  <w:tcW w:type="dxa" w:w="652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  <w:shd w:fill="E8EEF7" w:color="auto" w:val="clear"/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b/>
                      <w:color w:val="1D2433"/>
                      <w:sz w:val="15"/>
                    </w:rPr>
                    <w:t>2.67</w:t>
                  </w:r>
                </w:p>
              </w:tc>
              <w:tc>
                <w:tcPr>
                  <w:tcW w:type="dxa" w:w="652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  <w:shd w:fill="E8EEF7" w:color="auto" w:val="clear"/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b/>
                      <w:color w:val="1D2433"/>
                      <w:sz w:val="15"/>
                    </w:rPr>
                    <w:t>2.44</w:t>
                  </w:r>
                </w:p>
              </w:tc>
              <w:tc>
                <w:tcPr>
                  <w:tcW w:type="dxa" w:w="652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  <w:shd w:fill="E8EEF7" w:color="auto" w:val="clear"/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b/>
                      <w:color w:val="1D2433"/>
                      <w:sz w:val="15"/>
                    </w:rPr>
                    <w:t>2.17</w:t>
                  </w:r>
                </w:p>
              </w:tc>
            </w:tr>
          </w:tbl>
          <w:p/>
          <w:p>
            <w:pPr>
              <w:spacing w:before="40" w:after="100" w:line="264" w:lineRule="auto"/>
            </w:pPr>
            <w:r>
              <w:rPr>
                <w:rFonts w:ascii="Arial" w:hAnsi="Arial"/>
                <w:color w:val="7A8291"/>
                <w:sz w:val="13"/>
              </w:rPr>
              <w:t>Cash and equivalents only KRW162bn (Sep-25): the rest is in short-term financial instruments and funds whose composition is not disclosed in our sources (a diligence item). 1H26 operating cash flow was negative (timing of levies, taxes and bonuses).</w:t>
            </w:r>
          </w:p>
        </w:tc>
        <w:tc>
          <w:tcPr>
            <w:tcW w:type="dxa" w:w="420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622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40"/>
            </w:pPr>
            <w:r>
              <w:drawing>
                <wp:inline xmlns:a="http://schemas.openxmlformats.org/drawingml/2006/main" xmlns:pic="http://schemas.openxmlformats.org/drawingml/2006/picture">
                  <wp:extent cx="3954145" cy="1907621"/>
                  <wp:docPr id="905" name="Picture 9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sh_vs_mcap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4145" cy="19076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40"/>
      </w:pPr>
    </w:p>
    <w:p>
      <w:pPr>
        <w:sectPr>
          <w:footerReference w:type="default" r:id="rId20"/>
          <w:pgSz w:w="15840" w:h="12240" w:orient="landscape"/>
          <w:pgMar w:top="640" w:right="792" w:bottom="560" w:left="792" w:header="300" w:footer="300" w:gutter="0"/>
          <w:cols w:space="720"/>
          <w:docGrid w:linePitch="360"/>
        </w:sectPr>
      </w:pP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  <w:tblW w:type="dxa" w:w="14256"/>
        <w:tblCellMar>
          <w:left w:type="dxa" w:w="0"/>
          <w:right w:type="dxa" w:w="0"/>
        </w:tblCellMar>
      </w:tblPr>
      <w:tblGrid>
        <w:gridCol w:w="12356"/>
        <w:gridCol w:w="1900"/>
      </w:tblGrid>
      <w:tr>
        <w:tc>
          <w:tcPr>
            <w:tcW w:type="dxa" w:w="1235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B6CD4"/>
                <w:sz w:val="18"/>
              </w:rPr>
              <w:t>QUESTION 2 - VALUE TRAP OR GENUINE RECOVERY?</w:t>
            </w:r>
          </w:p>
        </w:tc>
        <w:tc>
          <w:tcPr>
            <w:tcW w:type="dxa" w:w="1900"/>
            <w:tcBorders>
              <w:top w:val="nil"/>
              <w:left w:val="nil"/>
              <w:bottom w:val="nil"/>
              <w:right w:val="nil"/>
            </w:tcBorders>
            <w:shd w:fill="14213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EARNINGS</w:t>
            </w:r>
          </w:p>
        </w:tc>
      </w:tr>
    </w:tbl>
    <w:p>
      <w:pPr>
        <w:spacing w:before="0" w:after="0" w:line="80" w:lineRule="exact"/>
        <w:pBdr>
          <w:bottom w:val="single" w:sz="6" w:space="1" w:color="1D2433"/>
        </w:pBdr>
      </w:pPr>
    </w:p>
    <w:p>
      <w:pPr>
        <w:spacing w:before="140" w:after="140" w:line="252" w:lineRule="auto"/>
      </w:pPr>
      <w:r>
        <w:rPr>
          <w:rFonts w:ascii="Arial" w:hAnsi="Arial"/>
          <w:b/>
          <w:color w:val="14213D"/>
          <w:sz w:val="38"/>
        </w:rPr>
        <w:t>Earnings trough in 2026-27 during the renovation; consensus still ~17% too high on operating profit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  <w:tblW w:type="dxa" w:w="14256"/>
        <w:tblCellMar>
          <w:left w:type="dxa" w:w="0"/>
          <w:right w:type="dxa" w:w="0"/>
        </w:tblCellMar>
      </w:tblPr>
      <w:tblGrid>
        <w:gridCol w:w="6918"/>
        <w:gridCol w:w="420"/>
        <w:gridCol w:w="6918"/>
      </w:tblGrid>
      <w:tr>
        <w:tc>
          <w:tcPr>
            <w:tcW w:type="dxa" w:w="691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100"/>
              <w:pBdr>
                <w:bottom w:val="single" w:sz="4" w:space="4" w:color="D5D9E0"/>
              </w:pBdr>
            </w:pPr>
            <w:r>
              <w:rPr>
                <w:rFonts w:ascii="Arial" w:hAnsi="Arial"/>
                <w:b/>
                <w:color w:val="14213D"/>
                <w:sz w:val="21"/>
              </w:rPr>
              <w:t>Estimates (KRW bn)</w:t>
            </w:r>
          </w:p>
          <w:tbl>
            <w:tblPr>
              <w:tblW w:type="auto" w:w="0"/>
              <w:jc w:val="left"/>
              <w:tblLook w:firstColumn="1" w:firstRow="1" w:lastColumn="0" w:lastRow="0" w:noHBand="0" w:noVBand="1" w:val="04A0"/>
              <w:tblLayout w:type="fixed"/>
              <w:tblW w:type="dxa" w:w="6917"/>
              <w:tblCellMar>
                <w:left w:type="dxa" w:w="0"/>
                <w:right w:type="dxa" w:w="0"/>
              </w:tblCellMar>
            </w:tblPr>
            <w:tblGrid>
              <w:gridCol w:w="3091"/>
              <w:gridCol w:w="1030"/>
              <w:gridCol w:w="1030"/>
              <w:gridCol w:w="883"/>
              <w:gridCol w:w="883"/>
            </w:tblGrid>
            <w:tr>
              <w:tc>
                <w:tcPr>
                  <w:tcW w:type="dxa" w:w="3091"/>
                  <w:tcBorders>
                    <w:top w:val="nil"/>
                    <w:left w:val="nil"/>
                    <w:bottom w:val="nil"/>
                    <w:right w:val="nil"/>
                  </w:tcBorders>
                  <w:shd w:fill="14213D" w:color="auto" w:val="clear"/>
                  <w:tcMar>
                    <w:top w:type="dxa" w:w="55"/>
                    <w:left w:type="dxa" w:w="80"/>
                    <w:bottom w:type="dxa" w:w="55"/>
                    <w:right w:type="dxa" w:w="80"/>
                  </w:tcMar>
                </w:tcPr>
                <w:p>
                  <w:pPr>
                    <w:spacing w:before="0" w:after="0"/>
                  </w:pPr>
                </w:p>
              </w:tc>
              <w:tc>
                <w:tcPr>
                  <w:tcW w:type="dxa" w:w="1030"/>
                  <w:tcBorders>
                    <w:top w:val="nil"/>
                    <w:left w:val="nil"/>
                    <w:bottom w:val="nil"/>
                    <w:right w:val="nil"/>
                  </w:tcBorders>
                  <w:shd w:fill="14213D" w:color="auto" w:val="clear"/>
                  <w:tcMar>
                    <w:top w:type="dxa" w:w="55"/>
                    <w:left w:type="dxa" w:w="80"/>
                    <w:bottom w:type="dxa" w:w="55"/>
                    <w:right w:type="dxa" w:w="80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b/>
                      <w:color w:val="FFFFFF"/>
                      <w:sz w:val="15"/>
                    </w:rPr>
                    <w:t>FY25A</w:t>
                  </w:r>
                </w:p>
              </w:tc>
              <w:tc>
                <w:tcPr>
                  <w:tcW w:type="dxa" w:w="1030"/>
                  <w:tcBorders>
                    <w:top w:val="nil"/>
                    <w:left w:val="nil"/>
                    <w:bottom w:val="nil"/>
                    <w:right w:val="nil"/>
                  </w:tcBorders>
                  <w:shd w:fill="14213D" w:color="auto" w:val="clear"/>
                  <w:tcMar>
                    <w:top w:type="dxa" w:w="55"/>
                    <w:left w:type="dxa" w:w="80"/>
                    <w:bottom w:type="dxa" w:w="55"/>
                    <w:right w:type="dxa" w:w="80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b/>
                      <w:color w:val="FFFFFF"/>
                      <w:sz w:val="15"/>
                    </w:rPr>
                    <w:t>FY26E</w:t>
                  </w:r>
                </w:p>
              </w:tc>
              <w:tc>
                <w:tcPr>
                  <w:tcW w:type="dxa" w:w="883"/>
                  <w:tcBorders>
                    <w:top w:val="nil"/>
                    <w:left w:val="nil"/>
                    <w:bottom w:val="nil"/>
                    <w:right w:val="nil"/>
                  </w:tcBorders>
                  <w:shd w:fill="14213D" w:color="auto" w:val="clear"/>
                  <w:tcMar>
                    <w:top w:type="dxa" w:w="55"/>
                    <w:left w:type="dxa" w:w="80"/>
                    <w:bottom w:type="dxa" w:w="55"/>
                    <w:right w:type="dxa" w:w="80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b/>
                      <w:color w:val="FFFFFF"/>
                      <w:sz w:val="15"/>
                    </w:rPr>
                    <w:t>FY27E</w:t>
                  </w:r>
                </w:p>
              </w:tc>
              <w:tc>
                <w:tcPr>
                  <w:tcW w:type="dxa" w:w="883"/>
                  <w:tcBorders>
                    <w:top w:val="nil"/>
                    <w:left w:val="nil"/>
                    <w:bottom w:val="nil"/>
                    <w:right w:val="nil"/>
                  </w:tcBorders>
                  <w:shd w:fill="14213D" w:color="auto" w:val="clear"/>
                  <w:tcMar>
                    <w:top w:type="dxa" w:w="55"/>
                    <w:left w:type="dxa" w:w="80"/>
                    <w:bottom w:type="dxa" w:w="55"/>
                    <w:right w:type="dxa" w:w="80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b/>
                      <w:color w:val="FFFFFF"/>
                      <w:sz w:val="15"/>
                    </w:rPr>
                    <w:t>FY28E</w:t>
                  </w:r>
                </w:p>
              </w:tc>
            </w:tr>
            <w:tr>
              <w:tc>
                <w:tcPr>
                  <w:tcW w:type="dxa" w:w="3091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b/>
                      <w:color w:val="1D2433"/>
                      <w:sz w:val="15"/>
                    </w:rPr>
                    <w:t>Revenue</w:t>
                  </w:r>
                </w:p>
              </w:tc>
              <w:tc>
                <w:tcPr>
                  <w:tcW w:type="dxa" w:w="1030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color w:val="1D2433"/>
                      <w:sz w:val="15"/>
                    </w:rPr>
                    <w:t>1,476.7</w:t>
                  </w:r>
                </w:p>
              </w:tc>
              <w:tc>
                <w:tcPr>
                  <w:tcW w:type="dxa" w:w="1030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color w:val="1D2433"/>
                      <w:sz w:val="15"/>
                    </w:rPr>
                    <w:t>1,454.5</w:t>
                  </w:r>
                </w:p>
              </w:tc>
              <w:tc>
                <w:tcPr>
                  <w:tcW w:type="dxa" w:w="883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color w:val="1D2433"/>
                      <w:sz w:val="15"/>
                    </w:rPr>
                    <w:t>1,480</w:t>
                  </w:r>
                </w:p>
              </w:tc>
              <w:tc>
                <w:tcPr>
                  <w:tcW w:type="dxa" w:w="883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color w:val="1D2433"/>
                      <w:sz w:val="15"/>
                    </w:rPr>
                    <w:t>1,560</w:t>
                  </w:r>
                </w:p>
              </w:tc>
            </w:tr>
            <w:tr>
              <w:tc>
                <w:tcPr>
                  <w:tcW w:type="dxa" w:w="3091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b/>
                      <w:color w:val="1D2433"/>
                      <w:sz w:val="15"/>
                    </w:rPr>
                    <w:t>Operating profit</w:t>
                  </w:r>
                </w:p>
              </w:tc>
              <w:tc>
                <w:tcPr>
                  <w:tcW w:type="dxa" w:w="1030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color w:val="1D2433"/>
                      <w:sz w:val="15"/>
                    </w:rPr>
                    <w:t>235.2</w:t>
                  </w:r>
                </w:p>
              </w:tc>
              <w:tc>
                <w:tcPr>
                  <w:tcW w:type="dxa" w:w="1030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color w:val="1D2433"/>
                      <w:sz w:val="15"/>
                    </w:rPr>
                    <w:t>201.1</w:t>
                  </w:r>
                </w:p>
              </w:tc>
              <w:tc>
                <w:tcPr>
                  <w:tcW w:type="dxa" w:w="883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color w:val="1D2433"/>
                      <w:sz w:val="15"/>
                    </w:rPr>
                    <w:t>215.0</w:t>
                  </w:r>
                </w:p>
              </w:tc>
              <w:tc>
                <w:tcPr>
                  <w:tcW w:type="dxa" w:w="883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color w:val="1D2433"/>
                      <w:sz w:val="15"/>
                    </w:rPr>
                    <w:t>245.0</w:t>
                  </w:r>
                </w:p>
              </w:tc>
            </w:tr>
            <w:tr>
              <w:tc>
                <w:tcPr>
                  <w:tcW w:type="dxa" w:w="3091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b/>
                      <w:color w:val="1D2433"/>
                      <w:sz w:val="15"/>
                    </w:rPr>
                    <w:t>Consensus OP (May-26)</w:t>
                  </w:r>
                </w:p>
              </w:tc>
              <w:tc>
                <w:tcPr>
                  <w:tcW w:type="dxa" w:w="1030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color w:val="1D2433"/>
                      <w:sz w:val="15"/>
                    </w:rPr>
                    <w:t>-</w:t>
                  </w:r>
                </w:p>
              </w:tc>
              <w:tc>
                <w:tcPr>
                  <w:tcW w:type="dxa" w:w="1030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color w:val="1D2433"/>
                      <w:sz w:val="15"/>
                    </w:rPr>
                    <w:t>246.5</w:t>
                  </w:r>
                </w:p>
              </w:tc>
              <w:tc>
                <w:tcPr>
                  <w:tcW w:type="dxa" w:w="883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color w:val="1D2433"/>
                      <w:sz w:val="15"/>
                    </w:rPr>
                    <w:t>260.2</w:t>
                  </w:r>
                </w:p>
              </w:tc>
              <w:tc>
                <w:tcPr>
                  <w:tcW w:type="dxa" w:w="883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color w:val="1D2433"/>
                      <w:sz w:val="15"/>
                    </w:rPr>
                    <w:t>-</w:t>
                  </w:r>
                </w:p>
              </w:tc>
            </w:tr>
            <w:tr>
              <w:tc>
                <w:tcPr>
                  <w:tcW w:type="dxa" w:w="3091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b/>
                      <w:color w:val="1D2433"/>
                      <w:sz w:val="15"/>
                    </w:rPr>
                    <w:t>Net profit</w:t>
                  </w:r>
                </w:p>
              </w:tc>
              <w:tc>
                <w:tcPr>
                  <w:tcW w:type="dxa" w:w="1030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color w:val="1D2433"/>
                      <w:sz w:val="15"/>
                    </w:rPr>
                    <w:t>316.5</w:t>
                  </w:r>
                </w:p>
              </w:tc>
              <w:tc>
                <w:tcPr>
                  <w:tcW w:type="dxa" w:w="1030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color w:val="1D2433"/>
                      <w:sz w:val="15"/>
                    </w:rPr>
                    <w:t>248.0</w:t>
                  </w:r>
                </w:p>
              </w:tc>
              <w:tc>
                <w:tcPr>
                  <w:tcW w:type="dxa" w:w="883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color w:val="1D2433"/>
                      <w:sz w:val="15"/>
                    </w:rPr>
                    <w:t>244.2</w:t>
                  </w:r>
                </w:p>
              </w:tc>
              <w:tc>
                <w:tcPr>
                  <w:tcW w:type="dxa" w:w="883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color w:val="1D2433"/>
                      <w:sz w:val="15"/>
                    </w:rPr>
                    <w:t>262.7</w:t>
                  </w:r>
                </w:p>
              </w:tc>
            </w:tr>
            <w:tr>
              <w:tc>
                <w:tcPr>
                  <w:tcW w:type="dxa" w:w="3091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b/>
                      <w:color w:val="1D2433"/>
                      <w:sz w:val="15"/>
                    </w:rPr>
                    <w:t>EPS (KRW)</w:t>
                  </w:r>
                </w:p>
              </w:tc>
              <w:tc>
                <w:tcPr>
                  <w:tcW w:type="dxa" w:w="1030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color w:val="1D2433"/>
                      <w:sz w:val="15"/>
                    </w:rPr>
                    <w:t>1,597</w:t>
                  </w:r>
                </w:p>
              </w:tc>
              <w:tc>
                <w:tcPr>
                  <w:tcW w:type="dxa" w:w="1030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color w:val="1D2433"/>
                      <w:sz w:val="15"/>
                    </w:rPr>
                    <w:t>1,252</w:t>
                  </w:r>
                </w:p>
              </w:tc>
              <w:tc>
                <w:tcPr>
                  <w:tcW w:type="dxa" w:w="883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color w:val="1D2433"/>
                      <w:sz w:val="15"/>
                    </w:rPr>
                    <w:t>1,232</w:t>
                  </w:r>
                </w:p>
              </w:tc>
              <w:tc>
                <w:tcPr>
                  <w:tcW w:type="dxa" w:w="883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color w:val="1D2433"/>
                      <w:sz w:val="15"/>
                    </w:rPr>
                    <w:t>1,326</w:t>
                  </w:r>
                </w:p>
              </w:tc>
            </w:tr>
            <w:tr>
              <w:tc>
                <w:tcPr>
                  <w:tcW w:type="dxa" w:w="3091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b/>
                      <w:color w:val="1D2433"/>
                      <w:sz w:val="15"/>
                    </w:rPr>
                    <w:t>Consensus EPS (KRW)</w:t>
                  </w:r>
                </w:p>
              </w:tc>
              <w:tc>
                <w:tcPr>
                  <w:tcW w:type="dxa" w:w="1030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color w:val="1D2433"/>
                      <w:sz w:val="15"/>
                    </w:rPr>
                    <w:t>-</w:t>
                  </w:r>
                </w:p>
              </w:tc>
              <w:tc>
                <w:tcPr>
                  <w:tcW w:type="dxa" w:w="1030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color w:val="1D2433"/>
                      <w:sz w:val="15"/>
                    </w:rPr>
                    <w:t>1,423</w:t>
                  </w:r>
                </w:p>
              </w:tc>
              <w:tc>
                <w:tcPr>
                  <w:tcW w:type="dxa" w:w="883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color w:val="1D2433"/>
                      <w:sz w:val="15"/>
                    </w:rPr>
                    <w:t>1,487</w:t>
                  </w:r>
                </w:p>
              </w:tc>
              <w:tc>
                <w:tcPr>
                  <w:tcW w:type="dxa" w:w="883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color w:val="1D2433"/>
                      <w:sz w:val="15"/>
                    </w:rPr>
                    <w:t>-</w:t>
                  </w:r>
                </w:p>
              </w:tc>
            </w:tr>
            <w:tr>
              <w:tc>
                <w:tcPr>
                  <w:tcW w:type="dxa" w:w="3091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b/>
                      <w:color w:val="1D2433"/>
                      <w:sz w:val="15"/>
                    </w:rPr>
                    <w:t>DPS (KRW)</w:t>
                  </w:r>
                </w:p>
              </w:tc>
              <w:tc>
                <w:tcPr>
                  <w:tcW w:type="dxa" w:w="1030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color w:val="1D2433"/>
                      <w:sz w:val="15"/>
                    </w:rPr>
                    <w:t>950</w:t>
                  </w:r>
                </w:p>
              </w:tc>
              <w:tc>
                <w:tcPr>
                  <w:tcW w:type="dxa" w:w="1030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color w:val="1D2433"/>
                      <w:sz w:val="15"/>
                    </w:rPr>
                    <w:t>850</w:t>
                  </w:r>
                </w:p>
              </w:tc>
              <w:tc>
                <w:tcPr>
                  <w:tcW w:type="dxa" w:w="883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color w:val="1D2433"/>
                      <w:sz w:val="15"/>
                    </w:rPr>
                    <w:t>870</w:t>
                  </w:r>
                </w:p>
              </w:tc>
              <w:tc>
                <w:tcPr>
                  <w:tcW w:type="dxa" w:w="883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color w:val="1D2433"/>
                      <w:sz w:val="15"/>
                    </w:rPr>
                    <w:t>920</w:t>
                  </w:r>
                </w:p>
              </w:tc>
            </w:tr>
            <w:tr>
              <w:tc>
                <w:tcPr>
                  <w:tcW w:type="dxa" w:w="3091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b/>
                      <w:color w:val="1D2433"/>
                      <w:sz w:val="15"/>
                    </w:rPr>
                    <w:t>P/E at KRW14,180</w:t>
                  </w:r>
                </w:p>
              </w:tc>
              <w:tc>
                <w:tcPr>
                  <w:tcW w:type="dxa" w:w="1030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color w:val="1D2433"/>
                      <w:sz w:val="15"/>
                    </w:rPr>
                    <w:t>8.9x</w:t>
                  </w:r>
                </w:p>
              </w:tc>
              <w:tc>
                <w:tcPr>
                  <w:tcW w:type="dxa" w:w="1030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color w:val="1D2433"/>
                      <w:sz w:val="15"/>
                    </w:rPr>
                    <w:t>11.3x</w:t>
                  </w:r>
                </w:p>
              </w:tc>
              <w:tc>
                <w:tcPr>
                  <w:tcW w:type="dxa" w:w="883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color w:val="1D2433"/>
                      <w:sz w:val="15"/>
                    </w:rPr>
                    <w:t>11.5x</w:t>
                  </w:r>
                </w:p>
              </w:tc>
              <w:tc>
                <w:tcPr>
                  <w:tcW w:type="dxa" w:w="883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color w:val="1D2433"/>
                      <w:sz w:val="15"/>
                    </w:rPr>
                    <w:t>10.7x</w:t>
                  </w:r>
                </w:p>
              </w:tc>
            </w:tr>
          </w:tbl>
          <w:p/>
          <w:p>
            <w:pPr>
              <w:spacing w:before="40" w:after="100" w:line="264" w:lineRule="auto"/>
            </w:pPr>
            <w:r>
              <w:rPr>
                <w:rFonts w:ascii="Arial" w:hAnsi="Arial"/>
                <w:color w:val="7A8291"/>
                <w:sz w:val="13"/>
              </w:rPr>
              <w:t>Our estimates [e]; consensus Hana (4-May-26), pre-2Q26. Targets were cut 14-18% in August, so consensus has likely fallen.</w:t>
            </w:r>
          </w:p>
        </w:tc>
        <w:tc>
          <w:tcPr>
            <w:tcW w:type="dxa" w:w="420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691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100"/>
              <w:pBdr>
                <w:bottom w:val="single" w:sz="4" w:space="4" w:color="D5D9E0"/>
              </w:pBdr>
            </w:pPr>
            <w:r>
              <w:rPr>
                <w:rFonts w:ascii="Arial" w:hAnsi="Arial"/>
                <w:b/>
                <w:color w:val="14213D"/>
                <w:sz w:val="21"/>
              </w:rPr>
              <w:t>2Q26 (4-Aug-26) and what comes next</w:t>
            </w:r>
          </w:p>
          <w:p>
            <w:pPr>
              <w:spacing w:before="0" w:after="70" w:line="269" w:lineRule="auto"/>
              <w:ind w:left="220" w:hanging="220"/>
            </w:pPr>
            <w:r>
              <w:rPr>
                <w:color w:val="2B6CD4"/>
                <w:sz w:val="11"/>
              </w:rPr>
              <w:t xml:space="preserve">■  </w:t>
            </w:r>
            <w:r>
              <w:rPr>
                <w:rFonts w:ascii="Arial" w:hAnsi="Arial"/>
                <w:color w:val="333B4A"/>
                <w:sz w:val="15"/>
              </w:rPr>
              <w:t>Revenue −4.2%, OP −26.2% (12% below consensus [u]), NP +59.8% on a KRW97.3bn valuation gain</w:t>
            </w:r>
          </w:p>
          <w:p>
            <w:pPr>
              <w:spacing w:before="0" w:after="70" w:line="269" w:lineRule="auto"/>
              <w:ind w:left="220" w:hanging="220"/>
            </w:pPr>
            <w:r>
              <w:rPr>
                <w:color w:val="2B6CD4"/>
                <w:sz w:val="11"/>
              </w:rPr>
              <w:t xml:space="preserve">■  </w:t>
            </w:r>
            <w:r>
              <w:rPr>
                <w:rFonts w:ascii="Arial" w:hAnsi="Arial"/>
                <w:color w:val="333B4A"/>
                <w:sz w:val="15"/>
              </w:rPr>
              <w:t>Casino visits −3.3%; VIP visits +18% but revenue −7.6% (hold); non-gaming −12.3% with 757 rooms offline</w:t>
            </w:r>
          </w:p>
          <w:p>
            <w:pPr>
              <w:spacing w:before="0" w:after="70" w:line="269" w:lineRule="auto"/>
              <w:ind w:left="220" w:hanging="220"/>
            </w:pPr>
            <w:r>
              <w:rPr>
                <w:color w:val="2B6CD4"/>
                <w:sz w:val="11"/>
              </w:rPr>
              <w:t xml:space="preserve">■  </w:t>
            </w:r>
            <w:r>
              <w:rPr>
                <w:rFonts w:ascii="Arial" w:hAnsi="Arial"/>
                <w:color w:val="333B4A"/>
                <w:sz w:val="15"/>
              </w:rPr>
              <w:t>Fixed costs amplify: revenue −4% became OP −26% (Kiwoom)</w:t>
            </w:r>
          </w:p>
          <w:p>
            <w:pPr>
              <w:spacing w:before="0" w:after="70" w:line="269" w:lineRule="auto"/>
              <w:ind w:left="220" w:hanging="220"/>
            </w:pPr>
            <w:r>
              <w:rPr>
                <w:color w:val="2B6CD4"/>
                <w:sz w:val="11"/>
              </w:rPr>
              <w:t xml:space="preserve">■  </w:t>
            </w:r>
            <w:r>
              <w:rPr>
                <w:rFonts w:ascii="Arial" w:hAnsi="Arial"/>
                <w:color w:val="333B4A"/>
                <w:sz w:val="15"/>
              </w:rPr>
              <w:t>3Q26 preview (iM, 23-Oct): OP KRW64.2bn vs consensus KRW67.2bn; target cut to KRW18,000</w:t>
            </w:r>
          </w:p>
          <w:p>
            <w:pPr>
              <w:spacing w:before="0" w:after="70" w:line="269" w:lineRule="auto"/>
              <w:ind w:left="220" w:hanging="220"/>
            </w:pPr>
            <w:r>
              <w:rPr>
                <w:color w:val="2B6CD4"/>
                <w:sz w:val="11"/>
              </w:rPr>
              <w:t xml:space="preserve">■  </w:t>
            </w:r>
            <w:r>
              <w:rPr>
                <w:rFonts w:ascii="Arial" w:hAnsi="Arial"/>
                <w:b/>
                <w:color w:val="333B4A"/>
                <w:sz w:val="15"/>
              </w:rPr>
              <w:t>Recovery in 2028:</w:t>
            </w:r>
            <w:r>
              <w:rPr>
                <w:rFonts w:ascii="Arial" w:hAnsi="Arial"/>
                <w:color w:val="333B4A"/>
                <w:sz w:val="15"/>
              </w:rPr>
              <w:t xml:space="preserve"> condo (Nov-27) and hotel (Apr-28) reopen; second casino (+25% tables) completes Dec-27; VIP limits already lifted drop +46%</w:t>
            </w:r>
          </w:p>
        </w:tc>
      </w:tr>
    </w:tbl>
    <w:p>
      <w:pPr>
        <w:spacing w:before="0" w:after="40"/>
      </w:pPr>
    </w:p>
    <w:p>
      <w:pPr>
        <w:sectPr>
          <w:footerReference w:type="default" r:id="rId22"/>
          <w:pgSz w:w="15840" w:h="12240" w:orient="landscape"/>
          <w:pgMar w:top="640" w:right="792" w:bottom="560" w:left="792" w:header="300" w:footer="300" w:gutter="0"/>
          <w:cols w:space="720"/>
          <w:docGrid w:linePitch="360"/>
        </w:sectPr>
      </w:pP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  <w:tblW w:type="dxa" w:w="14256"/>
        <w:tblCellMar>
          <w:left w:type="dxa" w:w="0"/>
          <w:right w:type="dxa" w:w="0"/>
        </w:tblCellMar>
      </w:tblPr>
      <w:tblGrid>
        <w:gridCol w:w="12356"/>
        <w:gridCol w:w="1900"/>
      </w:tblGrid>
      <w:tr>
        <w:tc>
          <w:tcPr>
            <w:tcW w:type="dxa" w:w="1235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B6CD4"/>
                <w:sz w:val="18"/>
              </w:rPr>
              <w:t>QUESTION 2 - DEEP DIVE</w:t>
            </w:r>
          </w:p>
        </w:tc>
        <w:tc>
          <w:tcPr>
            <w:tcW w:type="dxa" w:w="1900"/>
            <w:tcBorders>
              <w:top w:val="nil"/>
              <w:left w:val="nil"/>
              <w:bottom w:val="nil"/>
              <w:right w:val="nil"/>
            </w:tcBorders>
            <w:shd w:fill="14213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DEEP DIVE</w:t>
            </w:r>
          </w:p>
        </w:tc>
      </w:tr>
    </w:tbl>
    <w:p>
      <w:pPr>
        <w:spacing w:before="0" w:after="0" w:line="80" w:lineRule="exact"/>
        <w:pBdr>
          <w:bottom w:val="single" w:sz="6" w:space="1" w:color="1D2433"/>
        </w:pBdr>
      </w:pPr>
    </w:p>
    <w:p>
      <w:pPr>
        <w:spacing w:before="140" w:after="140" w:line="252" w:lineRule="auto"/>
      </w:pPr>
      <w:r>
        <w:rPr>
          <w:rFonts w:ascii="Arial" w:hAnsi="Arial"/>
          <w:b/>
          <w:color w:val="14213D"/>
          <w:sz w:val="38"/>
        </w:rPr>
        <w:t>The State takes 42% of gaming sales before shareholders see a won - and it changed the rules in 2021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  <w:tblW w:type="dxa" w:w="14256"/>
        <w:tblCellMar>
          <w:left w:type="dxa" w:w="0"/>
          <w:right w:type="dxa" w:w="0"/>
        </w:tblCellMar>
      </w:tblPr>
      <w:tblGrid>
        <w:gridCol w:w="8024"/>
        <w:gridCol w:w="420"/>
        <w:gridCol w:w="5812"/>
      </w:tblGrid>
      <w:tr>
        <w:tc>
          <w:tcPr>
            <w:tcW w:type="dxa" w:w="802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40"/>
            </w:pPr>
            <w:r>
              <w:drawing>
                <wp:inline xmlns:a="http://schemas.openxmlformats.org/drawingml/2006/main" xmlns:pic="http://schemas.openxmlformats.org/drawingml/2006/picture">
                  <wp:extent cx="5095240" cy="2412323"/>
                  <wp:docPr id="906" name="Picture 9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ov_tak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5240" cy="24123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0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81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100"/>
              <w:pBdr>
                <w:bottom w:val="single" w:sz="4" w:space="4" w:color="D5D9E0"/>
              </w:pBdr>
            </w:pPr>
            <w:r>
              <w:rPr>
                <w:rFonts w:ascii="Arial" w:hAnsi="Arial"/>
                <w:b/>
                <w:color w:val="14213D"/>
                <w:sz w:val="21"/>
              </w:rPr>
              <w:t>Why margins fell - and what could turn</w:t>
            </w:r>
          </w:p>
          <w:p>
            <w:pPr>
              <w:spacing w:before="0" w:after="70" w:line="269" w:lineRule="auto"/>
              <w:ind w:left="220" w:hanging="220"/>
            </w:pPr>
            <w:r>
              <w:rPr>
                <w:color w:val="2B6CD4"/>
                <w:sz w:val="11"/>
              </w:rPr>
              <w:t xml:space="preserve">■  </w:t>
            </w:r>
            <w:r>
              <w:rPr>
                <w:rFonts w:ascii="Arial" w:hAnsi="Arial"/>
                <w:b/>
                <w:color w:val="333B4A"/>
                <w:sz w:val="15"/>
              </w:rPr>
              <w:t>2021 mine-fund change:</w:t>
            </w:r>
            <w:r>
              <w:rPr>
                <w:rFonts w:ascii="Arial" w:hAnsi="Arial"/>
                <w:color w:val="333B4A"/>
                <w:sz w:val="15"/>
              </w:rPr>
              <w:t xml:space="preserve"> from 25% of profit (~KRW140bn) to 13% of casino gross sales (~KRW200bn), payable even in a loss year; bought the licence extension to 2045</w:t>
            </w:r>
          </w:p>
          <w:p>
            <w:pPr>
              <w:spacing w:before="0" w:after="70" w:line="269" w:lineRule="auto"/>
              <w:ind w:left="220" w:hanging="220"/>
            </w:pPr>
            <w:r>
              <w:rPr>
                <w:color w:val="2B6CD4"/>
                <w:sz w:val="11"/>
              </w:rPr>
              <w:t xml:space="preserve">■  </w:t>
            </w:r>
            <w:r>
              <w:rPr>
                <w:rFonts w:ascii="Arial" w:hAnsi="Arial"/>
                <w:b/>
                <w:color w:val="333B4A"/>
                <w:sz w:val="15"/>
              </w:rPr>
              <w:t>OP margin</w:t>
            </w:r>
            <w:r>
              <w:rPr>
                <w:rFonts w:ascii="Arial" w:hAnsi="Arial"/>
                <w:color w:val="333B4A"/>
                <w:sz w:val="15"/>
              </w:rPr>
              <w:t xml:space="preserve"> ~30-35% pre-2021 [u] → 20% (FY23-24) → 14.6% (LTM): labour and bonus creep, D&amp;A, donations, renovation</w:t>
            </w:r>
          </w:p>
          <w:p>
            <w:pPr>
              <w:spacing w:before="0" w:after="70" w:line="269" w:lineRule="auto"/>
              <w:ind w:left="220" w:hanging="220"/>
            </w:pPr>
            <w:r>
              <w:rPr>
                <w:color w:val="2B6CD4"/>
                <w:sz w:val="11"/>
              </w:rPr>
              <w:t xml:space="preserve">■  </w:t>
            </w:r>
            <w:r>
              <w:rPr>
                <w:rFonts w:ascii="Arial" w:hAnsi="Arial"/>
                <w:b/>
                <w:color w:val="333B4A"/>
                <w:sz w:val="15"/>
              </w:rPr>
              <w:t>Proposed 15% tourism bracket</w:t>
            </w:r>
            <w:r>
              <w:rPr>
                <w:rFonts w:ascii="Arial" w:hAnsi="Arial"/>
                <w:color w:val="333B4A"/>
                <w:sz w:val="15"/>
              </w:rPr>
              <w:t xml:space="preserve"> (sales &gt;KRW300bn per venue [u]): ~KRW56bn a year if applied [e]; the MCST indicated a carve-out [u]</w:t>
            </w:r>
          </w:p>
          <w:p>
            <w:pPr>
              <w:spacing w:before="0" w:after="70" w:line="269" w:lineRule="auto"/>
              <w:ind w:left="220" w:hanging="220"/>
            </w:pPr>
            <w:r>
              <w:rPr>
                <w:color w:val="2B6CD4"/>
                <w:sz w:val="11"/>
              </w:rPr>
              <w:t xml:space="preserve">■  </w:t>
            </w:r>
            <w:r>
              <w:rPr>
                <w:rFonts w:ascii="Arial" w:hAnsi="Arial"/>
                <w:b/>
                <w:color w:val="333B4A"/>
                <w:sz w:val="15"/>
              </w:rPr>
              <w:t>AML rule:</w:t>
            </w:r>
            <w:r>
              <w:rPr>
                <w:rFonts w:ascii="Arial" w:hAnsi="Arial"/>
                <w:color w:val="333B4A"/>
                <w:sz w:val="15"/>
              </w:rPr>
              <w:t xml:space="preserve"> management estimates −25.8% revenue (~KRW330bn); the National Assembly trade-committee chair wants it modified</w:t>
            </w:r>
          </w:p>
          <w:p>
            <w:pPr>
              <w:spacing w:before="0" w:after="70" w:line="269" w:lineRule="auto"/>
              <w:ind w:left="220" w:hanging="220"/>
            </w:pPr>
            <w:r>
              <w:rPr>
                <w:color w:val="2B6CD4"/>
                <w:sz w:val="11"/>
              </w:rPr>
              <w:t xml:space="preserve">■  </w:t>
            </w:r>
            <w:r>
              <w:rPr>
                <w:rFonts w:ascii="Arial" w:hAnsi="Arial"/>
                <w:b/>
                <w:color w:val="333B4A"/>
                <w:sz w:val="15"/>
              </w:rPr>
              <w:t>Upside levers:</w:t>
            </w:r>
            <w:r>
              <w:rPr>
                <w:rFonts w:ascii="Arial" w:hAnsi="Arial"/>
                <w:color w:val="333B4A"/>
                <w:sz w:val="15"/>
              </w:rPr>
              <w:t xml:space="preserve"> time-based entry, mass bet limit KRW300k → 1m, longer hours (the President ordered a review, Dec-25)</w:t>
            </w:r>
          </w:p>
        </w:tc>
      </w:tr>
    </w:tbl>
    <w:p>
      <w:pPr>
        <w:spacing w:before="0" w:after="40"/>
      </w:pPr>
    </w:p>
    <w:p>
      <w:pPr>
        <w:sectPr>
          <w:footerReference w:type="default" r:id="rId23"/>
          <w:pgSz w:w="15840" w:h="12240" w:orient="landscape"/>
          <w:pgMar w:top="640" w:right="792" w:bottom="560" w:left="792" w:header="300" w:footer="300" w:gutter="0"/>
          <w:cols w:space="720"/>
          <w:docGrid w:linePitch="360"/>
        </w:sectPr>
      </w:pP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  <w:tblW w:type="dxa" w:w="14256"/>
        <w:tblCellMar>
          <w:left w:type="dxa" w:w="0"/>
          <w:right w:type="dxa" w:w="0"/>
        </w:tblCellMar>
      </w:tblPr>
      <w:tblGrid>
        <w:gridCol w:w="12356"/>
        <w:gridCol w:w="1900"/>
      </w:tblGrid>
      <w:tr>
        <w:tc>
          <w:tcPr>
            <w:tcW w:type="dxa" w:w="1235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B6CD4"/>
                <w:sz w:val="18"/>
              </w:rPr>
              <w:t>MANAGEMENT AND SENTIMENT</w:t>
            </w:r>
          </w:p>
        </w:tc>
        <w:tc>
          <w:tcPr>
            <w:tcW w:type="dxa" w:w="1900"/>
            <w:tcBorders>
              <w:top w:val="nil"/>
              <w:left w:val="nil"/>
              <w:bottom w:val="nil"/>
              <w:right w:val="nil"/>
            </w:tcBorders>
            <w:shd w:fill="14213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EARNINGS CALLS</w:t>
            </w:r>
          </w:p>
        </w:tc>
      </w:tr>
    </w:tbl>
    <w:p>
      <w:pPr>
        <w:spacing w:before="0" w:after="0" w:line="80" w:lineRule="exact"/>
        <w:pBdr>
          <w:bottom w:val="single" w:sz="6" w:space="1" w:color="1D2433"/>
        </w:pBdr>
      </w:pPr>
    </w:p>
    <w:p>
      <w:pPr>
        <w:spacing w:before="140" w:after="140" w:line="252" w:lineRule="auto"/>
      </w:pPr>
      <w:r>
        <w:rPr>
          <w:rFonts w:ascii="Arial" w:hAnsi="Arial"/>
          <w:b/>
          <w:color w:val="14213D"/>
          <w:sz w:val="38"/>
        </w:rPr>
        <w:t>Tone moved from 'deregulation and Value-Up' (2024) to 'renovation, levies and AML' (2026)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  <w:tblW w:type="dxa" w:w="14256"/>
        <w:tblCellMar>
          <w:left w:type="dxa" w:w="0"/>
          <w:right w:type="dxa" w:w="0"/>
        </w:tblCellMar>
      </w:tblPr>
      <w:tblGrid>
        <w:gridCol w:w="8024"/>
        <w:gridCol w:w="420"/>
        <w:gridCol w:w="5812"/>
      </w:tblGrid>
      <w:tr>
        <w:tc>
          <w:tcPr>
            <w:tcW w:type="dxa" w:w="802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40"/>
            </w:pPr>
            <w:r>
              <w:drawing>
                <wp:inline xmlns:a="http://schemas.openxmlformats.org/drawingml/2006/main" xmlns:pic="http://schemas.openxmlformats.org/drawingml/2006/picture">
                  <wp:extent cx="5095240" cy="2665759"/>
                  <wp:docPr id="907" name="Picture 9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ntiment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5240" cy="26657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0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81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100"/>
              <w:pBdr>
                <w:bottom w:val="single" w:sz="4" w:space="4" w:color="D5D9E0"/>
              </w:pBdr>
            </w:pPr>
            <w:r>
              <w:rPr>
                <w:rFonts w:ascii="Arial" w:hAnsi="Arial"/>
                <w:b/>
                <w:color w:val="14213D"/>
                <w:sz w:val="21"/>
              </w:rPr>
              <w:t>What management is focused on</w:t>
            </w:r>
          </w:p>
          <w:p>
            <w:pPr>
              <w:spacing w:before="0" w:after="70" w:line="269" w:lineRule="auto"/>
              <w:ind w:left="220" w:hanging="220"/>
            </w:pPr>
            <w:r>
              <w:rPr>
                <w:color w:val="2B6CD4"/>
                <w:sz w:val="11"/>
              </w:rPr>
              <w:t xml:space="preserve">■  </w:t>
            </w:r>
            <w:r>
              <w:rPr>
                <w:rFonts w:ascii="Arial" w:hAnsi="Arial"/>
                <w:color w:val="333B4A"/>
                <w:sz w:val="15"/>
              </w:rPr>
              <w:t>Capex: renovation, second casino, K-HIT (~KRW3tn) and a feasibility-study exemption</w:t>
            </w:r>
          </w:p>
          <w:p>
            <w:pPr>
              <w:spacing w:before="0" w:after="70" w:line="269" w:lineRule="auto"/>
              <w:ind w:left="220" w:hanging="220"/>
            </w:pPr>
            <w:r>
              <w:rPr>
                <w:color w:val="2B6CD4"/>
                <w:sz w:val="11"/>
              </w:rPr>
              <w:t xml:space="preserve">■  </w:t>
            </w:r>
            <w:r>
              <w:rPr>
                <w:rFonts w:ascii="Arial" w:hAnsi="Arial"/>
                <w:color w:val="333B4A"/>
                <w:sz w:val="15"/>
              </w:rPr>
              <w:t>Regulatory reform year: entry rules, bet limits, hours; fighting the AML proposal</w:t>
            </w:r>
          </w:p>
          <w:p>
            <w:pPr>
              <w:spacing w:before="0" w:after="70" w:line="269" w:lineRule="auto"/>
              <w:ind w:left="220" w:hanging="220"/>
            </w:pPr>
            <w:r>
              <w:rPr>
                <w:color w:val="2B6CD4"/>
                <w:sz w:val="11"/>
              </w:rPr>
              <w:t xml:space="preserve">■  </w:t>
            </w:r>
            <w:r>
              <w:rPr>
                <w:rFonts w:ascii="Arial" w:hAnsi="Arial"/>
                <w:color w:val="333B4A"/>
                <w:sz w:val="15"/>
              </w:rPr>
              <w:t>Value-Up delivery (total return 60.1% FY24, 62.6% FY25)</w:t>
            </w:r>
          </w:p>
          <w:p>
            <w:pPr>
              <w:spacing w:before="0" w:after="80"/>
            </w:pPr>
          </w:p>
          <w:p>
            <w:pPr>
              <w:spacing w:before="0" w:after="100"/>
              <w:pBdr>
                <w:bottom w:val="single" w:sz="4" w:space="4" w:color="D5D9E0"/>
              </w:pBdr>
            </w:pPr>
            <w:r>
              <w:rPr>
                <w:rFonts w:ascii="Arial" w:hAnsi="Arial"/>
                <w:b/>
                <w:color w:val="14213D"/>
                <w:sz w:val="21"/>
              </w:rPr>
              <w:t>Management</w:t>
            </w:r>
          </w:p>
          <w:p>
            <w:pPr>
              <w:spacing w:before="0" w:after="70" w:line="269" w:lineRule="auto"/>
              <w:ind w:left="220" w:hanging="220"/>
            </w:pPr>
            <w:r>
              <w:rPr>
                <w:color w:val="7A8291"/>
                <w:sz w:val="11"/>
              </w:rPr>
              <w:t xml:space="preserve">■  </w:t>
            </w:r>
            <w:r>
              <w:rPr>
                <w:rFonts w:ascii="Arial" w:hAnsi="Arial"/>
                <w:b/>
                <w:color w:val="333B4A"/>
                <w:sz w:val="15"/>
              </w:rPr>
              <w:t>Kim Do-kyun</w:t>
            </w:r>
            <w:r>
              <w:rPr>
                <w:rFonts w:ascii="Arial" w:hAnsi="Arial"/>
                <w:color w:val="333B4A"/>
                <w:sz w:val="15"/>
              </w:rPr>
              <w:t xml:space="preserve"> (CEO since 2-Sep-26): retired army general, ex-Capital Defense commander; DP Gangwon chair; no casino experience</w:t>
            </w:r>
          </w:p>
          <w:p>
            <w:pPr>
              <w:spacing w:before="0" w:after="70" w:line="269" w:lineRule="auto"/>
              <w:ind w:left="220" w:hanging="220"/>
            </w:pPr>
            <w:r>
              <w:rPr>
                <w:color w:val="7A8291"/>
                <w:sz w:val="11"/>
              </w:rPr>
              <w:t xml:space="preserve">■  </w:t>
            </w:r>
            <w:r>
              <w:rPr>
                <w:rFonts w:ascii="Arial" w:hAnsi="Arial"/>
                <w:b/>
                <w:color w:val="333B4A"/>
                <w:sz w:val="15"/>
              </w:rPr>
              <w:t>Yoo Jeong-bae</w:t>
            </w:r>
            <w:r>
              <w:rPr>
                <w:rFonts w:ascii="Arial" w:hAnsi="Arial"/>
                <w:color w:val="333B4A"/>
                <w:sz w:val="15"/>
              </w:rPr>
              <w:t xml:space="preserve"> (VP): ex-Korea Coal Corp president</w:t>
            </w:r>
          </w:p>
          <w:p>
            <w:pPr>
              <w:spacing w:before="0" w:after="70" w:line="269" w:lineRule="auto"/>
              <w:ind w:left="220" w:hanging="220"/>
            </w:pPr>
            <w:r>
              <w:rPr>
                <w:color w:val="7A8291"/>
                <w:sz w:val="11"/>
              </w:rPr>
              <w:t xml:space="preserve">■  </w:t>
            </w:r>
            <w:r>
              <w:rPr>
                <w:rFonts w:ascii="Arial" w:hAnsi="Arial"/>
                <w:color w:val="333B4A"/>
                <w:sz w:val="15"/>
              </w:rPr>
              <w:t>~32 months of acting CEOs (Dec-23 to Sep-26); 'C' grades FY24-25; Organisational Diagnosis and Innovation Committee to Dec-26</w:t>
            </w:r>
          </w:p>
        </w:tc>
      </w:tr>
    </w:tbl>
    <w:p>
      <w:pPr>
        <w:spacing w:before="0" w:after="40"/>
      </w:pPr>
    </w:p>
    <w:p>
      <w:pPr>
        <w:spacing w:before="40" w:after="100" w:line="264" w:lineRule="auto"/>
      </w:pPr>
      <w:r>
        <w:rPr>
          <w:rFonts w:ascii="Arial" w:hAnsi="Arial"/>
          <w:color w:val="7A8291"/>
          <w:sz w:val="13"/>
        </w:rPr>
        <w:t>No transcripts available; S&amp;P Capital IQ and ProntoNLP not connected. Scores use a disclosed four-part rubric applied to results releases and press and broker coverage, 1Q24-2Q26.</w:t>
      </w:r>
    </w:p>
    <w:p>
      <w:pPr>
        <w:sectPr>
          <w:footerReference w:type="default" r:id="rId25"/>
          <w:pgSz w:w="15840" w:h="12240" w:orient="landscape"/>
          <w:pgMar w:top="640" w:right="792" w:bottom="560" w:left="792" w:header="300" w:footer="300" w:gutter="0"/>
          <w:cols w:space="720"/>
          <w:docGrid w:linePitch="360"/>
        </w:sectPr>
      </w:pP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  <w:tblW w:type="dxa" w:w="14256"/>
        <w:tblCellMar>
          <w:left w:type="dxa" w:w="0"/>
          <w:right w:type="dxa" w:w="0"/>
        </w:tblCellMar>
      </w:tblPr>
      <w:tblGrid>
        <w:gridCol w:w="12356"/>
        <w:gridCol w:w="1900"/>
      </w:tblGrid>
      <w:tr>
        <w:tc>
          <w:tcPr>
            <w:tcW w:type="dxa" w:w="1235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B6CD4"/>
                <w:sz w:val="18"/>
              </w:rPr>
              <w:t>BALANCE SHEET AND CAPITAL ALLOCATION</w:t>
            </w:r>
          </w:p>
        </w:tc>
        <w:tc>
          <w:tcPr>
            <w:tcW w:type="dxa" w:w="1900"/>
            <w:tcBorders>
              <w:top w:val="nil"/>
              <w:left w:val="nil"/>
              <w:bottom w:val="nil"/>
              <w:right w:val="nil"/>
            </w:tcBorders>
            <w:shd w:fill="14213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CAPITAL</w:t>
            </w:r>
          </w:p>
        </w:tc>
      </w:tr>
    </w:tbl>
    <w:p>
      <w:pPr>
        <w:spacing w:before="0" w:after="0" w:line="80" w:lineRule="exact"/>
        <w:pBdr>
          <w:bottom w:val="single" w:sz="6" w:space="1" w:color="1D2433"/>
        </w:pBdr>
      </w:pPr>
    </w:p>
    <w:p>
      <w:pPr>
        <w:spacing w:before="140" w:after="140" w:line="252" w:lineRule="auto"/>
      </w:pPr>
      <w:r>
        <w:rPr>
          <w:rFonts w:ascii="Arial" w:hAnsi="Arial"/>
          <w:b/>
          <w:color w:val="14213D"/>
          <w:sz w:val="38"/>
        </w:rPr>
        <w:t>Over-capitalised and under-distributed: capital allocation is the thesis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  <w:tblW w:type="dxa" w:w="14256"/>
        <w:tblCellMar>
          <w:left w:type="dxa" w:w="0"/>
          <w:right w:type="dxa" w:w="0"/>
        </w:tblCellMar>
      </w:tblPr>
      <w:tblGrid>
        <w:gridCol w:w="3459"/>
        <w:gridCol w:w="140"/>
        <w:gridCol w:w="3459"/>
        <w:gridCol w:w="140"/>
        <w:gridCol w:w="3459"/>
        <w:gridCol w:w="140"/>
        <w:gridCol w:w="3459"/>
      </w:tblGrid>
      <w:tr>
        <w:tc>
          <w:tcPr>
            <w:tcW w:type="dxa" w:w="3459"/>
            <w:tcBorders>
              <w:top w:val="nil"/>
              <w:left w:val="nil"/>
              <w:bottom w:val="nil"/>
              <w:right w:val="nil"/>
            </w:tcBorders>
            <w:shd w:fill="F1F3F7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before="0" w:after="60"/>
            </w:pPr>
            <w:r>
              <w:rPr>
                <w:rFonts w:ascii="Arial" w:hAnsi="Arial"/>
                <w:b/>
                <w:color w:val="14213D"/>
                <w:sz w:val="32"/>
              </w:rPr>
              <w:t>~KRW2.93tn</w:t>
            </w:r>
          </w:p>
          <w:p>
            <w:pPr>
              <w:spacing w:before="0" w:after="0" w:line="264" w:lineRule="auto"/>
            </w:pPr>
            <w:r>
              <w:rPr>
                <w:rFonts w:ascii="Arial" w:hAnsi="Arial"/>
                <w:color w:val="5A6270"/>
                <w:sz w:val="14"/>
              </w:rPr>
              <w:t>Net financial assets [e]; ~9.6x EBITDA; no debt</w:t>
            </w:r>
          </w:p>
        </w:tc>
        <w:tc>
          <w:tcPr>
            <w:tcW w:type="dxa" w:w="140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3459"/>
            <w:tcBorders>
              <w:top w:val="nil"/>
              <w:left w:val="nil"/>
              <w:bottom w:val="nil"/>
              <w:right w:val="nil"/>
            </w:tcBorders>
            <w:shd w:fill="F1F3F7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before="0" w:after="60"/>
            </w:pPr>
            <w:r>
              <w:rPr>
                <w:rFonts w:ascii="Arial" w:hAnsi="Arial"/>
                <w:b/>
                <w:color w:val="14213D"/>
                <w:sz w:val="32"/>
              </w:rPr>
              <w:t>62.6%</w:t>
            </w:r>
          </w:p>
          <w:p>
            <w:pPr>
              <w:spacing w:before="0" w:after="0" w:line="264" w:lineRule="auto"/>
            </w:pPr>
            <w:r>
              <w:rPr>
                <w:rFonts w:ascii="Arial" w:hAnsi="Arial"/>
                <w:color w:val="5A6270"/>
                <w:sz w:val="14"/>
              </w:rPr>
              <w:t>FY25 total return (DPS KRW950, payout 59.2%, plus buybacks); Value-Up target ≥60%</w:t>
            </w:r>
          </w:p>
        </w:tc>
        <w:tc>
          <w:tcPr>
            <w:tcW w:type="dxa" w:w="140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3459"/>
            <w:tcBorders>
              <w:top w:val="nil"/>
              <w:left w:val="nil"/>
              <w:bottom w:val="nil"/>
              <w:right w:val="nil"/>
            </w:tcBorders>
            <w:shd w:fill="F1F3F7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before="0" w:after="60"/>
            </w:pPr>
            <w:r>
              <w:rPr>
                <w:rFonts w:ascii="Arial" w:hAnsi="Arial"/>
                <w:b/>
                <w:color w:val="14213D"/>
                <w:sz w:val="32"/>
              </w:rPr>
              <w:t>7.36%</w:t>
            </w:r>
          </w:p>
          <w:p>
            <w:pPr>
              <w:spacing w:before="0" w:after="0" w:line="264" w:lineRule="auto"/>
            </w:pPr>
            <w:r>
              <w:rPr>
                <w:rFonts w:ascii="Arial" w:hAnsi="Arial"/>
                <w:color w:val="5A6270"/>
                <w:sz w:val="14"/>
              </w:rPr>
              <w:t>Treasury shares (~15.75m); none cancelled; Aug-26 EGM allowed retention or sale</w:t>
            </w:r>
          </w:p>
        </w:tc>
        <w:tc>
          <w:tcPr>
            <w:tcW w:type="dxa" w:w="140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3459"/>
            <w:tcBorders>
              <w:top w:val="nil"/>
              <w:left w:val="nil"/>
              <w:bottom w:val="nil"/>
              <w:right w:val="nil"/>
            </w:tcBorders>
            <w:shd w:fill="F1F3F7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before="0" w:after="60"/>
            </w:pPr>
            <w:r>
              <w:rPr>
                <w:rFonts w:ascii="Arial" w:hAnsi="Arial"/>
                <w:b/>
                <w:color w:val="14213D"/>
                <w:sz w:val="32"/>
              </w:rPr>
              <w:t>~KRW3tn</w:t>
            </w:r>
          </w:p>
          <w:p>
            <w:pPr>
              <w:spacing w:before="0" w:after="0" w:line="264" w:lineRule="auto"/>
            </w:pPr>
            <w:r>
              <w:rPr>
                <w:rFonts w:ascii="Arial" w:hAnsi="Arial"/>
                <w:color w:val="5A6270"/>
                <w:sz w:val="14"/>
              </w:rPr>
              <w:t>K-HIT to 2035 vs ~KRW145bn a year of capex today</w:t>
            </w:r>
          </w:p>
        </w:tc>
      </w:tr>
    </w:tbl>
    <w:p>
      <w:pPr>
        <w:spacing w:before="0" w:after="80"/>
      </w:pP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  <w:tblW w:type="dxa" w:w="14256"/>
        <w:tblCellMar>
          <w:left w:type="dxa" w:w="0"/>
          <w:right w:type="dxa" w:w="0"/>
        </w:tblCellMar>
      </w:tblPr>
      <w:tblGrid>
        <w:gridCol w:w="6918"/>
        <w:gridCol w:w="420"/>
        <w:gridCol w:w="6918"/>
      </w:tblGrid>
      <w:tr>
        <w:tc>
          <w:tcPr>
            <w:tcW w:type="dxa" w:w="691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100"/>
              <w:pBdr>
                <w:bottom w:val="single" w:sz="4" w:space="4" w:color="D5D9E0"/>
              </w:pBdr>
            </w:pPr>
            <w:r>
              <w:rPr>
                <w:rFonts w:ascii="Arial" w:hAnsi="Arial"/>
                <w:b/>
                <w:color w:val="14213D"/>
                <w:sz w:val="21"/>
              </w:rPr>
              <w:t>Capital-allocation record</w:t>
            </w:r>
          </w:p>
          <w:p>
            <w:pPr>
              <w:spacing w:before="0" w:after="70" w:line="269" w:lineRule="auto"/>
              <w:ind w:left="220" w:hanging="220"/>
            </w:pPr>
            <w:r>
              <w:rPr>
                <w:color w:val="2B6CD4"/>
                <w:sz w:val="11"/>
              </w:rPr>
              <w:t xml:space="preserve">■  </w:t>
            </w:r>
            <w:r>
              <w:rPr>
                <w:rFonts w:ascii="Arial" w:hAnsi="Arial"/>
                <w:b/>
                <w:color w:val="333B4A"/>
                <w:sz w:val="15"/>
              </w:rPr>
              <w:t>Good:</w:t>
            </w:r>
            <w:r>
              <w:rPr>
                <w:rFonts w:ascii="Arial" w:hAnsi="Arial"/>
                <w:color w:val="333B4A"/>
                <w:sz w:val="15"/>
              </w:rPr>
              <w:t xml:space="preserve"> first SOE Value-Up plan (Oct-24), met two years; expansion permit and higher VIP limits; no debt</w:t>
            </w:r>
          </w:p>
          <w:p>
            <w:pPr>
              <w:spacing w:before="0" w:after="70" w:line="269" w:lineRule="auto"/>
              <w:ind w:left="220" w:hanging="220"/>
            </w:pPr>
            <w:r>
              <w:rPr>
                <w:color w:val="2B6CD4"/>
                <w:sz w:val="11"/>
              </w:rPr>
              <w:t xml:space="preserve">■  </w:t>
            </w:r>
            <w:r>
              <w:rPr>
                <w:rFonts w:ascii="Arial" w:hAnsi="Arial"/>
                <w:b/>
                <w:color w:val="333B4A"/>
                <w:sz w:val="15"/>
              </w:rPr>
              <w:t>Poor:</w:t>
            </w:r>
            <w:r>
              <w:rPr>
                <w:rFonts w:ascii="Arial" w:hAnsi="Arial"/>
                <w:color w:val="333B4A"/>
                <w:sz w:val="15"/>
              </w:rPr>
              <w:t xml:space="preserve"> regional subsidiaries (Sangdong 82% impaired, High1 Entertainment 83% impaired, Choo Choo Park never profitable); O2 Resort donation (directors held liable)</w:t>
            </w:r>
          </w:p>
          <w:p>
            <w:pPr>
              <w:spacing w:before="0" w:after="70" w:line="269" w:lineRule="auto"/>
              <w:ind w:left="220" w:hanging="220"/>
            </w:pPr>
            <w:r>
              <w:rPr>
                <w:color w:val="2B6CD4"/>
                <w:sz w:val="11"/>
              </w:rPr>
              <w:t xml:space="preserve">■  </w:t>
            </w:r>
            <w:r>
              <w:rPr>
                <w:rFonts w:ascii="Arial" w:hAnsi="Arial"/>
                <w:b/>
                <w:color w:val="333B4A"/>
                <w:sz w:val="15"/>
              </w:rPr>
              <w:t>Poor:</w:t>
            </w:r>
            <w:r>
              <w:rPr>
                <w:rFonts w:ascii="Arial" w:hAnsi="Arial"/>
                <w:color w:val="333B4A"/>
                <w:sz w:val="15"/>
              </w:rPr>
              <w:t xml:space="preserve"> K-HIT escalated from KRW2.5tn to ~KRW3tn with no IRR; treasury shares bought (KRW77bn) but not cancelled</w:t>
            </w:r>
          </w:p>
          <w:p>
            <w:pPr>
              <w:spacing w:before="0" w:after="70" w:line="269" w:lineRule="auto"/>
              <w:ind w:left="220" w:hanging="220"/>
            </w:pPr>
            <w:r>
              <w:rPr>
                <w:color w:val="2B6CD4"/>
                <w:sz w:val="11"/>
              </w:rPr>
              <w:t xml:space="preserve">■  </w:t>
            </w:r>
            <w:r>
              <w:rPr>
                <w:rFonts w:ascii="Arial" w:hAnsi="Arial"/>
                <w:b/>
                <w:color w:val="333B4A"/>
                <w:sz w:val="15"/>
              </w:rPr>
              <w:t>Leakage:</w:t>
            </w:r>
            <w:r>
              <w:rPr>
                <w:rFonts w:ascii="Arial" w:hAnsi="Arial"/>
                <w:color w:val="333B4A"/>
                <w:sz w:val="15"/>
              </w:rPr>
              <w:t xml:space="preserve"> bonus culture tied to SOE grades; &gt;KRW100bn a year of comps; donations below OP</w:t>
            </w:r>
          </w:p>
        </w:tc>
        <w:tc>
          <w:tcPr>
            <w:tcW w:type="dxa" w:w="420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691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100"/>
              <w:pBdr>
                <w:bottom w:val="single" w:sz="4" w:space="4" w:color="D5D9E0"/>
              </w:pBdr>
            </w:pPr>
            <w:r>
              <w:rPr>
                <w:rFonts w:ascii="Arial" w:hAnsi="Arial"/>
                <w:b/>
                <w:color w:val="14213D"/>
                <w:sz w:val="21"/>
              </w:rPr>
              <w:t>Priorities we would push for</w:t>
            </w:r>
          </w:p>
          <w:p>
            <w:pPr>
              <w:spacing w:before="0" w:after="70" w:line="269" w:lineRule="auto"/>
              <w:ind w:left="220" w:hanging="220"/>
            </w:pPr>
            <w:r>
              <w:rPr>
                <w:color w:val="7A8291"/>
                <w:sz w:val="11"/>
              </w:rPr>
              <w:t xml:space="preserve">■  </w:t>
            </w:r>
            <w:r>
              <w:rPr>
                <w:rFonts w:ascii="Arial" w:hAnsi="Arial"/>
                <w:color w:val="333B4A"/>
                <w:sz w:val="15"/>
              </w:rPr>
              <w:t>1. Return ~KRW1tn over FY27-29 (~KRW5,000 a share) via special dividends and buybacks with cancellation</w:t>
            </w:r>
          </w:p>
          <w:p>
            <w:pPr>
              <w:spacing w:before="0" w:after="70" w:line="269" w:lineRule="auto"/>
              <w:ind w:left="220" w:hanging="220"/>
            </w:pPr>
            <w:r>
              <w:rPr>
                <w:color w:val="7A8291"/>
                <w:sz w:val="11"/>
              </w:rPr>
              <w:t xml:space="preserve">■  </w:t>
            </w:r>
            <w:r>
              <w:rPr>
                <w:rFonts w:ascii="Arial" w:hAnsi="Arial"/>
                <w:color w:val="333B4A"/>
                <w:sz w:val="15"/>
              </w:rPr>
              <w:t>2. Cancel the 7.36% treasury stake at the Mar-27 AGM</w:t>
            </w:r>
          </w:p>
          <w:p>
            <w:pPr>
              <w:spacing w:before="0" w:after="70" w:line="269" w:lineRule="auto"/>
              <w:ind w:left="220" w:hanging="220"/>
            </w:pPr>
            <w:r>
              <w:rPr>
                <w:color w:val="7A8291"/>
                <w:sz w:val="11"/>
              </w:rPr>
              <w:t xml:space="preserve">■  </w:t>
            </w:r>
            <w:r>
              <w:rPr>
                <w:rFonts w:ascii="Arial" w:hAnsi="Arial"/>
                <w:color w:val="333B4A"/>
                <w:sz w:val="15"/>
              </w:rPr>
              <w:t>3. Value-Up 2.0: payout ≥70%, DPS floor KRW1,000, buybacks when P/B &lt;1x</w:t>
            </w:r>
          </w:p>
          <w:p>
            <w:pPr>
              <w:spacing w:before="0" w:after="70" w:line="269" w:lineRule="auto"/>
              <w:ind w:left="220" w:hanging="220"/>
            </w:pPr>
            <w:r>
              <w:rPr>
                <w:color w:val="7A8291"/>
                <w:sz w:val="11"/>
              </w:rPr>
              <w:t xml:space="preserve">■  </w:t>
            </w:r>
            <w:r>
              <w:rPr>
                <w:rFonts w:ascii="Arial" w:hAnsi="Arial"/>
                <w:color w:val="333B4A"/>
                <w:sz w:val="15"/>
              </w:rPr>
              <w:t>4. K-HIT: phase-by-phase IRR ≥8%, full feasibility study, ~KRW1.5tn cap until returns proven</w:t>
            </w:r>
          </w:p>
          <w:p>
            <w:pPr>
              <w:spacing w:before="0" w:after="70" w:line="269" w:lineRule="auto"/>
              <w:ind w:left="220" w:hanging="220"/>
            </w:pPr>
            <w:r>
              <w:rPr>
                <w:color w:val="7A8291"/>
                <w:sz w:val="11"/>
              </w:rPr>
              <w:t xml:space="preserve">■  </w:t>
            </w:r>
            <w:r>
              <w:rPr>
                <w:rFonts w:ascii="Arial" w:hAnsi="Arial"/>
                <w:color w:val="333B4A"/>
                <w:sz w:val="15"/>
              </w:rPr>
              <w:t>5. Link pay to ROIC and TSR</w:t>
            </w:r>
          </w:p>
        </w:tc>
      </w:tr>
    </w:tbl>
    <w:p>
      <w:pPr>
        <w:spacing w:before="0" w:after="40"/>
      </w:pPr>
    </w:p>
    <w:p>
      <w:pPr>
        <w:sectPr>
          <w:footerReference w:type="default" r:id="rId27"/>
          <w:pgSz w:w="15840" w:h="12240" w:orient="landscape"/>
          <w:pgMar w:top="640" w:right="792" w:bottom="560" w:left="792" w:header="300" w:footer="300" w:gutter="0"/>
          <w:cols w:space="720"/>
          <w:docGrid w:linePitch="360"/>
        </w:sectPr>
      </w:pP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  <w:tblW w:type="dxa" w:w="14256"/>
        <w:tblCellMar>
          <w:left w:type="dxa" w:w="0"/>
          <w:right w:type="dxa" w:w="0"/>
        </w:tblCellMar>
      </w:tblPr>
      <w:tblGrid>
        <w:gridCol w:w="12356"/>
        <w:gridCol w:w="1900"/>
      </w:tblGrid>
      <w:tr>
        <w:tc>
          <w:tcPr>
            <w:tcW w:type="dxa" w:w="1235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B6CD4"/>
                <w:sz w:val="18"/>
              </w:rPr>
              <w:t>IS THERE AN ACTIVIST IN HERE?</w:t>
            </w:r>
          </w:p>
        </w:tc>
        <w:tc>
          <w:tcPr>
            <w:tcW w:type="dxa" w:w="1900"/>
            <w:tcBorders>
              <w:top w:val="nil"/>
              <w:left w:val="nil"/>
              <w:bottom w:val="nil"/>
              <w:right w:val="nil"/>
            </w:tcBorders>
            <w:shd w:fill="14213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GOVERNANCE</w:t>
            </w:r>
          </w:p>
        </w:tc>
      </w:tr>
    </w:tbl>
    <w:p>
      <w:pPr>
        <w:spacing w:before="0" w:after="0" w:line="80" w:lineRule="exact"/>
        <w:pBdr>
          <w:bottom w:val="single" w:sz="6" w:space="1" w:color="1D2433"/>
        </w:pBdr>
      </w:pPr>
    </w:p>
    <w:p>
      <w:pPr>
        <w:spacing w:before="140" w:after="140" w:line="252" w:lineRule="auto"/>
      </w:pPr>
      <w:r>
        <w:rPr>
          <w:rFonts w:ascii="Arial" w:hAnsi="Arial"/>
          <w:b/>
          <w:color w:val="14213D"/>
          <w:sz w:val="38"/>
        </w:rPr>
        <w:t>Not control - capital return: the controller needs cash, and the 2025-26 Commercial Act gives minorities real votes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  <w:tblW w:type="dxa" w:w="14256"/>
        <w:tblCellMar>
          <w:left w:type="dxa" w:w="0"/>
          <w:right w:type="dxa" w:w="0"/>
        </w:tblCellMar>
      </w:tblPr>
      <w:tblGrid>
        <w:gridCol w:w="3459"/>
        <w:gridCol w:w="140"/>
        <w:gridCol w:w="3459"/>
        <w:gridCol w:w="140"/>
        <w:gridCol w:w="3459"/>
        <w:gridCol w:w="140"/>
        <w:gridCol w:w="3459"/>
      </w:tblGrid>
      <w:tr>
        <w:tc>
          <w:tcPr>
            <w:tcW w:type="dxa" w:w="3459"/>
            <w:tcBorders>
              <w:top w:val="nil"/>
              <w:left w:val="nil"/>
              <w:bottom w:val="nil"/>
              <w:right w:val="nil"/>
            </w:tcBorders>
            <w:shd w:fill="F1F3F7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before="0" w:after="60"/>
            </w:pPr>
            <w:r>
              <w:rPr>
                <w:rFonts w:ascii="Arial" w:hAnsi="Arial"/>
                <w:b/>
                <w:color w:val="14213D"/>
                <w:sz w:val="32"/>
              </w:rPr>
              <w:t>51.01%</w:t>
            </w:r>
          </w:p>
          <w:p>
            <w:pPr>
              <w:spacing w:before="0" w:after="0" w:line="264" w:lineRule="auto"/>
            </w:pPr>
            <w:r>
              <w:rPr>
                <w:rFonts w:ascii="Arial" w:hAnsi="Arial"/>
                <w:color w:val="5A6270"/>
                <w:sz w:val="14"/>
              </w:rPr>
              <w:t>Public bodies (legal floor 51%); KOMIR 36.27% capped at 3% in audit-committee elections</w:t>
            </w:r>
          </w:p>
        </w:tc>
        <w:tc>
          <w:tcPr>
            <w:tcW w:type="dxa" w:w="140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3459"/>
            <w:tcBorders>
              <w:top w:val="nil"/>
              <w:left w:val="nil"/>
              <w:bottom w:val="nil"/>
              <w:right w:val="nil"/>
            </w:tcBorders>
            <w:shd w:fill="F1F3F7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before="0" w:after="60"/>
            </w:pPr>
            <w:r>
              <w:rPr>
                <w:rFonts w:ascii="Arial" w:hAnsi="Arial"/>
                <w:b/>
                <w:color w:val="14213D"/>
                <w:sz w:val="32"/>
              </w:rPr>
              <w:t>~41.6%</w:t>
            </w:r>
          </w:p>
          <w:p>
            <w:pPr>
              <w:spacing w:before="0" w:after="0" w:line="264" w:lineRule="auto"/>
            </w:pPr>
            <w:r>
              <w:rPr>
                <w:rFonts w:ascii="Arial" w:hAnsi="Arial"/>
                <w:color w:val="5A6270"/>
                <w:sz w:val="14"/>
              </w:rPr>
              <w:t>Free float (NPS ~6.1% [u], foreigners ~12% [u], from ~30% in 2020)</w:t>
            </w:r>
          </w:p>
        </w:tc>
        <w:tc>
          <w:tcPr>
            <w:tcW w:type="dxa" w:w="140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3459"/>
            <w:tcBorders>
              <w:top w:val="nil"/>
              <w:left w:val="nil"/>
              <w:bottom w:val="nil"/>
              <w:right w:val="nil"/>
            </w:tcBorders>
            <w:shd w:fill="F1F3F7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before="0" w:after="60"/>
            </w:pPr>
            <w:r>
              <w:rPr>
                <w:rFonts w:ascii="Arial" w:hAnsi="Arial"/>
                <w:b/>
                <w:color w:val="14213D"/>
                <w:sz w:val="32"/>
              </w:rPr>
              <w:t>~55%</w:t>
            </w:r>
          </w:p>
          <w:p>
            <w:pPr>
              <w:spacing w:before="0" w:after="0" w:line="264" w:lineRule="auto"/>
            </w:pPr>
            <w:r>
              <w:rPr>
                <w:rFonts w:ascii="Arial" w:hAnsi="Arial"/>
                <w:color w:val="5A6270"/>
                <w:sz w:val="14"/>
              </w:rPr>
              <w:t>Share of every dividend that goes to public bodies (KOMIR 39%, municipalities and Gangwon ~16%)</w:t>
            </w:r>
          </w:p>
        </w:tc>
        <w:tc>
          <w:tcPr>
            <w:tcW w:type="dxa" w:w="140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3459"/>
            <w:tcBorders>
              <w:top w:val="nil"/>
              <w:left w:val="nil"/>
              <w:bottom w:val="nil"/>
              <w:right w:val="nil"/>
            </w:tcBorders>
            <w:shd w:fill="F1F3F7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before="0" w:after="60"/>
            </w:pPr>
            <w:r>
              <w:rPr>
                <w:rFonts w:ascii="Arial" w:hAnsi="Arial"/>
                <w:b/>
                <w:color w:val="14213D"/>
                <w:sz w:val="32"/>
              </w:rPr>
              <w:t>0</w:t>
            </w:r>
          </w:p>
          <w:p>
            <w:pPr>
              <w:spacing w:before="0" w:after="0" w:line="264" w:lineRule="auto"/>
            </w:pPr>
            <w:r>
              <w:rPr>
                <w:rFonts w:ascii="Arial" w:hAnsi="Arial"/>
                <w:color w:val="5A6270"/>
                <w:sz w:val="14"/>
              </w:rPr>
              <w:t>Activist-fund campaigns ever; only civic groups (Solidarity for Economic Reform, Aug-26 EGM)</w:t>
            </w:r>
          </w:p>
        </w:tc>
      </w:tr>
    </w:tbl>
    <w:p>
      <w:pPr>
        <w:spacing w:before="0" w:after="80"/>
      </w:pP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  <w:tblW w:type="dxa" w:w="14256"/>
        <w:tblCellMar>
          <w:left w:type="dxa" w:w="0"/>
          <w:right w:type="dxa" w:w="0"/>
        </w:tblCellMar>
      </w:tblPr>
      <w:tblGrid>
        <w:gridCol w:w="6918"/>
        <w:gridCol w:w="420"/>
        <w:gridCol w:w="6918"/>
      </w:tblGrid>
      <w:tr>
        <w:tc>
          <w:tcPr>
            <w:tcW w:type="dxa" w:w="691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100"/>
              <w:pBdr>
                <w:bottom w:val="single" w:sz="4" w:space="4" w:color="D5D9E0"/>
              </w:pBdr>
            </w:pPr>
            <w:r>
              <w:rPr>
                <w:rFonts w:ascii="Arial" w:hAnsi="Arial"/>
                <w:b/>
                <w:color w:val="14213D"/>
                <w:sz w:val="21"/>
              </w:rPr>
              <w:t>Why activism could work here</w:t>
            </w:r>
          </w:p>
          <w:p>
            <w:pPr>
              <w:spacing w:before="0" w:after="70" w:line="269" w:lineRule="auto"/>
              <w:ind w:left="220" w:hanging="220"/>
            </w:pPr>
            <w:r>
              <w:rPr>
                <w:color w:val="2B6CD4"/>
                <w:sz w:val="11"/>
              </w:rPr>
              <w:t xml:space="preserve">■  </w:t>
            </w:r>
            <w:r>
              <w:rPr>
                <w:rFonts w:ascii="Arial" w:hAnsi="Arial"/>
                <w:color w:val="333B4A"/>
                <w:sz w:val="15"/>
              </w:rPr>
              <w:t>Cumulative voting mandatory from 10-Sep-26 (assets ≥KRW2tn): the 41.6% float can concentrate votes on a minority nominee [e]</w:t>
            </w:r>
          </w:p>
          <w:p>
            <w:pPr>
              <w:spacing w:before="0" w:after="70" w:line="269" w:lineRule="auto"/>
              <w:ind w:left="220" w:hanging="220"/>
            </w:pPr>
            <w:r>
              <w:rPr>
                <w:color w:val="2B6CD4"/>
                <w:sz w:val="11"/>
              </w:rPr>
              <w:t xml:space="preserve">■  </w:t>
            </w:r>
            <w:r>
              <w:rPr>
                <w:rFonts w:ascii="Arial" w:hAnsi="Arial"/>
                <w:color w:val="333B4A"/>
                <w:sz w:val="15"/>
              </w:rPr>
              <w:t>3% cap: KOMIR votes 3%; other public holders ~14.75% (if not related parties [u]) vs a 41.6% float in audit-committee elections [e]</w:t>
            </w:r>
          </w:p>
          <w:p>
            <w:pPr>
              <w:spacing w:before="0" w:after="70" w:line="269" w:lineRule="auto"/>
              <w:ind w:left="220" w:hanging="220"/>
            </w:pPr>
            <w:r>
              <w:rPr>
                <w:color w:val="2B6CD4"/>
                <w:sz w:val="11"/>
              </w:rPr>
              <w:t xml:space="preserve">■  </w:t>
            </w:r>
            <w:r>
              <w:rPr>
                <w:rFonts w:ascii="Arial" w:hAnsi="Arial"/>
                <w:color w:val="333B4A"/>
                <w:sz w:val="15"/>
              </w:rPr>
              <w:t>Treasury retention needs annual shareholder approval; the deadline forces a decision by ~Sep-27 [e]</w:t>
            </w:r>
          </w:p>
          <w:p>
            <w:pPr>
              <w:spacing w:before="0" w:after="70" w:line="269" w:lineRule="auto"/>
              <w:ind w:left="220" w:hanging="220"/>
            </w:pPr>
            <w:r>
              <w:rPr>
                <w:color w:val="2B6CD4"/>
                <w:sz w:val="11"/>
              </w:rPr>
              <w:t xml:space="preserve">■  </w:t>
            </w:r>
            <w:r>
              <w:rPr>
                <w:rFonts w:ascii="Arial" w:hAnsi="Arial"/>
                <w:color w:val="333B4A"/>
                <w:sz w:val="15"/>
              </w:rPr>
              <w:t>Quantifiable gap: casino valued at ~0x EBITDA; KOMIR's own balance sheet argues for payouts</w:t>
            </w:r>
          </w:p>
          <w:p>
            <w:pPr>
              <w:spacing w:before="0" w:after="70" w:line="269" w:lineRule="auto"/>
              <w:ind w:left="220" w:hanging="220"/>
            </w:pPr>
            <w:r>
              <w:rPr>
                <w:color w:val="2B6CD4"/>
                <w:sz w:val="11"/>
              </w:rPr>
              <w:t xml:space="preserve">■  </w:t>
            </w:r>
            <w:r>
              <w:rPr>
                <w:rFonts w:ascii="Arial" w:hAnsi="Arial"/>
                <w:color w:val="333B4A"/>
                <w:sz w:val="15"/>
              </w:rPr>
              <w:t>Precedent: outside directors held personally liable for a value-destroying donation (Supreme Court, 2019)</w:t>
            </w:r>
          </w:p>
        </w:tc>
        <w:tc>
          <w:tcPr>
            <w:tcW w:type="dxa" w:w="420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691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100"/>
              <w:pBdr>
                <w:bottom w:val="single" w:sz="4" w:space="4" w:color="D5D9E0"/>
              </w:pBdr>
            </w:pPr>
            <w:r>
              <w:rPr>
                <w:rFonts w:ascii="Arial" w:hAnsi="Arial"/>
                <w:b/>
                <w:color w:val="14213D"/>
                <w:sz w:val="21"/>
              </w:rPr>
              <w:t>Where the limits are</w:t>
            </w:r>
          </w:p>
          <w:p>
            <w:pPr>
              <w:spacing w:before="0" w:after="70" w:line="269" w:lineRule="auto"/>
              <w:ind w:left="220" w:hanging="220"/>
            </w:pPr>
            <w:r>
              <w:rPr>
                <w:color w:val="7A8291"/>
                <w:sz w:val="11"/>
              </w:rPr>
              <w:t xml:space="preserve">■  </w:t>
            </w:r>
            <w:r>
              <w:rPr>
                <w:rFonts w:ascii="Arial" w:hAnsi="Arial"/>
                <w:color w:val="333B4A"/>
                <w:sz w:val="15"/>
              </w:rPr>
              <w:t>51% statutory public floor: no proxy fight for control</w:t>
            </w:r>
          </w:p>
          <w:p>
            <w:pPr>
              <w:spacing w:before="0" w:after="70" w:line="269" w:lineRule="auto"/>
              <w:ind w:left="220" w:hanging="220"/>
            </w:pPr>
            <w:r>
              <w:rPr>
                <w:color w:val="7A8291"/>
                <w:sz w:val="11"/>
              </w:rPr>
              <w:t xml:space="preserve">■  </w:t>
            </w:r>
            <w:r>
              <w:rPr>
                <w:rFonts w:ascii="Arial" w:hAnsi="Arial"/>
                <w:color w:val="333B4A"/>
                <w:sz w:val="15"/>
              </w:rPr>
              <w:t>MOEF appoints non-standing directors; interplay with the Commercial Act untested [u]</w:t>
            </w:r>
          </w:p>
          <w:p>
            <w:pPr>
              <w:spacing w:before="0" w:after="70" w:line="269" w:lineRule="auto"/>
              <w:ind w:left="220" w:hanging="220"/>
            </w:pPr>
            <w:r>
              <w:rPr>
                <w:color w:val="7A8291"/>
                <w:sz w:val="11"/>
              </w:rPr>
              <w:t xml:space="preserve">■  </w:t>
            </w:r>
            <w:r>
              <w:rPr>
                <w:rFonts w:ascii="Arial" w:hAnsi="Arial"/>
                <w:color w:val="333B4A"/>
                <w:sz w:val="15"/>
              </w:rPr>
              <w:t>Ruling-party CEO; regional politics favour K-HIT spending over dividends</w:t>
            </w:r>
          </w:p>
          <w:p>
            <w:pPr>
              <w:spacing w:before="0" w:after="70" w:line="269" w:lineRule="auto"/>
              <w:ind w:left="220" w:hanging="220"/>
            </w:pPr>
            <w:r>
              <w:rPr>
                <w:color w:val="7A8291"/>
                <w:sz w:val="11"/>
              </w:rPr>
              <w:t xml:space="preserve">■  </w:t>
            </w:r>
            <w:r>
              <w:rPr>
                <w:rFonts w:ascii="Arial" w:hAnsi="Arial"/>
                <w:color w:val="333B4A"/>
                <w:sz w:val="15"/>
              </w:rPr>
              <w:t>Liquidity ~KRW4.8bn a day [e]: a 5% stake (~KRW150bn) takes ~160 trading days at 20% of volume</w:t>
            </w:r>
          </w:p>
          <w:p>
            <w:pPr>
              <w:spacing w:before="0" w:after="70" w:line="269" w:lineRule="auto"/>
              <w:ind w:left="220" w:hanging="220"/>
            </w:pPr>
            <w:r>
              <w:rPr>
                <w:color w:val="7A8291"/>
                <w:sz w:val="11"/>
              </w:rPr>
              <w:t xml:space="preserve">■  </w:t>
            </w:r>
            <w:r>
              <w:rPr>
                <w:rFonts w:ascii="Arial" w:hAnsi="Arial"/>
                <w:color w:val="333B4A"/>
                <w:sz w:val="15"/>
              </w:rPr>
              <w:t>Few like-minded holders today; NPS is the swing vote</w:t>
            </w:r>
          </w:p>
        </w:tc>
      </w:tr>
    </w:tbl>
    <w:p>
      <w:pPr>
        <w:spacing w:before="0" w:after="40"/>
      </w:pP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  <w:tblW w:type="dxa" w:w="14256"/>
        <w:tblCellMar>
          <w:left w:type="dxa" w:w="0"/>
          <w:right w:type="dxa" w:w="0"/>
        </w:tblCellMar>
      </w:tblPr>
      <w:tblGrid>
        <w:gridCol w:w="14256"/>
      </w:tblGrid>
      <w:tr>
        <w:tc>
          <w:tcPr>
            <w:tcW w:type="dxa" w:w="14256"/>
            <w:tcBorders>
              <w:top w:val="nil"/>
              <w:left w:val="nil"/>
              <w:bottom w:val="nil"/>
              <w:right w:val="nil"/>
            </w:tcBorders>
            <w:shd w:fill="F1F3F7" w:color="auto" w:val="clear"/>
            <w:tcBorders>
              <w:top w:val="nil"/>
              <w:left w:val="single" w:sz="30" w:color="14213D"/>
              <w:bottom w:val="nil"/>
              <w:right w:val="nil"/>
            </w:tcBorders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before="0" w:after="0" w:line="276" w:lineRule="auto"/>
            </w:pPr>
            <w:r>
              <w:rPr>
                <w:rFonts w:ascii="Arial" w:hAnsi="Arial"/>
                <w:b/>
                <w:color w:val="1D2433"/>
                <w:sz w:val="15"/>
              </w:rPr>
              <w:t>What an activist would ask for:</w:t>
            </w:r>
            <w:r>
              <w:rPr>
                <w:rFonts w:ascii="Arial" w:hAnsi="Arial"/>
                <w:color w:val="1D2433"/>
                <w:sz w:val="15"/>
              </w:rPr>
              <w:t xml:space="preserve"> (1) ~KRW1tn returned over FY27-29; (2) cancel the 7.36% treasury stake; (3) Value-Up 2.0 with payout ≥70% and a KRW1,000 DPS floor; (4) K-HIT stage-gates with published IRRs; (5) a minority-nominated director and audit-committee member via cumulative voting and the 3% rule. Target the Feb-27 Value-Up 2.0 and the Mar-27 AGM through a quiet coalition (NPS, domestic value funds, civic groups).</w:t>
            </w:r>
          </w:p>
        </w:tc>
      </w:tr>
    </w:tbl>
    <w:p>
      <w:pPr>
        <w:sectPr>
          <w:footerReference w:type="default" r:id="rId28"/>
          <w:pgSz w:w="15840" w:h="12240" w:orient="landscape"/>
          <w:pgMar w:top="640" w:right="792" w:bottom="560" w:left="792" w:header="300" w:footer="300" w:gutter="0"/>
          <w:cols w:space="720"/>
          <w:docGrid w:linePitch="360"/>
        </w:sectPr>
      </w:pP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  <w:tblW w:type="dxa" w:w="14256"/>
        <w:tblCellMar>
          <w:left w:type="dxa" w:w="0"/>
          <w:right w:type="dxa" w:w="0"/>
        </w:tblCellMar>
      </w:tblPr>
      <w:tblGrid>
        <w:gridCol w:w="12356"/>
        <w:gridCol w:w="1900"/>
      </w:tblGrid>
      <w:tr>
        <w:tc>
          <w:tcPr>
            <w:tcW w:type="dxa" w:w="1235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B6CD4"/>
                <w:sz w:val="18"/>
              </w:rPr>
              <w:t>QUESTION 3 - TAKEOVER TARGET?</w:t>
            </w:r>
          </w:p>
        </w:tc>
        <w:tc>
          <w:tcPr>
            <w:tcW w:type="dxa" w:w="1900"/>
            <w:tcBorders>
              <w:top w:val="nil"/>
              <w:left w:val="nil"/>
              <w:bottom w:val="nil"/>
              <w:right w:val="nil"/>
            </w:tcBorders>
            <w:shd w:fill="14213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M&amp;A</w:t>
            </w:r>
          </w:p>
        </w:tc>
      </w:tr>
    </w:tbl>
    <w:p>
      <w:pPr>
        <w:spacing w:before="0" w:after="0" w:line="80" w:lineRule="exact"/>
        <w:pBdr>
          <w:bottom w:val="single" w:sz="6" w:space="1" w:color="1D2433"/>
        </w:pBdr>
      </w:pPr>
    </w:p>
    <w:p>
      <w:pPr>
        <w:spacing w:before="140" w:after="140" w:line="252" w:lineRule="auto"/>
      </w:pPr>
      <w:r>
        <w:rPr>
          <w:rFonts w:ascii="Arial" w:hAnsi="Arial"/>
          <w:b/>
          <w:color w:val="14213D"/>
          <w:sz w:val="38"/>
        </w:rPr>
        <w:t>No - the law fixes 51% in public hands; the events that matter are payout, treasury cancellation and K-HIT scope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  <w:tblW w:type="dxa" w:w="14256"/>
        <w:tblCellMar>
          <w:left w:type="dxa" w:w="0"/>
          <w:right w:type="dxa" w:w="0"/>
        </w:tblCellMar>
      </w:tblPr>
      <w:tblGrid>
        <w:gridCol w:w="6918"/>
        <w:gridCol w:w="420"/>
        <w:gridCol w:w="6918"/>
      </w:tblGrid>
      <w:tr>
        <w:tc>
          <w:tcPr>
            <w:tcW w:type="dxa" w:w="691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100"/>
              <w:pBdr>
                <w:bottom w:val="single" w:sz="4" w:space="4" w:color="D5D9E0"/>
              </w:pBdr>
            </w:pPr>
            <w:r>
              <w:rPr>
                <w:rFonts w:ascii="Arial" w:hAnsi="Arial"/>
                <w:b/>
                <w:color w:val="14213D"/>
                <w:sz w:val="21"/>
              </w:rPr>
              <w:t>Realistic corporate events (12-24 months)</w:t>
            </w:r>
          </w:p>
          <w:tbl>
            <w:tblPr>
              <w:tblW w:type="auto" w:w="0"/>
              <w:jc w:val="left"/>
              <w:tblLook w:firstColumn="1" w:firstRow="1" w:lastColumn="0" w:lastRow="0" w:noHBand="0" w:noVBand="1" w:val="04A0"/>
              <w:tblLayout w:type="fixed"/>
              <w:tblW w:type="dxa" w:w="6916"/>
              <w:tblCellMar>
                <w:left w:type="dxa" w:w="0"/>
                <w:right w:type="dxa" w:w="0"/>
              </w:tblCellMar>
            </w:tblPr>
            <w:tblGrid>
              <w:gridCol w:w="3700"/>
              <w:gridCol w:w="884"/>
              <w:gridCol w:w="2332"/>
            </w:tblGrid>
            <w:tr>
              <w:tc>
                <w:tcPr>
                  <w:tcW w:type="dxa" w:w="3700"/>
                  <w:tcBorders>
                    <w:top w:val="nil"/>
                    <w:left w:val="nil"/>
                    <w:bottom w:val="nil"/>
                    <w:right w:val="nil"/>
                  </w:tcBorders>
                  <w:shd w:fill="14213D" w:color="auto" w:val="clear"/>
                  <w:tcMar>
                    <w:top w:type="dxa" w:w="55"/>
                    <w:left w:type="dxa" w:w="80"/>
                    <w:bottom w:type="dxa" w:w="55"/>
                    <w:right w:type="dxa" w:w="8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b/>
                      <w:color w:val="FFFFFF"/>
                      <w:sz w:val="15"/>
                    </w:rPr>
                    <w:t>Event</w:t>
                  </w:r>
                </w:p>
              </w:tc>
              <w:tc>
                <w:tcPr>
                  <w:tcW w:type="dxa" w:w="884"/>
                  <w:tcBorders>
                    <w:top w:val="nil"/>
                    <w:left w:val="nil"/>
                    <w:bottom w:val="nil"/>
                    <w:right w:val="nil"/>
                  </w:tcBorders>
                  <w:shd w:fill="14213D" w:color="auto" w:val="clear"/>
                  <w:tcMar>
                    <w:top w:type="dxa" w:w="55"/>
                    <w:left w:type="dxa" w:w="80"/>
                    <w:bottom w:type="dxa" w:w="55"/>
                    <w:right w:type="dxa" w:w="8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b/>
                      <w:color w:val="FFFFFF"/>
                      <w:sz w:val="15"/>
                    </w:rPr>
                    <w:t>Likelihood</w:t>
                  </w:r>
                </w:p>
              </w:tc>
              <w:tc>
                <w:tcPr>
                  <w:tcW w:type="dxa" w:w="2332"/>
                  <w:tcBorders>
                    <w:top w:val="nil"/>
                    <w:left w:val="nil"/>
                    <w:bottom w:val="nil"/>
                    <w:right w:val="nil"/>
                  </w:tcBorders>
                  <w:shd w:fill="14213D" w:color="auto" w:val="clear"/>
                  <w:tcMar>
                    <w:top w:type="dxa" w:w="55"/>
                    <w:left w:type="dxa" w:w="80"/>
                    <w:bottom w:type="dxa" w:w="55"/>
                    <w:right w:type="dxa" w:w="8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b/>
                      <w:color w:val="FFFFFF"/>
                      <w:sz w:val="15"/>
                    </w:rPr>
                    <w:t>Effect on minorities</w:t>
                  </w:r>
                </w:p>
              </w:tc>
            </w:tr>
            <w:tr>
              <w:tc>
                <w:tcPr>
                  <w:tcW w:type="dxa" w:w="3700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b/>
                      <w:color w:val="1D2433"/>
                      <w:sz w:val="15"/>
                    </w:rPr>
                    <w:t>Higher payout / special dividend (Value-Up 2.0, Feb-27)</w:t>
                  </w:r>
                </w:p>
              </w:tc>
              <w:tc>
                <w:tcPr>
                  <w:tcW w:type="dxa" w:w="884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color w:val="1D2433"/>
                      <w:sz w:val="15"/>
                    </w:rPr>
                    <w:t>Medium-high</w:t>
                  </w:r>
                </w:p>
              </w:tc>
              <w:tc>
                <w:tcPr>
                  <w:tcW w:type="dxa" w:w="2332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color w:val="1D2433"/>
                      <w:sz w:val="15"/>
                    </w:rPr>
                    <w:t>Positive: returns excess cash</w:t>
                  </w:r>
                </w:p>
              </w:tc>
            </w:tr>
            <w:tr>
              <w:tc>
                <w:tcPr>
                  <w:tcW w:type="dxa" w:w="3700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b/>
                      <w:color w:val="1D2433"/>
                      <w:sz w:val="15"/>
                    </w:rPr>
                    <w:t>Treasury cancellation (7.36%) by ~Sep-27</w:t>
                  </w:r>
                </w:p>
              </w:tc>
              <w:tc>
                <w:tcPr>
                  <w:tcW w:type="dxa" w:w="884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color w:val="1D2433"/>
                      <w:sz w:val="15"/>
                    </w:rPr>
                    <w:t>Medium</w:t>
                  </w:r>
                </w:p>
              </w:tc>
              <w:tc>
                <w:tcPr>
                  <w:tcW w:type="dxa" w:w="2332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color w:val="1D2433"/>
                      <w:sz w:val="15"/>
                    </w:rPr>
                    <w:t>Positive signal</w:t>
                  </w:r>
                </w:p>
              </w:tc>
            </w:tr>
            <w:tr>
              <w:tc>
                <w:tcPr>
                  <w:tcW w:type="dxa" w:w="3700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b/>
                      <w:color w:val="1D2433"/>
                      <w:sz w:val="15"/>
                    </w:rPr>
                    <w:t>K-HIT rescoped after the CEO's committee (Dec-26)</w:t>
                  </w:r>
                </w:p>
              </w:tc>
              <w:tc>
                <w:tcPr>
                  <w:tcW w:type="dxa" w:w="884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color w:val="1D2433"/>
                      <w:sz w:val="15"/>
                    </w:rPr>
                    <w:t>Medium</w:t>
                  </w:r>
                </w:p>
              </w:tc>
              <w:tc>
                <w:tcPr>
                  <w:tcW w:type="dxa" w:w="2332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color w:val="1D2433"/>
                      <w:sz w:val="15"/>
                    </w:rPr>
                    <w:t>Positive: protects cash</w:t>
                  </w:r>
                </w:p>
              </w:tc>
            </w:tr>
            <w:tr>
              <w:tc>
                <w:tcPr>
                  <w:tcW w:type="dxa" w:w="3700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b/>
                      <w:color w:val="1D2433"/>
                      <w:sz w:val="15"/>
                    </w:rPr>
                    <w:t>KOMIR stake transfer or cash used for Korea Coal debt [u]</w:t>
                  </w:r>
                </w:p>
              </w:tc>
              <w:tc>
                <w:tcPr>
                  <w:tcW w:type="dxa" w:w="884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color w:val="1D2433"/>
                      <w:sz w:val="15"/>
                    </w:rPr>
                    <w:t>Low-medium</w:t>
                  </w:r>
                </w:p>
              </w:tc>
              <w:tc>
                <w:tcPr>
                  <w:tcW w:type="dxa" w:w="2332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color w:val="1D2433"/>
                      <w:sz w:val="15"/>
                    </w:rPr>
                    <w:t>Negative if outside dividends</w:t>
                  </w:r>
                </w:p>
              </w:tc>
            </w:tr>
            <w:tr>
              <w:tc>
                <w:tcPr>
                  <w:tcW w:type="dxa" w:w="3700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b/>
                      <w:color w:val="1D2433"/>
                      <w:sz w:val="15"/>
                    </w:rPr>
                    <w:t>Second Korean-access casino (Saemangeum special act)</w:t>
                  </w:r>
                </w:p>
              </w:tc>
              <w:tc>
                <w:tcPr>
                  <w:tcW w:type="dxa" w:w="884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color w:val="1D2433"/>
                      <w:sz w:val="15"/>
                    </w:rPr>
                    <w:t>Low</w:t>
                  </w:r>
                </w:p>
              </w:tc>
              <w:tc>
                <w:tcPr>
                  <w:tcW w:type="dxa" w:w="2332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color w:val="1D2433"/>
                      <w:sz w:val="15"/>
                    </w:rPr>
                    <w:t>Negative for the monopoly</w:t>
                  </w:r>
                </w:p>
              </w:tc>
            </w:tr>
          </w:tbl>
          <w:p/>
          <w:p>
            <w:pPr>
              <w:spacing w:before="40" w:after="100" w:line="264" w:lineRule="auto"/>
            </w:pPr>
            <w:r>
              <w:rPr>
                <w:rFonts w:ascii="Arial" w:hAnsi="Arial"/>
                <w:color w:val="7A8291"/>
                <w:sz w:val="13"/>
              </w:rPr>
              <w:t>Comparable control deals (S&amp;P CIQ): median 9.2x EV/EBITDA (n=10); land-based casinos 9-11x (Crown 11.2x, Golden 9.8x, Caesars 9.1x).</w:t>
            </w:r>
          </w:p>
        </w:tc>
        <w:tc>
          <w:tcPr>
            <w:tcW w:type="dxa" w:w="420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691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100"/>
              <w:pBdr>
                <w:bottom w:val="single" w:sz="4" w:space="4" w:color="D5D9E0"/>
              </w:pBdr>
            </w:pPr>
            <w:r>
              <w:rPr>
                <w:rFonts w:ascii="Arial" w:hAnsi="Arial"/>
                <w:b/>
                <w:color w:val="14213D"/>
                <w:sz w:val="21"/>
              </w:rPr>
              <w:t>What deal multiples say about the operating business</w:t>
            </w:r>
          </w:p>
          <w:tbl>
            <w:tblPr>
              <w:tblW w:type="auto" w:w="0"/>
              <w:jc w:val="left"/>
              <w:tblLook w:firstColumn="1" w:firstRow="1" w:lastColumn="0" w:lastRow="0" w:noHBand="0" w:noVBand="1" w:val="04A0"/>
              <w:tblLayout w:type="fixed"/>
              <w:tblW w:type="dxa" w:w="6915"/>
              <w:tblCellMar>
                <w:left w:type="dxa" w:w="0"/>
                <w:right w:type="dxa" w:w="0"/>
              </w:tblCellMar>
            </w:tblPr>
            <w:tblGrid>
              <w:gridCol w:w="4363"/>
              <w:gridCol w:w="638"/>
              <w:gridCol w:w="638"/>
              <w:gridCol w:w="638"/>
              <w:gridCol w:w="638"/>
            </w:tblGrid>
            <w:tr>
              <w:tc>
                <w:tcPr>
                  <w:tcW w:type="dxa" w:w="4363"/>
                  <w:tcBorders>
                    <w:top w:val="nil"/>
                    <w:left w:val="nil"/>
                    <w:bottom w:val="nil"/>
                    <w:right w:val="nil"/>
                  </w:tcBorders>
                  <w:shd w:fill="14213D" w:color="auto" w:val="clear"/>
                  <w:tcMar>
                    <w:top w:type="dxa" w:w="55"/>
                    <w:left w:type="dxa" w:w="80"/>
                    <w:bottom w:type="dxa" w:w="55"/>
                    <w:right w:type="dxa" w:w="8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b/>
                      <w:color w:val="FFFFFF"/>
                      <w:sz w:val="15"/>
                    </w:rPr>
                    <w:t>TEV / FY26E EBITDA (KRW293bn)</w:t>
                  </w:r>
                </w:p>
              </w:tc>
              <w:tc>
                <w:tcPr>
                  <w:tcW w:type="dxa" w:w="638"/>
                  <w:tcBorders>
                    <w:top w:val="nil"/>
                    <w:left w:val="nil"/>
                    <w:bottom w:val="nil"/>
                    <w:right w:val="nil"/>
                  </w:tcBorders>
                  <w:shd w:fill="14213D" w:color="auto" w:val="clear"/>
                  <w:tcMar>
                    <w:top w:type="dxa" w:w="55"/>
                    <w:left w:type="dxa" w:w="80"/>
                    <w:bottom w:type="dxa" w:w="55"/>
                    <w:right w:type="dxa" w:w="80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b/>
                      <w:color w:val="FFFFFF"/>
                      <w:sz w:val="15"/>
                    </w:rPr>
                    <w:t>6.0x</w:t>
                  </w:r>
                </w:p>
              </w:tc>
              <w:tc>
                <w:tcPr>
                  <w:tcW w:type="dxa" w:w="638"/>
                  <w:tcBorders>
                    <w:top w:val="nil"/>
                    <w:left w:val="nil"/>
                    <w:bottom w:val="nil"/>
                    <w:right w:val="nil"/>
                  </w:tcBorders>
                  <w:shd w:fill="14213D" w:color="auto" w:val="clear"/>
                  <w:tcMar>
                    <w:top w:type="dxa" w:w="55"/>
                    <w:left w:type="dxa" w:w="80"/>
                    <w:bottom w:type="dxa" w:w="55"/>
                    <w:right w:type="dxa" w:w="80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b/>
                      <w:color w:val="FFFFFF"/>
                      <w:sz w:val="15"/>
                    </w:rPr>
                    <w:t>8.0x</w:t>
                  </w:r>
                </w:p>
              </w:tc>
              <w:tc>
                <w:tcPr>
                  <w:tcW w:type="dxa" w:w="638"/>
                  <w:tcBorders>
                    <w:top w:val="nil"/>
                    <w:left w:val="nil"/>
                    <w:bottom w:val="nil"/>
                    <w:right w:val="nil"/>
                  </w:tcBorders>
                  <w:shd w:fill="14213D" w:color="auto" w:val="clear"/>
                  <w:tcMar>
                    <w:top w:type="dxa" w:w="55"/>
                    <w:left w:type="dxa" w:w="80"/>
                    <w:bottom w:type="dxa" w:w="55"/>
                    <w:right w:type="dxa" w:w="80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b/>
                      <w:color w:val="FFFFFF"/>
                      <w:sz w:val="15"/>
                    </w:rPr>
                    <w:t>9.2x</w:t>
                  </w:r>
                </w:p>
              </w:tc>
              <w:tc>
                <w:tcPr>
                  <w:tcW w:type="dxa" w:w="638"/>
                  <w:tcBorders>
                    <w:top w:val="nil"/>
                    <w:left w:val="nil"/>
                    <w:bottom w:val="nil"/>
                    <w:right w:val="nil"/>
                  </w:tcBorders>
                  <w:shd w:fill="14213D" w:color="auto" w:val="clear"/>
                  <w:tcMar>
                    <w:top w:type="dxa" w:w="55"/>
                    <w:left w:type="dxa" w:w="80"/>
                    <w:bottom w:type="dxa" w:w="55"/>
                    <w:right w:type="dxa" w:w="80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b/>
                      <w:color w:val="FFFFFF"/>
                      <w:sz w:val="15"/>
                    </w:rPr>
                    <w:t>10.0x</w:t>
                  </w:r>
                </w:p>
              </w:tc>
            </w:tr>
            <w:tr>
              <w:tc>
                <w:tcPr>
                  <w:tcW w:type="dxa" w:w="4363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b/>
                      <w:color w:val="1D2433"/>
                      <w:sz w:val="15"/>
                    </w:rPr>
                    <w:t>Operations (KRW tn)</w:t>
                  </w:r>
                </w:p>
              </w:tc>
              <w:tc>
                <w:tcPr>
                  <w:tcW w:type="dxa" w:w="638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color w:val="1D2433"/>
                      <w:sz w:val="15"/>
                    </w:rPr>
                    <w:t>1.76</w:t>
                  </w:r>
                </w:p>
              </w:tc>
              <w:tc>
                <w:tcPr>
                  <w:tcW w:type="dxa" w:w="638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color w:val="1D2433"/>
                      <w:sz w:val="15"/>
                    </w:rPr>
                    <w:t>2.34</w:t>
                  </w:r>
                </w:p>
              </w:tc>
              <w:tc>
                <w:tcPr>
                  <w:tcW w:type="dxa" w:w="638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color w:val="1D2433"/>
                      <w:sz w:val="15"/>
                    </w:rPr>
                    <w:t>2.70</w:t>
                  </w:r>
                </w:p>
              </w:tc>
              <w:tc>
                <w:tcPr>
                  <w:tcW w:type="dxa" w:w="638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color w:val="1D2433"/>
                      <w:sz w:val="15"/>
                    </w:rPr>
                    <w:t>2.93</w:t>
                  </w:r>
                </w:p>
              </w:tc>
            </w:tr>
            <w:tr>
              <w:tc>
                <w:tcPr>
                  <w:tcW w:type="dxa" w:w="4363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b/>
                      <w:color w:val="1D2433"/>
                      <w:sz w:val="15"/>
                    </w:rPr>
                    <w:t>+ excess cash KRW2.53tn = equity (KRW tn)</w:t>
                  </w:r>
                </w:p>
              </w:tc>
              <w:tc>
                <w:tcPr>
                  <w:tcW w:type="dxa" w:w="638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color w:val="1D2433"/>
                      <w:sz w:val="15"/>
                    </w:rPr>
                    <w:t>4.29</w:t>
                  </w:r>
                </w:p>
              </w:tc>
              <w:tc>
                <w:tcPr>
                  <w:tcW w:type="dxa" w:w="638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color w:val="1D2433"/>
                      <w:sz w:val="15"/>
                    </w:rPr>
                    <w:t>4.87</w:t>
                  </w:r>
                </w:p>
              </w:tc>
              <w:tc>
                <w:tcPr>
                  <w:tcW w:type="dxa" w:w="638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color w:val="1D2433"/>
                      <w:sz w:val="15"/>
                    </w:rPr>
                    <w:t>5.23</w:t>
                  </w:r>
                </w:p>
              </w:tc>
              <w:tc>
                <w:tcPr>
                  <w:tcW w:type="dxa" w:w="638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color w:val="1D2433"/>
                      <w:sz w:val="15"/>
                    </w:rPr>
                    <w:t>5.46</w:t>
                  </w:r>
                </w:p>
              </w:tc>
            </w:tr>
            <w:tr>
              <w:tc>
                <w:tcPr>
                  <w:tcW w:type="dxa" w:w="4363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b/>
                      <w:color w:val="1D2433"/>
                      <w:sz w:val="15"/>
                    </w:rPr>
                    <w:t>Value per share (KRW)</w:t>
                  </w:r>
                </w:p>
              </w:tc>
              <w:tc>
                <w:tcPr>
                  <w:tcW w:type="dxa" w:w="638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color w:val="1D2433"/>
                      <w:sz w:val="15"/>
                    </w:rPr>
                    <w:t>21,630</w:t>
                  </w:r>
                </w:p>
              </w:tc>
              <w:tc>
                <w:tcPr>
                  <w:tcW w:type="dxa" w:w="638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color w:val="1D2433"/>
                      <w:sz w:val="15"/>
                    </w:rPr>
                    <w:t>24,590</w:t>
                  </w:r>
                </w:p>
              </w:tc>
              <w:tc>
                <w:tcPr>
                  <w:tcW w:type="dxa" w:w="638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color w:val="1D2433"/>
                      <w:sz w:val="15"/>
                    </w:rPr>
                    <w:t>26,360</w:t>
                  </w:r>
                </w:p>
              </w:tc>
              <w:tc>
                <w:tcPr>
                  <w:tcW w:type="dxa" w:w="638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color w:val="1D2433"/>
                      <w:sz w:val="15"/>
                    </w:rPr>
                    <w:t>27,540</w:t>
                  </w:r>
                </w:p>
              </w:tc>
            </w:tr>
            <w:tr>
              <w:tc>
                <w:tcPr>
                  <w:tcW w:type="dxa" w:w="4363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hAnsi="Arial"/>
                      <w:b/>
                      <w:color w:val="1D2433"/>
                      <w:sz w:val="15"/>
                    </w:rPr>
                    <w:t>Premium to KRW14,180</w:t>
                  </w:r>
                </w:p>
              </w:tc>
              <w:tc>
                <w:tcPr>
                  <w:tcW w:type="dxa" w:w="638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color w:val="1D2433"/>
                      <w:sz w:val="15"/>
                    </w:rPr>
                    <w:t>+53%</w:t>
                  </w:r>
                </w:p>
              </w:tc>
              <w:tc>
                <w:tcPr>
                  <w:tcW w:type="dxa" w:w="638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color w:val="1D2433"/>
                      <w:sz w:val="15"/>
                    </w:rPr>
                    <w:t>+73%</w:t>
                  </w:r>
                </w:p>
              </w:tc>
              <w:tc>
                <w:tcPr>
                  <w:tcW w:type="dxa" w:w="638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color w:val="1D2433"/>
                      <w:sz w:val="15"/>
                    </w:rPr>
                    <w:t>+86%</w:t>
                  </w:r>
                </w:p>
              </w:tc>
              <w:tc>
                <w:tcPr>
                  <w:tcW w:type="dxa" w:w="638"/>
                  <w:tcBorders>
                    <w:top w:val="nil"/>
                    <w:left w:val="nil"/>
                    <w:bottom w:val="nil"/>
                    <w:right w:val="nil"/>
                  </w:tcBorders>
                  <w:tcBorders>
                    <w:top w:val="nil"/>
                    <w:left w:val="nil"/>
                    <w:bottom w:val="single" w:sz="4" w:color="D5D9E0"/>
                    <w:right w:val="nil"/>
                  </w:tcBorders>
                  <w:tcMar>
                    <w:top w:type="dxa" w:w="45"/>
                    <w:left w:type="dxa" w:w="80"/>
                    <w:bottom w:type="dxa" w:w="45"/>
                    <w:right w:type="dxa" w:w="80"/>
                  </w:tcMar>
                </w:tcPr>
                <w:p>
                  <w:pPr>
                    <w:spacing w:before="0" w:after="0"/>
                    <w:jc w:val="right"/>
                  </w:pPr>
                  <w:r>
                    <w:rPr>
                      <w:rFonts w:ascii="Arial" w:hAnsi="Arial"/>
                      <w:color w:val="1D2433"/>
                      <w:sz w:val="15"/>
                    </w:rPr>
                    <w:t>+94%</w:t>
                  </w:r>
                </w:p>
              </w:tc>
            </w:tr>
          </w:tbl>
          <w:p/>
          <w:p>
            <w:pPr>
              <w:spacing w:before="40" w:after="100" w:line="264" w:lineRule="auto"/>
            </w:pPr>
            <w:r>
              <w:rPr>
                <w:rFonts w:ascii="Arial" w:hAnsi="Arial"/>
                <w:color w:val="7A8291"/>
                <w:sz w:val="13"/>
              </w:rPr>
              <w:t>Theoretical: no takeover is legally possible. Ignores the K-HIT charge and the state-control discount used in our SOTP.</w:t>
            </w:r>
          </w:p>
          <w:p>
            <w:pPr>
              <w:spacing w:before="0" w:after="70" w:line="269" w:lineRule="auto"/>
              <w:ind w:left="220" w:hanging="220"/>
            </w:pPr>
            <w:r>
              <w:rPr>
                <w:color w:val="2B6CD4"/>
                <w:sz w:val="11"/>
              </w:rPr>
              <w:t xml:space="preserve">■  </w:t>
            </w:r>
            <w:r>
              <w:rPr>
                <w:rFonts w:ascii="Arial" w:hAnsi="Arial"/>
                <w:color w:val="333B4A"/>
                <w:sz w:val="15"/>
              </w:rPr>
              <w:t>Even at a 6x deal-style multiple the business plus excess cash is worth ~KRW21,600 a share</w:t>
            </w:r>
          </w:p>
          <w:p>
            <w:pPr>
              <w:spacing w:before="0" w:after="70" w:line="269" w:lineRule="auto"/>
              <w:ind w:left="220" w:hanging="220"/>
            </w:pPr>
            <w:r>
              <w:rPr>
                <w:color w:val="2B6CD4"/>
                <w:sz w:val="11"/>
              </w:rPr>
              <w:t xml:space="preserve">■  </w:t>
            </w:r>
            <w:r>
              <w:rPr>
                <w:rFonts w:ascii="Arial" w:hAnsi="Arial"/>
                <w:color w:val="333B4A"/>
                <w:sz w:val="15"/>
              </w:rPr>
              <w:t>The gap to the price is the market's charge for value destruction and political leakage</w:t>
            </w:r>
          </w:p>
        </w:tc>
      </w:tr>
    </w:tbl>
    <w:p>
      <w:pPr>
        <w:spacing w:before="0" w:after="40"/>
      </w:pPr>
    </w:p>
    <w:p>
      <w:pPr>
        <w:sectPr>
          <w:footerReference w:type="default" r:id="rId29"/>
          <w:pgSz w:w="15840" w:h="12240" w:orient="landscape"/>
          <w:pgMar w:top="640" w:right="792" w:bottom="560" w:left="792" w:header="300" w:footer="300" w:gutter="0"/>
          <w:cols w:space="720"/>
          <w:docGrid w:linePitch="360"/>
        </w:sectPr>
      </w:pP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  <w:tblW w:type="dxa" w:w="14256"/>
        <w:tblCellMar>
          <w:left w:type="dxa" w:w="0"/>
          <w:right w:type="dxa" w:w="0"/>
        </w:tblCellMar>
      </w:tblPr>
      <w:tblGrid>
        <w:gridCol w:w="12356"/>
        <w:gridCol w:w="1900"/>
      </w:tblGrid>
      <w:tr>
        <w:tc>
          <w:tcPr>
            <w:tcW w:type="dxa" w:w="1235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B6CD4"/>
                <w:sz w:val="18"/>
              </w:rPr>
              <w:t>SCENARIO ANALYSIS</w:t>
            </w:r>
          </w:p>
        </w:tc>
        <w:tc>
          <w:tcPr>
            <w:tcW w:type="dxa" w:w="1900"/>
            <w:tcBorders>
              <w:top w:val="nil"/>
              <w:left w:val="nil"/>
              <w:bottom w:val="nil"/>
              <w:right w:val="nil"/>
            </w:tcBorders>
            <w:shd w:fill="14213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VALUATION</w:t>
            </w:r>
          </w:p>
        </w:tc>
      </w:tr>
    </w:tbl>
    <w:p>
      <w:pPr>
        <w:spacing w:before="0" w:after="0" w:line="80" w:lineRule="exact"/>
        <w:pBdr>
          <w:bottom w:val="single" w:sz="6" w:space="1" w:color="1D2433"/>
        </w:pBdr>
      </w:pPr>
    </w:p>
    <w:p>
      <w:pPr>
        <w:spacing w:before="140" w:after="140" w:line="252" w:lineRule="auto"/>
      </w:pPr>
      <w:r>
        <w:rPr>
          <w:rFonts w:ascii="Arial" w:hAnsi="Arial"/>
          <w:b/>
          <w:color w:val="14213D"/>
          <w:sz w:val="38"/>
        </w:rPr>
        <w:t>Asymmetric: −27% bear vs +75% bull; probability-weighted KRW17,300 (+22%) plus ~6% yield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  <w:tblW w:type="dxa" w:w="14256"/>
        <w:tblCellMar>
          <w:left w:type="dxa" w:w="0"/>
          <w:right w:type="dxa" w:w="0"/>
        </w:tblCellMar>
      </w:tblPr>
      <w:tblGrid>
        <w:gridCol w:w="3456"/>
        <w:gridCol w:w="3600"/>
        <w:gridCol w:w="3600"/>
        <w:gridCol w:w="3600"/>
      </w:tblGrid>
      <w:tr>
        <w:tc>
          <w:tcPr>
            <w:tcW w:type="dxa" w:w="3456"/>
            <w:tcBorders>
              <w:top w:val="nil"/>
              <w:left w:val="nil"/>
              <w:bottom w:val="nil"/>
              <w:right w:val="nil"/>
            </w:tcBorders>
            <w:shd w:fill="14213D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</w:p>
        </w:tc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  <w:shd w:fill="14213D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5"/>
              </w:rPr>
              <w:t>Bear (25%)</w:t>
            </w:r>
          </w:p>
        </w:tc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  <w:shd w:fill="14213D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5"/>
              </w:rPr>
              <w:t>Base (50%)</w:t>
            </w:r>
          </w:p>
        </w:tc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  <w:shd w:fill="14213D" w:color="auto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FFFFFF"/>
                <w:sz w:val="15"/>
              </w:rPr>
              <w:t>Bull (25%)</w:t>
            </w:r>
          </w:p>
        </w:tc>
      </w:tr>
      <w:tr>
        <w:tc>
          <w:tcPr>
            <w:tcW w:type="dxa" w:w="3456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D2433"/>
                <w:sz w:val="15"/>
              </w:rPr>
              <w:t>Regulation</w:t>
            </w:r>
          </w:p>
        </w:tc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D2433"/>
                <w:sz w:val="15"/>
              </w:rPr>
              <w:t>15% levy applies (~KRW56bn); AML partly enforced</w:t>
            </w:r>
          </w:p>
        </w:tc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D2433"/>
                <w:sz w:val="15"/>
              </w:rPr>
              <w:t>Levy carve-out or diluted; AML modified</w:t>
            </w:r>
          </w:p>
        </w:tc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D2433"/>
                <w:sz w:val="15"/>
              </w:rPr>
              <w:t>Carve-out; deregulation; second casino on time</w:t>
            </w:r>
          </w:p>
        </w:tc>
      </w:tr>
      <w:tr>
        <w:tc>
          <w:tcPr>
            <w:tcW w:type="dxa" w:w="3456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D2433"/>
                <w:sz w:val="15"/>
              </w:rPr>
              <w:t>EBITDA basis / multiple</w:t>
            </w:r>
          </w:p>
        </w:tc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D2433"/>
                <w:sz w:val="15"/>
              </w:rPr>
              <w:t>KRW240bn / 5.0x</w:t>
            </w:r>
          </w:p>
        </w:tc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D2433"/>
                <w:sz w:val="15"/>
              </w:rPr>
              <w:t>KRW310bn (FY27E) / 6.5x</w:t>
            </w:r>
          </w:p>
        </w:tc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D2433"/>
                <w:sz w:val="15"/>
              </w:rPr>
              <w:t>KRW345bn (FY28E) / 8.0x</w:t>
            </w:r>
          </w:p>
        </w:tc>
      </w:tr>
      <w:tr>
        <w:tc>
          <w:tcPr>
            <w:tcW w:type="dxa" w:w="3456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D2433"/>
                <w:sz w:val="15"/>
              </w:rPr>
              <w:t>Excess cash (after KRW0.4tn reserve)</w:t>
            </w:r>
          </w:p>
        </w:tc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D2433"/>
                <w:sz w:val="15"/>
              </w:rPr>
              <w:t>KRW2.53tn</w:t>
            </w:r>
          </w:p>
        </w:tc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D2433"/>
                <w:sz w:val="15"/>
              </w:rPr>
              <w:t>KRW2.53tn</w:t>
            </w:r>
          </w:p>
        </w:tc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D2433"/>
                <w:sz w:val="15"/>
              </w:rPr>
              <w:t>KRW2.63tn</w:t>
            </w:r>
          </w:p>
        </w:tc>
      </w:tr>
      <w:tr>
        <w:tc>
          <w:tcPr>
            <w:tcW w:type="dxa" w:w="3456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D2433"/>
                <w:sz w:val="15"/>
              </w:rPr>
              <w:t>K-HIT NPV; state-control discount</w:t>
            </w:r>
          </w:p>
        </w:tc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D2433"/>
                <w:sz w:val="15"/>
              </w:rPr>
              <w:t>−KRW1.3tn; 15%</w:t>
            </w:r>
          </w:p>
        </w:tc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D2433"/>
                <w:sz w:val="15"/>
              </w:rPr>
              <w:t>−KRW0.8tn; 10%</w:t>
            </w:r>
          </w:p>
        </w:tc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D2433"/>
                <w:sz w:val="15"/>
              </w:rPr>
              <w:t>−KRW0.2tn; 5%</w:t>
            </w:r>
          </w:p>
        </w:tc>
      </w:tr>
      <w:tr>
        <w:tc>
          <w:tcPr>
            <w:tcW w:type="dxa" w:w="3456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D2433"/>
                <w:sz w:val="15"/>
              </w:rPr>
              <w:t>FY26E DPS</w:t>
            </w:r>
          </w:p>
        </w:tc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D2433"/>
                <w:sz w:val="15"/>
              </w:rPr>
              <w:t>KRW650-700</w:t>
            </w:r>
          </w:p>
        </w:tc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D2433"/>
                <w:sz w:val="15"/>
              </w:rPr>
              <w:t>KRW850</w:t>
            </w:r>
          </w:p>
        </w:tc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D2433"/>
                <w:sz w:val="15"/>
              </w:rPr>
              <w:t>KRW950-1,000</w:t>
            </w:r>
          </w:p>
        </w:tc>
      </w:tr>
      <w:tr>
        <w:tc>
          <w:tcPr>
            <w:tcW w:type="dxa" w:w="3456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D2433"/>
                <w:sz w:val="15"/>
              </w:rPr>
              <w:t>Implied P/B</w:t>
            </w:r>
          </w:p>
        </w:tc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D2433"/>
                <w:sz w:val="15"/>
              </w:rPr>
              <w:t>0.54x</w:t>
            </w:r>
          </w:p>
        </w:tc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D2433"/>
                <w:sz w:val="15"/>
              </w:rPr>
              <w:t>0.88x</w:t>
            </w:r>
          </w:p>
        </w:tc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45"/>
              <w:left w:type="dxa" w:w="80"/>
              <w:bottom w:type="dxa" w:w="4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1D2433"/>
                <w:sz w:val="15"/>
              </w:rPr>
              <w:t>1.29x</w:t>
            </w:r>
          </w:p>
        </w:tc>
      </w:tr>
      <w:tr>
        <w:tc>
          <w:tcPr>
            <w:tcW w:type="dxa" w:w="3456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45"/>
              <w:left w:type="dxa" w:w="80"/>
              <w:bottom w:type="dxa" w:w="45"/>
              <w:right w:type="dxa" w:w="80"/>
            </w:tcMar>
            <w:shd w:fill="E8EEF7" w:color="auto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D2433"/>
                <w:sz w:val="15"/>
              </w:rPr>
              <w:t>Per share</w:t>
            </w:r>
          </w:p>
        </w:tc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45"/>
              <w:left w:type="dxa" w:w="80"/>
              <w:bottom w:type="dxa" w:w="45"/>
              <w:right w:type="dxa" w:w="80"/>
            </w:tcMar>
            <w:shd w:fill="E8EEF7" w:color="auto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D2433"/>
                <w:sz w:val="15"/>
              </w:rPr>
              <w:t>KRW10,400 (−27%)</w:t>
            </w:r>
          </w:p>
        </w:tc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45"/>
              <w:left w:type="dxa" w:w="80"/>
              <w:bottom w:type="dxa" w:w="45"/>
              <w:right w:type="dxa" w:w="80"/>
            </w:tcMar>
            <w:shd w:fill="E8EEF7" w:color="auto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D2433"/>
                <w:sz w:val="15"/>
              </w:rPr>
              <w:t>KRW17,000 (+20%)</w:t>
            </w:r>
          </w:p>
        </w:tc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45"/>
              <w:left w:type="dxa" w:w="80"/>
              <w:bottom w:type="dxa" w:w="45"/>
              <w:right w:type="dxa" w:w="80"/>
            </w:tcMar>
            <w:shd w:fill="E8EEF7" w:color="auto" w:val="clear"/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D2433"/>
                <w:sz w:val="15"/>
              </w:rPr>
              <w:t>KRW24,900 (+75%)</w:t>
            </w:r>
          </w:p>
        </w:tc>
      </w:tr>
    </w:tbl>
    <w:p>
      <w:pPr>
        <w:spacing w:before="0" w:after="80"/>
      </w:pP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  <w:tblW w:type="dxa" w:w="14256"/>
        <w:tblCellMar>
          <w:left w:type="dxa" w:w="0"/>
          <w:right w:type="dxa" w:w="0"/>
        </w:tblCellMar>
      </w:tblPr>
      <w:tblGrid>
        <w:gridCol w:w="7609"/>
        <w:gridCol w:w="420"/>
        <w:gridCol w:w="6227"/>
      </w:tblGrid>
      <w:tr>
        <w:tc>
          <w:tcPr>
            <w:tcW w:type="dxa" w:w="7609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40"/>
            </w:pPr>
            <w:r>
              <w:drawing>
                <wp:inline xmlns:a="http://schemas.openxmlformats.org/drawingml/2006/main" xmlns:pic="http://schemas.openxmlformats.org/drawingml/2006/picture">
                  <wp:extent cx="4445000" cy="1975260"/>
                  <wp:docPr id="908" name="Picture 9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enarios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5000" cy="19752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0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622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70" w:line="269" w:lineRule="auto"/>
              <w:ind w:left="220" w:hanging="220"/>
            </w:pPr>
            <w:r>
              <w:rPr>
                <w:color w:val="2B6CD4"/>
                <w:sz w:val="11"/>
              </w:rPr>
              <w:t xml:space="preserve">■  </w:t>
            </w:r>
            <w:r>
              <w:rPr>
                <w:rFonts w:ascii="Arial" w:hAnsi="Arial"/>
                <w:color w:val="333B4A"/>
                <w:sz w:val="15"/>
              </w:rPr>
              <w:t>Downside support: net financial assets ~KRW14,780 a share; even the bear case keeps ~KRW1.2tn of cash after K-HIT losses</w:t>
            </w:r>
          </w:p>
          <w:p>
            <w:pPr>
              <w:spacing w:before="0" w:after="70" w:line="269" w:lineRule="auto"/>
              <w:ind w:left="220" w:hanging="220"/>
            </w:pPr>
            <w:r>
              <w:rPr>
                <w:color w:val="2B6CD4"/>
                <w:sz w:val="11"/>
              </w:rPr>
              <w:t xml:space="preserve">■  </w:t>
            </w:r>
            <w:r>
              <w:rPr>
                <w:rFonts w:ascii="Arial" w:hAnsi="Arial"/>
                <w:color w:val="333B4A"/>
                <w:sz w:val="15"/>
              </w:rPr>
              <w:t>Sensitivities: +1x operating multiple = +KRW1,410; KRW0.5tn less K-HIT charge = +KRW2,270; levy applied = −KRW1,650; full AML = −KRW5,900 [e]</w:t>
            </w:r>
          </w:p>
          <w:p>
            <w:pPr>
              <w:spacing w:before="0" w:after="70" w:line="269" w:lineRule="auto"/>
              <w:ind w:left="220" w:hanging="220"/>
            </w:pPr>
            <w:r>
              <w:rPr>
                <w:color w:val="2B6CD4"/>
                <w:sz w:val="11"/>
              </w:rPr>
              <w:t xml:space="preserve">■  </w:t>
            </w:r>
            <w:r>
              <w:rPr>
                <w:rFonts w:ascii="Arial" w:hAnsi="Arial"/>
                <w:color w:val="333B4A"/>
                <w:sz w:val="15"/>
              </w:rPr>
              <w:t>Expected total return ~28% (price +22% plus ~6% yield)</w:t>
            </w:r>
          </w:p>
        </w:tc>
      </w:tr>
    </w:tbl>
    <w:p>
      <w:pPr>
        <w:spacing w:before="0" w:after="40"/>
      </w:pPr>
    </w:p>
    <w:p>
      <w:pPr>
        <w:sectPr>
          <w:footerReference w:type="default" r:id="rId30"/>
          <w:pgSz w:w="15840" w:h="12240" w:orient="landscape"/>
          <w:pgMar w:top="640" w:right="792" w:bottom="560" w:left="792" w:header="300" w:footer="300" w:gutter="0"/>
          <w:cols w:space="720"/>
          <w:docGrid w:linePitch="360"/>
        </w:sectPr>
      </w:pP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  <w:tblW w:type="dxa" w:w="14256"/>
        <w:tblCellMar>
          <w:left w:type="dxa" w:w="0"/>
          <w:right w:type="dxa" w:w="0"/>
        </w:tblCellMar>
      </w:tblPr>
      <w:tblGrid>
        <w:gridCol w:w="12356"/>
        <w:gridCol w:w="1900"/>
      </w:tblGrid>
      <w:tr>
        <w:tc>
          <w:tcPr>
            <w:tcW w:type="dxa" w:w="1235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B6CD4"/>
                <w:sz w:val="18"/>
              </w:rPr>
              <w:t>CATALYST CALENDAR</w:t>
            </w:r>
          </w:p>
        </w:tc>
        <w:tc>
          <w:tcPr>
            <w:tcW w:type="dxa" w:w="1900"/>
            <w:tcBorders>
              <w:top w:val="nil"/>
              <w:left w:val="nil"/>
              <w:bottom w:val="nil"/>
              <w:right w:val="nil"/>
            </w:tcBorders>
            <w:shd w:fill="14213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CATALYSTS</w:t>
            </w:r>
          </w:p>
        </w:tc>
      </w:tr>
    </w:tbl>
    <w:p>
      <w:pPr>
        <w:spacing w:before="0" w:after="0" w:line="80" w:lineRule="exact"/>
        <w:pBdr>
          <w:bottom w:val="single" w:sz="6" w:space="1" w:color="1D2433"/>
        </w:pBdr>
      </w:pPr>
    </w:p>
    <w:p>
      <w:pPr>
        <w:spacing w:before="140" w:after="140" w:line="252" w:lineRule="auto"/>
      </w:pPr>
      <w:r>
        <w:rPr>
          <w:rFonts w:ascii="Arial" w:hAnsi="Arial"/>
          <w:b/>
          <w:color w:val="14213D"/>
          <w:sz w:val="38"/>
        </w:rPr>
        <w:t>The levy and AML decisions, the K-HIT review and Value-Up 2.0 decide the next two quarters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  <w:tblW w:type="dxa" w:w="14256"/>
        <w:tblCellMar>
          <w:left w:type="dxa" w:w="0"/>
          <w:right w:type="dxa" w:w="0"/>
        </w:tblCellMar>
      </w:tblPr>
      <w:tblGrid>
        <w:gridCol w:w="2400"/>
        <w:gridCol w:w="3700"/>
        <w:gridCol w:w="6656"/>
        <w:gridCol w:w="1500"/>
      </w:tblGrid>
      <w:tr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95"/>
              <w:left w:type="dxa" w:w="80"/>
              <w:bottom w:type="dxa" w:w="9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B6CD4"/>
                <w:sz w:val="15"/>
              </w:rPr>
              <w:t>~28-OCT TO 4-NOV-26 [E]</w:t>
            </w:r>
          </w:p>
        </w:tc>
        <w:tc>
          <w:tcPr>
            <w:tcW w:type="dxa" w:w="370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95"/>
              <w:left w:type="dxa" w:w="80"/>
              <w:bottom w:type="dxa" w:w="9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D2433"/>
                <w:sz w:val="15"/>
              </w:rPr>
              <w:t>3Q26 results</w:t>
            </w:r>
          </w:p>
        </w:tc>
        <w:tc>
          <w:tcPr>
            <w:tcW w:type="dxa" w:w="6656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95"/>
              <w:left w:type="dxa" w:w="80"/>
              <w:bottom w:type="dxa" w:w="9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5A6270"/>
                <w:sz w:val="15"/>
              </w:rPr>
              <w:t>iM: OP KRW64.2bn vs consensus KRW67.2bn; drop and cash flow</w:t>
            </w:r>
          </w:p>
        </w:tc>
        <w:tc>
          <w:tcPr>
            <w:tcW w:type="dxa" w:w="150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95"/>
              <w:left w:type="dxa" w:w="80"/>
              <w:bottom w:type="dxa" w:w="95"/>
              <w:right w:type="dxa" w:w="80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color w:val="2B6CD4"/>
                <w:sz w:val="15"/>
              </w:rPr>
              <w:t>HIGH</w:t>
            </w:r>
          </w:p>
        </w:tc>
      </w:tr>
      <w:tr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95"/>
              <w:left w:type="dxa" w:w="80"/>
              <w:bottom w:type="dxa" w:w="9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B6CD4"/>
                <w:sz w:val="15"/>
              </w:rPr>
              <w:t>NOV-DEC 2026</w:t>
            </w:r>
          </w:p>
        </w:tc>
        <w:tc>
          <w:tcPr>
            <w:tcW w:type="dxa" w:w="370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95"/>
              <w:left w:type="dxa" w:w="80"/>
              <w:bottom w:type="dxa" w:w="9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D2433"/>
                <w:sz w:val="15"/>
              </w:rPr>
              <w:t>Tourism Promotion Act / levy decree</w:t>
            </w:r>
          </w:p>
        </w:tc>
        <w:tc>
          <w:tcPr>
            <w:tcW w:type="dxa" w:w="6656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95"/>
              <w:left w:type="dxa" w:w="80"/>
              <w:bottom w:type="dxa" w:w="9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5A6270"/>
                <w:sz w:val="15"/>
              </w:rPr>
              <w:t>Carve-out for Kangwon Land vs a 15% bracket (~KRW56bn a year)</w:t>
            </w:r>
          </w:p>
        </w:tc>
        <w:tc>
          <w:tcPr>
            <w:tcW w:type="dxa" w:w="150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95"/>
              <w:left w:type="dxa" w:w="80"/>
              <w:bottom w:type="dxa" w:w="95"/>
              <w:right w:type="dxa" w:w="80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color w:val="2B6CD4"/>
                <w:sz w:val="15"/>
              </w:rPr>
              <w:t>CRITICAL</w:t>
            </w:r>
          </w:p>
        </w:tc>
      </w:tr>
      <w:tr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95"/>
              <w:left w:type="dxa" w:w="80"/>
              <w:bottom w:type="dxa" w:w="9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B6CD4"/>
                <w:sz w:val="15"/>
              </w:rPr>
              <w:t>NOV-DEC 2026</w:t>
            </w:r>
          </w:p>
        </w:tc>
        <w:tc>
          <w:tcPr>
            <w:tcW w:type="dxa" w:w="370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95"/>
              <w:left w:type="dxa" w:w="80"/>
              <w:bottom w:type="dxa" w:w="9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D2433"/>
                <w:sz w:val="15"/>
              </w:rPr>
              <w:t>FIU AML due-diligence decision</w:t>
            </w:r>
          </w:p>
        </w:tc>
        <w:tc>
          <w:tcPr>
            <w:tcW w:type="dxa" w:w="6656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95"/>
              <w:left w:type="dxa" w:w="80"/>
              <w:bottom w:type="dxa" w:w="9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5A6270"/>
                <w:sz w:val="15"/>
              </w:rPr>
              <w:t>Up to ~26% revenue risk (company estimate)</w:t>
            </w:r>
          </w:p>
        </w:tc>
        <w:tc>
          <w:tcPr>
            <w:tcW w:type="dxa" w:w="150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95"/>
              <w:left w:type="dxa" w:w="80"/>
              <w:bottom w:type="dxa" w:w="95"/>
              <w:right w:type="dxa" w:w="80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color w:val="2B6CD4"/>
                <w:sz w:val="15"/>
              </w:rPr>
              <w:t>CRITICAL</w:t>
            </w:r>
          </w:p>
        </w:tc>
      </w:tr>
      <w:tr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95"/>
              <w:left w:type="dxa" w:w="80"/>
              <w:bottom w:type="dxa" w:w="9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B6CD4"/>
                <w:sz w:val="15"/>
              </w:rPr>
              <w:t>BY 31-DEC-26</w:t>
            </w:r>
          </w:p>
        </w:tc>
        <w:tc>
          <w:tcPr>
            <w:tcW w:type="dxa" w:w="370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95"/>
              <w:left w:type="dxa" w:w="80"/>
              <w:bottom w:type="dxa" w:w="9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D2433"/>
                <w:sz w:val="15"/>
              </w:rPr>
              <w:t>Organisational Diagnosis and Innovation Committee</w:t>
            </w:r>
          </w:p>
        </w:tc>
        <w:tc>
          <w:tcPr>
            <w:tcW w:type="dxa" w:w="6656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95"/>
              <w:left w:type="dxa" w:w="80"/>
              <w:bottom w:type="dxa" w:w="9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5A6270"/>
                <w:sz w:val="15"/>
              </w:rPr>
              <w:t>K-HIT rescoping vs acceleration</w:t>
            </w:r>
          </w:p>
        </w:tc>
        <w:tc>
          <w:tcPr>
            <w:tcW w:type="dxa" w:w="150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95"/>
              <w:left w:type="dxa" w:w="80"/>
              <w:bottom w:type="dxa" w:w="95"/>
              <w:right w:type="dxa" w:w="80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color w:val="2B6CD4"/>
                <w:sz w:val="15"/>
              </w:rPr>
              <w:t>HIGH</w:t>
            </w:r>
          </w:p>
        </w:tc>
      </w:tr>
      <w:tr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95"/>
              <w:left w:type="dxa" w:w="80"/>
              <w:bottom w:type="dxa" w:w="9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B6CD4"/>
                <w:sz w:val="15"/>
              </w:rPr>
              <w:t>DEC-26</w:t>
            </w:r>
          </w:p>
        </w:tc>
        <w:tc>
          <w:tcPr>
            <w:tcW w:type="dxa" w:w="370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95"/>
              <w:left w:type="dxa" w:w="80"/>
              <w:bottom w:type="dxa" w:w="9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D2433"/>
                <w:sz w:val="15"/>
              </w:rPr>
              <w:t>NGCC 2027 sales cap; 2027 budget</w:t>
            </w:r>
          </w:p>
        </w:tc>
        <w:tc>
          <w:tcPr>
            <w:tcW w:type="dxa" w:w="6656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95"/>
              <w:left w:type="dxa" w:w="80"/>
              <w:bottom w:type="dxa" w:w="9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5A6270"/>
                <w:sz w:val="15"/>
              </w:rPr>
              <w:t>Headroom; capex trajectory</w:t>
            </w:r>
          </w:p>
        </w:tc>
        <w:tc>
          <w:tcPr>
            <w:tcW w:type="dxa" w:w="150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95"/>
              <w:left w:type="dxa" w:w="80"/>
              <w:bottom w:type="dxa" w:w="95"/>
              <w:right w:type="dxa" w:w="80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color w:val="2B6CD4"/>
                <w:sz w:val="15"/>
              </w:rPr>
              <w:t>MEDIUM</w:t>
            </w:r>
          </w:p>
        </w:tc>
      </w:tr>
      <w:tr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95"/>
              <w:left w:type="dxa" w:w="80"/>
              <w:bottom w:type="dxa" w:w="9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B6CD4"/>
                <w:sz w:val="15"/>
              </w:rPr>
              <w:t>~LATE FEB-27</w:t>
            </w:r>
          </w:p>
        </w:tc>
        <w:tc>
          <w:tcPr>
            <w:tcW w:type="dxa" w:w="370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95"/>
              <w:left w:type="dxa" w:w="80"/>
              <w:bottom w:type="dxa" w:w="9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D2433"/>
                <w:sz w:val="15"/>
              </w:rPr>
              <w:t>FY26 DPS and Value-Up 2.0 (FY27-29)</w:t>
            </w:r>
          </w:p>
        </w:tc>
        <w:tc>
          <w:tcPr>
            <w:tcW w:type="dxa" w:w="6656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95"/>
              <w:left w:type="dxa" w:w="80"/>
              <w:bottom w:type="dxa" w:w="9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5A6270"/>
                <w:sz w:val="15"/>
              </w:rPr>
              <w:t>Payout policy; dividend-tax qualification</w:t>
            </w:r>
          </w:p>
        </w:tc>
        <w:tc>
          <w:tcPr>
            <w:tcW w:type="dxa" w:w="150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95"/>
              <w:left w:type="dxa" w:w="80"/>
              <w:bottom w:type="dxa" w:w="95"/>
              <w:right w:type="dxa" w:w="80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color w:val="2B6CD4"/>
                <w:sz w:val="15"/>
              </w:rPr>
              <w:t>CRITICAL</w:t>
            </w:r>
          </w:p>
        </w:tc>
      </w:tr>
      <w:tr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95"/>
              <w:left w:type="dxa" w:w="80"/>
              <w:bottom w:type="dxa" w:w="9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B6CD4"/>
                <w:sz w:val="15"/>
              </w:rPr>
              <w:t>MAR-27</w:t>
            </w:r>
          </w:p>
        </w:tc>
        <w:tc>
          <w:tcPr>
            <w:tcW w:type="dxa" w:w="370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95"/>
              <w:left w:type="dxa" w:w="80"/>
              <w:bottom w:type="dxa" w:w="9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D2433"/>
                <w:sz w:val="15"/>
              </w:rPr>
              <w:t>AGM</w:t>
            </w:r>
          </w:p>
        </w:tc>
        <w:tc>
          <w:tcPr>
            <w:tcW w:type="dxa" w:w="6656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95"/>
              <w:left w:type="dxa" w:w="80"/>
              <w:bottom w:type="dxa" w:w="9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5A6270"/>
                <w:sz w:val="15"/>
              </w:rPr>
              <w:t>Cumulative voting, audit-committee vote (3% cap), treasury retention</w:t>
            </w:r>
          </w:p>
        </w:tc>
        <w:tc>
          <w:tcPr>
            <w:tcW w:type="dxa" w:w="150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95"/>
              <w:left w:type="dxa" w:w="80"/>
              <w:bottom w:type="dxa" w:w="95"/>
              <w:right w:type="dxa" w:w="80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color w:val="2B6CD4"/>
                <w:sz w:val="15"/>
              </w:rPr>
              <w:t>HIGH</w:t>
            </w:r>
          </w:p>
        </w:tc>
      </w:tr>
      <w:tr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95"/>
              <w:left w:type="dxa" w:w="80"/>
              <w:bottom w:type="dxa" w:w="9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B6CD4"/>
                <w:sz w:val="15"/>
              </w:rPr>
              <w:t>JUN-27</w:t>
            </w:r>
          </w:p>
        </w:tc>
        <w:tc>
          <w:tcPr>
            <w:tcW w:type="dxa" w:w="370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95"/>
              <w:left w:type="dxa" w:w="80"/>
              <w:bottom w:type="dxa" w:w="9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D2433"/>
                <w:sz w:val="15"/>
              </w:rPr>
              <w:t>Public-enterprise evaluation (FY26)</w:t>
            </w:r>
          </w:p>
        </w:tc>
        <w:tc>
          <w:tcPr>
            <w:tcW w:type="dxa" w:w="6656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95"/>
              <w:left w:type="dxa" w:w="80"/>
              <w:bottom w:type="dxa" w:w="9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5A6270"/>
                <w:sz w:val="15"/>
              </w:rPr>
              <w:t>Bonuses; CEO standing</w:t>
            </w:r>
          </w:p>
        </w:tc>
        <w:tc>
          <w:tcPr>
            <w:tcW w:type="dxa" w:w="150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95"/>
              <w:left w:type="dxa" w:w="80"/>
              <w:bottom w:type="dxa" w:w="95"/>
              <w:right w:type="dxa" w:w="80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color w:val="2B6CD4"/>
                <w:sz w:val="15"/>
              </w:rPr>
              <w:t>MEDIUM</w:t>
            </w:r>
          </w:p>
        </w:tc>
      </w:tr>
      <w:tr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95"/>
              <w:left w:type="dxa" w:w="80"/>
              <w:bottom w:type="dxa" w:w="9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B6CD4"/>
                <w:sz w:val="15"/>
              </w:rPr>
              <w:t>~SEP-27 [E]</w:t>
            </w:r>
          </w:p>
        </w:tc>
        <w:tc>
          <w:tcPr>
            <w:tcW w:type="dxa" w:w="370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95"/>
              <w:left w:type="dxa" w:w="80"/>
              <w:bottom w:type="dxa" w:w="9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D2433"/>
                <w:sz w:val="15"/>
              </w:rPr>
              <w:t>Treasury cancellation deadline</w:t>
            </w:r>
          </w:p>
        </w:tc>
        <w:tc>
          <w:tcPr>
            <w:tcW w:type="dxa" w:w="6656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95"/>
              <w:left w:type="dxa" w:w="80"/>
              <w:bottom w:type="dxa" w:w="9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5A6270"/>
                <w:sz w:val="15"/>
              </w:rPr>
              <w:t>Cancel 7.36% or seek annual retention</w:t>
            </w:r>
          </w:p>
        </w:tc>
        <w:tc>
          <w:tcPr>
            <w:tcW w:type="dxa" w:w="150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95"/>
              <w:left w:type="dxa" w:w="80"/>
              <w:bottom w:type="dxa" w:w="95"/>
              <w:right w:type="dxa" w:w="80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color w:val="2B6CD4"/>
                <w:sz w:val="15"/>
              </w:rPr>
              <w:t>HIGH</w:t>
            </w:r>
          </w:p>
        </w:tc>
      </w:tr>
      <w:tr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95"/>
              <w:left w:type="dxa" w:w="80"/>
              <w:bottom w:type="dxa" w:w="9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B6CD4"/>
                <w:sz w:val="15"/>
              </w:rPr>
              <w:t>NOV-27 TO APR-28</w:t>
            </w:r>
          </w:p>
        </w:tc>
        <w:tc>
          <w:tcPr>
            <w:tcW w:type="dxa" w:w="370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95"/>
              <w:left w:type="dxa" w:w="80"/>
              <w:bottom w:type="dxa" w:w="9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D2433"/>
                <w:sz w:val="15"/>
              </w:rPr>
              <w:t>Condo, second casino, hotel reopen</w:t>
            </w:r>
          </w:p>
        </w:tc>
        <w:tc>
          <w:tcPr>
            <w:tcW w:type="dxa" w:w="6656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95"/>
              <w:left w:type="dxa" w:w="80"/>
              <w:bottom w:type="dxa" w:w="9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5A6270"/>
                <w:sz w:val="15"/>
              </w:rPr>
              <w:t>2028 earnings recovery</w:t>
            </w:r>
          </w:p>
        </w:tc>
        <w:tc>
          <w:tcPr>
            <w:tcW w:type="dxa" w:w="150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95"/>
              <w:left w:type="dxa" w:w="80"/>
              <w:bottom w:type="dxa" w:w="95"/>
              <w:right w:type="dxa" w:w="80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color w:val="2B6CD4"/>
                <w:sz w:val="15"/>
              </w:rPr>
              <w:t>HIGH</w:t>
            </w:r>
          </w:p>
        </w:tc>
      </w:tr>
      <w:tr>
        <w:tc>
          <w:tcPr>
            <w:tcW w:type="dxa" w:w="240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95"/>
              <w:left w:type="dxa" w:w="80"/>
              <w:bottom w:type="dxa" w:w="9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B6CD4"/>
                <w:sz w:val="15"/>
              </w:rPr>
              <w:t>ANY TIME</w:t>
            </w:r>
          </w:p>
        </w:tc>
        <w:tc>
          <w:tcPr>
            <w:tcW w:type="dxa" w:w="370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95"/>
              <w:left w:type="dxa" w:w="80"/>
              <w:bottom w:type="dxa" w:w="9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1D2433"/>
                <w:sz w:val="15"/>
              </w:rPr>
              <w:t>Saemangeum / 'public casino'; KOMIR restructuring</w:t>
            </w:r>
          </w:p>
        </w:tc>
        <w:tc>
          <w:tcPr>
            <w:tcW w:type="dxa" w:w="6656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95"/>
              <w:left w:type="dxa" w:w="80"/>
              <w:bottom w:type="dxa" w:w="95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hAnsi="Arial"/>
                <w:color w:val="5A6270"/>
                <w:sz w:val="15"/>
              </w:rPr>
              <w:t>Exclusivity; cash diversion</w:t>
            </w:r>
          </w:p>
        </w:tc>
        <w:tc>
          <w:tcPr>
            <w:tcW w:type="dxa" w:w="1500"/>
            <w:tcBorders>
              <w:top w:val="nil"/>
              <w:left w:val="nil"/>
              <w:bottom w:val="nil"/>
              <w:right w:val="nil"/>
            </w:tcBorders>
            <w:tcBorders>
              <w:top w:val="nil"/>
              <w:left w:val="nil"/>
              <w:bottom w:val="single" w:sz="4" w:color="D5D9E0"/>
              <w:right w:val="nil"/>
            </w:tcBorders>
            <w:tcMar>
              <w:top w:type="dxa" w:w="95"/>
              <w:left w:type="dxa" w:w="80"/>
              <w:bottom w:type="dxa" w:w="95"/>
              <w:right w:type="dxa" w:w="80"/>
            </w:tcMar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color w:val="2B6CD4"/>
                <w:sz w:val="15"/>
              </w:rPr>
              <w:t>MEDIUM</w:t>
            </w:r>
          </w:p>
        </w:tc>
      </w:tr>
    </w:tbl>
    <w:p>
      <w:pPr>
        <w:sectPr>
          <w:footerReference w:type="default" r:id="rId32"/>
          <w:pgSz w:w="15840" w:h="12240" w:orient="landscape"/>
          <w:pgMar w:top="640" w:right="792" w:bottom="560" w:left="792" w:header="300" w:footer="300" w:gutter="0"/>
          <w:cols w:space="720"/>
          <w:docGrid w:linePitch="360"/>
        </w:sectPr>
      </w:pP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  <w:tblW w:type="dxa" w:w="14256"/>
        <w:tblCellMar>
          <w:left w:type="dxa" w:w="0"/>
          <w:right w:type="dxa" w:w="0"/>
        </w:tblCellMar>
      </w:tblPr>
      <w:tblGrid>
        <w:gridCol w:w="12356"/>
        <w:gridCol w:w="1900"/>
      </w:tblGrid>
      <w:tr>
        <w:tc>
          <w:tcPr>
            <w:tcW w:type="dxa" w:w="1235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2B6CD4"/>
                <w:sz w:val="18"/>
              </w:rPr>
              <w:t>KEY RISKS</w:t>
            </w:r>
          </w:p>
        </w:tc>
        <w:tc>
          <w:tcPr>
            <w:tcW w:type="dxa" w:w="1900"/>
            <w:tcBorders>
              <w:top w:val="nil"/>
              <w:left w:val="nil"/>
              <w:bottom w:val="nil"/>
              <w:right w:val="nil"/>
            </w:tcBorders>
            <w:shd w:fill="14213D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RISKS</w:t>
            </w:r>
          </w:p>
        </w:tc>
      </w:tr>
    </w:tbl>
    <w:p>
      <w:pPr>
        <w:spacing w:before="0" w:after="0" w:line="80" w:lineRule="exact"/>
        <w:pBdr>
          <w:bottom w:val="single" w:sz="6" w:space="1" w:color="1D2433"/>
        </w:pBdr>
      </w:pPr>
    </w:p>
    <w:p>
      <w:pPr>
        <w:spacing w:before="140" w:after="140" w:line="252" w:lineRule="auto"/>
      </w:pPr>
      <w:r>
        <w:rPr>
          <w:rFonts w:ascii="Arial" w:hAnsi="Arial"/>
          <w:b/>
          <w:color w:val="14213D"/>
          <w:sz w:val="38"/>
        </w:rPr>
        <w:t>What would make this thesis wrong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  <w:tblW w:type="dxa" w:w="14256"/>
        <w:tblCellMar>
          <w:left w:type="dxa" w:w="0"/>
          <w:right w:type="dxa" w:w="0"/>
        </w:tblCellMar>
      </w:tblPr>
      <w:tblGrid>
        <w:gridCol w:w="6878"/>
        <w:gridCol w:w="500"/>
        <w:gridCol w:w="6878"/>
      </w:tblGrid>
      <w:tr>
        <w:tc>
          <w:tcPr>
            <w:tcW w:type="dxa" w:w="6878"/>
            <w:tcBorders>
              <w:top w:val="nil"/>
              <w:left w:val="nil"/>
              <w:bottom w:val="nil"/>
              <w:right w:val="nil"/>
            </w:tcBorders>
            <w:tcMar>
              <w:top w:type="dxa" w:w="120"/>
              <w:left w:type="dxa" w:w="0"/>
              <w:bottom w:type="dxa" w:w="60"/>
              <w:right w:type="dxa" w:w="0"/>
            </w:tcMar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2B6CD4"/>
                <w:sz w:val="30"/>
              </w:rPr>
              <w:t xml:space="preserve">01   </w:t>
            </w:r>
            <w:r>
              <w:rPr>
                <w:rFonts w:ascii="Arial" w:hAnsi="Arial"/>
                <w:b/>
                <w:color w:val="14213D"/>
                <w:sz w:val="21"/>
              </w:rPr>
              <w:t>AML customer due diligence</w:t>
            </w:r>
          </w:p>
          <w:p>
            <w:pPr>
              <w:spacing w:before="0" w:after="160" w:line="276" w:lineRule="auto"/>
              <w:pBdr>
                <w:bottom w:val="single" w:sz="4" w:space="8" w:color="D5D9E0"/>
              </w:pBdr>
            </w:pPr>
            <w:r>
              <w:rPr>
                <w:rFonts w:ascii="Arial" w:hAnsi="Arial"/>
                <w:color w:val="333B4A"/>
                <w:sz w:val="16"/>
              </w:rPr>
              <w:t>Full ID checks on every chip purchase: company estimate −25.8% revenue (~KRW330bn); players pushed to illegal online (KRW95.9tn market)</w:t>
            </w:r>
          </w:p>
        </w:tc>
        <w:tc>
          <w:tcPr>
            <w:tcW w:type="dxa" w:w="500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6878"/>
            <w:tcBorders>
              <w:top w:val="nil"/>
              <w:left w:val="nil"/>
              <w:bottom w:val="nil"/>
              <w:right w:val="nil"/>
            </w:tcBorders>
            <w:tcMar>
              <w:top w:type="dxa" w:w="120"/>
              <w:left w:type="dxa" w:w="0"/>
              <w:bottom w:type="dxa" w:w="60"/>
              <w:right w:type="dxa" w:w="0"/>
            </w:tcMar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2B6CD4"/>
                <w:sz w:val="30"/>
              </w:rPr>
              <w:t xml:space="preserve">02   </w:t>
            </w:r>
            <w:r>
              <w:rPr>
                <w:rFonts w:ascii="Arial" w:hAnsi="Arial"/>
                <w:b/>
                <w:color w:val="14213D"/>
                <w:sz w:val="21"/>
              </w:rPr>
              <w:t>Cash spent, not returned</w:t>
            </w:r>
          </w:p>
          <w:p>
            <w:pPr>
              <w:spacing w:before="0" w:after="160" w:line="276" w:lineRule="auto"/>
              <w:pBdr>
                <w:bottom w:val="single" w:sz="4" w:space="8" w:color="D5D9E0"/>
              </w:pBdr>
            </w:pPr>
            <w:r>
              <w:rPr>
                <w:rFonts w:ascii="Arial" w:hAnsi="Arial"/>
                <w:color w:val="333B4A"/>
                <w:sz w:val="16"/>
              </w:rPr>
              <w:t>K-HIT ~KRW3tn to 2035 at a remote site; feasibility exemption sought; political CEO; history of 80%+ impaired regional projects</w:t>
            </w:r>
          </w:p>
        </w:tc>
      </w:tr>
      <w:tr>
        <w:tc>
          <w:tcPr>
            <w:tcW w:type="dxa" w:w="6878"/>
            <w:tcBorders>
              <w:top w:val="nil"/>
              <w:left w:val="nil"/>
              <w:bottom w:val="nil"/>
              <w:right w:val="nil"/>
            </w:tcBorders>
            <w:tcMar>
              <w:top w:type="dxa" w:w="120"/>
              <w:left w:type="dxa" w:w="0"/>
              <w:bottom w:type="dxa" w:w="60"/>
              <w:right w:type="dxa" w:w="0"/>
            </w:tcMar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2B6CD4"/>
                <w:sz w:val="30"/>
              </w:rPr>
              <w:t xml:space="preserve">03   </w:t>
            </w:r>
            <w:r>
              <w:rPr>
                <w:rFonts w:ascii="Arial" w:hAnsi="Arial"/>
                <w:b/>
                <w:color w:val="14213D"/>
                <w:sz w:val="21"/>
              </w:rPr>
              <w:t>Levies and taxes</w:t>
            </w:r>
          </w:p>
          <w:p>
            <w:pPr>
              <w:spacing w:before="0" w:after="160" w:line="276" w:lineRule="auto"/>
              <w:pBdr>
                <w:bottom w:val="single" w:sz="4" w:space="8" w:color="D5D9E0"/>
              </w:pBdr>
            </w:pPr>
            <w:r>
              <w:rPr>
                <w:rFonts w:ascii="Arial" w:hAnsi="Arial"/>
                <w:color w:val="333B4A"/>
                <w:sz w:val="16"/>
              </w:rPr>
              <w:t>15% tourism bracket (~KRW56bn a year if applied); the State already takes 42% of gaming sales and changed the mine fund in 2021</w:t>
            </w:r>
          </w:p>
        </w:tc>
        <w:tc>
          <w:tcPr>
            <w:tcW w:type="dxa" w:w="500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6878"/>
            <w:tcBorders>
              <w:top w:val="nil"/>
              <w:left w:val="nil"/>
              <w:bottom w:val="nil"/>
              <w:right w:val="nil"/>
            </w:tcBorders>
            <w:tcMar>
              <w:top w:type="dxa" w:w="120"/>
              <w:left w:type="dxa" w:w="0"/>
              <w:bottom w:type="dxa" w:w="60"/>
              <w:right w:type="dxa" w:w="0"/>
            </w:tcMar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2B6CD4"/>
                <w:sz w:val="30"/>
              </w:rPr>
              <w:t xml:space="preserve">04   </w:t>
            </w:r>
            <w:r>
              <w:rPr>
                <w:rFonts w:ascii="Arial" w:hAnsi="Arial"/>
                <w:b/>
                <w:color w:val="14213D"/>
                <w:sz w:val="21"/>
              </w:rPr>
              <w:t>Exclusivity and sunset</w:t>
            </w:r>
          </w:p>
          <w:p>
            <w:pPr>
              <w:spacing w:before="0" w:after="160" w:line="276" w:lineRule="auto"/>
              <w:pBdr>
                <w:bottom w:val="single" w:sz="4" w:space="8" w:color="D5D9E0"/>
              </w:pBdr>
            </w:pPr>
            <w:r>
              <w:rPr>
                <w:rFonts w:ascii="Arial" w:hAnsi="Arial"/>
                <w:color w:val="333B4A"/>
                <w:sz w:val="16"/>
              </w:rPr>
              <w:t>'Public casino' / Saemangeum IR with Korean access would need a special act; the Special Act sunsets in 2045</w:t>
            </w:r>
          </w:p>
        </w:tc>
      </w:tr>
      <w:tr>
        <w:tc>
          <w:tcPr>
            <w:tcW w:type="dxa" w:w="6878"/>
            <w:tcBorders>
              <w:top w:val="nil"/>
              <w:left w:val="nil"/>
              <w:bottom w:val="nil"/>
              <w:right w:val="nil"/>
            </w:tcBorders>
            <w:tcMar>
              <w:top w:type="dxa" w:w="120"/>
              <w:left w:type="dxa" w:w="0"/>
              <w:bottom w:type="dxa" w:w="60"/>
              <w:right w:type="dxa" w:w="0"/>
            </w:tcMar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2B6CD4"/>
                <w:sz w:val="30"/>
              </w:rPr>
              <w:t xml:space="preserve">05   </w:t>
            </w:r>
            <w:r>
              <w:rPr>
                <w:rFonts w:ascii="Arial" w:hAnsi="Arial"/>
                <w:b/>
                <w:color w:val="14213D"/>
                <w:sz w:val="21"/>
              </w:rPr>
              <w:t>Earnings and costs</w:t>
            </w:r>
          </w:p>
          <w:p>
            <w:pPr>
              <w:spacing w:before="0" w:after="160" w:line="276" w:lineRule="auto"/>
              <w:pBdr>
                <w:bottom w:val="single" w:sz="4" w:space="8" w:color="D5D9E0"/>
              </w:pBdr>
            </w:pPr>
            <w:r>
              <w:rPr>
                <w:rFonts w:ascii="Arial" w:hAnsi="Arial"/>
                <w:color w:val="333B4A"/>
                <w:sz w:val="16"/>
              </w:rPr>
              <w:t>Renovation until 2028; labour and bonus creep ('195% bonus' criticism [u]); ~45% of pre-tax profit is financial income</w:t>
            </w:r>
          </w:p>
        </w:tc>
        <w:tc>
          <w:tcPr>
            <w:tcW w:type="dxa" w:w="500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6878"/>
            <w:tcBorders>
              <w:top w:val="nil"/>
              <w:left w:val="nil"/>
              <w:bottom w:val="nil"/>
              <w:right w:val="nil"/>
            </w:tcBorders>
            <w:tcMar>
              <w:top w:type="dxa" w:w="120"/>
              <w:left w:type="dxa" w:w="0"/>
              <w:bottom w:type="dxa" w:w="60"/>
              <w:right w:type="dxa" w:w="0"/>
            </w:tcMar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2B6CD4"/>
                <w:sz w:val="30"/>
              </w:rPr>
              <w:t xml:space="preserve">06   </w:t>
            </w:r>
            <w:r>
              <w:rPr>
                <w:rFonts w:ascii="Arial" w:hAnsi="Arial"/>
                <w:b/>
                <w:color w:val="14213D"/>
                <w:sz w:val="21"/>
              </w:rPr>
              <w:t>Governance and liquidity</w:t>
            </w:r>
          </w:p>
          <w:p>
            <w:pPr>
              <w:spacing w:before="0" w:after="160" w:line="276" w:lineRule="auto"/>
              <w:pBdr>
                <w:bottom w:val="single" w:sz="4" w:space="8" w:color="D5D9E0"/>
              </w:pBdr>
            </w:pPr>
            <w:r>
              <w:rPr>
                <w:rFonts w:ascii="Arial" w:hAnsi="Arial"/>
                <w:color w:val="333B4A"/>
                <w:sz w:val="16"/>
              </w:rPr>
              <w:t>Treasury retention allowed (Aug-26); untested interplay of the Commercial Act with public-institution rules; ~KRW4.8bn a day traded</w:t>
            </w:r>
          </w:p>
        </w:tc>
      </w:tr>
    </w:tbl>
    <w:p>
      <w:pPr>
        <w:sectPr>
          <w:footerReference w:type="default" r:id="rId33"/>
          <w:pgSz w:w="15840" w:h="12240" w:orient="landscape"/>
          <w:pgMar w:top="640" w:right="792" w:bottom="560" w:left="792" w:header="300" w:footer="300" w:gutter="0"/>
          <w:cols w:space="720"/>
          <w:docGrid w:linePitch="360"/>
        </w:sectPr>
      </w:pPr>
    </w:p>
    <w:p>
      <w:pPr>
        <w:spacing w:after="0" w:line="20" w:lineRule="exact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058400" cy="7772400"/>
            <wp:effectExtent l="0" t="0" r="0" b="0"/>
            <wp:wrapNone/>
            <wp:docPr id="1415" name="bg"/>
            <wp:cNvGraphicFramePr/>
            <a:graphic>
              <a:graphicData uri="http://schemas.openxmlformats.org/drawingml/2006/picture">
                <pic:pic>
                  <pic:nvPicPr>
                    <pic:cNvPr id="0" name="navy_b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0" cy="7772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520" w:after="200"/>
      </w:pPr>
      <w:r>
        <w:rPr>
          <w:rFonts w:ascii="Arial" w:hAnsi="Arial"/>
          <w:b/>
          <w:color w:val="8DB4F0"/>
          <w:sz w:val="18"/>
        </w:rPr>
        <w:t>INVESTMENT COMMITTEE DECISION</w:t>
      </w:r>
    </w:p>
    <w:p>
      <w:pPr>
        <w:spacing w:before="0" w:after="320"/>
      </w:pPr>
      <w:r>
        <w:rPr>
          <w:rFonts w:ascii="Arial" w:hAnsi="Arial"/>
          <w:b/>
          <w:color w:val="FFFFFF"/>
          <w:sz w:val="56"/>
        </w:rPr>
        <w:t>Recommendation: BUY (value / event-driven)</w:t>
      </w: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  <w:tblW w:type="dxa" w:w="14256"/>
        <w:tblCellMar>
          <w:left w:type="dxa" w:w="0"/>
          <w:right w:type="dxa" w:w="0"/>
        </w:tblCellMar>
      </w:tblPr>
      <w:tblGrid>
        <w:gridCol w:w="2900"/>
        <w:gridCol w:w="3600"/>
        <w:gridCol w:w="3600"/>
        <w:gridCol w:w="4156"/>
      </w:tblGrid>
      <w:tr>
        <w:tc>
          <w:tcPr>
            <w:tcW w:type="dxa" w:w="29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8DB4F0"/>
                <w:sz w:val="42"/>
              </w:rPr>
              <w:t>KRW17,000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C5CDDB"/>
                <w:sz w:val="15"/>
              </w:rPr>
              <w:t>12-mo target (+20%)</w:t>
            </w:r>
          </w:p>
        </w:tc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FFFFFF"/>
                <w:sz w:val="42"/>
              </w:rPr>
              <w:t>~0.9x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C5CDDB"/>
                <w:sz w:val="15"/>
              </w:rPr>
              <w:t>EBITDA paid for the casino after a cash reserve</w:t>
            </w:r>
          </w:p>
        </w:tc>
        <w:tc>
          <w:tcPr>
            <w:tcW w:type="dxa" w:w="360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FFFFFF"/>
                <w:sz w:val="42"/>
              </w:rPr>
              <w:t>104%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C5CDDB"/>
                <w:sz w:val="15"/>
              </w:rPr>
              <w:t>Net financial assets per share vs price [e]</w:t>
            </w:r>
          </w:p>
        </w:tc>
        <w:tc>
          <w:tcPr>
            <w:tcW w:type="dxa" w:w="415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80"/>
            </w:pPr>
            <w:r>
              <w:rPr>
                <w:rFonts w:ascii="Arial" w:hAnsi="Arial"/>
                <w:b/>
                <w:color w:val="FFFFFF"/>
                <w:sz w:val="42"/>
              </w:rPr>
              <w:t>KRW17,300</w:t>
            </w:r>
          </w:p>
          <w:p>
            <w:pPr>
              <w:spacing w:before="0" w:after="0"/>
            </w:pPr>
            <w:r>
              <w:rPr>
                <w:rFonts w:ascii="Arial" w:hAnsi="Arial"/>
                <w:color w:val="C5CDDB"/>
                <w:sz w:val="15"/>
              </w:rPr>
              <w:t>Probability-weighted (bear KRW10,400)</w:t>
            </w:r>
          </w:p>
        </w:tc>
      </w:tr>
    </w:tbl>
    <w:p>
      <w:pPr>
        <w:spacing w:before="0" w:after="320"/>
      </w:pPr>
    </w:p>
    <w:tbl>
      <w:tblPr>
        <w:tblW w:type="auto" w:w="0"/>
        <w:jc w:val="left"/>
        <w:tblLook w:firstColumn="1" w:firstRow="1" w:lastColumn="0" w:lastRow="0" w:noHBand="0" w:noVBand="1" w:val="04A0"/>
        <w:tblLayout w:type="fixed"/>
        <w:tblW w:type="dxa" w:w="14256"/>
        <w:tblCellMar>
          <w:left w:type="dxa" w:w="0"/>
          <w:right w:type="dxa" w:w="0"/>
        </w:tblCellMar>
      </w:tblPr>
      <w:tblGrid>
        <w:gridCol w:w="8193"/>
        <w:gridCol w:w="600"/>
        <w:gridCol w:w="5463"/>
      </w:tblGrid>
      <w:tr>
        <w:tc>
          <w:tcPr>
            <w:tcW w:type="dxa" w:w="8193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70" w:line="269" w:lineRule="auto"/>
              <w:ind w:left="220" w:hanging="220"/>
            </w:pPr>
            <w:r>
              <w:rPr>
                <w:color w:val="8DB4F0"/>
                <w:sz w:val="11"/>
              </w:rPr>
              <w:t xml:space="preserve">■  </w:t>
            </w:r>
            <w:r>
              <w:rPr>
                <w:rFonts w:ascii="Arial" w:hAnsi="Arial"/>
                <w:color w:val="E8ECF4"/>
                <w:sz w:val="17"/>
              </w:rPr>
              <w:t>Korea's only casino open to Koreans (licence to 2045) at a negative enterprise value: net financial assets of ~KRW2.93tn [e] exceed the KRW2.81tn market cap</w:t>
            </w:r>
          </w:p>
          <w:p>
            <w:pPr>
              <w:spacing w:before="0" w:after="70" w:line="269" w:lineRule="auto"/>
              <w:ind w:left="220" w:hanging="220"/>
            </w:pPr>
            <w:r>
              <w:rPr>
                <w:color w:val="8DB4F0"/>
                <w:sz w:val="11"/>
              </w:rPr>
              <w:t xml:space="preserve">■  </w:t>
            </w:r>
            <w:r>
              <w:rPr>
                <w:rFonts w:ascii="Arial" w:hAnsi="Arial"/>
                <w:color w:val="E8ECF4"/>
                <w:sz w:val="17"/>
              </w:rPr>
              <w:t>The controller (KOMIR, −KRW3.16tn equity) needs dividends; public bodies receive ~55% of payouts; Value-Up total return ≥60% met two years running</w:t>
            </w:r>
          </w:p>
          <w:p>
            <w:pPr>
              <w:spacing w:before="0" w:after="70" w:line="269" w:lineRule="auto"/>
              <w:ind w:left="220" w:hanging="220"/>
            </w:pPr>
            <w:r>
              <w:rPr>
                <w:color w:val="8DB4F0"/>
                <w:sz w:val="11"/>
              </w:rPr>
              <w:t xml:space="preserve">■  </w:t>
            </w:r>
            <w:r>
              <w:rPr>
                <w:rFonts w:ascii="Arial" w:hAnsi="Arial"/>
                <w:color w:val="E8ECF4"/>
                <w:sz w:val="17"/>
              </w:rPr>
              <w:t>New minority levers from the 2025-26 Commercial Act (cumulative voting, 3% audit cap, treasury cancellation) meet Value-Up 2.0 (Feb-27) and the Mar-27 AGM</w:t>
            </w:r>
          </w:p>
          <w:p>
            <w:pPr>
              <w:spacing w:before="0" w:after="70" w:line="269" w:lineRule="auto"/>
              <w:ind w:left="220" w:hanging="220"/>
            </w:pPr>
            <w:r>
              <w:rPr>
                <w:color w:val="8DB4F0"/>
                <w:sz w:val="11"/>
              </w:rPr>
              <w:t xml:space="preserve">■  </w:t>
            </w:r>
            <w:r>
              <w:rPr>
                <w:rFonts w:ascii="Arial" w:hAnsi="Arial"/>
                <w:color w:val="E8ECF4"/>
                <w:sz w:val="17"/>
              </w:rPr>
              <w:t>Main risks: the AML rule, K-HIT capex, levies and a political CEO. Hence medium conviction, SOTP charges for K-HIT and hard triggers</w:t>
            </w:r>
          </w:p>
        </w:tc>
        <w:tc>
          <w:tcPr>
            <w:tcW w:type="dxa" w:w="600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5463"/>
            <w:tcBorders>
              <w:top w:val="nil"/>
              <w:left w:val="nil"/>
              <w:bottom w:val="nil"/>
              <w:right w:val="nil"/>
            </w:tcBorders>
          </w:tcPr>
          <w:p/>
          <w:tbl>
            <w:tblPr>
              <w:tblW w:type="auto" w:w="0"/>
              <w:jc w:val="left"/>
              <w:tblLook w:firstColumn="1" w:firstRow="1" w:lastColumn="0" w:lastRow="0" w:noHBand="0" w:noVBand="1" w:val="04A0"/>
              <w:tblLayout w:type="fixed"/>
              <w:tblW w:type="dxa" w:w="5463"/>
              <w:tblCellMar>
                <w:left w:type="dxa" w:w="0"/>
                <w:right w:type="dxa" w:w="0"/>
              </w:tblCellMar>
            </w:tblPr>
            <w:tblGrid>
              <w:gridCol w:w="5463"/>
            </w:tblGrid>
            <w:tr>
              <w:tc>
                <w:tcPr>
                  <w:tcW w:type="dxa" w:w="5463"/>
                  <w:tcBorders>
                    <w:top w:val="nil"/>
                    <w:left w:val="nil"/>
                    <w:bottom w:val="nil"/>
                    <w:right w:val="nil"/>
                  </w:tcBorders>
                  <w:shd w:fill="233456" w:color="auto" w:val="clear"/>
                  <w:tcMar>
                    <w:top w:type="dxa" w:w="220"/>
                    <w:left w:type="dxa" w:w="280"/>
                    <w:bottom w:type="dxa" w:w="220"/>
                    <w:right w:type="dxa" w:w="280"/>
                  </w:tcMar>
                </w:tcPr>
                <w:p>
                  <w:pPr>
                    <w:spacing w:before="0" w:after="200"/>
                  </w:pPr>
                  <w:r>
                    <w:rPr>
                      <w:rFonts w:ascii="Arial" w:hAnsi="Arial"/>
                      <w:b/>
                      <w:color w:val="FFFFFF"/>
                      <w:sz w:val="21"/>
                    </w:rPr>
                    <w:t>Sizing and monitoring</w:t>
                  </w:r>
                </w:p>
                <w:p>
                  <w:pPr>
                    <w:spacing w:before="0" w:after="160" w:line="312" w:lineRule="auto"/>
                  </w:pPr>
                  <w:r>
                    <w:rPr>
                      <w:rFonts w:ascii="Arial" w:hAnsi="Arial"/>
                      <w:color w:val="D5DBE7"/>
                      <w:sz w:val="15"/>
                    </w:rPr>
                    <w:t>Value / event-driven, medium conviction. Build a full position over 4-6 weeks; add on 3Q26, levy carve-out confirmation, FY26 DPS ≥KRW850 or a treasury-cancellation resolution. Consider joining a quiet coalition (NPS, domestic value funds) ahead of Value-Up 2.0 and the Mar-27 AGM.</w:t>
                  </w:r>
                </w:p>
                <w:p>
                  <w:pPr>
                    <w:spacing w:before="0" w:after="160" w:line="312" w:lineRule="auto"/>
                  </w:pPr>
                  <w:r>
                    <w:rPr>
                      <w:rFonts w:ascii="Arial" w:hAnsi="Arial"/>
                      <w:color w:val="D5DBE7"/>
                      <w:sz w:val="15"/>
                    </w:rPr>
                    <w:t>Hard review triggers: AML rule enacted unmodified; a legislated Korean-access casino; FY26 DPS below KRW700 or payout below 50%; K-HIT exempted with no IRR disclosure; treasury shares sold to a related party.</w:t>
                  </w:r>
                </w:p>
                <w:p>
                  <w:pPr>
                    <w:spacing w:before="0" w:after="160" w:line="312" w:lineRule="auto"/>
                  </w:pPr>
                  <w:r>
                    <w:rPr>
                      <w:rFonts w:ascii="Arial" w:hAnsi="Arial"/>
                      <w:color w:val="D5DBE7"/>
                      <w:sz w:val="15"/>
                    </w:rPr>
                    <w:t>Track: 3Q26 (late Oct-early Nov), levy decree and FIU decision (Nov-Dec), K-HIT committee (Dec), Value-Up 2.0 and DPS (Feb-27), AGM (Mar-27).</w:t>
                  </w:r>
                </w:p>
              </w:tc>
            </w:tr>
          </w:tbl>
          <w:p/>
        </w:tc>
      </w:tr>
    </w:tbl>
    <w:p>
      <w:pPr>
        <w:spacing w:before="0" w:after="40"/>
      </w:pPr>
    </w:p>
    <w:sectPr w:rsidR="00FC693F" w:rsidRPr="0006063C" w:rsidSect="00034616">
      <w:footerReference w:type="default" r:id="rId34"/>
      <w:pgSz w:w="15840" w:h="12240" w:orient="landscape"/>
      <w:pgMar w:top="640" w:right="792" w:bottom="560" w:left="792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680" w:val="clear"/>
        <w:tab w:pos="9360" w:val="clear"/>
        <w:tab w:pos="14256" w:val="right"/>
      </w:tabs>
    </w:pPr>
    <w:r>
      <w:rPr>
        <w:rFonts w:ascii="Arial" w:hAnsi="Arial"/>
        <w:color w:val="AEB7C7"/>
        <w:sz w:val="14"/>
      </w:rPr>
      <w:t>Prepared for Investment Committee review | 25 October 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680" w:val="clear"/>
        <w:tab w:pos="9360" w:val="clear"/>
        <w:tab w:pos="14256" w:val="right"/>
      </w:tabs>
    </w:pPr>
    <w:r>
      <w:rPr>
        <w:rFonts w:ascii="Arial" w:hAnsi="Arial"/>
        <w:color w:val="6B7280"/>
        <w:sz w:val="14"/>
      </w:rPr>
      <w:t>Kangwon Land Inc. | KRX: 035250 | Reference price KRW14,180 (23-Oct-2026 close) | [u] = unverified, [e] = estimate</w:t>
    </w:r>
    <w:r>
      <w:rPr>
        <w:sz w:val="14"/>
      </w:rPr>
      <w:tab/>
    </w:r>
    <w:fldSimple w:instr="PAGE">
      <w:r>
        <w:rPr>
          <w:sz w:val="14"/>
          <w:color w:val="6B7280"/>
        </w:rPr>
        <w:t>1</w:t>
      </w:r>
    </w:fldSimple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680" w:val="clear"/>
        <w:tab w:pos="9360" w:val="clear"/>
        <w:tab w:pos="14256" w:val="right"/>
      </w:tabs>
    </w:pPr>
    <w:r>
      <w:rPr>
        <w:rFonts w:ascii="Arial" w:hAnsi="Arial"/>
        <w:color w:val="6B7280"/>
        <w:sz w:val="14"/>
      </w:rPr>
      <w:t>Kangwon Land Inc. | KRX: 035250 | Reference price KRW14,180 (23-Oct-2026 close) | [u] = unverified, [e] = estimate</w:t>
    </w:r>
    <w:r>
      <w:rPr>
        <w:sz w:val="14"/>
      </w:rPr>
      <w:tab/>
    </w:r>
    <w:fldSimple w:instr="PAGE">
      <w:r>
        <w:rPr>
          <w:sz w:val="14"/>
          <w:color w:val="6B7280"/>
        </w:rPr>
        <w:t>1</w:t>
      </w:r>
    </w:fldSimple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680" w:val="clear"/>
        <w:tab w:pos="9360" w:val="clear"/>
        <w:tab w:pos="14256" w:val="right"/>
      </w:tabs>
    </w:pPr>
    <w:r>
      <w:rPr>
        <w:rFonts w:ascii="Arial" w:hAnsi="Arial"/>
        <w:color w:val="6B7280"/>
        <w:sz w:val="14"/>
      </w:rPr>
      <w:t>Kangwon Land Inc. | KRX: 035250 | Reference price KRW14,180 (23-Oct-2026 close) | [u] = unverified, [e] = estimate</w:t>
    </w:r>
    <w:r>
      <w:rPr>
        <w:sz w:val="14"/>
      </w:rPr>
      <w:tab/>
    </w:r>
    <w:fldSimple w:instr="PAGE">
      <w:r>
        <w:rPr>
          <w:sz w:val="14"/>
          <w:color w:val="6B7280"/>
        </w:rPr>
        <w:t>1</w:t>
      </w:r>
    </w:fldSimple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680" w:val="clear"/>
        <w:tab w:pos="9360" w:val="clear"/>
        <w:tab w:pos="14256" w:val="right"/>
      </w:tabs>
    </w:pPr>
    <w:r>
      <w:rPr>
        <w:rFonts w:ascii="Arial" w:hAnsi="Arial"/>
        <w:color w:val="6B7280"/>
        <w:sz w:val="14"/>
      </w:rPr>
      <w:t>Kangwon Land Inc. | KRX: 035250 | Reference price KRW14,180 (23-Oct-2026 close) | [u] = unverified, [e] = estimate</w:t>
    </w:r>
    <w:r>
      <w:rPr>
        <w:sz w:val="14"/>
      </w:rPr>
      <w:tab/>
    </w:r>
    <w:fldSimple w:instr="PAGE">
      <w:r>
        <w:rPr>
          <w:sz w:val="14"/>
          <w:color w:val="6B7280"/>
        </w:rPr>
        <w:t>1</w:t>
      </w:r>
    </w:fldSimple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680" w:val="clear"/>
        <w:tab w:pos="9360" w:val="clear"/>
        <w:tab w:pos="14256" w:val="right"/>
      </w:tabs>
    </w:pPr>
    <w:r>
      <w:rPr>
        <w:rFonts w:ascii="Arial" w:hAnsi="Arial"/>
        <w:color w:val="6B7280"/>
        <w:sz w:val="14"/>
      </w:rPr>
      <w:t>Kangwon Land Inc. | KRX: 035250 | Reference price KRW14,180 (23-Oct-2026 close) | [u] = unverified, [e] = estimate</w:t>
    </w:r>
    <w:r>
      <w:rPr>
        <w:sz w:val="14"/>
      </w:rPr>
      <w:tab/>
    </w:r>
    <w:fldSimple w:instr="PAGE">
      <w:r>
        <w:rPr>
          <w:sz w:val="14"/>
          <w:color w:val="6B7280"/>
        </w:rPr>
        <w:t>1</w:t>
      </w:r>
    </w:fldSimple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680" w:val="clear"/>
        <w:tab w:pos="9360" w:val="clear"/>
        <w:tab w:pos="14256" w:val="right"/>
      </w:tabs>
    </w:pPr>
    <w:r>
      <w:rPr>
        <w:rFonts w:ascii="Arial" w:hAnsi="Arial"/>
        <w:color w:val="6B7280"/>
        <w:sz w:val="14"/>
      </w:rPr>
      <w:t>Kangwon Land Inc. | KRX: 035250 | Reference price KRW14,180 (23-Oct-2026 close) | [u] = unverified, [e] = estimate</w:t>
    </w:r>
    <w:r>
      <w:rPr>
        <w:sz w:val="14"/>
      </w:rPr>
      <w:tab/>
    </w:r>
    <w:fldSimple w:instr="PAGE">
      <w:r>
        <w:rPr>
          <w:sz w:val="14"/>
          <w:color w:val="6B7280"/>
        </w:rPr>
        <w:t>1</w:t>
      </w:r>
    </w:fldSimple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680" w:val="clear"/>
        <w:tab w:pos="9360" w:val="clear"/>
        <w:tab w:pos="14256" w:val="right"/>
      </w:tabs>
    </w:pPr>
    <w:r>
      <w:rPr>
        <w:rFonts w:ascii="Arial" w:hAnsi="Arial"/>
        <w:color w:val="6B7280"/>
        <w:sz w:val="14"/>
      </w:rPr>
      <w:t>Kangwon Land Inc. | KRX: 035250 | Reference price KRW14,180 (23-Oct-2026 close) | [u] = unverified, [e] = estimate</w:t>
    </w:r>
    <w:r>
      <w:rPr>
        <w:sz w:val="14"/>
      </w:rPr>
      <w:tab/>
    </w:r>
    <w:fldSimple w:instr="PAGE">
      <w:r>
        <w:rPr>
          <w:sz w:val="14"/>
          <w:color w:val="6B7280"/>
        </w:rPr>
        <w:t>1</w:t>
      </w:r>
    </w:fldSimple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680" w:val="clear"/>
        <w:tab w:pos="9360" w:val="clear"/>
        <w:tab w:pos="14256" w:val="right"/>
      </w:tabs>
    </w:pPr>
    <w:r>
      <w:rPr>
        <w:rFonts w:ascii="Arial" w:hAnsi="Arial"/>
        <w:color w:val="6B7280"/>
        <w:sz w:val="14"/>
      </w:rPr>
      <w:t>Kangwon Land Inc. | KRX: 035250 | Reference price KRW14,180 (23-Oct-2026 close) | [u] = unverified, [e] = estimate</w:t>
    </w:r>
    <w:r>
      <w:rPr>
        <w:sz w:val="14"/>
      </w:rPr>
      <w:tab/>
    </w:r>
    <w:fldSimple w:instr="PAGE">
      <w:r>
        <w:rPr>
          <w:sz w:val="14"/>
          <w:color w:val="6B7280"/>
        </w:rPr>
        <w:t>1</w:t>
      </w:r>
    </w:fldSimple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680" w:val="clear"/>
        <w:tab w:pos="9360" w:val="clear"/>
        <w:tab w:pos="14256" w:val="right"/>
      </w:tabs>
    </w:pPr>
    <w:r>
      <w:rPr>
        <w:rFonts w:ascii="Arial" w:hAnsi="Arial"/>
        <w:color w:val="6B7280"/>
        <w:sz w:val="14"/>
      </w:rPr>
      <w:t>Kangwon Land Inc. | KRX: 035250 | Reference price KRW14,180 (23-Oct-2026 close) | [u] = unverified, [e] = estimate</w:t>
    </w:r>
    <w:r>
      <w:rPr>
        <w:sz w:val="14"/>
      </w:rPr>
      <w:tab/>
    </w:r>
    <w:fldSimple w:instr="PAGE">
      <w:r>
        <w:rPr>
          <w:sz w:val="14"/>
          <w:color w:val="6B7280"/>
        </w:rPr>
        <w:t>1</w:t>
      </w:r>
    </w:fldSimple>
  </w:p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680" w:val="clear"/>
        <w:tab w:pos="9360" w:val="clear"/>
        <w:tab w:pos="14256" w:val="right"/>
      </w:tabs>
    </w:pPr>
    <w:r>
      <w:rPr>
        <w:rFonts w:ascii="Arial" w:hAnsi="Arial"/>
        <w:color w:val="6B7280"/>
        <w:sz w:val="14"/>
      </w:rPr>
      <w:t>Kangwon Land Inc. | KRX: 035250 | Reference price KRW14,180 (23-Oct-2026 close) | [u] = unverified, [e] = estimate</w:t>
    </w:r>
    <w:r>
      <w:rPr>
        <w:sz w:val="14"/>
      </w:rPr>
      <w:tab/>
    </w:r>
    <w:fldSimple w:instr="PAGE">
      <w:r>
        <w:rPr>
          <w:sz w:val="14"/>
          <w:color w:val="6B7280"/>
        </w:rPr>
        <w:t>1</w:t>
      </w:r>
    </w:fldSimple>
  </w:p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680" w:val="clear"/>
        <w:tab w:pos="9360" w:val="clear"/>
        <w:tab w:pos="14256" w:val="right"/>
      </w:tabs>
    </w:pPr>
    <w:r>
      <w:rPr>
        <w:rFonts w:ascii="Arial" w:hAnsi="Arial"/>
        <w:color w:val="6B7280"/>
        <w:sz w:val="14"/>
      </w:rPr>
      <w:t>Kangwon Land Inc. | KRX: 035250 | Reference price KRW14,180 (23-Oct-2026 close) | [u] = unverified, [e] = estimate</w:t>
    </w:r>
    <w:r>
      <w:rPr>
        <w:sz w:val="14"/>
      </w:rPr>
      <w:tab/>
    </w:r>
    <w:fldSimple w:instr="PAGE">
      <w:r>
        <w:rPr>
          <w:sz w:val="14"/>
          <w:color w:val="6B7280"/>
        </w:rPr>
        <w:t>1</w:t>
      </w:r>
    </w:fldSimple>
  </w:p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680" w:val="clear"/>
        <w:tab w:pos="9360" w:val="clear"/>
        <w:tab w:pos="14256" w:val="right"/>
      </w:tabs>
    </w:pPr>
    <w:r>
      <w:rPr>
        <w:rFonts w:ascii="Arial" w:hAnsi="Arial"/>
        <w:color w:val="6B7280"/>
        <w:sz w:val="14"/>
      </w:rPr>
      <w:t>Kangwon Land Inc. | KRX: 035250 | Reference price KRW14,180 (23-Oct-2026 close) | [u] = unverified, [e] = estimate</w:t>
    </w:r>
    <w:r>
      <w:rPr>
        <w:sz w:val="14"/>
      </w:rPr>
      <w:tab/>
    </w:r>
    <w:fldSimple w:instr="PAGE">
      <w:r>
        <w:rPr>
          <w:sz w:val="14"/>
          <w:color w:val="6B7280"/>
        </w:rPr>
        <w:t>1</w:t>
      </w:r>
    </w:fldSimple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680" w:val="clear"/>
        <w:tab w:pos="9360" w:val="clear"/>
        <w:tab w:pos="14256" w:val="right"/>
      </w:tabs>
    </w:pPr>
    <w:r>
      <w:rPr>
        <w:rFonts w:ascii="Arial" w:hAnsi="Arial"/>
        <w:color w:val="6B7280"/>
        <w:sz w:val="14"/>
      </w:rPr>
      <w:t>Kangwon Land Inc. | KRX: 035250 | Reference price KRW14,180 (23-Oct-2026 close) | [u] = unverified, [e] = estimate</w:t>
    </w:r>
    <w:r>
      <w:rPr>
        <w:sz w:val="14"/>
      </w:rPr>
      <w:tab/>
    </w:r>
    <w:fldSimple w:instr="PAGE">
      <w:r>
        <w:rPr>
          <w:sz w:val="14"/>
          <w:color w:val="6B7280"/>
        </w:rPr>
        <w:t>1</w:t>
      </w:r>
    </w:fldSimple>
  </w:p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680" w:val="clear"/>
        <w:tab w:pos="9360" w:val="clear"/>
        <w:tab w:pos="14256" w:val="right"/>
      </w:tabs>
    </w:pPr>
    <w:r>
      <w:rPr>
        <w:rFonts w:ascii="Arial" w:hAnsi="Arial"/>
        <w:color w:val="6B7280"/>
        <w:sz w:val="14"/>
      </w:rPr>
      <w:t>Kangwon Land Inc. | KRX: 035250 | Reference price KRW14,180 (23-Oct-2026 close) | [u] = unverified, [e] = estimate</w:t>
    </w:r>
    <w:r>
      <w:rPr>
        <w:sz w:val="14"/>
      </w:rPr>
      <w:tab/>
    </w:r>
    <w:fldSimple w:instr="PAGE">
      <w:r>
        <w:rPr>
          <w:sz w:val="14"/>
          <w:color w:val="6B7280"/>
        </w:rPr>
        <w:t>1</w:t>
      </w:r>
    </w:fldSimple>
  </w:p>
</w:ftr>
</file>

<file path=word/footer1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680" w:val="clear"/>
        <w:tab w:pos="9360" w:val="clear"/>
        <w:tab w:pos="14256" w:val="right"/>
      </w:tabs>
    </w:pPr>
    <w:r>
      <w:rPr>
        <w:rFonts w:ascii="Arial" w:hAnsi="Arial"/>
        <w:color w:val="6B7280"/>
        <w:sz w:val="14"/>
      </w:rPr>
      <w:t>Kangwon Land Inc. | KRX: 035250 | Reference price KRW14,180 (23-Oct-2026 close) | [u] = unverified, [e] = estimate</w:t>
    </w:r>
    <w:r>
      <w:rPr>
        <w:sz w:val="14"/>
      </w:rPr>
      <w:tab/>
    </w:r>
    <w:fldSimple w:instr="PAGE">
      <w:r>
        <w:rPr>
          <w:sz w:val="14"/>
          <w:color w:val="6B7280"/>
        </w:rPr>
        <w:t>1</w:t>
      </w:r>
    </w:fldSimple>
  </w:p>
</w:ftr>
</file>

<file path=word/footer1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680" w:val="clear"/>
        <w:tab w:pos="9360" w:val="clear"/>
        <w:tab w:pos="14256" w:val="right"/>
      </w:tabs>
    </w:pPr>
    <w:r>
      <w:rPr>
        <w:rFonts w:ascii="Arial" w:hAnsi="Arial"/>
        <w:color w:val="6B7280"/>
        <w:sz w:val="14"/>
      </w:rPr>
      <w:t>Kangwon Land Inc. | KRX: 035250 | Reference price KRW14,180 (23-Oct-2026 close) | [u] = unverified, [e] = estimate</w:t>
    </w:r>
    <w:r>
      <w:rPr>
        <w:sz w:val="14"/>
      </w:rPr>
      <w:tab/>
    </w:r>
    <w:fldSimple w:instr="PAGE">
      <w:r>
        <w:rPr>
          <w:sz w:val="14"/>
          <w:color w:val="6B7280"/>
        </w:rPr>
        <w:t>1</w:t>
      </w:r>
    </w:fldSimple>
  </w:p>
</w:ftr>
</file>

<file path=word/footer1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680" w:val="clear"/>
        <w:tab w:pos="9360" w:val="clear"/>
        <w:tab w:pos="14256" w:val="right"/>
      </w:tabs>
    </w:pPr>
    <w:r>
      <w:rPr>
        <w:rFonts w:ascii="Arial" w:hAnsi="Arial"/>
        <w:color w:val="AEB7C7"/>
        <w:sz w:val="14"/>
      </w:rPr>
      <w:t>Kangwon Land Inc. | KRX: 035250 | Reference price KRW14,180 (23-Oct-2026 close) | 25 October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 w:eastAsia="Arial"/>
      <w:sz w:val="1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footer" Target="footer4.xml"/><Relationship Id="rId14" Type="http://schemas.openxmlformats.org/officeDocument/2006/relationships/image" Target="media/image2.png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footer" Target="footer8.xml"/><Relationship Id="rId21" Type="http://schemas.openxmlformats.org/officeDocument/2006/relationships/image" Target="media/image5.png"/><Relationship Id="rId22" Type="http://schemas.openxmlformats.org/officeDocument/2006/relationships/footer" Target="footer9.xml"/><Relationship Id="rId23" Type="http://schemas.openxmlformats.org/officeDocument/2006/relationships/footer" Target="footer10.xml"/><Relationship Id="rId24" Type="http://schemas.openxmlformats.org/officeDocument/2006/relationships/image" Target="media/image6.png"/><Relationship Id="rId25" Type="http://schemas.openxmlformats.org/officeDocument/2006/relationships/footer" Target="footer11.xml"/><Relationship Id="rId26" Type="http://schemas.openxmlformats.org/officeDocument/2006/relationships/image" Target="media/image7.png"/><Relationship Id="rId27" Type="http://schemas.openxmlformats.org/officeDocument/2006/relationships/footer" Target="footer12.xml"/><Relationship Id="rId28" Type="http://schemas.openxmlformats.org/officeDocument/2006/relationships/footer" Target="footer13.xml"/><Relationship Id="rId29" Type="http://schemas.openxmlformats.org/officeDocument/2006/relationships/footer" Target="footer14.xml"/><Relationship Id="rId30" Type="http://schemas.openxmlformats.org/officeDocument/2006/relationships/footer" Target="footer15.xml"/><Relationship Id="rId31" Type="http://schemas.openxmlformats.org/officeDocument/2006/relationships/image" Target="media/image8.png"/><Relationship Id="rId32" Type="http://schemas.openxmlformats.org/officeDocument/2006/relationships/footer" Target="footer16.xml"/><Relationship Id="rId33" Type="http://schemas.openxmlformats.org/officeDocument/2006/relationships/footer" Target="footer17.xml"/><Relationship Id="rId34" Type="http://schemas.openxmlformats.org/officeDocument/2006/relationships/footer" Target="footer18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Kangwon Land Inc. (035250 KS) - Investment Committee Memo</dc:title>
  <dc:subject/>
  <dc:creator>Equity Research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