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f3a5f"/>
          <w:sz w:val="34"/>
          <w:szCs w:val="34"/>
        </w:rPr>
        <w:t xml:space="preserve">EUSU Holdings Co., Ltd. — Equity Research Note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Ticker: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000700 KS (KOSPI) ·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ISIN: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KR7000700005 ·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Sector: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Holding co. / logistics &amp; maritime software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Date: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3 August 2026 ·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Stance: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Neutral — special situation; event-contingent ·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Prepared by: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Adversarial deep-dive desk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1. Recommendation &amp; summary</w:t>
      </w: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Eusu Holdings is a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pure holding company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(former Hanjin Shipping Holdings) trading at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~0.41× book and ~13.5× depressed earnings with a ~5.9% yield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This is not a high-multiple growth name whose rating can compress — the discount is already extreme. The investable question is binary: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deep-value re-rating vs. permanent value trap.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Group NAV is credibly above the market price (crown-jewel software subsidiary CyberLogitec + Post Tower real estate + parent net cash), but realization is gated by a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~47%-controlling family whose chair holds a confirmed insider-trading conviction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by an unlisted, opaque crown jewel. We are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Neutral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constructive only as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yield plus optionality on a catalyst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(CyberLogitec IPO or a binding capital-return / independent-board commitment); absent that, the base case is dead money at a persistent discount.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Key figures (aggregator-sourced / derived — reconcile vs. DART before use):</w:t>
      </w:r>
    </w:p>
    <w:p>
      <w:pPr>
        <w:spacing w:after="30" w:before="60"/>
      </w:pPr>
    </w:p>
    <w:tbl>
      <w:tblPr>
        <w:tblW w:type="dxa" w:w="9360"/>
        <w:tblBorders>
          <w:top w:val="single" w:color="c9c9c9" w:sz="2"/>
          <w:left w:val="none"/>
          <w:bottom w:val="single" w:color="c9c9c9" w:sz="2"/>
          <w:right w:val="none"/>
          <w:insideH w:val="single" w:color="c9c9c9" w:sz="1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Metric</w:t>
            </w:r>
          </w:p>
        </w:tc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Market cap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137.5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KRW bn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Aggregator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Revenue, FY24 (consolidated)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435.9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KRW bn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Search-surfaced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P/E (trailing)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13.5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x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Aggregator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P/B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0.41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x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Aggregator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ROE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3.0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%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Aggregator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Dividend yield (FY24)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5.9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%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Aggregator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Attributable equity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335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KRW bn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Derived (mktcap ÷ P/B)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Attributable net income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KRW bn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Derived (mktcap ÷ P/E)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Dividend outlay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KRW bn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Derived (yield × mktcap)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Payout ratio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~80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%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Derived</w:t>
            </w:r>
          </w:p>
        </w:tc>
      </w:tr>
    </w:tbl>
    <w:p>
      <w:pPr>
        <w:spacing w:after="100"/>
      </w:pP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/>
          <w:iCs/>
          <w:color w:val="5a5a5a"/>
          <w:sz w:val="20"/>
          <w:szCs w:val="20"/>
        </w:rPr>
        <w:t xml:space="preserve">Derived trio is internally consistent (10 ÷ 335 ≈ 3.0% ROE; 8 ÷ 10 ≈ 80% payout), corroborating the shape of the business.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Data-integrity note.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Primary access was constrained (Financial-Datasets API US-only + zero balance; KRX/DART/broker PDFs and major aggregators blocked automated retrieval). Figures below are directional (±10–15%), cross-checked for consistency, and must be reconciled against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DART audited consolidated statements, quarterly IR decks, and CyberLogitec standalone accounts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before any capital decision. Per-share figures require a confirmed share count (see §7 note).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2. Business &amp; structure</w:t>
      </w: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Pure holdco; parent-level income = building rents + up-streamed subsidiary dividends. Three assets:</w:t>
      </w:r>
    </w:p>
    <w:p>
      <w:pPr>
        <w:spacing w:after="30" w:before="60"/>
      </w:pPr>
    </w:p>
    <w:tbl>
      <w:tblPr>
        <w:tblW w:type="dxa" w:w="9360"/>
        <w:tblBorders>
          <w:top w:val="single" w:color="c9c9c9" w:sz="2"/>
          <w:left w:val="none"/>
          <w:bottom w:val="single" w:color="c9c9c9" w:sz="2"/>
          <w:right w:val="none"/>
          <w:insideH w:val="single" w:color="c9c9c9" w:sz="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1872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1872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Character</w:t>
            </w:r>
          </w:p>
        </w:tc>
        <w:tc>
          <w:tcPr>
            <w:tcW w:type="dxa" w:w="1872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FY24 op. profit (KRW bn)</w:t>
            </w:r>
          </w:p>
        </w:tc>
        <w:tc>
          <w:tcPr>
            <w:tcW w:type="dxa" w:w="1872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Moat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Comprehensive Logistics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Eusu Logistics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Freight forwarding / 3PL; bulk of group revenue; pass-through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−3.3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IT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CyberLogitec (unlisted)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Maritime/port software — carrier ERP </w:t>
            </w: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ALLEGRO</w:t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, TOS </w:t>
            </w: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OPUS</w:t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; ~90% overseas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+ve (Q1'25 OP ~5.9/qtr)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Narrow, real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Others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Post Tower (Yeouido) etc.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Leasing / rental income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+ve</w:t>
            </w:r>
          </w:p>
        </w:tc>
        <w:tc>
          <w:tcPr>
            <w:tcW w:type="dxa" w:w="187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Asset-backed</w:t>
            </w:r>
          </w:p>
        </w:tc>
      </w:tr>
    </w:tbl>
    <w:p>
      <w:pPr>
        <w:spacing w:after="100"/>
      </w:pP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CyberLogitec: 20.0m shares, unlisted; 8+ automated-terminal (TOS) contracts; three consecutive years of revenue/OP growth; IPO filed Sep-2019,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withdrawn on undervaluation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 periodic re-listing speculation.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3. Investment thesis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Bull (SOTP / re-rating).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Narrow but real moat in CyberLogitec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embedded, high-switching-cost TOS/carrier software, ~90% export revenue, multi-year growth; a software asset trapped inside a shipping-holdco multiple.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Quantifiable asset gap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0.41× book ≈ 59% discount to net assets; a controlling CyberLogitec stake plus Post Tower plus parent cash plausibly covers or exceeds the ₩137.5bn cap, with the loss-making forwarding book effectively free.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Catalysts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CyberLogitec IPO (transparent price on the jewel); Korea Value-up + dividend-tax reform; ~5.9% yield floor (dividend doubled 2021 under activist pressure); secular port digitization/automation demand.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Capital allocation (charitable read)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~80% payout, net-cash balance sheet, no dilutive M&amp;A.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Bear (three permanent-impairment risks).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Governance is the business model.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Chair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Choi Eun-young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+ related parties ~47% (Choi ~18.1%; Yang Hyun Foundation ~9.9–10.5%). Chair holds a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confirmed criminal conviction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for using undisclosed information to sell Hanjin Shipping shares — </w:t>
      </w:r>
      <w:r>
        <w:rPr>
          <w:rFonts w:ascii="Georgia" w:cs="Georgia" w:eastAsia="Georgia" w:hAnsi="Georgia"/>
          <w:b w:val="false"/>
          <w:bCs w:val="false"/>
          <w:i/>
          <w:iCs/>
          <w:color w:val="1a1a1a"/>
          <w:sz w:val="20"/>
          <w:szCs w:val="20"/>
        </w:rPr>
        <w:t xml:space="preserve">with her two daughters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days before the Apr-2016 workout, avoiding ~₩1bn of losses (1.5yr prison, ₩1.2bn fine, ~₩503m disgorgement). The controller of the discount, disclosure timing, and dividend has a court-established record of extracting private value. The discount is an equilibrium, not an anomaly.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Low-quality revenue base.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Largest line (forwarding) ran an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operating loss (−₩3.3bn, FY24)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 "revenue" is largely pass-through freight cost; consolidated ROE ~3%.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Concentration + succession skew.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Value sits in one unlisted subsidiary minorities cannot cleanly value or access, while a second-generation transfer is underway — controlled families are incentivized to keep the </w:t>
      </w:r>
      <w:r>
        <w:rPr>
          <w:rFonts w:ascii="Georgia" w:cs="Georgia" w:eastAsia="Georgia" w:hAnsi="Georgia"/>
          <w:b w:val="false"/>
          <w:bCs w:val="false"/>
          <w:i/>
          <w:iCs/>
          <w:color w:val="1a1a1a"/>
          <w:sz w:val="20"/>
          <w:szCs w:val="20"/>
        </w:rPr>
        <w:t xml:space="preserve">listed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holdco cheap (lower inheritance-tax base) precisely while transferring it. Minority and family interests diverge on the only variable that matters.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4. Pre-mortem (base-rate failure paths)</w:t>
      </w:r>
    </w:p>
    <w:p>
      <w:pPr>
        <w:spacing w:after="30" w:before="60"/>
      </w:pPr>
    </w:p>
    <w:tbl>
      <w:tblPr>
        <w:tblW w:type="dxa" w:w="9360"/>
        <w:tblBorders>
          <w:top w:val="single" w:color="c9c9c9" w:sz="2"/>
          <w:left w:val="none"/>
          <w:bottom w:val="single" w:color="c9c9c9" w:sz="2"/>
          <w:right w:val="none"/>
          <w:insideH w:val="single" w:color="c9c9c9" w:sz="1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2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312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Root cause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Discount never closes; ~6% yield the only return, partly eroded by FX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Structure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CyberLogitec growth stalls / share ceded to Kaleris-Navis; SOTP collapses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Operations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Controller-serving reorganization moves jewel upside to family vehicles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Governance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Logistics downturn deepens forwarding losses → dividend cut → price pillar gone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Cycle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Korea-discount / FX macro leg swamps idiosyncratic re-rate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Macro</w:t>
            </w:r>
          </w:p>
        </w:tc>
      </w:tr>
    </w:tbl>
    <w:p>
      <w:pPr>
        <w:spacing w:after="100"/>
      </w:pP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Four of five paths trace to governance/structure, not operations.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5. Short-seller teardown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Revenue vs. value mismatch: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what is visible (forwarding) is bad; what is good (software) is unlisted, unpriceable to minorities, and family-controlled. Slower CyberLogitec overseas TOS bookings collapse the SOTP while the visible P&amp;L still reads as a loss-making forwarder.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Moat scope: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holdco none; forwarding none (losses prove it); only CyberLogitec — whose stickiness relies on customers </w:t>
      </w:r>
      <w:r>
        <w:rPr>
          <w:rFonts w:ascii="Georgia" w:cs="Georgia" w:eastAsia="Georgia" w:hAnsi="Georgia"/>
          <w:b w:val="false"/>
          <w:bCs w:val="false"/>
          <w:i/>
          <w:iCs/>
          <w:color w:val="1a1a1a"/>
          <w:sz w:val="20"/>
          <w:szCs w:val="20"/>
        </w:rPr>
        <w:t xml:space="preserve">not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re-platforming, exactly during a cloud/automation migration cycle.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Most dangerous competitor (underestimated):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Kaleris (absorbed Navis)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cloud-native port/carrier platforms; consolidation onto global cloud TOS turns CyberLogitec's installed base into a legacy book to be displaced.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Capital-allocation / related-party flags: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convicted-insider-trader controller (and succession); large idle parent cash minorities argue enriches insiders; ~10% parked in the family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Yang Hyun Foundation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 minorities repeatedly forced to file counter-proposals (dividend, independent auditor, pay caps); IPO dangled and withdrawn as controller-timed optionality.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Assumptions to justify the price: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minimal — the price already discounts a permanent discount; the risk is that even floored expectations require the dividend to hold and the assets not to be expropriated, both dependent on the same family.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Growth −20–30%: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with no growth premium in the multiple, a miss threatens the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dividend, not the multiple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 a de-rate to 0.30–0.33× book (−20–27%) is plausible with no change to the asset story — in a value trap, book is a ceiling, not a floor.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Single permanent-impairment scenario: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controller-serving reorganization (CyberLogitec IPO/stake sale or a split structured for insider vehicles; or a low-ball take-private after engineered cheapness) severing minorities from the only asset worth owning.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Plausibility: moderate-to-high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needs no external shock, only the incentives and record already on file.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6. Valuation</w:t>
      </w: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Multiples are not demanding — they are distressed-governance multiples. Correct frame: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NAV × (1 − controlled-holdco discount).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On SOTP, fair value is plausibly above the cap; but the market rationally applies a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~50–60% discount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for governance and non-access, and has done so persistently.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Verdict: cheap on assets, fairly priced on governance-adjusted realizable value.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The security is a ~6% coupon plus an option on the discount closing, with the family controlling the draw.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P/B re-rate sensitivity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(implied equity = P/B × derived book ₩335bn; total return adds ~6% yield p.a.):</w:t>
      </w:r>
    </w:p>
    <w:p>
      <w:pPr>
        <w:spacing w:after="30" w:before="60"/>
      </w:pPr>
    </w:p>
    <w:tbl>
      <w:tblPr>
        <w:tblW w:type="dxa" w:w="9360"/>
        <w:tblBorders>
          <w:top w:val="single" w:color="c9c9c9" w:sz="2"/>
          <w:left w:val="none"/>
          <w:bottom w:val="single" w:color="c9c9c9" w:sz="2"/>
          <w:right w:val="none"/>
          <w:insideH w:val="single" w:color="c9c9c9" w:sz="1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P/B (x)</w:t>
            </w:r>
          </w:p>
        </w:tc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Implied equity (KRW bn)</w:t>
            </w:r>
          </w:p>
        </w:tc>
        <w:tc>
          <w:tcPr>
            <w:tcW w:type="dxa" w:w="234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vs. market cap (%)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Bear — de-rate + dividend cut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0.30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100.5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−27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Base — current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0.41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137.4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Mild re-rate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0.50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167.5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+22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Partial discount close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0.70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234.5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+70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Full close to book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1.00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335.0</w:t>
            </w:r>
          </w:p>
        </w:tc>
        <w:tc>
          <w:tcPr>
            <w:tcW w:type="dxa" w:w="234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+144</w:t>
            </w:r>
          </w:p>
        </w:tc>
      </w:tr>
    </w:tbl>
    <w:p>
      <w:pPr>
        <w:spacing w:after="100"/>
      </w:pP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7. Contrarian view</w:t>
      </w: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Consensus ("cheap, controlled, value trap — collect the dividend or avoid") is probably right. The non-consensus angle: the forces bears cite may be turning </w:t>
      </w:r>
      <w:r>
        <w:rPr>
          <w:rFonts w:ascii="Georgia" w:cs="Georgia" w:eastAsia="Georgia" w:hAnsi="Georgia"/>
          <w:b w:val="false"/>
          <w:bCs w:val="false"/>
          <w:i/>
          <w:iCs/>
          <w:color w:val="1a1a1a"/>
          <w:sz w:val="20"/>
          <w:szCs w:val="20"/>
        </w:rPr>
        <w:t xml:space="preserve">against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the controller.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Value-up + dividend-tax reform change the controller's own math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for a second-gen transition, higher dividends/price can become the cheaper path, flipping the historic incentive to keep the holdco depressed; the market still prices the old incentive.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 CyberLogitec IPO is the family's best succession-funding tool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the event bears fear as expropriation is also the likeliest value-crystallizer, and the controller may need it more than minorities do.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Book is likely understated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Post Tower and a growing unlisted software co are plausibly carried below economic value, so 0.41× P/B </w:t>
      </w:r>
      <w:r>
        <w:rPr>
          <w:rFonts w:ascii="Georgia" w:cs="Georgia" w:eastAsia="Georgia" w:hAnsi="Georgia"/>
          <w:b w:val="false"/>
          <w:bCs w:val="false"/>
          <w:i/>
          <w:iCs/>
          <w:color w:val="1a1a1a"/>
          <w:sz w:val="20"/>
          <w:szCs w:val="20"/>
        </w:rPr>
        <w:t xml:space="preserve">overstates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asset expensiveness; the risk is access, not value.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Contrarian bet, precisely: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value-up-era succession incentives may be aligning the controller with a one-time discount-closing event while the market still prices the pre-reform adversarial equilibrium. If real, you are paid ~6% p.a. to wait for a re-rate the controller finally wants too.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Per-share note.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Aggregate valuation is expressed on a market-cap basis; a confirmed share count is required to convert to per-share. Cross-source data imply ~53m shares (if the chair's 9,676,374 shares ≈ 18.1%), giving an approximate price of ~₩2,600 — </w:t>
      </w: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flagged as derived; confirm via DART before modeling per-share.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8. Thesis triggers &amp; monitorables</w:t>
      </w:r>
    </w:p>
    <w:p>
      <w:pPr>
        <w:spacing w:after="30" w:before="60"/>
      </w:pPr>
    </w:p>
    <w:tbl>
      <w:tblPr>
        <w:tblW w:type="dxa" w:w="9360"/>
        <w:tblBorders>
          <w:top w:val="single" w:color="c9c9c9" w:sz="2"/>
          <w:left w:val="none"/>
          <w:bottom w:val="single" w:color="c9c9c9" w:sz="2"/>
          <w:right w:val="none"/>
          <w:insideH w:val="single" w:color="c9c9c9" w:sz="1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12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120"/>
            <w:shd w:fill="1f3a5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Read-through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Bull trigger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CyberLogitec IPO filing/listing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Transparent jewel price; forces holdco re-rate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Bull trigger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Binding capital-return / independent-board commitment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Governance-discount compression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Bear trigger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Related-party reorganization / split / low-ball tender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Permanent minority impairment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Bear trigger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Dividend cut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Removes price's only pillar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Monitor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CyberLogitec overseas TOS bookings &amp; OP trend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Underwrites entire SOTP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Monitor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Forwarding (Eusu Logistics) margin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Group earnings quality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Monitor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Family / foundation stake changes, succession filings</w:t>
            </w:r>
          </w:p>
        </w:tc>
        <w:tc>
          <w:tcPr>
            <w:tcW w:type="dxa" w:w="31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Alignment signal</w:t>
            </w:r>
          </w:p>
        </w:tc>
      </w:tr>
    </w:tbl>
    <w:p>
      <w:pPr>
        <w:spacing w:after="100"/>
      </w:pP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9. Risks to our Neutral stance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Upside: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near-term CyberLogitec IPO; step-change in capital return; Value-up re-rate of Korean sub-book holdcos.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Downside: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logistics-cycle earnings/dividend cut; CyberLogitec competitive loss; controller-serving reorganization; KOSPI/FX de-rating.</w:t>
      </w:r>
    </w:p>
    <w:p>
      <w:pPr>
        <w:pBdr>
          <w:bottom w:val="single" w:color="c9c9c9" w:sz="6" w:space="1"/>
        </w:pBdr>
        <w:spacing w:after="120" w:before="120"/>
      </w:pPr>
    </w:p>
    <w:p>
      <w:pPr>
        <w:pBdr>
          <w:bottom w:val="single" w:color="1f3a5f" w:sz="8" w:space="3"/>
        </w:pBdr>
        <w:spacing w:after="80" w:before="240"/>
      </w:pPr>
      <w:r>
        <w:rPr>
          <w:rFonts w:ascii="Georgia" w:cs="Georgia" w:eastAsia="Georgia" w:hAnsi="Georgia"/>
          <w:b/>
          <w:bCs/>
          <w:color w:val="1f3a5f"/>
          <w:sz w:val="24"/>
          <w:szCs w:val="24"/>
        </w:rPr>
        <w:t xml:space="preserve">Appendix A — Data tables (CSV; paste directly into Excel)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A1 · Key statistics</w:t>
      </w:r>
    </w:p>
    <w:p>
      <w:pPr>
        <w:spacing w:after="20" w:before="40"/>
      </w:pPr>
    </w:p>
    <w:p>
      <w:pPr>
        <w:pBdr>
          <w:top w:val="single" w:color="c9c9c9" w:sz="4"/>
        </w:pBd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metric,value,unit,basis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Market cap,137.5,KRW bn,aggregator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Revenue FY24 consolidated,435.9,KRW bn,search-surfaced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P/E trailing,13.5,x,aggregator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P/B,0.41,x,aggregator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ROE,3.0,%,aggregator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Dividend yield FY24,5.9,%,aggregator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Attributable equity,335,KRW bn,derived mktcap/PB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Attributable net income,10,KRW bn,derived mktcap/PE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Dividend outlay,8,KRW bn,derived yield*mktcap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Payout ratio,80,%,derived</w:t>
      </w:r>
    </w:p>
    <w:p>
      <w:pPr>
        <w:pBdr>
          <w:top w:val="single" w:color="c9c9c9" w:sz="4"/>
        </w:pBdr>
        <w:spacing w:after="120"/>
      </w:pP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A2 · Segment summary</w:t>
      </w:r>
    </w:p>
    <w:p>
      <w:pPr>
        <w:spacing w:after="20" w:before="40"/>
      </w:pPr>
    </w:p>
    <w:p>
      <w:pPr>
        <w:pBdr>
          <w:top w:val="single" w:color="c9c9c9" w:sz="4"/>
        </w:pBd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segment,entity,fy24_revenue_krw_bn,fy24_op_profit_krw_bn,margin_quality,notes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Comprehensive Logistics,Eusu Logistics,n/d (bulk of group),-3.3,negative,forwarding/3PL pass-through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IT,CyberLogitec (unlisted),n/d,n/d (Q1'25 OP ~5.9/qtr),high/growing,~90% overseas; ALLEGRO/OPUS; 20.0m shares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Others,Post Tower / leasing,n/d,positive,stable,rental income</w:t>
      </w:r>
    </w:p>
    <w:p>
      <w:pPr>
        <w:pBdr>
          <w:top w:val="single" w:color="c9c9c9" w:sz="4"/>
        </w:pBdr>
        <w:spacing w:after="120"/>
      </w:pP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A3 · Ownership</w:t>
      </w:r>
    </w:p>
    <w:p>
      <w:pPr>
        <w:spacing w:after="20" w:before="40"/>
      </w:pPr>
    </w:p>
    <w:p>
      <w:pPr>
        <w:pBdr>
          <w:top w:val="single" w:color="c9c9c9" w:sz="4"/>
        </w:pBd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holder,stake_pct,share_count,basis,note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Choi Eun-young,18.1,9676374,KR press / SimplyWall,chairwoman; share count per SimplyWall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Yang Hyun Foundation,10.2,n/d,KR press / SimplyWall,family foundation (9.9-10.5% range)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Family + related (control bloc),47.0,n/d,KR press,aggregate control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VC/PE firms,15.1,n/d,SimplyWall,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Institutions,7.7,n/d,SimplyWall,</w:t>
      </w:r>
    </w:p>
    <w:p>
      <w:pPr>
        <w:pBdr>
          <w:top w:val="single" w:color="c9c9c9" w:sz="4"/>
        </w:pBdr>
        <w:spacing w:after="120"/>
      </w:pP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/>
          <w:iCs/>
          <w:color w:val="5a5a5a"/>
          <w:sz w:val="20"/>
          <w:szCs w:val="20"/>
        </w:rPr>
        <w:t xml:space="preserve">Source reconciliation: Korean press reports family control ~47% (chair ~18.1%); SimplyWall.st shows insiders 39.4% + foundation 10.5% + VC/PE 15.1%. Ranges reflect the discrepancy; confirm via DART large-holding filings.</w:t>
      </w: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A4 · P/B re-rate sensitivity (implied equity = P/B × 335 KRW bn)</w:t>
      </w:r>
    </w:p>
    <w:p>
      <w:pPr>
        <w:spacing w:after="20" w:before="40"/>
      </w:pPr>
    </w:p>
    <w:p>
      <w:pPr>
        <w:pBdr>
          <w:top w:val="single" w:color="c9c9c9" w:sz="4"/>
        </w:pBd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scenario,pb_x,implied_equity_krw_bn,vs_mktcap_pct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Bear - de-rate + dividend cut,0.30,100.5,-27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Base - current,0.41,137.4,0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Mild re-rate,0.50,167.5,22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Partial discount close,0.70,234.5,70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Full close to book,1.00,335.0,144</w:t>
      </w:r>
    </w:p>
    <w:p>
      <w:pPr>
        <w:pBdr>
          <w:top w:val="single" w:color="c9c9c9" w:sz="4"/>
        </w:pBdr>
        <w:spacing w:after="120"/>
      </w:pPr>
    </w:p>
    <w:p>
      <w:pPr>
        <w:spacing w:after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1a1a1a"/>
          <w:sz w:val="20"/>
          <w:szCs w:val="20"/>
        </w:rPr>
        <w:t xml:space="preserve">A5 · Governance / event log</w:t>
      </w:r>
    </w:p>
    <w:p>
      <w:pPr>
        <w:spacing w:after="20" w:before="40"/>
      </w:pPr>
    </w:p>
    <w:p>
      <w:pPr>
        <w:pBdr>
          <w:top w:val="single" w:color="c9c9c9" w:sz="4"/>
        </w:pBd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item,detail,implication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Controller conviction,Insider trading (Hanjin shares, Apr-2016); 1.5yr prison/₩1.2bn fine/₩503m disgorgement; confirmed,minority-value extraction record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2021 activist episode,Dividend doubled under minority pressure,payout floor established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2024 Value-up,Mid/long-term shareholder-return policy published,discount-close optionality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Feb-2025,Cash + in-kind dividend declared,return continuity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CyberLogitec IPO,Filed Sep-2019; withdrawn on undervaluation; periodic re-push talk,key catalyst / expropriation risk</w:t>
      </w:r>
    </w:p>
    <w:p>
      <w:pPr>
        <w:pBdr>
          <w:top w:val="single" w:color="c9c9c9" w:sz="4"/>
        </w:pBdr>
        <w:spacing w:after="120"/>
      </w:pPr>
    </w:p>
    <w:p>
      <w:pPr>
        <w:pBdr>
          <w:bottom w:val="single" w:color="c9c9c9" w:sz="6" w:space="1"/>
        </w:pBdr>
        <w:spacing w:after="120" w:before="120"/>
      </w:pPr>
    </w:p>
    <w:p>
      <w:pPr>
        <w:spacing w:after="90"/>
        <w:jc w:val="both"/>
      </w:pPr>
      <w:r>
        <w:rPr>
          <w:rFonts w:ascii="Georgia" w:cs="Georgia" w:eastAsia="Georgia" w:hAnsi="Georgia"/>
          <w:b w:val="false"/>
          <w:bCs w:val="false"/>
          <w:i/>
          <w:iCs/>
          <w:color w:val="5a5a5a"/>
          <w:sz w:val="20"/>
          <w:szCs w:val="20"/>
        </w:rPr>
        <w:t xml:space="preserve">This document is investment analysis for institutional discussion only; not investment advice or a solicitation. Figures are directional and must be reconciled against primary filings (DART/KRX) and CyberLogitec standalone accounts before any capital decision. The author holds no position.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rFonts w:ascii="Georgia" w:cs="Georgia" w:eastAsia="Georgia" w:hAnsi="Georgia"/>
        <w:b/>
        <w:bCs/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EUSU Holdings (000700 KS) Research Note</dc:title>
  <dc:creator>Equity Research</dc:creator>
  <cp:lastModifiedBy>Un-named</cp:lastModifiedBy>
  <cp:revision>1</cp:revision>
  <dcterms:created xsi:type="dcterms:W3CDTF">2026-08-03T10:12:41.409Z</dcterms:created>
  <dcterms:modified xsi:type="dcterms:W3CDTF">2026-08-03T10:12:41.409Z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