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Halyk</w:t>
      </w:r>
      <w:r>
        <w:t xml:space="preserve"> </w:t>
      </w:r>
      <w:r>
        <w:t xml:space="preserve">Bank</w:t>
      </w:r>
      <w:r>
        <w:t xml:space="preserve"> </w:t>
      </w:r>
      <w:r>
        <w:t xml:space="preserve">of</w:t>
      </w:r>
      <w:r>
        <w:t xml:space="preserve"> </w:t>
      </w:r>
      <w:r>
        <w:t xml:space="preserve">Kazakhstan</w:t>
      </w:r>
      <w:r>
        <w:t xml:space="preserve"> </w:t>
      </w:r>
      <w:r>
        <w:t xml:space="preserve">JSC</w:t>
      </w:r>
      <w:r>
        <w:t xml:space="preserve"> </w:t>
      </w:r>
      <w:r>
        <w:t xml:space="preserve">(HSBK</w:t>
      </w:r>
      <w:r>
        <w:t xml:space="preserve"> </w:t>
      </w:r>
      <w:r>
        <w:t xml:space="preserve">LI)</w:t>
      </w:r>
    </w:p>
    <w:p>
      <w:pPr>
        <w:pStyle w:val="Subtitle"/>
      </w:pPr>
      <w:r>
        <w:t xml:space="preserve">Institutional</w:t>
      </w:r>
      <w:r>
        <w:t xml:space="preserve"> </w:t>
      </w:r>
      <w:r>
        <w:t xml:space="preserve">equity</w:t>
      </w:r>
      <w:r>
        <w:t xml:space="preserve"> </w:t>
      </w:r>
      <w:r>
        <w:t xml:space="preserve">research:</w:t>
      </w:r>
      <w:r>
        <w:t xml:space="preserve"> </w:t>
      </w:r>
      <w:r>
        <w:t xml:space="preserve">Kazakhstan’s</w:t>
      </w:r>
      <w:r>
        <w:t xml:space="preserve"> </w:t>
      </w:r>
      <w:r>
        <w:t xml:space="preserve">dominant</w:t>
      </w:r>
      <w:r>
        <w:t xml:space="preserve"> </w:t>
      </w:r>
      <w:r>
        <w:t xml:space="preserve">bank</w:t>
      </w:r>
      <w:r>
        <w:t xml:space="preserve"> </w:t>
      </w:r>
      <w:r>
        <w:t xml:space="preserve">at</w:t>
      </w:r>
      <w:r>
        <w:t xml:space="preserve"> </w:t>
      </w:r>
      <w:r>
        <w:t xml:space="preserve">4.5x</w:t>
      </w:r>
      <w:r>
        <w:t xml:space="preserve"> </w:t>
      </w:r>
      <w:r>
        <w:t xml:space="preserve">earnings</w:t>
      </w:r>
      <w:r>
        <w:t xml:space="preserve"> </w:t>
      </w:r>
      <w:r>
        <w:t xml:space="preserve">and</w:t>
      </w:r>
      <w:r>
        <w:t xml:space="preserve"> </w:t>
      </w:r>
      <w:r>
        <w:t xml:space="preserve">a</w:t>
      </w:r>
      <w:r>
        <w:t xml:space="preserve"> </w:t>
      </w:r>
      <w:r>
        <w:t xml:space="preserve">13%</w:t>
      </w:r>
      <w:r>
        <w:t xml:space="preserve"> </w:t>
      </w:r>
      <w:r>
        <w:t xml:space="preserve">yield.</w:t>
      </w:r>
      <w:r>
        <w:t xml:space="preserve"> </w:t>
      </w:r>
      <w:r>
        <w:t xml:space="preserve">2026</w:t>
      </w:r>
      <w:r>
        <w:t xml:space="preserve"> </w:t>
      </w:r>
      <w:r>
        <w:t xml:space="preserve">is</w:t>
      </w:r>
      <w:r>
        <w:t xml:space="preserve"> </w:t>
      </w:r>
      <w:r>
        <w:t xml:space="preserve">the</w:t>
      </w:r>
      <w:r>
        <w:t xml:space="preserve"> </w:t>
      </w:r>
      <w:r>
        <w:t xml:space="preserve">earnings</w:t>
      </w:r>
      <w:r>
        <w:t xml:space="preserve"> </w:t>
      </w:r>
      <w:r>
        <w:t xml:space="preserve">trough;</w:t>
      </w:r>
      <w:r>
        <w:t xml:space="preserve"> </w:t>
      </w:r>
      <w:r>
        <w:t xml:space="preserve">the</w:t>
      </w:r>
      <w:r>
        <w:t xml:space="preserve"> </w:t>
      </w:r>
      <w:r>
        <w:t xml:space="preserve">ALMEX</w:t>
      </w:r>
      <w:r>
        <w:t xml:space="preserve"> </w:t>
      </w:r>
      <w:r>
        <w:t xml:space="preserve">lock-up</w:t>
      </w:r>
      <w:r>
        <w:t xml:space="preserve"> </w:t>
      </w:r>
      <w:r>
        <w:t xml:space="preserve">expiry</w:t>
      </w:r>
      <w:r>
        <w:t xml:space="preserve"> </w:t>
      </w:r>
      <w:r>
        <w:t xml:space="preserve">in</w:t>
      </w:r>
      <w:r>
        <w:t xml:space="preserve"> </w:t>
      </w:r>
      <w:r>
        <w:t xml:space="preserve">late</w:t>
      </w:r>
      <w:r>
        <w:t xml:space="preserve"> </w:t>
      </w:r>
      <w:r>
        <w:t xml:space="preserve">November</w:t>
      </w:r>
      <w:r>
        <w:t xml:space="preserve"> </w:t>
      </w:r>
      <w:r>
        <w:t xml:space="preserve">is</w:t>
      </w:r>
      <w:r>
        <w:t xml:space="preserve"> </w:t>
      </w:r>
      <w:r>
        <w:t xml:space="preserve">the</w:t>
      </w:r>
      <w:r>
        <w:t xml:space="preserve"> </w:t>
      </w:r>
      <w:r>
        <w:t xml:space="preserve">entry</w:t>
      </w:r>
      <w:r>
        <w:t xml:space="preserve"> </w:t>
      </w:r>
      <w:r>
        <w:t xml:space="preserve">point</w:t>
      </w:r>
    </w:p>
    <w:p>
      <w:pPr>
        <w:pStyle w:val="Author"/>
      </w:pPr>
      <w:r>
        <w:t xml:space="preserve">Event-Driven</w:t>
      </w:r>
      <w:r>
        <w:t xml:space="preserve"> </w:t>
      </w:r>
      <w:r>
        <w:t xml:space="preserve">&amp;</w:t>
      </w:r>
      <w:r>
        <w:t xml:space="preserve"> </w:t>
      </w:r>
      <w:r>
        <w:t xml:space="preserve">Special</w:t>
      </w:r>
      <w:r>
        <w:t xml:space="preserve"> </w:t>
      </w:r>
      <w:r>
        <w:t xml:space="preserve">Situations</w:t>
      </w:r>
      <w:r>
        <w:t xml:space="preserve"> </w:t>
      </w:r>
      <w:r>
        <w:t xml:space="preserve">|</w:t>
      </w:r>
      <w:r>
        <w:t xml:space="preserve"> </w:t>
      </w:r>
      <w:r>
        <w:t xml:space="preserve">Equity</w:t>
      </w:r>
      <w:r>
        <w:t xml:space="preserve"> </w:t>
      </w:r>
      <w:r>
        <w:t xml:space="preserve">Research</w:t>
      </w:r>
    </w:p>
    <w:p>
      <w:pPr>
        <w:pStyle w:val="Date"/>
      </w:pPr>
      <w:r>
        <w:t xml:space="preserve">23</w:t>
      </w:r>
      <w:r>
        <w:t xml:space="preserve"> </w:t>
      </w:r>
      <w:r>
        <w:t xml:space="preserve">October</w:t>
      </w:r>
      <w:r>
        <w:t xml:space="preserve"> </w:t>
      </w:r>
      <w:r>
        <w:t xml:space="preserve">2026</w:t>
      </w:r>
      <w:r>
        <w:t xml:space="preserve"> </w:t>
      </w:r>
      <w:r>
        <w:t xml:space="preserve">|</w:t>
      </w:r>
      <w:r>
        <w:t xml:space="preserve"> </w:t>
      </w:r>
      <w:r>
        <w:t xml:space="preserve">Reference</w:t>
      </w:r>
      <w:r>
        <w:t xml:space="preserve"> </w:t>
      </w:r>
      <w:r>
        <w:t xml:space="preserve">price</w:t>
      </w:r>
      <w:r>
        <w:t xml:space="preserve"> </w:t>
      </w:r>
      <w:r>
        <w:t xml:space="preserve">US$33.30</w:t>
      </w:r>
      <w:r>
        <w:t xml:space="preserve"> </w:t>
      </w:r>
      <w:r>
        <w:t xml:space="preserve">per</w:t>
      </w:r>
      <w:r>
        <w:t xml:space="preserve"> </w:t>
      </w:r>
      <w:r>
        <w:t xml:space="preserve">GDR</w:t>
      </w:r>
      <w:r>
        <w:t xml:space="preserve"> </w:t>
      </w:r>
      <w:r>
        <w:t xml:space="preserve">(21-Oct-2026);</w:t>
      </w:r>
      <w:r>
        <w:t xml:space="preserve"> </w:t>
      </w:r>
      <w:r>
        <w:t xml:space="preserve">KZT</w:t>
      </w:r>
      <w:r>
        <w:t xml:space="preserve"> </w:t>
      </w:r>
      <w:r>
        <w:t xml:space="preserve">~374</w:t>
      </w:r>
      <w:r>
        <w:t xml:space="preserve"> </w:t>
      </w:r>
      <w:r>
        <w:t xml:space="preserve">per</w:t>
      </w:r>
      <w:r>
        <w:t xml:space="preserve"> </w:t>
      </w:r>
      <w:r>
        <w:t xml:space="preserve">share</w:t>
      </w:r>
      <w:r>
        <w:t xml:space="preserve"> </w:t>
      </w:r>
      <w:r>
        <w:t xml:space="preserve">equivalent</w:t>
      </w:r>
    </w:p>
    <w:bookmarkStart w:id="22" w:name="recommendation-and-key-data"/>
    <w:p>
      <w:pPr>
        <w:pStyle w:val="Heading1"/>
      </w:pPr>
      <w:r>
        <w:t xml:space="preserve">Recommendation and key data</w:t>
      </w:r>
    </w:p>
    <w:p>
      <w:pPr>
        <w:pStyle w:val="FirstParagraph"/>
      </w:pPr>
      <w:r>
        <w:rPr>
          <w:bCs/>
          <w:b/>
        </w:rPr>
        <w:t xml:space="preserve">Recommendation: BUY (value / income with an event overlay, medium conviction).</w:t>
      </w:r>
    </w:p>
    <w:p>
      <w:pPr>
        <w:numPr>
          <w:ilvl w:val="0"/>
          <w:numId w:val="1001"/>
        </w:numPr>
        <w:pStyle w:val="Compact"/>
      </w:pPr>
      <w:r>
        <w:rPr>
          <w:bCs/>
          <w:b/>
        </w:rPr>
        <w:t xml:space="preserve">12-month target: US$38.0 per GDR (+14%).</w:t>
      </w:r>
      <w:r>
        <w:t xml:space="preserve"> </w:t>
      </w:r>
      <w:r>
        <w:t xml:space="preserve">With about US$4.3 of dividends over the next 12 months, the expected total return is about</w:t>
      </w:r>
      <w:r>
        <w:t xml:space="preserve"> </w:t>
      </w:r>
      <w:r>
        <w:rPr>
          <w:bCs/>
          <w:b/>
        </w:rPr>
        <w:t xml:space="preserve">+27%</w:t>
      </w:r>
      <w:r>
        <w:t xml:space="preserve">.</w:t>
      </w:r>
    </w:p>
    <w:p>
      <w:pPr>
        <w:numPr>
          <w:ilvl w:val="0"/>
          <w:numId w:val="1001"/>
        </w:numPr>
        <w:pStyle w:val="Compact"/>
      </w:pPr>
      <w:r>
        <w:rPr>
          <w:bCs/>
          <w:b/>
        </w:rPr>
        <w:t xml:space="preserve">Probability-weighted value: US$38.9.</w:t>
      </w:r>
      <w:r>
        <w:t xml:space="preserve"> </w:t>
      </w:r>
      <w:r>
        <w:t xml:space="preserve">Bear US$23.5 (−29%, 25% weight), base US$38.0 (+14%, 50%), bull US$56.2 (+69%, 25%).</w:t>
      </w:r>
    </w:p>
    <w:p>
      <w:pPr>
        <w:numPr>
          <w:ilvl w:val="0"/>
          <w:numId w:val="1001"/>
        </w:numPr>
        <w:pStyle w:val="Compact"/>
      </w:pPr>
      <w:r>
        <w:rPr>
          <w:bCs/>
          <w:b/>
        </w:rPr>
        <w:t xml:space="preserve">How to own it.</w:t>
      </w:r>
      <w:r>
        <w:t xml:space="preserve"> </w:t>
      </w:r>
      <w:r>
        <w:t xml:space="preserve">Start at a third of target size now and add into two near-term events: 9M26 results (mid-November) and the expiry of ALMEX’s 365-day lock-up (around 25 November 2026). A second placement at a discount is the most likely route to a better entry.</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209"/>
        <w:gridCol w:w="3576"/>
        <w:gridCol w:w="2235"/>
        <w:gridCol w:w="1956"/>
      </w:tblGrid>
      <w:tr>
        <w:trPr>
          <w:tblHeader w:val="true"/>
          <w:cantSplit/>
          <w:tblHeader w:val="true"/>
        </w:trPr>
        <w:tc>
          <w:tcPr>
            <w:tcW w:w="2209" w:type="dxa"/>
            <w:shd w:val="clear" w:color="auto" w:fill="13213F"/>
          </w:tcPr>
          <w:p>
            <w:pPr>
              <w:pStyle w:val="Compact"/>
              <w:spacing w:before="0" w:after="0" w:line="240" w:lineRule="auto"/>
              <w:jc w:val="left"/>
            </w:pPr>
            <w:r>
              <w:rPr>
                <w:rFonts w:ascii="Arial" w:hAnsi="Arial"/>
                <w:b/>
                <w:color w:val="FFFFFF"/>
                <w:sz w:val="15"/>
              </w:rPr>
              <w:t xml:space="preserve">Item</w:t>
            </w:r>
          </w:p>
        </w:tc>
        <w:tc>
          <w:tcPr>
            <w:tcW w:w="3576" w:type="dxa"/>
            <w:shd w:val="clear" w:color="auto" w:fill="13213F"/>
          </w:tcPr>
          <w:p>
            <w:pPr>
              <w:pStyle w:val="Compact"/>
              <w:spacing w:before="0" w:after="0" w:line="240" w:lineRule="auto"/>
              <w:jc w:val="left"/>
            </w:pPr>
            <w:r>
              <w:rPr>
                <w:rFonts w:ascii="Arial" w:hAnsi="Arial"/>
                <w:b/>
                <w:color w:val="FFFFFF"/>
                <w:sz w:val="15"/>
              </w:rPr>
              <w:t xml:space="preserve">Value</w:t>
            </w:r>
          </w:p>
        </w:tc>
        <w:tc>
          <w:tcPr>
            <w:tcW w:w="2235" w:type="dxa"/>
            <w:shd w:val="clear" w:color="auto" w:fill="13213F"/>
          </w:tcPr>
          <w:p>
            <w:pPr>
              <w:pStyle w:val="Compact"/>
              <w:spacing w:before="0" w:after="0" w:line="240" w:lineRule="auto"/>
              <w:jc w:val="left"/>
            </w:pPr>
            <w:r>
              <w:rPr>
                <w:rFonts w:ascii="Arial" w:hAnsi="Arial"/>
                <w:b/>
                <w:color w:val="FFFFFF"/>
                <w:sz w:val="15"/>
              </w:rPr>
              <w:t xml:space="preserve">Item</w:t>
            </w:r>
          </w:p>
        </w:tc>
        <w:tc>
          <w:tcPr>
            <w:tcW w:w="1956" w:type="dxa"/>
            <w:shd w:val="clear" w:color="auto" w:fill="13213F"/>
          </w:tcPr>
          <w:p>
            <w:pPr>
              <w:pStyle w:val="Compact"/>
              <w:spacing w:before="0" w:after="0" w:line="240" w:lineRule="auto"/>
              <w:jc w:val="left"/>
            </w:pPr>
            <w:r>
              <w:rPr>
                <w:rFonts w:ascii="Arial" w:hAnsi="Arial"/>
                <w:b/>
                <w:color w:val="FFFFFF"/>
                <w:sz w:val="15"/>
              </w:rPr>
              <w:t xml:space="preserve">Value</w:t>
            </w:r>
          </w:p>
        </w:tc>
      </w:tr>
      <w:tr>
        <w:trPr>
          <w:cantSplit/>
        </w:trPr>
        <w:tc>
          <w:tcPr>
            <w:tcW w:w="2209" w:type="dxa"/>
          </w:tcPr>
          <w:p>
            <w:pPr>
              <w:pStyle w:val="Compact"/>
              <w:spacing w:before="0" w:after="0" w:line="240" w:lineRule="auto"/>
              <w:jc w:val="left"/>
            </w:pPr>
            <w:r>
              <w:rPr>
                <w:rFonts w:ascii="Arial" w:hAnsi="Arial"/>
                <w:sz w:val="15"/>
              </w:rPr>
              <w:t xml:space="preserve">Price (21-Oct-2026)</w:t>
            </w:r>
          </w:p>
        </w:tc>
        <w:tc>
          <w:tcPr>
            <w:tcW w:w="3576" w:type="dxa"/>
          </w:tcPr>
          <w:p>
            <w:pPr>
              <w:pStyle w:val="Compact"/>
              <w:spacing w:before="0" w:after="0" w:line="240" w:lineRule="auto"/>
              <w:jc w:val="left"/>
            </w:pPr>
            <w:r>
              <w:rPr>
                <w:rFonts w:ascii="Arial" w:hAnsi="Arial"/>
                <w:sz w:val="15"/>
              </w:rPr>
              <w:t xml:space="preserve">US$33.30 per GDR (1 GDR = 40 shares); KASE KZT368–376 (early Oct)</w:t>
            </w:r>
          </w:p>
        </w:tc>
        <w:tc>
          <w:tcPr>
            <w:tcW w:w="2235" w:type="dxa"/>
          </w:tcPr>
          <w:p>
            <w:pPr>
              <w:pStyle w:val="Compact"/>
              <w:spacing w:before="0" w:after="0" w:line="240" w:lineRule="auto"/>
              <w:jc w:val="left"/>
            </w:pPr>
            <w:r>
              <w:rPr>
                <w:rFonts w:ascii="Arial" w:hAnsi="Arial"/>
                <w:sz w:val="15"/>
              </w:rPr>
              <w:t xml:space="preserve">52-week range (LSE)</w:t>
            </w:r>
          </w:p>
        </w:tc>
        <w:tc>
          <w:tcPr>
            <w:tcW w:w="1956" w:type="dxa"/>
          </w:tcPr>
          <w:p>
            <w:pPr>
              <w:pStyle w:val="Compact"/>
              <w:spacing w:before="0" w:after="0" w:line="240" w:lineRule="auto"/>
              <w:jc w:val="left"/>
            </w:pPr>
            <w:r>
              <w:rPr>
                <w:rFonts w:ascii="Arial" w:hAnsi="Arial"/>
                <w:sz w:val="15"/>
              </w:rPr>
              <w:t xml:space="preserve">US$22.90–36.45</w:t>
            </w:r>
          </w:p>
        </w:tc>
      </w:tr>
      <w:tr>
        <w:trPr>
          <w:cantSplit/>
        </w:trPr>
        <w:tc>
          <w:tcPr>
            <w:tcW w:w="2209" w:type="dxa"/>
          </w:tcPr>
          <w:p>
            <w:pPr>
              <w:pStyle w:val="Compact"/>
              <w:spacing w:before="0" w:after="0" w:line="240" w:lineRule="auto"/>
              <w:jc w:val="left"/>
            </w:pPr>
            <w:r>
              <w:rPr>
                <w:rFonts w:ascii="Arial" w:hAnsi="Arial"/>
                <w:sz w:val="15"/>
              </w:rPr>
              <w:t xml:space="preserve">Shares outstanding</w:t>
            </w:r>
          </w:p>
        </w:tc>
        <w:tc>
          <w:tcPr>
            <w:tcW w:w="3576" w:type="dxa"/>
          </w:tcPr>
          <w:p>
            <w:pPr>
              <w:pStyle w:val="Compact"/>
              <w:spacing w:before="0" w:after="0" w:line="240" w:lineRule="auto"/>
              <w:jc w:val="left"/>
            </w:pPr>
            <w:r>
              <w:rPr>
                <w:rFonts w:ascii="Arial" w:hAnsi="Arial"/>
                <w:sz w:val="15"/>
              </w:rPr>
              <w:t xml:space="preserve">10,909m (13,448m issued; ~2,538m treasury)</w:t>
            </w:r>
          </w:p>
        </w:tc>
        <w:tc>
          <w:tcPr>
            <w:tcW w:w="2235" w:type="dxa"/>
          </w:tcPr>
          <w:p>
            <w:pPr>
              <w:pStyle w:val="Compact"/>
              <w:spacing w:before="0" w:after="0" w:line="240" w:lineRule="auto"/>
              <w:jc w:val="left"/>
            </w:pPr>
            <w:r>
              <w:rPr>
                <w:rFonts w:ascii="Arial" w:hAnsi="Arial"/>
                <w:sz w:val="15"/>
              </w:rPr>
              <w:t xml:space="preserve">GDR equivalents</w:t>
            </w:r>
          </w:p>
        </w:tc>
        <w:tc>
          <w:tcPr>
            <w:tcW w:w="1956" w:type="dxa"/>
          </w:tcPr>
          <w:p>
            <w:pPr>
              <w:pStyle w:val="Compact"/>
              <w:spacing w:before="0" w:after="0" w:line="240" w:lineRule="auto"/>
              <w:jc w:val="left"/>
            </w:pPr>
            <w:r>
              <w:rPr>
                <w:rFonts w:ascii="Arial" w:hAnsi="Arial"/>
                <w:sz w:val="15"/>
              </w:rPr>
              <w:t xml:space="preserve">272.7m</w:t>
            </w:r>
          </w:p>
        </w:tc>
      </w:tr>
      <w:tr>
        <w:trPr>
          <w:cantSplit/>
        </w:trPr>
        <w:tc>
          <w:tcPr>
            <w:tcW w:w="2209" w:type="dxa"/>
          </w:tcPr>
          <w:p>
            <w:pPr>
              <w:pStyle w:val="Compact"/>
              <w:spacing w:before="0" w:after="0" w:line="240" w:lineRule="auto"/>
              <w:jc w:val="left"/>
            </w:pPr>
            <w:r>
              <w:rPr>
                <w:rFonts w:ascii="Arial" w:hAnsi="Arial"/>
                <w:sz w:val="15"/>
              </w:rPr>
              <w:t xml:space="preserve">Market cap</w:t>
            </w:r>
          </w:p>
        </w:tc>
        <w:tc>
          <w:tcPr>
            <w:tcW w:w="3576" w:type="dxa"/>
          </w:tcPr>
          <w:p>
            <w:pPr>
              <w:pStyle w:val="Compact"/>
              <w:spacing w:before="0" w:after="0" w:line="240" w:lineRule="auto"/>
              <w:jc w:val="left"/>
            </w:pPr>
            <w:r>
              <w:rPr>
                <w:rFonts w:ascii="Arial" w:hAnsi="Arial"/>
                <w:sz w:val="15"/>
              </w:rPr>
              <w:t xml:space="preserve">US$9.08bn / KZT4.08trn (KZT449/US$)</w:t>
            </w:r>
          </w:p>
        </w:tc>
        <w:tc>
          <w:tcPr>
            <w:tcW w:w="2235" w:type="dxa"/>
          </w:tcPr>
          <w:p>
            <w:pPr>
              <w:pStyle w:val="Compact"/>
              <w:spacing w:before="0" w:after="0" w:line="240" w:lineRule="auto"/>
              <w:jc w:val="left"/>
            </w:pPr>
            <w:r>
              <w:rPr>
                <w:rFonts w:ascii="Arial" w:hAnsi="Arial"/>
                <w:sz w:val="15"/>
              </w:rPr>
              <w:t xml:space="preserve">Free float</w:t>
            </w:r>
          </w:p>
        </w:tc>
        <w:tc>
          <w:tcPr>
            <w:tcW w:w="1956" w:type="dxa"/>
          </w:tcPr>
          <w:p>
            <w:pPr>
              <w:pStyle w:val="Compact"/>
              <w:spacing w:before="0" w:after="0" w:line="240" w:lineRule="auto"/>
              <w:jc w:val="left"/>
            </w:pPr>
            <w:r>
              <w:rPr>
                <w:rFonts w:ascii="Arial" w:hAnsi="Arial"/>
                <w:sz w:val="15"/>
              </w:rPr>
              <w:t xml:space="preserve">~38% (ALMEX ~62%)</w:t>
            </w:r>
          </w:p>
        </w:tc>
      </w:tr>
      <w:tr>
        <w:trPr>
          <w:cantSplit/>
        </w:trPr>
        <w:tc>
          <w:tcPr>
            <w:tcW w:w="2209" w:type="dxa"/>
          </w:tcPr>
          <w:p>
            <w:pPr>
              <w:pStyle w:val="Compact"/>
              <w:spacing w:before="0" w:after="0" w:line="240" w:lineRule="auto"/>
              <w:jc w:val="left"/>
            </w:pPr>
            <w:r>
              <w:rPr>
                <w:rFonts w:ascii="Arial" w:hAnsi="Arial"/>
                <w:sz w:val="15"/>
              </w:rPr>
              <w:t xml:space="preserve">P/E: LTM / 2026E / 2027E</w:t>
            </w:r>
          </w:p>
        </w:tc>
        <w:tc>
          <w:tcPr>
            <w:tcW w:w="3576" w:type="dxa"/>
          </w:tcPr>
          <w:p>
            <w:pPr>
              <w:pStyle w:val="Compact"/>
              <w:spacing w:before="0" w:after="0" w:line="240" w:lineRule="auto"/>
              <w:jc w:val="left"/>
            </w:pPr>
            <w:r>
              <w:rPr>
                <w:rFonts w:ascii="Arial" w:hAnsi="Arial"/>
                <w:sz w:val="15"/>
              </w:rPr>
              <w:t xml:space="preserve">4.2x / 4.5x / 4.1x</w:t>
            </w:r>
          </w:p>
        </w:tc>
        <w:tc>
          <w:tcPr>
            <w:tcW w:w="2235" w:type="dxa"/>
          </w:tcPr>
          <w:p>
            <w:pPr>
              <w:pStyle w:val="Compact"/>
              <w:spacing w:before="0" w:after="0" w:line="240" w:lineRule="auto"/>
              <w:jc w:val="left"/>
            </w:pPr>
            <w:r>
              <w:rPr>
                <w:rFonts w:ascii="Arial" w:hAnsi="Arial"/>
                <w:sz w:val="15"/>
              </w:rPr>
              <w:t xml:space="preserve">P/B (30-Jun-26) / 2026E</w:t>
            </w:r>
          </w:p>
        </w:tc>
        <w:tc>
          <w:tcPr>
            <w:tcW w:w="1956" w:type="dxa"/>
          </w:tcPr>
          <w:p>
            <w:pPr>
              <w:pStyle w:val="Compact"/>
              <w:spacing w:before="0" w:after="0" w:line="240" w:lineRule="auto"/>
              <w:jc w:val="left"/>
            </w:pPr>
            <w:r>
              <w:rPr>
                <w:rFonts w:ascii="Arial" w:hAnsi="Arial"/>
                <w:sz w:val="15"/>
              </w:rPr>
              <w:t xml:space="preserve">1.12x / 1.08x</w:t>
            </w:r>
          </w:p>
        </w:tc>
      </w:tr>
      <w:tr>
        <w:trPr>
          <w:cantSplit/>
        </w:trPr>
        <w:tc>
          <w:tcPr>
            <w:tcW w:w="2209" w:type="dxa"/>
          </w:tcPr>
          <w:p>
            <w:pPr>
              <w:pStyle w:val="Compact"/>
              <w:spacing w:before="0" w:after="0" w:line="240" w:lineRule="auto"/>
              <w:jc w:val="left"/>
            </w:pPr>
            <w:r>
              <w:rPr>
                <w:rFonts w:ascii="Arial" w:hAnsi="Arial"/>
                <w:sz w:val="15"/>
              </w:rPr>
              <w:t xml:space="preserve">ROAE: FY25 / 1H26 annualised / 2026E</w:t>
            </w:r>
          </w:p>
        </w:tc>
        <w:tc>
          <w:tcPr>
            <w:tcW w:w="3576" w:type="dxa"/>
          </w:tcPr>
          <w:p>
            <w:pPr>
              <w:pStyle w:val="Compact"/>
              <w:spacing w:before="0" w:after="0" w:line="240" w:lineRule="auto"/>
              <w:jc w:val="left"/>
            </w:pPr>
            <w:r>
              <w:rPr>
                <w:rFonts w:ascii="Arial" w:hAnsi="Arial"/>
                <w:sz w:val="15"/>
              </w:rPr>
              <w:t xml:space="preserve">32.6% / ~25% / 24.7%</w:t>
            </w:r>
          </w:p>
        </w:tc>
        <w:tc>
          <w:tcPr>
            <w:tcW w:w="2235" w:type="dxa"/>
          </w:tcPr>
          <w:p>
            <w:pPr>
              <w:pStyle w:val="Compact"/>
              <w:spacing w:before="0" w:after="0" w:line="240" w:lineRule="auto"/>
              <w:jc w:val="left"/>
            </w:pPr>
            <w:r>
              <w:rPr>
                <w:rFonts w:ascii="Arial" w:hAnsi="Arial"/>
                <w:sz w:val="15"/>
              </w:rPr>
              <w:t xml:space="preserve">Dividend yield: FY25 paid / FY26E</w:t>
            </w:r>
          </w:p>
        </w:tc>
        <w:tc>
          <w:tcPr>
            <w:tcW w:w="1956" w:type="dxa"/>
          </w:tcPr>
          <w:p>
            <w:pPr>
              <w:pStyle w:val="Compact"/>
              <w:spacing w:before="0" w:after="0" w:line="240" w:lineRule="auto"/>
              <w:jc w:val="left"/>
            </w:pPr>
            <w:r>
              <w:rPr>
                <w:rFonts w:ascii="Arial" w:hAnsi="Arial"/>
                <w:sz w:val="15"/>
              </w:rPr>
              <w:t xml:space="preserve">15.6% / 13.2%</w:t>
            </w:r>
          </w:p>
        </w:tc>
      </w:tr>
      <w:tr>
        <w:trPr>
          <w:cantSplit/>
        </w:trPr>
        <w:tc>
          <w:tcPr>
            <w:tcW w:w="2209" w:type="dxa"/>
          </w:tcPr>
          <w:p>
            <w:pPr>
              <w:pStyle w:val="Compact"/>
              <w:spacing w:before="0" w:after="0" w:line="240" w:lineRule="auto"/>
              <w:jc w:val="left"/>
            </w:pPr>
            <w:r>
              <w:rPr>
                <w:rFonts w:ascii="Arial" w:hAnsi="Arial"/>
                <w:sz w:val="15"/>
              </w:rPr>
              <w:t xml:space="preserve">Capital (k1-1 = k2, 30-Jun-26)</w:t>
            </w:r>
          </w:p>
        </w:tc>
        <w:tc>
          <w:tcPr>
            <w:tcW w:w="3576" w:type="dxa"/>
          </w:tcPr>
          <w:p>
            <w:pPr>
              <w:pStyle w:val="Compact"/>
              <w:spacing w:before="0" w:after="0" w:line="240" w:lineRule="auto"/>
              <w:jc w:val="left"/>
            </w:pPr>
            <w:r>
              <w:rPr>
                <w:rFonts w:ascii="Arial" w:hAnsi="Arial"/>
                <w:sz w:val="15"/>
              </w:rPr>
              <w:t xml:space="preserve">19.0% (minimum 9.5% / 12.0%)</w:t>
            </w:r>
          </w:p>
        </w:tc>
        <w:tc>
          <w:tcPr>
            <w:tcW w:w="2235" w:type="dxa"/>
          </w:tcPr>
          <w:p>
            <w:pPr>
              <w:pStyle w:val="Compact"/>
              <w:spacing w:before="0" w:after="0" w:line="240" w:lineRule="auto"/>
              <w:jc w:val="left"/>
            </w:pPr>
            <w:r>
              <w:rPr>
                <w:rFonts w:ascii="Arial" w:hAnsi="Arial"/>
                <w:sz w:val="15"/>
              </w:rPr>
              <w:t xml:space="preserve">Loans / deposits (FY25)</w:t>
            </w:r>
          </w:p>
        </w:tc>
        <w:tc>
          <w:tcPr>
            <w:tcW w:w="1956" w:type="dxa"/>
          </w:tcPr>
          <w:p>
            <w:pPr>
              <w:pStyle w:val="Compact"/>
              <w:spacing w:before="0" w:after="0" w:line="240" w:lineRule="auto"/>
              <w:jc w:val="left"/>
            </w:pPr>
            <w:r>
              <w:rPr>
                <w:rFonts w:ascii="Arial" w:hAnsi="Arial"/>
                <w:sz w:val="15"/>
              </w:rPr>
              <w:t xml:space="preserve">96%</w:t>
            </w:r>
          </w:p>
        </w:tc>
      </w:tr>
      <w:tr>
        <w:trPr>
          <w:cantSplit/>
        </w:trPr>
        <w:tc>
          <w:tcPr>
            <w:tcW w:w="2209" w:type="dxa"/>
          </w:tcPr>
          <w:p>
            <w:pPr>
              <w:pStyle w:val="Compact"/>
              <w:spacing w:before="0" w:after="0" w:line="240" w:lineRule="auto"/>
              <w:jc w:val="left"/>
            </w:pPr>
            <w:r>
              <w:rPr>
                <w:rFonts w:ascii="Arial" w:hAnsi="Arial"/>
                <w:sz w:val="15"/>
              </w:rPr>
              <w:t xml:space="preserve">Share of sector assets</w:t>
            </w:r>
          </w:p>
        </w:tc>
        <w:tc>
          <w:tcPr>
            <w:tcW w:w="3576" w:type="dxa"/>
          </w:tcPr>
          <w:p>
            <w:pPr>
              <w:pStyle w:val="Compact"/>
              <w:spacing w:before="0" w:after="0" w:line="240" w:lineRule="auto"/>
              <w:jc w:val="left"/>
            </w:pPr>
            <w:r>
              <w:rPr>
                <w:rFonts w:ascii="Arial" w:hAnsi="Arial"/>
                <w:sz w:val="15"/>
              </w:rPr>
              <w:t xml:space="preserve">28.5% (#1; Kaspi #2 at 14.2%)</w:t>
            </w:r>
          </w:p>
        </w:tc>
        <w:tc>
          <w:tcPr>
            <w:tcW w:w="2235" w:type="dxa"/>
          </w:tcPr>
          <w:p>
            <w:pPr>
              <w:pStyle w:val="Compact"/>
              <w:spacing w:before="0" w:after="0" w:line="240" w:lineRule="auto"/>
              <w:jc w:val="left"/>
            </w:pPr>
            <w:r>
              <w:rPr>
                <w:rFonts w:ascii="Arial" w:hAnsi="Arial"/>
                <w:sz w:val="15"/>
              </w:rPr>
              <w:t xml:space="preserve">Corporate-loan share</w:t>
            </w:r>
          </w:p>
        </w:tc>
        <w:tc>
          <w:tcPr>
            <w:tcW w:w="1956" w:type="dxa"/>
          </w:tcPr>
          <w:p>
            <w:pPr>
              <w:pStyle w:val="Compact"/>
              <w:spacing w:before="0" w:after="0" w:line="240" w:lineRule="auto"/>
              <w:jc w:val="left"/>
            </w:pPr>
            <w:r>
              <w:rPr>
                <w:rFonts w:ascii="Arial" w:hAnsi="Arial"/>
                <w:sz w:val="15"/>
              </w:rPr>
              <w:t xml:space="preserve">~48%</w:t>
            </w:r>
          </w:p>
        </w:tc>
      </w:tr>
      <w:tr>
        <w:trPr>
          <w:cantSplit/>
        </w:trPr>
        <w:tc>
          <w:tcPr>
            <w:tcW w:w="2209" w:type="dxa"/>
          </w:tcPr>
          <w:p>
            <w:pPr>
              <w:pStyle w:val="Compact"/>
              <w:spacing w:before="0" w:after="0" w:line="240" w:lineRule="auto"/>
              <w:jc w:val="left"/>
            </w:pPr>
            <w:r>
              <w:rPr>
                <w:rFonts w:ascii="Arial" w:hAnsi="Arial"/>
                <w:sz w:val="15"/>
              </w:rPr>
              <w:t xml:space="preserve">Ratings (bank)</w:t>
            </w:r>
          </w:p>
        </w:tc>
        <w:tc>
          <w:tcPr>
            <w:tcW w:w="3576" w:type="dxa"/>
          </w:tcPr>
          <w:p>
            <w:pPr>
              <w:pStyle w:val="Compact"/>
              <w:spacing w:before="0" w:after="0" w:line="240" w:lineRule="auto"/>
              <w:jc w:val="left"/>
            </w:pPr>
            <w:r>
              <w:rPr>
                <w:rFonts w:ascii="Arial" w:hAnsi="Arial"/>
                <w:sz w:val="15"/>
              </w:rPr>
              <w:t xml:space="preserve">Moody’s Baa1 / Fitch BBB- (stable); S&amp;P BBB- (positive)</w:t>
            </w:r>
          </w:p>
        </w:tc>
        <w:tc>
          <w:tcPr>
            <w:tcW w:w="2235" w:type="dxa"/>
          </w:tcPr>
          <w:p>
            <w:pPr>
              <w:pStyle w:val="Compact"/>
              <w:spacing w:before="0" w:after="0" w:line="240" w:lineRule="auto"/>
              <w:jc w:val="left"/>
            </w:pPr>
            <w:r>
              <w:rPr>
                <w:rFonts w:ascii="Arial" w:hAnsi="Arial"/>
                <w:sz w:val="15"/>
              </w:rPr>
              <w:t xml:space="preserve">Index weight</w:t>
            </w:r>
          </w:p>
        </w:tc>
        <w:tc>
          <w:tcPr>
            <w:tcW w:w="1956" w:type="dxa"/>
          </w:tcPr>
          <w:p>
            <w:pPr>
              <w:pStyle w:val="Compact"/>
              <w:spacing w:before="0" w:after="0" w:line="240" w:lineRule="auto"/>
              <w:jc w:val="left"/>
            </w:pPr>
            <w:r>
              <w:rPr>
                <w:rFonts w:ascii="Arial" w:hAnsi="Arial"/>
                <w:sz w:val="15"/>
              </w:rPr>
              <w:t xml:space="preserve">~28% of MSCI Kazakhstan</w:t>
            </w:r>
          </w:p>
        </w:tc>
      </w:tr>
      <w:tr>
        <w:trPr>
          <w:cantSplit/>
        </w:trPr>
        <w:tc>
          <w:tcPr>
            <w:tcW w:w="2209" w:type="dxa"/>
          </w:tcPr>
          <w:p>
            <w:pPr>
              <w:pStyle w:val="Compact"/>
              <w:spacing w:before="0" w:after="0" w:line="240" w:lineRule="auto"/>
              <w:jc w:val="left"/>
            </w:pPr>
            <w:r>
              <w:rPr>
                <w:rFonts w:ascii="Arial" w:hAnsi="Arial"/>
                <w:sz w:val="15"/>
              </w:rPr>
              <w:t xml:space="preserve">Next events</w:t>
            </w:r>
          </w:p>
        </w:tc>
        <w:tc>
          <w:tcPr>
            <w:tcW w:w="3576" w:type="dxa"/>
          </w:tcPr>
          <w:p>
            <w:pPr>
              <w:pStyle w:val="Compact"/>
              <w:spacing w:before="0" w:after="0" w:line="240" w:lineRule="auto"/>
              <w:jc w:val="left"/>
            </w:pPr>
            <w:r>
              <w:rPr>
                <w:rFonts w:ascii="Arial" w:hAnsi="Arial"/>
                <w:sz w:val="15"/>
              </w:rPr>
              <w:t xml:space="preserve">9M26 results ~13–19 Nov [e]; ALMEX lock-up expiry ~25 Nov; NBK decision 4 Dec</w:t>
            </w:r>
          </w:p>
        </w:tc>
        <w:tc>
          <w:tcPr>
            <w:tcW w:w="2235" w:type="dxa"/>
          </w:tcPr>
          <w:p>
            <w:pPr>
              <w:pStyle w:val="Compact"/>
              <w:spacing w:before="0" w:after="0" w:line="240" w:lineRule="auto"/>
              <w:jc w:val="left"/>
            </w:pPr>
            <w:r>
              <w:rPr>
                <w:rFonts w:ascii="Arial" w:hAnsi="Arial"/>
                <w:sz w:val="15"/>
              </w:rPr>
              <w:t xml:space="preserve">Consensus target</w:t>
            </w:r>
          </w:p>
        </w:tc>
        <w:tc>
          <w:tcPr>
            <w:tcW w:w="1956" w:type="dxa"/>
          </w:tcPr>
          <w:p>
            <w:pPr>
              <w:pStyle w:val="Compact"/>
              <w:spacing w:before="0" w:after="0" w:line="240" w:lineRule="auto"/>
              <w:jc w:val="left"/>
            </w:pPr>
            <w:r>
              <w:rPr>
                <w:rFonts w:ascii="Arial" w:hAnsi="Arial"/>
                <w:sz w:val="15"/>
              </w:rPr>
              <w:t xml:space="preserve">Avg ~US$32–41 (two to three brokers) [u]</w:t>
            </w:r>
          </w:p>
        </w:tc>
      </w:tr>
    </w:tbl>
    <w:p>
      <w:pPr>
        <w:pStyle w:val="BodyText"/>
      </w:pPr>
      <w:r>
        <w:rPr>
          <w:bCs/>
          <w:b/>
        </w:rPr>
        <w:t xml:space="preserve">Sources and conventions.</w:t>
      </w:r>
      <w:r>
        <w:t xml:space="preserve"> </w:t>
      </w:r>
      <w:r>
        <w:t xml:space="preserve">Company releases, RNS and KASE notices, results-call summaries, Edison and Freedom Broker notes, ARDFM and National Bank of Kazakhstan (NBK) data, and press (Interfax-Kazakhstan, Kursiv, Forbes.kz, Orda.kz, Reuters via aggregators).</w:t>
      </w:r>
      <w:r>
        <w:t xml:space="preserve"> </w:t>
      </w:r>
      <w:r>
        <w:rPr>
          <w:bCs/>
          <w:b/>
        </w:rPr>
        <w:t xml:space="preserve">[u]</w:t>
      </w:r>
      <w:r>
        <w:t xml:space="preserve"> </w:t>
      </w:r>
      <w:r>
        <w:t xml:space="preserve">= unverified (single secondary source or search summary).</w:t>
      </w:r>
      <w:r>
        <w:t xml:space="preserve"> </w:t>
      </w:r>
      <w:r>
        <w:rPr>
          <w:bCs/>
          <w:b/>
        </w:rPr>
        <w:t xml:space="preserve">[e]</w:t>
      </w:r>
      <w:r>
        <w:t xml:space="preserve"> </w:t>
      </w:r>
      <w:r>
        <w:t xml:space="preserve">= our estimate.</w:t>
      </w:r>
      <w:r>
        <w:t xml:space="preserve"> </w:t>
      </w:r>
      <w:r>
        <w:rPr>
          <w:bCs/>
          <w:b/>
        </w:rPr>
        <w:t xml:space="preserve">[d]</w:t>
      </w:r>
      <w:r>
        <w:t xml:space="preserve"> </w:t>
      </w:r>
      <w:r>
        <w:t xml:space="preserve">= derived by us from reported figures. Halyk reports under IFRS in tenge (KZT) on a calendar year.</w:t>
      </w:r>
    </w:p>
    <w:p>
      <w:pPr>
        <w:pStyle w:val="BodyText"/>
      </w:pPr>
      <w:r>
        <w:rPr>
          <w:bCs/>
          <w:b/>
        </w:rPr>
        <w:t xml:space="preserve">Data limitations (important).</w:t>
      </w:r>
      <w:r>
        <w:t xml:space="preserve"> </w:t>
      </w:r>
      <w:r>
        <w:t xml:space="preserve">The S&amp;P Global (Capital IQ) and ProntoNLP tools named in our routing preferences were not available in this session, and direct page fetching was blocked by the environment’s network policy. All facts therefore come from web-search extracts of primary documents (press releases, RNS, KASE filings), cross-checked where possible. The IFRS segment note, the related-party note and named GDR holders could not be retrieved. Where we fill those gaps, the figures are marked [e] and the method is shown. Peer multiples are snapshots taken between June and October 2026, so treat them as indicative.</w:t>
      </w:r>
    </w:p>
    <w:bookmarkStart w:id="20" w:name="investment-summary"/>
    <w:p>
      <w:pPr>
        <w:pStyle w:val="Heading2"/>
      </w:pPr>
      <w:r>
        <w:t xml:space="preserve">Investment summary</w:t>
      </w:r>
    </w:p>
    <w:p>
      <w:pPr>
        <w:numPr>
          <w:ilvl w:val="0"/>
          <w:numId w:val="1002"/>
        </w:numPr>
        <w:pStyle w:val="Compact"/>
      </w:pPr>
      <w:r>
        <w:rPr>
          <w:bCs/>
          <w:b/>
        </w:rPr>
        <w:t xml:space="preserve">The franchise is unmatched in Kazakhstan.</w:t>
      </w:r>
    </w:p>
    <w:p>
      <w:pPr>
        <w:numPr>
          <w:ilvl w:val="1"/>
          <w:numId w:val="1003"/>
        </w:numPr>
        <w:pStyle w:val="Compact"/>
      </w:pPr>
      <w:r>
        <w:t xml:space="preserve">Halyk is the old State Savings Bank. Through the 2017 rescue-merger with Kazkommertsbank it became the country’s largest bank, with 28.5% of sector assets.</w:t>
      </w:r>
    </w:p>
    <w:p>
      <w:pPr>
        <w:numPr>
          <w:ilvl w:val="1"/>
          <w:numId w:val="1003"/>
        </w:numPr>
        <w:pStyle w:val="Compact"/>
      </w:pPr>
      <w:r>
        <w:t xml:space="preserve">It holds about 48% of corporate loans, 27% of retail deposits and 30% of corporate deposits. It also runs the second-largest consumer super-app (8.6m monthly users), behind Kaspi.</w:t>
      </w:r>
    </w:p>
    <w:p>
      <w:pPr>
        <w:numPr>
          <w:ilvl w:val="1"/>
          <w:numId w:val="1003"/>
        </w:numPr>
        <w:pStyle w:val="Compact"/>
      </w:pPr>
      <w:r>
        <w:t xml:space="preserve">Its funding costs are the lowest of any large bank, and its cost-to-income ratio (17–20%) is among the lowest of any listed bank globally.</w:t>
      </w:r>
    </w:p>
    <w:p>
      <w:pPr>
        <w:numPr>
          <w:ilvl w:val="1"/>
          <w:numId w:val="1003"/>
        </w:numPr>
        <w:pStyle w:val="Compact"/>
      </w:pPr>
      <w:r>
        <w:t xml:space="preserve">The result was five straight years of 30%+ ROE (2021–25), with net income tripling from KZT353bn (2020) to KZT1,058bn (2025).</w:t>
      </w:r>
    </w:p>
    <w:p>
      <w:pPr>
        <w:numPr>
          <w:ilvl w:val="0"/>
          <w:numId w:val="1002"/>
        </w:numPr>
        <w:pStyle w:val="Compact"/>
      </w:pPr>
      <w:r>
        <w:rPr>
          <w:bCs/>
          <w:b/>
        </w:rPr>
        <w:t xml:space="preserve">2026 is the trough year, and the market already knows it.</w:t>
      </w:r>
    </w:p>
    <w:p>
      <w:pPr>
        <w:numPr>
          <w:ilvl w:val="1"/>
          <w:numId w:val="1004"/>
        </w:numPr>
        <w:pStyle w:val="Compact"/>
      </w:pPr>
      <w:r>
        <w:t xml:space="preserve">Net income fell 15.3% in 1H26 (to KZT447.6bn), and 2Q26 missed company-compiled consensus by ~14%.</w:t>
      </w:r>
    </w:p>
    <w:p>
      <w:pPr>
        <w:numPr>
          <w:ilvl w:val="1"/>
          <w:numId w:val="1004"/>
        </w:numPr>
        <w:pStyle w:val="Compact"/>
      </w:pPr>
      <w:r>
        <w:t xml:space="preserve">Four things are squeezing earnings at once:</w:t>
      </w:r>
    </w:p>
    <w:p>
      <w:pPr>
        <w:numPr>
          <w:ilvl w:val="2"/>
          <w:numId w:val="1005"/>
        </w:numPr>
        <w:pStyle w:val="Compact"/>
      </w:pPr>
      <w:r>
        <w:t xml:space="preserve">higher unremunerated reserve requirements (−40bp of NIM);</w:t>
      </w:r>
    </w:p>
    <w:p>
      <w:pPr>
        <w:numPr>
          <w:ilvl w:val="2"/>
          <w:numId w:val="1005"/>
        </w:numPr>
        <w:pStyle w:val="Compact"/>
      </w:pPr>
      <w:r>
        <w:t xml:space="preserve">a regulatory clampdown on unsecured and buy-now-pay-later (BNPL) lending;</w:t>
      </w:r>
    </w:p>
    <w:p>
      <w:pPr>
        <w:numPr>
          <w:ilvl w:val="2"/>
          <w:numId w:val="1005"/>
        </w:numPr>
        <w:pStyle w:val="Compact"/>
      </w:pPr>
      <w:r>
        <w:t xml:space="preserve">a 25% bank income-tax rate and VAT on some bank fees under the new Tax Code;</w:t>
      </w:r>
    </w:p>
    <w:p>
      <w:pPr>
        <w:numPr>
          <w:ilvl w:val="2"/>
          <w:numId w:val="1005"/>
        </w:numPr>
        <w:pStyle w:val="Compact"/>
      </w:pPr>
      <w:r>
        <w:t xml:space="preserve">NPL 90+ doubling to 5.3% (retail 9.2%), partly because collector sales were paused.</w:t>
      </w:r>
    </w:p>
    <w:p>
      <w:pPr>
        <w:numPr>
          <w:ilvl w:val="1"/>
          <w:numId w:val="1004"/>
        </w:numPr>
        <w:pStyle w:val="Compact"/>
      </w:pPr>
      <w:r>
        <w:t xml:space="preserve">Management still guides to ~KZT1.0trn net income and 29% ROE. We are below at</w:t>
      </w:r>
      <w:r>
        <w:t xml:space="preserve"> </w:t>
      </w:r>
      <w:r>
        <w:rPr>
          <w:bCs/>
          <w:b/>
        </w:rPr>
        <w:t xml:space="preserve">KZT900bn (−15%)</w:t>
      </w:r>
      <w:r>
        <w:t xml:space="preserve">, which requires a 2H only modestly better than 1H.</w:t>
      </w:r>
    </w:p>
    <w:p>
      <w:pPr>
        <w:numPr>
          <w:ilvl w:val="0"/>
          <w:numId w:val="1002"/>
        </w:numPr>
        <w:pStyle w:val="Compact"/>
      </w:pPr>
      <w:r>
        <w:rPr>
          <w:bCs/>
          <w:b/>
        </w:rPr>
        <w:t xml:space="preserve">Valuation is cheap against peers, not against Halyk’s own history.</w:t>
      </w:r>
    </w:p>
    <w:p>
      <w:pPr>
        <w:numPr>
          <w:ilvl w:val="1"/>
          <w:numId w:val="1006"/>
        </w:numPr>
        <w:pStyle w:val="Compact"/>
      </w:pPr>
      <w:r>
        <w:t xml:space="preserve">At 4.5x 2026E P/E and 1.08x 2026E P/B for a ~25% ROE, Halyk trades ~40% below the peer median P/E (7.5x) and below the P/B its ROE</w:t>
      </w:r>
      <w:r>
        <w:t xml:space="preserve"> </w:t>
      </w:r>
      <w:r>
        <w:t xml:space="preserve">“</w:t>
      </w:r>
      <w:r>
        <w:t xml:space="preserve">deserves</w:t>
      </w:r>
      <w:r>
        <w:t xml:space="preserve">”</w:t>
      </w:r>
      <w:r>
        <w:t xml:space="preserve"> </w:t>
      </w:r>
      <w:r>
        <w:t xml:space="preserve">on the peer regression (1.9x).</w:t>
      </w:r>
    </w:p>
    <w:p>
      <w:pPr>
        <w:numPr>
          <w:ilvl w:val="1"/>
          <w:numId w:val="1006"/>
        </w:numPr>
        <w:pStyle w:val="Compact"/>
      </w:pPr>
      <w:r>
        <w:t xml:space="preserve">Against its own five-year range, however, it already sits at the top on P/B (average 0.95x), after a +45% run from the November 2025 placement.</w:t>
      </w:r>
    </w:p>
    <w:p>
      <w:pPr>
        <w:numPr>
          <w:ilvl w:val="1"/>
          <w:numId w:val="1006"/>
        </w:numPr>
        <w:pStyle w:val="Compact"/>
      </w:pPr>
      <w:r>
        <w:t xml:space="preserve">Our US$38 target uses a blend:</w:t>
      </w:r>
    </w:p>
    <w:p>
      <w:pPr>
        <w:numPr>
          <w:ilvl w:val="2"/>
          <w:numId w:val="1007"/>
        </w:numPr>
        <w:pStyle w:val="Compact"/>
      </w:pPr>
      <w:r>
        <w:t xml:space="preserve">5.0x 2027E P/E;</w:t>
      </w:r>
    </w:p>
    <w:p>
      <w:pPr>
        <w:numPr>
          <w:ilvl w:val="2"/>
          <w:numId w:val="1007"/>
        </w:numPr>
        <w:pStyle w:val="Compact"/>
      </w:pPr>
      <w:r>
        <w:t xml:space="preserve">1.2x 2027E P/B;</w:t>
      </w:r>
    </w:p>
    <w:p>
      <w:pPr>
        <w:numPr>
          <w:ilvl w:val="2"/>
          <w:numId w:val="1007"/>
        </w:numPr>
        <w:pStyle w:val="Compact"/>
      </w:pPr>
      <w:r>
        <w:t xml:space="preserve">a residual-income value at a 19.5% KZT cost of equity.</w:t>
      </w:r>
    </w:p>
    <w:p>
      <w:pPr>
        <w:numPr>
          <w:ilvl w:val="1"/>
          <w:numId w:val="1006"/>
        </w:numPr>
        <w:pStyle w:val="Compact"/>
      </w:pPr>
      <w:r>
        <w:t xml:space="preserve">The target implies only modest re-rating. Most of the return is the dividend.</w:t>
      </w:r>
    </w:p>
    <w:p>
      <w:pPr>
        <w:numPr>
          <w:ilvl w:val="0"/>
          <w:numId w:val="1002"/>
        </w:numPr>
        <w:pStyle w:val="Compact"/>
      </w:pPr>
      <w:r>
        <w:rPr>
          <w:bCs/>
          <w:b/>
        </w:rPr>
        <w:t xml:space="preserve">The dividend is the anchor.</w:t>
      </w:r>
    </w:p>
    <w:p>
      <w:pPr>
        <w:numPr>
          <w:ilvl w:val="1"/>
          <w:numId w:val="1008"/>
        </w:numPr>
        <w:pStyle w:val="Compact"/>
      </w:pPr>
      <w:r>
        <w:t xml:space="preserve">Payout has risen from 30% (FY21) to ~60% (FY23–25), paid in two tranches. FY25 DPS was KZT58.19 (+15%).</w:t>
      </w:r>
    </w:p>
    <w:p>
      <w:pPr>
        <w:numPr>
          <w:ilvl w:val="1"/>
          <w:numId w:val="1008"/>
        </w:numPr>
        <w:pStyle w:val="Compact"/>
      </w:pPr>
      <w:r>
        <w:t xml:space="preserve">Organic capital generation (ROE ~24.5% × 40% retained ≈ 10% book growth) supports ~10% loan growth at a 60% payout without diluting the 19% capital ratio. That leaves 700bp of headroom over the 12% minimum.</w:t>
      </w:r>
    </w:p>
    <w:p>
      <w:pPr>
        <w:numPr>
          <w:ilvl w:val="1"/>
          <w:numId w:val="1008"/>
        </w:numPr>
        <w:pStyle w:val="Compact"/>
      </w:pPr>
      <w:r>
        <w:t xml:space="preserve">We forecast DPS of KZT49.5, 54.1 and 59.4 for FY26E–FY28E.</w:t>
      </w:r>
    </w:p>
    <w:p>
      <w:pPr>
        <w:numPr>
          <w:ilvl w:val="0"/>
          <w:numId w:val="1002"/>
        </w:numPr>
        <w:pStyle w:val="Compact"/>
      </w:pPr>
      <w:r>
        <w:rPr>
          <w:bCs/>
          <w:b/>
        </w:rPr>
        <w:t xml:space="preserve">The event angle: ALMEX’s exit path.</w:t>
      </w:r>
    </w:p>
    <w:p>
      <w:pPr>
        <w:numPr>
          <w:ilvl w:val="1"/>
          <w:numId w:val="1009"/>
        </w:numPr>
        <w:pStyle w:val="Compact"/>
      </w:pPr>
      <w:r>
        <w:t xml:space="preserve">The Kulibayev family’s ALMEX sold 7.6% at US$23 in November 2025 (upsized from 4%). It has said it wants to keep at least 51%, which leaves ~11pp (~US$1.0bn at today’s price) that could come to market.</w:t>
      </w:r>
    </w:p>
    <w:p>
      <w:pPr>
        <w:numPr>
          <w:ilvl w:val="1"/>
          <w:numId w:val="1009"/>
        </w:numPr>
        <w:pStyle w:val="Compact"/>
      </w:pPr>
      <w:r>
        <w:t xml:space="preserve">The 365-day lock-up ends around 25 November 2026. Each placement has been absorbed at a discount and then re-rated, and has added free float and index weight.</w:t>
      </w:r>
    </w:p>
    <w:p>
      <w:pPr>
        <w:numPr>
          <w:ilvl w:val="1"/>
          <w:numId w:val="1009"/>
        </w:numPr>
        <w:pStyle w:val="Compact"/>
      </w:pPr>
      <w:r>
        <w:t xml:space="preserve">We would use any placement to build the position.</w:t>
      </w:r>
    </w:p>
    <w:p>
      <w:pPr>
        <w:numPr>
          <w:ilvl w:val="0"/>
          <w:numId w:val="1002"/>
        </w:numPr>
        <w:pStyle w:val="Compact"/>
      </w:pPr>
      <w:r>
        <w:rPr>
          <w:bCs/>
          <w:b/>
        </w:rPr>
        <w:t xml:space="preserve">What could make us wrong:</w:t>
      </w:r>
    </w:p>
    <w:p>
      <w:pPr>
        <w:numPr>
          <w:ilvl w:val="1"/>
          <w:numId w:val="1010"/>
        </w:numPr>
        <w:pStyle w:val="Compact"/>
      </w:pPr>
      <w:r>
        <w:t xml:space="preserve">A deeper earnings reset: NIM falls below 6.3% as rate cuts reprice assets faster than deposits, and retail NPLs crystallise.</w:t>
      </w:r>
    </w:p>
    <w:p>
      <w:pPr>
        <w:numPr>
          <w:ilvl w:val="1"/>
          <w:numId w:val="1010"/>
        </w:numPr>
        <w:pStyle w:val="Compact"/>
      </w:pPr>
      <w:r>
        <w:t xml:space="preserve">Politically driven measures against bank profits: windfall taxes, rate caps or forced lending.</w:t>
      </w:r>
    </w:p>
    <w:p>
      <w:pPr>
        <w:numPr>
          <w:ilvl w:val="1"/>
          <w:numId w:val="1010"/>
        </w:numPr>
        <w:pStyle w:val="Compact"/>
      </w:pPr>
      <w:r>
        <w:t xml:space="preserve">Political tail risk around a controlling family related to the former president.</w:t>
      </w:r>
    </w:p>
    <w:p>
      <w:pPr>
        <w:numPr>
          <w:ilvl w:val="1"/>
          <w:numId w:val="1010"/>
        </w:numPr>
        <w:pStyle w:val="Compact"/>
      </w:pPr>
      <w:r>
        <w:t xml:space="preserve">Tenge devaluation, which falls 1:1 on GDR holders.</w:t>
      </w:r>
    </w:p>
    <w:bookmarkEnd w:id="20"/>
    <w:bookmarkStart w:id="21" w:name="our-estimates-vs-guidance-and-consensus"/>
    <w:p>
      <w:pPr>
        <w:pStyle w:val="Heading2"/>
      </w:pPr>
      <w:r>
        <w:t xml:space="preserve">Our estimates vs guidance and consensus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951"/>
        <w:gridCol w:w="997"/>
        <w:gridCol w:w="997"/>
        <w:gridCol w:w="1268"/>
        <w:gridCol w:w="1279"/>
        <w:gridCol w:w="997"/>
        <w:gridCol w:w="1490"/>
        <w:gridCol w:w="997"/>
      </w:tblGrid>
      <w:tr>
        <w:trPr>
          <w:tblHeader w:val="true"/>
          <w:cantSplit/>
          <w:tblHeader w:val="true"/>
        </w:trPr>
        <w:tc>
          <w:tcPr>
            <w:tcW w:w="1951" w:type="dxa"/>
            <w:shd w:val="clear" w:color="auto" w:fill="13213F"/>
          </w:tcPr>
          <w:p>
            <w:pPr>
              <w:pStyle w:val="Compact"/>
              <w:spacing w:before="0" w:after="0" w:line="240" w:lineRule="auto"/>
              <w:jc w:val="left"/>
            </w:pPr>
            <w:r>
              <w:rPr>
                <w:rFonts w:ascii="Arial" w:hAnsi="Arial"/>
                <w:b/>
                <w:color w:val="FFFFFF"/>
                <w:sz w:val="15"/>
              </w:rPr>
              <w:t xml:space="preserve">KZT bn</w:t>
            </w:r>
          </w:p>
        </w:tc>
        <w:tc>
          <w:tcPr>
            <w:tcW w:w="997" w:type="dxa"/>
            <w:shd w:val="clear" w:color="auto" w:fill="13213F"/>
          </w:tcPr>
          <w:p>
            <w:pPr>
              <w:pStyle w:val="Compact"/>
              <w:spacing w:before="0" w:after="0" w:line="240" w:lineRule="auto"/>
              <w:jc w:val="left"/>
            </w:pPr>
            <w:r>
              <w:rPr>
                <w:rFonts w:ascii="Arial" w:hAnsi="Arial"/>
                <w:b/>
                <w:color w:val="FFFFFF"/>
                <w:sz w:val="15"/>
              </w:rPr>
              <w:t xml:space="preserve">FY2025A</w:t>
            </w:r>
          </w:p>
        </w:tc>
        <w:tc>
          <w:tcPr>
            <w:tcW w:w="997" w:type="dxa"/>
            <w:shd w:val="clear" w:color="auto" w:fill="13213F"/>
          </w:tcPr>
          <w:p>
            <w:pPr>
              <w:pStyle w:val="Compact"/>
              <w:spacing w:before="0" w:after="0" w:line="240" w:lineRule="auto"/>
              <w:jc w:val="left"/>
            </w:pPr>
            <w:r>
              <w:rPr>
                <w:rFonts w:ascii="Arial" w:hAnsi="Arial"/>
                <w:b/>
                <w:color w:val="FFFFFF"/>
                <w:sz w:val="15"/>
              </w:rPr>
              <w:t xml:space="preserve">FY2026E ours</w:t>
            </w:r>
          </w:p>
        </w:tc>
        <w:tc>
          <w:tcPr>
            <w:tcW w:w="1268" w:type="dxa"/>
            <w:shd w:val="clear" w:color="auto" w:fill="13213F"/>
          </w:tcPr>
          <w:p>
            <w:pPr>
              <w:pStyle w:val="Compact"/>
              <w:spacing w:before="0" w:after="0" w:line="240" w:lineRule="auto"/>
              <w:jc w:val="left"/>
            </w:pPr>
            <w:r>
              <w:rPr>
                <w:rFonts w:ascii="Arial" w:hAnsi="Arial"/>
                <w:b/>
                <w:color w:val="FFFFFF"/>
                <w:sz w:val="15"/>
              </w:rPr>
              <w:t xml:space="preserve">FY2026 guidance</w:t>
            </w:r>
          </w:p>
        </w:tc>
        <w:tc>
          <w:tcPr>
            <w:tcW w:w="1279" w:type="dxa"/>
            <w:shd w:val="clear" w:color="auto" w:fill="13213F"/>
          </w:tcPr>
          <w:p>
            <w:pPr>
              <w:pStyle w:val="Compact"/>
              <w:spacing w:before="0" w:after="0" w:line="240" w:lineRule="auto"/>
              <w:jc w:val="left"/>
            </w:pPr>
            <w:r>
              <w:rPr>
                <w:rFonts w:ascii="Arial" w:hAnsi="Arial"/>
                <w:b/>
                <w:color w:val="FFFFFF"/>
                <w:sz w:val="15"/>
              </w:rPr>
              <w:t xml:space="preserve">FY2026 consensus [u]</w:t>
            </w:r>
          </w:p>
        </w:tc>
        <w:tc>
          <w:tcPr>
            <w:tcW w:w="997" w:type="dxa"/>
            <w:shd w:val="clear" w:color="auto" w:fill="13213F"/>
          </w:tcPr>
          <w:p>
            <w:pPr>
              <w:pStyle w:val="Compact"/>
              <w:spacing w:before="0" w:after="0" w:line="240" w:lineRule="auto"/>
              <w:jc w:val="left"/>
            </w:pPr>
            <w:r>
              <w:rPr>
                <w:rFonts w:ascii="Arial" w:hAnsi="Arial"/>
                <w:b/>
                <w:color w:val="FFFFFF"/>
                <w:sz w:val="15"/>
              </w:rPr>
              <w:t xml:space="preserve">FY2027E ours</w:t>
            </w:r>
          </w:p>
        </w:tc>
        <w:tc>
          <w:tcPr>
            <w:tcW w:w="1490" w:type="dxa"/>
            <w:shd w:val="clear" w:color="auto" w:fill="13213F"/>
          </w:tcPr>
          <w:p>
            <w:pPr>
              <w:pStyle w:val="Compact"/>
              <w:spacing w:before="0" w:after="0" w:line="240" w:lineRule="auto"/>
              <w:jc w:val="left"/>
            </w:pPr>
            <w:r>
              <w:rPr>
                <w:rFonts w:ascii="Arial" w:hAnsi="Arial"/>
                <w:b/>
                <w:color w:val="FFFFFF"/>
                <w:sz w:val="15"/>
              </w:rPr>
              <w:t xml:space="preserve">FY2027 consensus [u]</w:t>
            </w:r>
          </w:p>
        </w:tc>
        <w:tc>
          <w:tcPr>
            <w:tcW w:w="997" w:type="dxa"/>
            <w:shd w:val="clear" w:color="auto" w:fill="13213F"/>
          </w:tcPr>
          <w:p>
            <w:pPr>
              <w:pStyle w:val="Compact"/>
              <w:spacing w:before="0" w:after="0" w:line="240" w:lineRule="auto"/>
              <w:jc w:val="left"/>
            </w:pPr>
            <w:r>
              <w:rPr>
                <w:rFonts w:ascii="Arial" w:hAnsi="Arial"/>
                <w:b/>
                <w:color w:val="FFFFFF"/>
                <w:sz w:val="15"/>
              </w:rPr>
              <w:t xml:space="preserve">FY2028E ours</w:t>
            </w:r>
          </w:p>
        </w:tc>
      </w:tr>
      <w:tr>
        <w:trPr>
          <w:cantSplit/>
        </w:trPr>
        <w:tc>
          <w:tcPr>
            <w:tcW w:w="1951" w:type="dxa"/>
          </w:tcPr>
          <w:p>
            <w:pPr>
              <w:pStyle w:val="Compact"/>
              <w:spacing w:before="0" w:after="0" w:line="240" w:lineRule="auto"/>
              <w:jc w:val="left"/>
            </w:pPr>
            <w:r>
              <w:rPr>
                <w:rFonts w:ascii="Arial" w:hAnsi="Arial"/>
                <w:sz w:val="15"/>
              </w:rPr>
              <w:t xml:space="preserve">Net interest income</w:t>
            </w:r>
          </w:p>
        </w:tc>
        <w:tc>
          <w:tcPr>
            <w:tcW w:w="997" w:type="dxa"/>
          </w:tcPr>
          <w:p>
            <w:pPr>
              <w:pStyle w:val="Compact"/>
              <w:spacing w:before="0" w:after="0" w:line="240" w:lineRule="auto"/>
              <w:jc w:val="left"/>
            </w:pPr>
            <w:r>
              <w:rPr>
                <w:rFonts w:ascii="Arial" w:hAnsi="Arial"/>
                <w:sz w:val="15"/>
              </w:rPr>
              <w:t xml:space="preserve">1,287.7</w:t>
            </w:r>
          </w:p>
        </w:tc>
        <w:tc>
          <w:tcPr>
            <w:tcW w:w="997" w:type="dxa"/>
          </w:tcPr>
          <w:p>
            <w:pPr>
              <w:pStyle w:val="Compact"/>
              <w:spacing w:before="0" w:after="0" w:line="240" w:lineRule="auto"/>
              <w:jc w:val="left"/>
            </w:pPr>
            <w:r>
              <w:rPr>
                <w:rFonts w:ascii="Arial" w:hAnsi="Arial"/>
                <w:sz w:val="15"/>
              </w:rPr>
              <w:t xml:space="preserve">1,322</w:t>
            </w:r>
          </w:p>
        </w:tc>
        <w:tc>
          <w:tcPr>
            <w:tcW w:w="1268" w:type="dxa"/>
          </w:tcPr>
          <w:p>
            <w:pPr>
              <w:pStyle w:val="Compact"/>
              <w:spacing w:before="0" w:after="0" w:line="240" w:lineRule="auto"/>
              <w:jc w:val="left"/>
            </w:pPr>
            <w:r>
              <w:rPr>
                <w:rFonts w:ascii="Arial" w:hAnsi="Arial"/>
                <w:sz w:val="15"/>
              </w:rPr>
              <w:t xml:space="preserve">NIM ~6.8%</w:t>
            </w:r>
          </w:p>
        </w:tc>
        <w:tc>
          <w:tcPr>
            <w:tcW w:w="1279"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1,401</w:t>
            </w:r>
          </w:p>
        </w:tc>
        <w:tc>
          <w:tcPr>
            <w:tcW w:w="1490"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1,524</w:t>
            </w:r>
          </w:p>
        </w:tc>
      </w:tr>
      <w:tr>
        <w:trPr>
          <w:cantSplit/>
        </w:trPr>
        <w:tc>
          <w:tcPr>
            <w:tcW w:w="1951" w:type="dxa"/>
            <w:shd w:val="clear" w:color="auto" w:fill="F2F4F8"/>
          </w:tcPr>
          <w:p>
            <w:pPr>
              <w:pStyle w:val="Compact"/>
              <w:spacing w:before="0" w:after="0" w:line="240" w:lineRule="auto"/>
              <w:jc w:val="left"/>
            </w:pPr>
            <w:r>
              <w:rPr>
                <w:rFonts w:ascii="Arial" w:hAnsi="Arial"/>
                <w:sz w:val="15"/>
              </w:rPr>
              <w:t xml:space="preserve">Total operating income [d/e]</w:t>
            </w:r>
          </w:p>
        </w:tc>
        <w:tc>
          <w:tcPr>
            <w:tcW w:w="997" w:type="dxa"/>
            <w:shd w:val="clear" w:color="auto" w:fill="F2F4F8"/>
          </w:tcPr>
          <w:p>
            <w:pPr>
              <w:pStyle w:val="Compact"/>
              <w:spacing w:before="0" w:after="0" w:line="240" w:lineRule="auto"/>
              <w:jc w:val="left"/>
            </w:pPr>
            <w:r>
              <w:rPr>
                <w:rFonts w:ascii="Arial" w:hAnsi="Arial"/>
                <w:sz w:val="15"/>
              </w:rPr>
              <w:t xml:space="preserve">1,760</w:t>
            </w:r>
          </w:p>
        </w:tc>
        <w:tc>
          <w:tcPr>
            <w:tcW w:w="997" w:type="dxa"/>
            <w:shd w:val="clear" w:color="auto" w:fill="F2F4F8"/>
          </w:tcPr>
          <w:p>
            <w:pPr>
              <w:pStyle w:val="Compact"/>
              <w:spacing w:before="0" w:after="0" w:line="240" w:lineRule="auto"/>
              <w:jc w:val="left"/>
            </w:pPr>
            <w:r>
              <w:rPr>
                <w:rFonts w:ascii="Arial" w:hAnsi="Arial"/>
                <w:sz w:val="15"/>
              </w:rPr>
              <w:t xml:space="preserve">1,638</w:t>
            </w:r>
          </w:p>
        </w:tc>
        <w:tc>
          <w:tcPr>
            <w:tcW w:w="1268" w:type="dxa"/>
            <w:shd w:val="clear" w:color="auto" w:fill="F2F4F8"/>
          </w:tcPr>
          <w:p>
            <w:pPr>
              <w:pStyle w:val="Compact"/>
              <w:spacing w:before="0" w:after="0" w:line="240" w:lineRule="auto"/>
              <w:jc w:val="left"/>
            </w:pPr>
            <w:r>
              <w:rPr>
                <w:rFonts w:ascii="Arial" w:hAnsi="Arial"/>
                <w:sz w:val="15"/>
              </w:rPr>
              <w:t xml:space="preserve">n/a</w:t>
            </w:r>
          </w:p>
        </w:tc>
        <w:tc>
          <w:tcPr>
            <w:tcW w:w="1279" w:type="dxa"/>
            <w:shd w:val="clear" w:color="auto" w:fill="F2F4F8"/>
          </w:tcPr>
          <w:p>
            <w:pPr>
              <w:pStyle w:val="Compact"/>
              <w:spacing w:before="0" w:after="0" w:line="240" w:lineRule="auto"/>
              <w:jc w:val="left"/>
            </w:pPr>
            <w:r>
              <w:rPr>
                <w:rFonts w:ascii="Arial" w:hAnsi="Arial"/>
                <w:sz w:val="15"/>
              </w:rPr>
              <w:t xml:space="preserve">n/a</w:t>
            </w:r>
          </w:p>
        </w:tc>
        <w:tc>
          <w:tcPr>
            <w:tcW w:w="997" w:type="dxa"/>
            <w:shd w:val="clear" w:color="auto" w:fill="F2F4F8"/>
          </w:tcPr>
          <w:p>
            <w:pPr>
              <w:pStyle w:val="Compact"/>
              <w:spacing w:before="0" w:after="0" w:line="240" w:lineRule="auto"/>
              <w:jc w:val="left"/>
            </w:pPr>
            <w:r>
              <w:rPr>
                <w:rFonts w:ascii="Arial" w:hAnsi="Arial"/>
                <w:sz w:val="15"/>
              </w:rPr>
              <w:t xml:space="preserve">1,805</w:t>
            </w:r>
          </w:p>
        </w:tc>
        <w:tc>
          <w:tcPr>
            <w:tcW w:w="1490" w:type="dxa"/>
            <w:shd w:val="clear" w:color="auto" w:fill="F2F4F8"/>
          </w:tcPr>
          <w:p>
            <w:pPr>
              <w:pStyle w:val="Compact"/>
              <w:spacing w:before="0" w:after="0" w:line="240" w:lineRule="auto"/>
              <w:jc w:val="left"/>
            </w:pPr>
            <w:r>
              <w:rPr>
                <w:rFonts w:ascii="Arial" w:hAnsi="Arial"/>
                <w:sz w:val="15"/>
              </w:rPr>
              <w:t xml:space="preserve">n/a</w:t>
            </w:r>
          </w:p>
        </w:tc>
        <w:tc>
          <w:tcPr>
            <w:tcW w:w="997" w:type="dxa"/>
            <w:shd w:val="clear" w:color="auto" w:fill="F2F4F8"/>
          </w:tcPr>
          <w:p>
            <w:pPr>
              <w:pStyle w:val="Compact"/>
              <w:spacing w:before="0" w:after="0" w:line="240" w:lineRule="auto"/>
              <w:jc w:val="left"/>
            </w:pPr>
            <w:r>
              <w:rPr>
                <w:rFonts w:ascii="Arial" w:hAnsi="Arial"/>
                <w:sz w:val="15"/>
              </w:rPr>
              <w:t xml:space="preserve">1,964</w:t>
            </w:r>
          </w:p>
        </w:tc>
      </w:tr>
      <w:tr>
        <w:trPr>
          <w:cantSplit/>
        </w:trPr>
        <w:tc>
          <w:tcPr>
            <w:tcW w:w="1951" w:type="dxa"/>
            <w:shd w:val="clear" w:color="auto" w:fill="F2F4F8"/>
          </w:tcPr>
          <w:p>
            <w:pPr>
              <w:pStyle w:val="Compact"/>
              <w:spacing w:before="0" w:after="0" w:line="240" w:lineRule="auto"/>
              <w:jc w:val="left"/>
            </w:pPr>
            <w:r>
              <w:rPr>
                <w:rFonts w:ascii="Arial" w:hAnsi="Arial"/>
                <w:sz w:val="15"/>
              </w:rPr>
              <w:t xml:space="preserve">Net income</w:t>
            </w:r>
          </w:p>
        </w:tc>
        <w:tc>
          <w:tcPr>
            <w:tcW w:w="997" w:type="dxa"/>
            <w:shd w:val="clear" w:color="auto" w:fill="F2F4F8"/>
          </w:tcPr>
          <w:p>
            <w:pPr>
              <w:pStyle w:val="Compact"/>
              <w:spacing w:before="0" w:after="0" w:line="240" w:lineRule="auto"/>
              <w:jc w:val="left"/>
            </w:pPr>
            <w:r>
              <w:rPr>
                <w:rFonts w:ascii="Arial" w:hAnsi="Arial"/>
                <w:sz w:val="15"/>
              </w:rPr>
              <w:t xml:space="preserve">1,058.4</w:t>
            </w:r>
          </w:p>
        </w:tc>
        <w:tc>
          <w:tcPr>
            <w:tcW w:w="997" w:type="dxa"/>
            <w:shd w:val="clear" w:color="auto" w:fill="F2F4F8"/>
          </w:tcPr>
          <w:p>
            <w:pPr>
              <w:pStyle w:val="Compact"/>
              <w:spacing w:before="0" w:after="0" w:line="240" w:lineRule="auto"/>
              <w:jc w:val="left"/>
            </w:pPr>
            <w:r>
              <w:rPr>
                <w:bCs/>
                <w:rFonts w:ascii="Arial" w:hAnsi="Arial"/>
                <w:b/>
                <w:sz w:val="15"/>
              </w:rPr>
              <w:t xml:space="preserve">900</w:t>
            </w:r>
          </w:p>
        </w:tc>
        <w:tc>
          <w:tcPr>
            <w:tcW w:w="1268" w:type="dxa"/>
            <w:shd w:val="clear" w:color="auto" w:fill="F2F4F8"/>
          </w:tcPr>
          <w:p>
            <w:pPr>
              <w:pStyle w:val="Compact"/>
              <w:spacing w:before="0" w:after="0" w:line="240" w:lineRule="auto"/>
              <w:jc w:val="left"/>
            </w:pPr>
            <w:r>
              <w:rPr>
                <w:bCs/>
                <w:rFonts w:ascii="Arial" w:hAnsi="Arial"/>
                <w:b/>
                <w:sz w:val="15"/>
              </w:rPr>
              <w:t xml:space="preserve">~1,000</w:t>
            </w:r>
          </w:p>
        </w:tc>
        <w:tc>
          <w:tcPr>
            <w:tcW w:w="1279" w:type="dxa"/>
            <w:shd w:val="clear" w:color="auto" w:fill="F2F4F8"/>
          </w:tcPr>
          <w:p>
            <w:pPr>
              <w:pStyle w:val="Compact"/>
              <w:spacing w:before="0" w:after="0" w:line="240" w:lineRule="auto"/>
              <w:jc w:val="left"/>
            </w:pPr>
            <w:r>
              <w:rPr>
                <w:rFonts w:ascii="Arial" w:hAnsi="Arial"/>
                <w:sz w:val="15"/>
              </w:rPr>
              <w:t xml:space="preserve">~950–1,000</w:t>
            </w:r>
          </w:p>
        </w:tc>
        <w:tc>
          <w:tcPr>
            <w:tcW w:w="997" w:type="dxa"/>
            <w:shd w:val="clear" w:color="auto" w:fill="F2F4F8"/>
          </w:tcPr>
          <w:p>
            <w:pPr>
              <w:pStyle w:val="Compact"/>
              <w:spacing w:before="0" w:after="0" w:line="240" w:lineRule="auto"/>
              <w:jc w:val="left"/>
            </w:pPr>
            <w:r>
              <w:rPr>
                <w:bCs/>
                <w:rFonts w:ascii="Arial" w:hAnsi="Arial"/>
                <w:b/>
                <w:sz w:val="15"/>
              </w:rPr>
              <w:t xml:space="preserve">984</w:t>
            </w:r>
          </w:p>
        </w:tc>
        <w:tc>
          <w:tcPr>
            <w:tcW w:w="1490" w:type="dxa"/>
            <w:shd w:val="clear" w:color="auto" w:fill="F2F4F8"/>
          </w:tcPr>
          <w:p>
            <w:pPr>
              <w:pStyle w:val="Compact"/>
              <w:spacing w:before="0" w:after="0" w:line="240" w:lineRule="auto"/>
              <w:jc w:val="left"/>
            </w:pPr>
            <w:r>
              <w:rPr>
                <w:rFonts w:ascii="Arial" w:hAnsi="Arial"/>
                <w:sz w:val="15"/>
              </w:rPr>
              <w:t xml:space="preserve">~1,000–1,100</w:t>
            </w:r>
          </w:p>
        </w:tc>
        <w:tc>
          <w:tcPr>
            <w:tcW w:w="997" w:type="dxa"/>
            <w:shd w:val="clear" w:color="auto" w:fill="F2F4F8"/>
          </w:tcPr>
          <w:p>
            <w:pPr>
              <w:pStyle w:val="Compact"/>
              <w:spacing w:before="0" w:after="0" w:line="240" w:lineRule="auto"/>
              <w:jc w:val="left"/>
            </w:pPr>
            <w:r>
              <w:rPr>
                <w:bCs/>
                <w:rFonts w:ascii="Arial" w:hAnsi="Arial"/>
                <w:b/>
                <w:sz w:val="15"/>
              </w:rPr>
              <w:t xml:space="preserve">1,081</w:t>
            </w:r>
          </w:p>
        </w:tc>
      </w:tr>
      <w:tr>
        <w:trPr>
          <w:cantSplit/>
        </w:trPr>
        <w:tc>
          <w:tcPr>
            <w:tcW w:w="1951" w:type="dxa"/>
          </w:tcPr>
          <w:p>
            <w:pPr>
              <w:pStyle w:val="Compact"/>
              <w:spacing w:before="0" w:after="0" w:line="240" w:lineRule="auto"/>
              <w:jc w:val="left"/>
            </w:pPr>
            <w:r>
              <w:rPr>
                <w:rFonts w:ascii="Arial" w:hAnsi="Arial"/>
                <w:sz w:val="15"/>
              </w:rPr>
              <w:t xml:space="preserve">EPS (KZT/share)</w:t>
            </w:r>
          </w:p>
        </w:tc>
        <w:tc>
          <w:tcPr>
            <w:tcW w:w="997" w:type="dxa"/>
          </w:tcPr>
          <w:p>
            <w:pPr>
              <w:pStyle w:val="Compact"/>
              <w:spacing w:before="0" w:after="0" w:line="240" w:lineRule="auto"/>
              <w:jc w:val="left"/>
            </w:pPr>
            <w:r>
              <w:rPr>
                <w:rFonts w:ascii="Arial" w:hAnsi="Arial"/>
                <w:sz w:val="15"/>
              </w:rPr>
              <w:t xml:space="preserve">97.1</w:t>
            </w:r>
          </w:p>
        </w:tc>
        <w:tc>
          <w:tcPr>
            <w:tcW w:w="997" w:type="dxa"/>
          </w:tcPr>
          <w:p>
            <w:pPr>
              <w:pStyle w:val="Compact"/>
              <w:spacing w:before="0" w:after="0" w:line="240" w:lineRule="auto"/>
              <w:jc w:val="left"/>
            </w:pPr>
            <w:r>
              <w:rPr>
                <w:rFonts w:ascii="Arial" w:hAnsi="Arial"/>
                <w:sz w:val="15"/>
              </w:rPr>
              <w:t xml:space="preserve">82.5</w:t>
            </w:r>
          </w:p>
        </w:tc>
        <w:tc>
          <w:tcPr>
            <w:tcW w:w="1268" w:type="dxa"/>
          </w:tcPr>
          <w:p>
            <w:pPr>
              <w:pStyle w:val="Compact"/>
              <w:spacing w:before="0" w:after="0" w:line="240" w:lineRule="auto"/>
              <w:jc w:val="left"/>
            </w:pPr>
            <w:r>
              <w:rPr>
                <w:rFonts w:ascii="Arial" w:hAnsi="Arial"/>
                <w:sz w:val="15"/>
              </w:rPr>
              <w:t xml:space="preserve">~92</w:t>
            </w:r>
          </w:p>
        </w:tc>
        <w:tc>
          <w:tcPr>
            <w:tcW w:w="1279" w:type="dxa"/>
          </w:tcPr>
          <w:p>
            <w:pPr>
              <w:pStyle w:val="Compact"/>
              <w:spacing w:before="0" w:after="0" w:line="240" w:lineRule="auto"/>
              <w:jc w:val="left"/>
            </w:pPr>
            <w:r>
              <w:rPr>
                <w:rFonts w:ascii="Arial" w:hAnsi="Arial"/>
                <w:sz w:val="15"/>
              </w:rPr>
              <w:t xml:space="preserve">~87–91</w:t>
            </w:r>
          </w:p>
        </w:tc>
        <w:tc>
          <w:tcPr>
            <w:tcW w:w="997" w:type="dxa"/>
          </w:tcPr>
          <w:p>
            <w:pPr>
              <w:pStyle w:val="Compact"/>
              <w:spacing w:before="0" w:after="0" w:line="240" w:lineRule="auto"/>
              <w:jc w:val="left"/>
            </w:pPr>
            <w:r>
              <w:rPr>
                <w:rFonts w:ascii="Arial" w:hAnsi="Arial"/>
                <w:sz w:val="15"/>
              </w:rPr>
              <w:t xml:space="preserve">90.2</w:t>
            </w:r>
          </w:p>
        </w:tc>
        <w:tc>
          <w:tcPr>
            <w:tcW w:w="1490" w:type="dxa"/>
          </w:tcPr>
          <w:p>
            <w:pPr>
              <w:pStyle w:val="Compact"/>
              <w:spacing w:before="0" w:after="0" w:line="240" w:lineRule="auto"/>
              <w:jc w:val="left"/>
            </w:pPr>
            <w:r>
              <w:rPr>
                <w:rFonts w:ascii="Arial" w:hAnsi="Arial"/>
                <w:sz w:val="15"/>
              </w:rPr>
              <w:t xml:space="preserve">~92–101</w:t>
            </w:r>
          </w:p>
        </w:tc>
        <w:tc>
          <w:tcPr>
            <w:tcW w:w="997" w:type="dxa"/>
          </w:tcPr>
          <w:p>
            <w:pPr>
              <w:pStyle w:val="Compact"/>
              <w:spacing w:before="0" w:after="0" w:line="240" w:lineRule="auto"/>
              <w:jc w:val="left"/>
            </w:pPr>
            <w:r>
              <w:rPr>
                <w:rFonts w:ascii="Arial" w:hAnsi="Arial"/>
                <w:sz w:val="15"/>
              </w:rPr>
              <w:t xml:space="preserve">99.0</w:t>
            </w:r>
          </w:p>
        </w:tc>
      </w:tr>
      <w:tr>
        <w:trPr>
          <w:cantSplit/>
        </w:trPr>
        <w:tc>
          <w:tcPr>
            <w:tcW w:w="1951" w:type="dxa"/>
          </w:tcPr>
          <w:p>
            <w:pPr>
              <w:pStyle w:val="Compact"/>
              <w:spacing w:before="0" w:after="0" w:line="240" w:lineRule="auto"/>
              <w:jc w:val="left"/>
            </w:pPr>
            <w:r>
              <w:rPr>
                <w:rFonts w:ascii="Arial" w:hAnsi="Arial"/>
                <w:sz w:val="15"/>
              </w:rPr>
              <w:t xml:space="preserve">EPS (US$/GDR)</w:t>
            </w:r>
          </w:p>
        </w:tc>
        <w:tc>
          <w:tcPr>
            <w:tcW w:w="997" w:type="dxa"/>
          </w:tcPr>
          <w:p>
            <w:pPr>
              <w:pStyle w:val="Compact"/>
              <w:spacing w:before="0" w:after="0" w:line="240" w:lineRule="auto"/>
              <w:jc w:val="left"/>
            </w:pPr>
            <w:r>
              <w:rPr>
                <w:rFonts w:ascii="Arial" w:hAnsi="Arial"/>
                <w:sz w:val="15"/>
              </w:rPr>
              <w:t xml:space="preserve">7.66</w:t>
            </w:r>
          </w:p>
        </w:tc>
        <w:tc>
          <w:tcPr>
            <w:tcW w:w="997" w:type="dxa"/>
          </w:tcPr>
          <w:p>
            <w:pPr>
              <w:pStyle w:val="Compact"/>
              <w:spacing w:before="0" w:after="0" w:line="240" w:lineRule="auto"/>
              <w:jc w:val="left"/>
            </w:pPr>
            <w:r>
              <w:rPr>
                <w:rFonts w:ascii="Arial" w:hAnsi="Arial"/>
                <w:sz w:val="15"/>
              </w:rPr>
              <w:t xml:space="preserve">7.17</w:t>
            </w:r>
          </w:p>
        </w:tc>
        <w:tc>
          <w:tcPr>
            <w:tcW w:w="1268" w:type="dxa"/>
          </w:tcPr>
          <w:p>
            <w:pPr>
              <w:pStyle w:val="Compact"/>
              <w:spacing w:before="0" w:after="0" w:line="240" w:lineRule="auto"/>
              <w:jc w:val="left"/>
            </w:pPr>
            <w:r>
              <w:rPr>
                <w:rFonts w:ascii="Arial" w:hAnsi="Arial"/>
                <w:sz w:val="15"/>
              </w:rPr>
              <w:t xml:space="preserve">n/a</w:t>
            </w:r>
          </w:p>
        </w:tc>
        <w:tc>
          <w:tcPr>
            <w:tcW w:w="1279" w:type="dxa"/>
          </w:tcPr>
          <w:p>
            <w:pPr>
              <w:pStyle w:val="Compact"/>
              <w:spacing w:before="0" w:after="0" w:line="240" w:lineRule="auto"/>
              <w:jc w:val="left"/>
            </w:pPr>
            <w:r>
              <w:rPr>
                <w:rFonts w:ascii="Arial" w:hAnsi="Arial"/>
                <w:sz w:val="15"/>
              </w:rPr>
              <w:t xml:space="preserve">7.31 (Edison)</w:t>
            </w:r>
          </w:p>
        </w:tc>
        <w:tc>
          <w:tcPr>
            <w:tcW w:w="997" w:type="dxa"/>
          </w:tcPr>
          <w:p>
            <w:pPr>
              <w:pStyle w:val="Compact"/>
              <w:spacing w:before="0" w:after="0" w:line="240" w:lineRule="auto"/>
              <w:jc w:val="left"/>
            </w:pPr>
            <w:r>
              <w:rPr>
                <w:rFonts w:ascii="Arial" w:hAnsi="Arial"/>
                <w:sz w:val="15"/>
              </w:rPr>
              <w:t xml:space="preserve">7.68</w:t>
            </w:r>
          </w:p>
        </w:tc>
        <w:tc>
          <w:tcPr>
            <w:tcW w:w="1490" w:type="dxa"/>
          </w:tcPr>
          <w:p>
            <w:pPr>
              <w:pStyle w:val="Compact"/>
              <w:spacing w:before="0" w:after="0" w:line="240" w:lineRule="auto"/>
              <w:jc w:val="left"/>
            </w:pPr>
            <w:r>
              <w:rPr>
                <w:rFonts w:ascii="Arial" w:hAnsi="Arial"/>
                <w:sz w:val="15"/>
              </w:rPr>
              <w:t xml:space="preserve">8.23 (Edison)</w:t>
            </w:r>
          </w:p>
        </w:tc>
        <w:tc>
          <w:tcPr>
            <w:tcW w:w="997" w:type="dxa"/>
          </w:tcPr>
          <w:p>
            <w:pPr>
              <w:pStyle w:val="Compact"/>
              <w:spacing w:before="0" w:after="0" w:line="240" w:lineRule="auto"/>
              <w:jc w:val="left"/>
            </w:pPr>
            <w:r>
              <w:rPr>
                <w:rFonts w:ascii="Arial" w:hAnsi="Arial"/>
                <w:sz w:val="15"/>
              </w:rPr>
              <w:t xml:space="preserve">8.08</w:t>
            </w:r>
          </w:p>
        </w:tc>
      </w:tr>
      <w:tr>
        <w:trPr>
          <w:cantSplit/>
        </w:trPr>
        <w:tc>
          <w:tcPr>
            <w:tcW w:w="1951" w:type="dxa"/>
          </w:tcPr>
          <w:p>
            <w:pPr>
              <w:pStyle w:val="Compact"/>
              <w:spacing w:before="0" w:after="0" w:line="240" w:lineRule="auto"/>
              <w:jc w:val="left"/>
            </w:pPr>
            <w:r>
              <w:rPr>
                <w:rFonts w:ascii="Arial" w:hAnsi="Arial"/>
                <w:sz w:val="15"/>
              </w:rPr>
              <w:t xml:space="preserve">DPS (KZT/share)</w:t>
            </w:r>
          </w:p>
        </w:tc>
        <w:tc>
          <w:tcPr>
            <w:tcW w:w="997" w:type="dxa"/>
          </w:tcPr>
          <w:p>
            <w:pPr>
              <w:pStyle w:val="Compact"/>
              <w:spacing w:before="0" w:after="0" w:line="240" w:lineRule="auto"/>
              <w:jc w:val="left"/>
            </w:pPr>
            <w:r>
              <w:rPr>
                <w:rFonts w:ascii="Arial" w:hAnsi="Arial"/>
                <w:sz w:val="15"/>
              </w:rPr>
              <w:t xml:space="preserve">58.19</w:t>
            </w:r>
          </w:p>
        </w:tc>
        <w:tc>
          <w:tcPr>
            <w:tcW w:w="997" w:type="dxa"/>
          </w:tcPr>
          <w:p>
            <w:pPr>
              <w:pStyle w:val="Compact"/>
              <w:spacing w:before="0" w:after="0" w:line="240" w:lineRule="auto"/>
              <w:jc w:val="left"/>
            </w:pPr>
            <w:r>
              <w:rPr>
                <w:rFonts w:ascii="Arial" w:hAnsi="Arial"/>
                <w:sz w:val="15"/>
              </w:rPr>
              <w:t xml:space="preserve">49.5</w:t>
            </w:r>
          </w:p>
        </w:tc>
        <w:tc>
          <w:tcPr>
            <w:tcW w:w="1268" w:type="dxa"/>
          </w:tcPr>
          <w:p>
            <w:pPr>
              <w:pStyle w:val="Compact"/>
              <w:spacing w:before="0" w:after="0" w:line="240" w:lineRule="auto"/>
              <w:jc w:val="left"/>
            </w:pPr>
            <w:r>
              <w:rPr>
                <w:rFonts w:ascii="Arial" w:hAnsi="Arial"/>
                <w:sz w:val="15"/>
              </w:rPr>
              <w:t xml:space="preserve">50%+ payout</w:t>
            </w:r>
          </w:p>
        </w:tc>
        <w:tc>
          <w:tcPr>
            <w:tcW w:w="1279"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54.1</w:t>
            </w:r>
          </w:p>
        </w:tc>
        <w:tc>
          <w:tcPr>
            <w:tcW w:w="1490"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59.4</w:t>
            </w:r>
          </w:p>
        </w:tc>
      </w:tr>
      <w:tr>
        <w:trPr>
          <w:cantSplit/>
        </w:trPr>
        <w:tc>
          <w:tcPr>
            <w:tcW w:w="1951" w:type="dxa"/>
          </w:tcPr>
          <w:p>
            <w:pPr>
              <w:pStyle w:val="Compact"/>
              <w:spacing w:before="0" w:after="0" w:line="240" w:lineRule="auto"/>
              <w:jc w:val="left"/>
            </w:pPr>
            <w:r>
              <w:rPr>
                <w:rFonts w:ascii="Arial" w:hAnsi="Arial"/>
                <w:sz w:val="15"/>
              </w:rPr>
              <w:t xml:space="preserve">ROAE</w:t>
            </w:r>
          </w:p>
        </w:tc>
        <w:tc>
          <w:tcPr>
            <w:tcW w:w="997" w:type="dxa"/>
          </w:tcPr>
          <w:p>
            <w:pPr>
              <w:pStyle w:val="Compact"/>
              <w:spacing w:before="0" w:after="0" w:line="240" w:lineRule="auto"/>
              <w:jc w:val="left"/>
            </w:pPr>
            <w:r>
              <w:rPr>
                <w:rFonts w:ascii="Arial" w:hAnsi="Arial"/>
                <w:sz w:val="15"/>
              </w:rPr>
              <w:t xml:space="preserve">32.6%</w:t>
            </w:r>
          </w:p>
        </w:tc>
        <w:tc>
          <w:tcPr>
            <w:tcW w:w="997" w:type="dxa"/>
          </w:tcPr>
          <w:p>
            <w:pPr>
              <w:pStyle w:val="Compact"/>
              <w:spacing w:before="0" w:after="0" w:line="240" w:lineRule="auto"/>
              <w:jc w:val="left"/>
            </w:pPr>
            <w:r>
              <w:rPr>
                <w:rFonts w:ascii="Arial" w:hAnsi="Arial"/>
                <w:sz w:val="15"/>
              </w:rPr>
              <w:t xml:space="preserve">24.7%</w:t>
            </w:r>
          </w:p>
        </w:tc>
        <w:tc>
          <w:tcPr>
            <w:tcW w:w="1268" w:type="dxa"/>
          </w:tcPr>
          <w:p>
            <w:pPr>
              <w:pStyle w:val="Compact"/>
              <w:spacing w:before="0" w:after="0" w:line="240" w:lineRule="auto"/>
              <w:jc w:val="left"/>
            </w:pPr>
            <w:r>
              <w:rPr>
                <w:rFonts w:ascii="Arial" w:hAnsi="Arial"/>
                <w:sz w:val="15"/>
              </w:rPr>
              <w:t xml:space="preserve">~29%</w:t>
            </w:r>
          </w:p>
        </w:tc>
        <w:tc>
          <w:tcPr>
            <w:tcW w:w="1279" w:type="dxa"/>
          </w:tcPr>
          <w:p>
            <w:pPr>
              <w:pStyle w:val="Compact"/>
              <w:spacing w:before="0" w:after="0" w:line="240" w:lineRule="auto"/>
              <w:jc w:val="left"/>
            </w:pPr>
            <w:r>
              <w:rPr>
                <w:rFonts w:ascii="Arial" w:hAnsi="Arial"/>
                <w:sz w:val="15"/>
              </w:rPr>
              <w:t xml:space="preserve">~27%</w:t>
            </w:r>
          </w:p>
        </w:tc>
        <w:tc>
          <w:tcPr>
            <w:tcW w:w="997" w:type="dxa"/>
          </w:tcPr>
          <w:p>
            <w:pPr>
              <w:pStyle w:val="Compact"/>
              <w:spacing w:before="0" w:after="0" w:line="240" w:lineRule="auto"/>
              <w:jc w:val="left"/>
            </w:pPr>
            <w:r>
              <w:rPr>
                <w:rFonts w:ascii="Arial" w:hAnsi="Arial"/>
                <w:sz w:val="15"/>
              </w:rPr>
              <w:t xml:space="preserve">24.5%</w:t>
            </w:r>
          </w:p>
        </w:tc>
        <w:tc>
          <w:tcPr>
            <w:tcW w:w="1490"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24.1%</w:t>
            </w:r>
          </w:p>
        </w:tc>
      </w:tr>
      <w:tr>
        <w:trPr>
          <w:cantSplit/>
        </w:trPr>
        <w:tc>
          <w:tcPr>
            <w:tcW w:w="1951" w:type="dxa"/>
          </w:tcPr>
          <w:p>
            <w:pPr>
              <w:pStyle w:val="Compact"/>
              <w:spacing w:before="0" w:after="0" w:line="240" w:lineRule="auto"/>
              <w:jc w:val="left"/>
            </w:pPr>
            <w:r>
              <w:rPr>
                <w:rFonts w:ascii="Arial" w:hAnsi="Arial"/>
                <w:sz w:val="15"/>
              </w:rPr>
              <w:t xml:space="preserve">Cost of risk</w:t>
            </w:r>
          </w:p>
        </w:tc>
        <w:tc>
          <w:tcPr>
            <w:tcW w:w="997" w:type="dxa"/>
          </w:tcPr>
          <w:p>
            <w:pPr>
              <w:pStyle w:val="Compact"/>
              <w:spacing w:before="0" w:after="0" w:line="240" w:lineRule="auto"/>
              <w:jc w:val="left"/>
            </w:pPr>
            <w:r>
              <w:rPr>
                <w:rFonts w:ascii="Arial" w:hAnsi="Arial"/>
                <w:sz w:val="15"/>
              </w:rPr>
              <w:t xml:space="preserve">1.4%</w:t>
            </w:r>
          </w:p>
        </w:tc>
        <w:tc>
          <w:tcPr>
            <w:tcW w:w="997" w:type="dxa"/>
          </w:tcPr>
          <w:p>
            <w:pPr>
              <w:pStyle w:val="Compact"/>
              <w:spacing w:before="0" w:after="0" w:line="240" w:lineRule="auto"/>
              <w:jc w:val="left"/>
            </w:pPr>
            <w:r>
              <w:rPr>
                <w:rFonts w:ascii="Arial" w:hAnsi="Arial"/>
                <w:sz w:val="15"/>
              </w:rPr>
              <w:t xml:space="preserve">1.5%</w:t>
            </w:r>
          </w:p>
        </w:tc>
        <w:tc>
          <w:tcPr>
            <w:tcW w:w="1268" w:type="dxa"/>
          </w:tcPr>
          <w:p>
            <w:pPr>
              <w:pStyle w:val="Compact"/>
              <w:spacing w:before="0" w:after="0" w:line="240" w:lineRule="auto"/>
              <w:jc w:val="left"/>
            </w:pPr>
            <w:r>
              <w:rPr>
                <w:rFonts w:ascii="Arial" w:hAnsi="Arial"/>
                <w:sz w:val="15"/>
              </w:rPr>
              <w:t xml:space="preserve">1.4–1.5%</w:t>
            </w:r>
          </w:p>
        </w:tc>
        <w:tc>
          <w:tcPr>
            <w:tcW w:w="1279"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1.5%</w:t>
            </w:r>
          </w:p>
        </w:tc>
        <w:tc>
          <w:tcPr>
            <w:tcW w:w="1490"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1.4%</w:t>
            </w:r>
          </w:p>
        </w:tc>
      </w:tr>
      <w:tr>
        <w:trPr>
          <w:cantSplit/>
        </w:trPr>
        <w:tc>
          <w:tcPr>
            <w:tcW w:w="1951" w:type="dxa"/>
          </w:tcPr>
          <w:p>
            <w:pPr>
              <w:pStyle w:val="Compact"/>
              <w:spacing w:before="0" w:after="0" w:line="240" w:lineRule="auto"/>
              <w:jc w:val="left"/>
            </w:pPr>
            <w:r>
              <w:rPr>
                <w:rFonts w:ascii="Arial" w:hAnsi="Arial"/>
                <w:sz w:val="15"/>
              </w:rPr>
              <w:t xml:space="preserve">Cost / income</w:t>
            </w:r>
          </w:p>
        </w:tc>
        <w:tc>
          <w:tcPr>
            <w:tcW w:w="997" w:type="dxa"/>
          </w:tcPr>
          <w:p>
            <w:pPr>
              <w:pStyle w:val="Compact"/>
              <w:spacing w:before="0" w:after="0" w:line="240" w:lineRule="auto"/>
              <w:jc w:val="left"/>
            </w:pPr>
            <w:r>
              <w:rPr>
                <w:rFonts w:ascii="Arial" w:hAnsi="Arial"/>
                <w:sz w:val="15"/>
              </w:rPr>
              <w:t xml:space="preserve">17.5%</w:t>
            </w:r>
          </w:p>
        </w:tc>
        <w:tc>
          <w:tcPr>
            <w:tcW w:w="997" w:type="dxa"/>
          </w:tcPr>
          <w:p>
            <w:pPr>
              <w:pStyle w:val="Compact"/>
              <w:spacing w:before="0" w:after="0" w:line="240" w:lineRule="auto"/>
              <w:jc w:val="left"/>
            </w:pPr>
            <w:r>
              <w:rPr>
                <w:rFonts w:ascii="Arial" w:hAnsi="Arial"/>
                <w:sz w:val="15"/>
              </w:rPr>
              <w:t xml:space="preserve">19.9%</w:t>
            </w:r>
          </w:p>
        </w:tc>
        <w:tc>
          <w:tcPr>
            <w:tcW w:w="1268" w:type="dxa"/>
          </w:tcPr>
          <w:p>
            <w:pPr>
              <w:pStyle w:val="Compact"/>
              <w:spacing w:before="0" w:after="0" w:line="240" w:lineRule="auto"/>
              <w:jc w:val="left"/>
            </w:pPr>
            <w:r>
              <w:rPr>
                <w:rFonts w:ascii="Arial" w:hAnsi="Arial"/>
                <w:sz w:val="15"/>
              </w:rPr>
              <w:t xml:space="preserve">18–20%</w:t>
            </w:r>
          </w:p>
        </w:tc>
        <w:tc>
          <w:tcPr>
            <w:tcW w:w="1279"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19.7%</w:t>
            </w:r>
          </w:p>
        </w:tc>
        <w:tc>
          <w:tcPr>
            <w:tcW w:w="1490" w:type="dxa"/>
          </w:tcPr>
          <w:p>
            <w:pPr>
              <w:pStyle w:val="Compact"/>
              <w:spacing w:before="0" w:after="0" w:line="240" w:lineRule="auto"/>
              <w:jc w:val="left"/>
            </w:pPr>
            <w:r>
              <w:rPr>
                <w:rFonts w:ascii="Arial" w:hAnsi="Arial"/>
                <w:sz w:val="15"/>
              </w:rPr>
              <w:t xml:space="preserve">n/a</w:t>
            </w:r>
          </w:p>
        </w:tc>
        <w:tc>
          <w:tcPr>
            <w:tcW w:w="997" w:type="dxa"/>
          </w:tcPr>
          <w:p>
            <w:pPr>
              <w:pStyle w:val="Compact"/>
              <w:spacing w:before="0" w:after="0" w:line="240" w:lineRule="auto"/>
              <w:jc w:val="left"/>
            </w:pPr>
            <w:r>
              <w:rPr>
                <w:rFonts w:ascii="Arial" w:hAnsi="Arial"/>
                <w:sz w:val="15"/>
              </w:rPr>
              <w:t xml:space="preserve">19.7%</w:t>
            </w:r>
          </w:p>
        </w:tc>
      </w:tr>
    </w:tbl>
    <w:p>
      <w:pPr>
        <w:numPr>
          <w:ilvl w:val="0"/>
          <w:numId w:val="1011"/>
        </w:numPr>
        <w:pStyle w:val="Compact"/>
      </w:pPr>
      <w:r>
        <w:rPr>
          <w:bCs/>
          <w:b/>
        </w:rPr>
        <w:t xml:space="preserve">Consensus sources:</w:t>
      </w:r>
      <w:r>
        <w:t xml:space="preserve"> </w:t>
      </w:r>
      <w:r>
        <w:t xml:space="preserve">Halyk’s own company-compiled consensus page (quarterly only), Edison (paid research, May 2026), Stockopedia and MarketScreener aggregates, and Freedom Broker. These conflict. FY2026 consensus clusters around KZT950–1,000bn; Freedom’s target was cut to KZT440 per share after 1H26, and Investor Club Research is at ~KZT900bn.</w:t>
      </w:r>
    </w:p>
    <w:p>
      <w:pPr>
        <w:numPr>
          <w:ilvl w:val="0"/>
          <w:numId w:val="1011"/>
        </w:numPr>
        <w:pStyle w:val="Compact"/>
      </w:pPr>
      <w:r>
        <w:rPr>
          <w:bCs/>
          <w:b/>
        </w:rPr>
        <w:t xml:space="preserve">FX assumptions behind the US$ per-GDR figures:</w:t>
      </w:r>
      <w:r>
        <w:t xml:space="preserve"> </w:t>
      </w:r>
      <w:r>
        <w:t xml:space="preserve">KZT460 (2026), 470 (2027), 490 (2028).</w:t>
      </w:r>
    </w:p>
    <w:bookmarkEnd w:id="21"/>
    <w:bookmarkEnd w:id="22"/>
    <w:bookmarkStart w:id="23" w:name="a-short-laymans-guide-to-halyk-bank"/>
    <w:p>
      <w:pPr>
        <w:pStyle w:val="Heading1"/>
      </w:pPr>
      <w:r>
        <w:t xml:space="preserve">A short layman’s guide to Halyk Bank</w:t>
      </w:r>
    </w:p>
    <w:p>
      <w:pPr>
        <w:pStyle w:val="FirstParagraph"/>
      </w:pPr>
      <w:r>
        <w:rPr>
          <w:bCs/>
          <w:b/>
        </w:rPr>
        <w:t xml:space="preserve">What it is.</w:t>
      </w:r>
      <w:r>
        <w:t xml:space="preserve"> </w:t>
      </w:r>
      <w:r>
        <w:t xml:space="preserve">- Halyk (</w:t>
      </w:r>
      <w:r>
        <w:t xml:space="preserve">“</w:t>
      </w:r>
      <w:r>
        <w:t xml:space="preserve">People’s</w:t>
      </w:r>
      <w:r>
        <w:t xml:space="preserve">”</w:t>
      </w:r>
      <w:r>
        <w:t xml:space="preserve">) Bank is Kazakhstan’s biggest bank. In Soviet times it was the State Savings Bank.</w:t>
      </w:r>
      <w:r>
        <w:t xml:space="preserve"> </w:t>
      </w:r>
      <w:r>
        <w:t xml:space="preserve">- Today roughly one in three tenge deposited, lent or paid in the country passes through it.</w:t>
      </w:r>
      <w:r>
        <w:t xml:space="preserve"> </w:t>
      </w:r>
      <w:r>
        <w:t xml:space="preserve">- About 62% is owned by the family holding company of Timur Kulibayev and Dinara Kulibayeva (daughter of former President Nazarbayev). The rest trades in London (as GDRs), Almaty (KASE) and Astana (AIX).</w:t>
      </w:r>
    </w:p>
    <w:p>
      <w:pPr>
        <w:pStyle w:val="BodyText"/>
      </w:pPr>
      <w:r>
        <w:rPr>
          <w:bCs/>
          <w:b/>
        </w:rPr>
        <w:t xml:space="preserve">How it makes money.</w:t>
      </w:r>
      <w:r>
        <w:t xml:space="preserve"> </w:t>
      </w:r>
      <w:r>
        <w:t xml:space="preserve">- Halyk takes in deposits from more than 11 million active retail clients and from companies. It pays them interest (deposit rates average ~10% in tenge) and lends the money out at higher rates: roughly 16–25% to consumers and SMEs, lower to big companies.</w:t>
      </w:r>
      <w:r>
        <w:t xml:space="preserve"> </w:t>
      </w:r>
      <w:r>
        <w:t xml:space="preserve">- The gap between what it earns and what it pays is net interest income. That is ~73% of revenue, with a net interest margin of ~7% of interest-earning assets.</w:t>
      </w:r>
      <w:r>
        <w:t xml:space="preserve"> </w:t>
      </w:r>
      <w:r>
        <w:t xml:space="preserve">- On top of this it earns:</w:t>
      </w:r>
      <w:r>
        <w:t xml:space="preserve"> </w:t>
      </w:r>
      <w:r>
        <w:t xml:space="preserve">- fees for payments, cards, cash and transfers (~8% of revenue);</w:t>
      </w:r>
      <w:r>
        <w:t xml:space="preserve"> </w:t>
      </w:r>
      <w:r>
        <w:t xml:space="preserve">- insurance premiums net of claims (~4%);</w:t>
      </w:r>
      <w:r>
        <w:t xml:space="preserve"> </w:t>
      </w:r>
      <w:r>
        <w:t xml:space="preserve">- foreign-exchange and securities trading profits and other income (~15%).</w:t>
      </w:r>
      <w:r>
        <w:t xml:space="preserve"> </w:t>
      </w:r>
      <w:r>
        <w:t xml:space="preserve">- Costs are very low for a bank: about 18–20 tiyn of expenses for every tenge of revenue. Loan losses have run at 1.0–1.5% of loans a year.</w:t>
      </w:r>
    </w:p>
    <w:p>
      <w:pPr>
        <w:pStyle w:val="BodyText"/>
      </w:pPr>
      <w:r>
        <w:rPr>
          <w:bCs/>
          <w:b/>
        </w:rPr>
        <w:t xml:space="preserve">How each division contributes</w:t>
      </w:r>
      <w:r>
        <w:t xml:space="preserve"> </w:t>
      </w:r>
      <w:r>
        <w:t xml:space="preserve">(our estimates of FY2025 revenue and profit shares; Halyk does not publish this split in its press releases):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014"/>
        <w:gridCol w:w="5243"/>
        <w:gridCol w:w="858"/>
        <w:gridCol w:w="930"/>
        <w:gridCol w:w="930"/>
      </w:tblGrid>
      <w:tr>
        <w:trPr>
          <w:tblHeader w:val="true"/>
          <w:cantSplit/>
          <w:tblHeader w:val="true"/>
        </w:trPr>
        <w:tc>
          <w:tcPr>
            <w:tcW w:w="2014" w:type="dxa"/>
            <w:shd w:val="clear" w:color="auto" w:fill="13213F"/>
          </w:tcPr>
          <w:p>
            <w:pPr>
              <w:pStyle w:val="Compact"/>
              <w:spacing w:before="0" w:after="0" w:line="240" w:lineRule="auto"/>
              <w:jc w:val="left"/>
            </w:pPr>
            <w:r>
              <w:rPr>
                <w:rFonts w:ascii="Arial" w:hAnsi="Arial"/>
                <w:b/>
                <w:color w:val="FFFFFF"/>
                <w:sz w:val="15"/>
              </w:rPr>
              <w:t xml:space="preserve">Division</w:t>
            </w:r>
          </w:p>
        </w:tc>
        <w:tc>
          <w:tcPr>
            <w:tcW w:w="5243" w:type="dxa"/>
            <w:shd w:val="clear" w:color="auto" w:fill="13213F"/>
          </w:tcPr>
          <w:p>
            <w:pPr>
              <w:pStyle w:val="Compact"/>
              <w:spacing w:before="0" w:after="0" w:line="240" w:lineRule="auto"/>
              <w:jc w:val="left"/>
            </w:pPr>
            <w:r>
              <w:rPr>
                <w:rFonts w:ascii="Arial" w:hAnsi="Arial"/>
                <w:b/>
                <w:color w:val="FFFFFF"/>
                <w:sz w:val="15"/>
              </w:rPr>
              <w:t xml:space="preserve">What it does</w:t>
            </w:r>
          </w:p>
        </w:tc>
        <w:tc>
          <w:tcPr>
            <w:tcW w:w="858" w:type="dxa"/>
            <w:shd w:val="clear" w:color="auto" w:fill="13213F"/>
          </w:tcPr>
          <w:p>
            <w:pPr>
              <w:pStyle w:val="Compact"/>
              <w:spacing w:before="0" w:after="0" w:line="240" w:lineRule="auto"/>
              <w:jc w:val="left"/>
            </w:pPr>
            <w:r>
              <w:rPr>
                <w:rFonts w:ascii="Arial" w:hAnsi="Arial"/>
                <w:b/>
                <w:color w:val="FFFFFF"/>
                <w:sz w:val="15"/>
              </w:rPr>
              <w:t xml:space="preserve">Share of loans (1H26)</w:t>
            </w:r>
          </w:p>
        </w:tc>
        <w:tc>
          <w:tcPr>
            <w:tcW w:w="930" w:type="dxa"/>
            <w:shd w:val="clear" w:color="auto" w:fill="13213F"/>
          </w:tcPr>
          <w:p>
            <w:pPr>
              <w:pStyle w:val="Compact"/>
              <w:spacing w:before="0" w:after="0" w:line="240" w:lineRule="auto"/>
              <w:jc w:val="left"/>
            </w:pPr>
            <w:r>
              <w:rPr>
                <w:rFonts w:ascii="Arial" w:hAnsi="Arial"/>
                <w:b/>
                <w:color w:val="FFFFFF"/>
                <w:sz w:val="15"/>
              </w:rPr>
              <w:t xml:space="preserve">Est. share of revenue [e]</w:t>
            </w:r>
          </w:p>
        </w:tc>
        <w:tc>
          <w:tcPr>
            <w:tcW w:w="930" w:type="dxa"/>
            <w:shd w:val="clear" w:color="auto" w:fill="13213F"/>
          </w:tcPr>
          <w:p>
            <w:pPr>
              <w:pStyle w:val="Compact"/>
              <w:spacing w:before="0" w:after="0" w:line="240" w:lineRule="auto"/>
              <w:jc w:val="left"/>
            </w:pPr>
            <w:r>
              <w:rPr>
                <w:rFonts w:ascii="Arial" w:hAnsi="Arial"/>
                <w:b/>
                <w:color w:val="FFFFFF"/>
                <w:sz w:val="15"/>
              </w:rPr>
              <w:t xml:space="preserve">Est. share of pre-tax profit [e]</w:t>
            </w:r>
          </w:p>
        </w:tc>
      </w:tr>
      <w:tr>
        <w:trPr>
          <w:cantSplit/>
        </w:trPr>
        <w:tc>
          <w:tcPr>
            <w:tcW w:w="2014" w:type="dxa"/>
          </w:tcPr>
          <w:p>
            <w:pPr>
              <w:pStyle w:val="Compact"/>
              <w:spacing w:before="0" w:after="0" w:line="240" w:lineRule="auto"/>
              <w:jc w:val="left"/>
            </w:pPr>
            <w:r>
              <w:rPr>
                <w:rFonts w:ascii="Arial" w:hAnsi="Arial"/>
                <w:sz w:val="15"/>
              </w:rPr>
              <w:t xml:space="preserve">Corporate banking</w:t>
            </w:r>
          </w:p>
        </w:tc>
        <w:tc>
          <w:tcPr>
            <w:tcW w:w="5243" w:type="dxa"/>
          </w:tcPr>
          <w:p>
            <w:pPr>
              <w:pStyle w:val="Compact"/>
              <w:spacing w:before="0" w:after="0" w:line="240" w:lineRule="auto"/>
              <w:jc w:val="left"/>
            </w:pPr>
            <w:r>
              <w:rPr>
                <w:rFonts w:ascii="Arial" w:hAnsi="Arial"/>
                <w:sz w:val="15"/>
              </w:rPr>
              <w:t xml:space="preserve">Loans, deposits, payments, FX and trade finance for large Kazakh companies (state-linked and private)</w:t>
            </w:r>
          </w:p>
        </w:tc>
        <w:tc>
          <w:tcPr>
            <w:tcW w:w="858" w:type="dxa"/>
          </w:tcPr>
          <w:p>
            <w:pPr>
              <w:pStyle w:val="Compact"/>
              <w:spacing w:before="0" w:after="0" w:line="240" w:lineRule="auto"/>
              <w:jc w:val="left"/>
            </w:pPr>
            <w:r>
              <w:rPr>
                <w:rFonts w:ascii="Arial" w:hAnsi="Arial"/>
                <w:sz w:val="15"/>
              </w:rPr>
              <w:t xml:space="preserve">~49%</w:t>
            </w:r>
          </w:p>
        </w:tc>
        <w:tc>
          <w:tcPr>
            <w:tcW w:w="930" w:type="dxa"/>
          </w:tcPr>
          <w:p>
            <w:pPr>
              <w:pStyle w:val="Compact"/>
              <w:spacing w:before="0" w:after="0" w:line="240" w:lineRule="auto"/>
              <w:jc w:val="left"/>
            </w:pPr>
            <w:r>
              <w:rPr>
                <w:rFonts w:ascii="Arial" w:hAnsi="Arial"/>
                <w:sz w:val="15"/>
              </w:rPr>
              <w:t xml:space="preserve">~35%</w:t>
            </w:r>
          </w:p>
        </w:tc>
        <w:tc>
          <w:tcPr>
            <w:tcW w:w="930" w:type="dxa"/>
          </w:tcPr>
          <w:p>
            <w:pPr>
              <w:pStyle w:val="Compact"/>
              <w:spacing w:before="0" w:after="0" w:line="240" w:lineRule="auto"/>
              <w:jc w:val="left"/>
            </w:pPr>
            <w:r>
              <w:rPr>
                <w:rFonts w:ascii="Arial" w:hAnsi="Arial"/>
                <w:sz w:val="15"/>
              </w:rPr>
              <w:t xml:space="preserve">~40%</w:t>
            </w:r>
          </w:p>
        </w:tc>
      </w:tr>
      <w:tr>
        <w:trPr>
          <w:cantSplit/>
        </w:trPr>
        <w:tc>
          <w:tcPr>
            <w:tcW w:w="2014" w:type="dxa"/>
          </w:tcPr>
          <w:p>
            <w:pPr>
              <w:pStyle w:val="Compact"/>
              <w:spacing w:before="0" w:after="0" w:line="240" w:lineRule="auto"/>
              <w:jc w:val="left"/>
            </w:pPr>
            <w:r>
              <w:rPr>
                <w:rFonts w:ascii="Arial" w:hAnsi="Arial"/>
                <w:sz w:val="15"/>
              </w:rPr>
              <w:t xml:space="preserve">Retail banking</w:t>
            </w:r>
          </w:p>
        </w:tc>
        <w:tc>
          <w:tcPr>
            <w:tcW w:w="5243" w:type="dxa"/>
          </w:tcPr>
          <w:p>
            <w:pPr>
              <w:pStyle w:val="Compact"/>
              <w:spacing w:before="0" w:after="0" w:line="240" w:lineRule="auto"/>
              <w:jc w:val="left"/>
            </w:pPr>
            <w:r>
              <w:rPr>
                <w:rFonts w:ascii="Arial" w:hAnsi="Arial"/>
                <w:sz w:val="15"/>
              </w:rPr>
              <w:t xml:space="preserve">Deposits, cards, consumer, auto and mortgage loans, payments via the Super App, salary projects</w:t>
            </w:r>
          </w:p>
        </w:tc>
        <w:tc>
          <w:tcPr>
            <w:tcW w:w="858" w:type="dxa"/>
          </w:tcPr>
          <w:p>
            <w:pPr>
              <w:pStyle w:val="Compact"/>
              <w:spacing w:before="0" w:after="0" w:line="240" w:lineRule="auto"/>
              <w:jc w:val="left"/>
            </w:pPr>
            <w:r>
              <w:rPr>
                <w:rFonts w:ascii="Arial" w:hAnsi="Arial"/>
                <w:sz w:val="15"/>
              </w:rPr>
              <w:t xml:space="preserve">~34%</w:t>
            </w:r>
          </w:p>
        </w:tc>
        <w:tc>
          <w:tcPr>
            <w:tcW w:w="930" w:type="dxa"/>
          </w:tcPr>
          <w:p>
            <w:pPr>
              <w:pStyle w:val="Compact"/>
              <w:spacing w:before="0" w:after="0" w:line="240" w:lineRule="auto"/>
              <w:jc w:val="left"/>
            </w:pPr>
            <w:r>
              <w:rPr>
                <w:rFonts w:ascii="Arial" w:hAnsi="Arial"/>
                <w:sz w:val="15"/>
              </w:rPr>
              <w:t xml:space="preserve">~40%</w:t>
            </w:r>
          </w:p>
        </w:tc>
        <w:tc>
          <w:tcPr>
            <w:tcW w:w="930" w:type="dxa"/>
          </w:tcPr>
          <w:p>
            <w:pPr>
              <w:pStyle w:val="Compact"/>
              <w:spacing w:before="0" w:after="0" w:line="240" w:lineRule="auto"/>
              <w:jc w:val="left"/>
            </w:pPr>
            <w:r>
              <w:rPr>
                <w:rFonts w:ascii="Arial" w:hAnsi="Arial"/>
                <w:sz w:val="15"/>
              </w:rPr>
              <w:t xml:space="preserve">~35%</w:t>
            </w:r>
          </w:p>
        </w:tc>
      </w:tr>
      <w:tr>
        <w:trPr>
          <w:cantSplit/>
        </w:trPr>
        <w:tc>
          <w:tcPr>
            <w:tcW w:w="2014" w:type="dxa"/>
          </w:tcPr>
          <w:p>
            <w:pPr>
              <w:pStyle w:val="Compact"/>
              <w:spacing w:before="0" w:after="0" w:line="240" w:lineRule="auto"/>
              <w:jc w:val="left"/>
            </w:pPr>
            <w:r>
              <w:rPr>
                <w:rFonts w:ascii="Arial" w:hAnsi="Arial"/>
                <w:sz w:val="15"/>
              </w:rPr>
              <w:t xml:space="preserve">SME banking</w:t>
            </w:r>
          </w:p>
        </w:tc>
        <w:tc>
          <w:tcPr>
            <w:tcW w:w="5243" w:type="dxa"/>
          </w:tcPr>
          <w:p>
            <w:pPr>
              <w:pStyle w:val="Compact"/>
              <w:spacing w:before="0" w:after="0" w:line="240" w:lineRule="auto"/>
              <w:jc w:val="left"/>
            </w:pPr>
            <w:r>
              <w:rPr>
                <w:rFonts w:ascii="Arial" w:hAnsi="Arial"/>
                <w:sz w:val="15"/>
              </w:rPr>
              <w:t xml:space="preserve">Loans and transaction banking for small and mid-sized firms, much of it via the Onlinebank app</w:t>
            </w:r>
          </w:p>
        </w:tc>
        <w:tc>
          <w:tcPr>
            <w:tcW w:w="858" w:type="dxa"/>
          </w:tcPr>
          <w:p>
            <w:pPr>
              <w:pStyle w:val="Compact"/>
              <w:spacing w:before="0" w:after="0" w:line="240" w:lineRule="auto"/>
              <w:jc w:val="left"/>
            </w:pPr>
            <w:r>
              <w:rPr>
                <w:rFonts w:ascii="Arial" w:hAnsi="Arial"/>
                <w:sz w:val="15"/>
              </w:rPr>
              <w:t xml:space="preserve">~17%</w:t>
            </w:r>
          </w:p>
        </w:tc>
        <w:tc>
          <w:tcPr>
            <w:tcW w:w="930" w:type="dxa"/>
          </w:tcPr>
          <w:p>
            <w:pPr>
              <w:pStyle w:val="Compact"/>
              <w:spacing w:before="0" w:after="0" w:line="240" w:lineRule="auto"/>
              <w:jc w:val="left"/>
            </w:pPr>
            <w:r>
              <w:rPr>
                <w:rFonts w:ascii="Arial" w:hAnsi="Arial"/>
                <w:sz w:val="15"/>
              </w:rPr>
              <w:t xml:space="preserve">~15%</w:t>
            </w:r>
          </w:p>
        </w:tc>
        <w:tc>
          <w:tcPr>
            <w:tcW w:w="930" w:type="dxa"/>
          </w:tcPr>
          <w:p>
            <w:pPr>
              <w:pStyle w:val="Compact"/>
              <w:spacing w:before="0" w:after="0" w:line="240" w:lineRule="auto"/>
              <w:jc w:val="left"/>
            </w:pPr>
            <w:r>
              <w:rPr>
                <w:rFonts w:ascii="Arial" w:hAnsi="Arial"/>
                <w:sz w:val="15"/>
              </w:rPr>
              <w:t xml:space="preserve">~15%</w:t>
            </w:r>
          </w:p>
        </w:tc>
      </w:tr>
      <w:tr>
        <w:trPr>
          <w:cantSplit/>
        </w:trPr>
        <w:tc>
          <w:tcPr>
            <w:tcW w:w="2014" w:type="dxa"/>
          </w:tcPr>
          <w:p>
            <w:pPr>
              <w:pStyle w:val="Compact"/>
              <w:spacing w:before="0" w:after="0" w:line="240" w:lineRule="auto"/>
              <w:jc w:val="left"/>
            </w:pPr>
            <w:r>
              <w:rPr>
                <w:rFonts w:ascii="Arial" w:hAnsi="Arial"/>
                <w:sz w:val="15"/>
              </w:rPr>
              <w:t xml:space="preserve">Investment banking, insurance, other</w:t>
            </w:r>
          </w:p>
        </w:tc>
        <w:tc>
          <w:tcPr>
            <w:tcW w:w="5243" w:type="dxa"/>
          </w:tcPr>
          <w:p>
            <w:pPr>
              <w:pStyle w:val="Compact"/>
              <w:spacing w:before="0" w:after="0" w:line="240" w:lineRule="auto"/>
              <w:jc w:val="left"/>
            </w:pPr>
            <w:r>
              <w:rPr>
                <w:rFonts w:ascii="Arial" w:hAnsi="Arial"/>
                <w:sz w:val="15"/>
              </w:rPr>
              <w:t xml:space="preserve">Halyk Finance (brokerage/IB), Halyk-Life and Halyk Insurance, leasing, treasury, foreign subsidiaries (Georgia, Uzbekistan)</w:t>
            </w:r>
          </w:p>
        </w:tc>
        <w:tc>
          <w:tcPr>
            <w:tcW w:w="858" w:type="dxa"/>
          </w:tcPr>
          <w:p>
            <w:pPr>
              <w:pStyle w:val="Compact"/>
              <w:spacing w:before="0" w:after="0" w:line="240" w:lineRule="auto"/>
              <w:jc w:val="left"/>
            </w:pPr>
            <w:r>
              <w:rPr>
                <w:rFonts w:ascii="Arial" w:hAnsi="Arial"/>
                <w:sz w:val="15"/>
              </w:rPr>
              <w:t xml:space="preserve">n/a</w:t>
            </w:r>
          </w:p>
        </w:tc>
        <w:tc>
          <w:tcPr>
            <w:tcW w:w="930" w:type="dxa"/>
          </w:tcPr>
          <w:p>
            <w:pPr>
              <w:pStyle w:val="Compact"/>
              <w:spacing w:before="0" w:after="0" w:line="240" w:lineRule="auto"/>
              <w:jc w:val="left"/>
            </w:pPr>
            <w:r>
              <w:rPr>
                <w:rFonts w:ascii="Arial" w:hAnsi="Arial"/>
                <w:sz w:val="15"/>
              </w:rPr>
              <w:t xml:space="preserve">~10%</w:t>
            </w:r>
          </w:p>
        </w:tc>
        <w:tc>
          <w:tcPr>
            <w:tcW w:w="930" w:type="dxa"/>
          </w:tcPr>
          <w:p>
            <w:pPr>
              <w:pStyle w:val="Compact"/>
              <w:spacing w:before="0" w:after="0" w:line="240" w:lineRule="auto"/>
              <w:jc w:val="left"/>
            </w:pPr>
            <w:r>
              <w:rPr>
                <w:rFonts w:ascii="Arial" w:hAnsi="Arial"/>
                <w:sz w:val="15"/>
              </w:rPr>
              <w:t xml:space="preserve">~10%</w:t>
            </w:r>
          </w:p>
        </w:tc>
      </w:tr>
    </w:tbl>
    <w:p>
      <w:pPr>
        <w:numPr>
          <w:ilvl w:val="0"/>
          <w:numId w:val="1012"/>
        </w:numPr>
        <w:pStyle w:val="Compact"/>
      </w:pPr>
      <w:r>
        <w:rPr>
          <w:bCs/>
          <w:b/>
        </w:rPr>
        <w:t xml:space="preserve">Method for the estimates [e].</w:t>
      </w:r>
      <w:r>
        <w:t xml:space="preserve"> </w:t>
      </w:r>
      <w:r>
        <w:t xml:space="preserve">We allocate NII by segment loan and deposit balances, assuming retail lending spreads ~2x corporate spreads, and put most fees in retail and transaction banking. Pre-tax shares reflect higher retail credit costs (retail NPL 90+ 9.2% vs corporate 2.6%).</w:t>
      </w:r>
    </w:p>
    <w:p>
      <w:pPr>
        <w:numPr>
          <w:ilvl w:val="0"/>
          <w:numId w:val="1012"/>
        </w:numPr>
        <w:pStyle w:val="Compact"/>
      </w:pPr>
      <w:r>
        <w:rPr>
          <w:bCs/>
          <w:b/>
        </w:rPr>
        <w:t xml:space="preserve">Verify against the IFRS 8 note.</w:t>
      </w:r>
      <w:r>
        <w:t xml:space="preserve"> </w:t>
      </w:r>
      <w:r>
        <w:t xml:space="preserve">Halyk reports four operating segments (corporate, SME, retail, investment banking); insurance sits within the group. These estimates should be checked against the segment note in the FY25 audited statements.</w:t>
      </w:r>
    </w:p>
    <w:bookmarkEnd w:id="23"/>
    <w:bookmarkStart w:id="29" w:name="X9ac7dda3f4a0dd19cd69c932fcd0c0751a05c59"/>
    <w:p>
      <w:pPr>
        <w:pStyle w:val="Heading1"/>
      </w:pPr>
      <w:r>
        <w:t xml:space="preserve">Business model, products, customers, suppliers and competitors</w:t>
      </w:r>
    </w:p>
    <w:bookmarkStart w:id="24" w:name="business-model-in-simple-terms"/>
    <w:p>
      <w:pPr>
        <w:pStyle w:val="Heading2"/>
      </w:pPr>
      <w:r>
        <w:t xml:space="preserve">Business model in simple terms</w:t>
      </w:r>
    </w:p>
    <w:p>
      <w:pPr>
        <w:pStyle w:val="FirstParagraph"/>
      </w:pPr>
      <w:r>
        <w:t xml:space="preserve">Halyk is a universal, deposit-funded commercial bank with an attached insurance and capital-markets group. Five features define it.</w:t>
      </w:r>
    </w:p>
    <w:p>
      <w:pPr>
        <w:numPr>
          <w:ilvl w:val="0"/>
          <w:numId w:val="1013"/>
        </w:numPr>
        <w:pStyle w:val="Compact"/>
      </w:pPr>
      <w:r>
        <w:rPr>
          <w:bCs/>
          <w:b/>
        </w:rPr>
        <w:t xml:space="preserve">Funding advantage.</w:t>
      </w:r>
    </w:p>
    <w:p>
      <w:pPr>
        <w:numPr>
          <w:ilvl w:val="1"/>
          <w:numId w:val="1014"/>
        </w:numPr>
        <w:pStyle w:val="Compact"/>
      </w:pPr>
      <w:r>
        <w:t xml:space="preserve">Deposits are ~81% of liabilities: KZT14.9trn at 30-Jun-26, of which retail KZT8.3trn and business ~KZT6.4trn.</w:t>
      </w:r>
    </w:p>
    <w:p>
      <w:pPr>
        <w:numPr>
          <w:ilvl w:val="1"/>
          <w:numId w:val="1014"/>
        </w:numPr>
        <w:pStyle w:val="Compact"/>
      </w:pPr>
      <w:r>
        <w:t xml:space="preserve">Halyk is the default bank for payrolls, pensions and social payments. Salary cards cover 39% of Kazakhstan’s employed population.</w:t>
      </w:r>
    </w:p>
    <w:p>
      <w:pPr>
        <w:numPr>
          <w:ilvl w:val="1"/>
          <w:numId w:val="1014"/>
        </w:numPr>
        <w:pStyle w:val="Compact"/>
      </w:pPr>
      <w:r>
        <w:t xml:space="preserve">Its current-account and low-cost deposit base gives it the lowest cost of funds among large Kazakh banks.</w:t>
      </w:r>
    </w:p>
    <w:p>
      <w:pPr>
        <w:numPr>
          <w:ilvl w:val="0"/>
          <w:numId w:val="1013"/>
        </w:numPr>
        <w:pStyle w:val="Compact"/>
      </w:pPr>
      <w:r>
        <w:rPr>
          <w:bCs/>
          <w:b/>
        </w:rPr>
        <w:t xml:space="preserve">Corporate dominance.</w:t>
      </w:r>
    </w:p>
    <w:p>
      <w:pPr>
        <w:numPr>
          <w:ilvl w:val="1"/>
          <w:numId w:val="1015"/>
        </w:numPr>
        <w:pStyle w:val="Compact"/>
      </w:pPr>
      <w:r>
        <w:t xml:space="preserve">Roughly half of all corporate lending in Kazakhstan sits on Halyk’s balance sheet, including the large state-linked groups and project finance.</w:t>
      </w:r>
    </w:p>
    <w:p>
      <w:pPr>
        <w:numPr>
          <w:ilvl w:val="1"/>
          <w:numId w:val="1015"/>
        </w:numPr>
        <w:pStyle w:val="Compact"/>
      </w:pPr>
      <w:r>
        <w:t xml:space="preserve">Recent public examples: a KZT26bn grid-rebuild loan to Batys Transit (October 2026), and co-financing with the Development Bank of Kazakhstan of a 150MW wind farm for Kazakhstani Communal Systems (October 2026).</w:t>
      </w:r>
    </w:p>
    <w:p>
      <w:pPr>
        <w:numPr>
          <w:ilvl w:val="0"/>
          <w:numId w:val="1013"/>
        </w:numPr>
        <w:pStyle w:val="Compact"/>
      </w:pPr>
      <w:r>
        <w:rPr>
          <w:bCs/>
          <w:b/>
        </w:rPr>
        <w:t xml:space="preserve">Retail ecosystem.</w:t>
      </w:r>
    </w:p>
    <w:p>
      <w:pPr>
        <w:numPr>
          <w:ilvl w:val="1"/>
          <w:numId w:val="1016"/>
        </w:numPr>
        <w:pStyle w:val="Compact"/>
      </w:pPr>
      <w:r>
        <w:t xml:space="preserve">The Halyk Super App (formerly Homebank) has 8.6m monthly active users (MAU), 2.8m daily active users and 6.1m monthly transacting users. The group counts 11.5m active retail ecosystem clients.</w:t>
      </w:r>
    </w:p>
    <w:p>
      <w:pPr>
        <w:numPr>
          <w:ilvl w:val="1"/>
          <w:numId w:val="1016"/>
        </w:numPr>
        <w:pStyle w:val="Compact"/>
      </w:pPr>
      <w:r>
        <w:t xml:space="preserve">91% of loans by number and 94% of new deposits were sold digitally in 1Q26.</w:t>
      </w:r>
    </w:p>
    <w:p>
      <w:pPr>
        <w:numPr>
          <w:ilvl w:val="0"/>
          <w:numId w:val="1013"/>
        </w:numPr>
        <w:pStyle w:val="Compact"/>
      </w:pPr>
      <w:r>
        <w:rPr>
          <w:bCs/>
          <w:b/>
        </w:rPr>
        <w:t xml:space="preserve">Insurance and capital markets.</w:t>
      </w:r>
    </w:p>
    <w:p>
      <w:pPr>
        <w:numPr>
          <w:ilvl w:val="1"/>
          <w:numId w:val="1017"/>
        </w:numPr>
        <w:pStyle w:val="Compact"/>
      </w:pPr>
      <w:r>
        <w:t xml:space="preserve">Halyk-Life was the #1 life insurer by premiums in 2024 and #2 by profit in 2025. Halyk Insurance writes non-life, including OSAGO (motor third-party liability).</w:t>
      </w:r>
    </w:p>
    <w:p>
      <w:pPr>
        <w:numPr>
          <w:ilvl w:val="1"/>
          <w:numId w:val="1017"/>
        </w:numPr>
        <w:pStyle w:val="Compact"/>
      </w:pPr>
      <w:r>
        <w:t xml:space="preserve">Halyk Finance is a leading domestic broker and investment bank; it ran the domestic leg of the November 2025 placement.</w:t>
      </w:r>
    </w:p>
    <w:p>
      <w:pPr>
        <w:numPr>
          <w:ilvl w:val="0"/>
          <w:numId w:val="1013"/>
        </w:numPr>
        <w:pStyle w:val="Compact"/>
      </w:pPr>
      <w:r>
        <w:rPr>
          <w:bCs/>
          <w:b/>
        </w:rPr>
        <w:t xml:space="preserve">Efficiency.</w:t>
      </w:r>
    </w:p>
    <w:p>
      <w:pPr>
        <w:numPr>
          <w:ilvl w:val="1"/>
          <w:numId w:val="1018"/>
        </w:numPr>
        <w:pStyle w:val="Compact"/>
      </w:pPr>
      <w:r>
        <w:t xml:space="preserve">The bank runs 531 branches and outlets with ~16.7k staff. The cost-to-income ratio fell from 26.8% (2020) to 17.5% (2025) after the Kazkommertsbank integration.</w:t>
      </w:r>
    </w:p>
    <w:bookmarkEnd w:id="24"/>
    <w:bookmarkStart w:id="25" w:name="key-products-and-services"/>
    <w:p>
      <w:pPr>
        <w:pStyle w:val="Heading2"/>
      </w:pPr>
      <w:r>
        <w:t xml:space="preserve">Key products and services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724"/>
        <w:gridCol w:w="4126"/>
        <w:gridCol w:w="4126"/>
      </w:tblGrid>
      <w:tr>
        <w:trPr>
          <w:tblHeader w:val="true"/>
          <w:cantSplit/>
          <w:tblHeader w:val="true"/>
        </w:trPr>
        <w:tc>
          <w:tcPr>
            <w:tcW w:w="1724" w:type="dxa"/>
            <w:shd w:val="clear" w:color="auto" w:fill="13213F"/>
          </w:tcPr>
          <w:p>
            <w:pPr>
              <w:pStyle w:val="Compact"/>
              <w:spacing w:before="0" w:after="0" w:line="240" w:lineRule="auto"/>
              <w:jc w:val="left"/>
            </w:pPr>
            <w:r>
              <w:rPr>
                <w:rFonts w:ascii="Arial" w:hAnsi="Arial"/>
                <w:b/>
                <w:color w:val="FFFFFF"/>
                <w:sz w:val="15"/>
              </w:rPr>
              <w:t xml:space="preserve">Area</w:t>
            </w:r>
          </w:p>
        </w:tc>
        <w:tc>
          <w:tcPr>
            <w:tcW w:w="4126" w:type="dxa"/>
            <w:shd w:val="clear" w:color="auto" w:fill="13213F"/>
          </w:tcPr>
          <w:p>
            <w:pPr>
              <w:pStyle w:val="Compact"/>
              <w:spacing w:before="0" w:after="0" w:line="240" w:lineRule="auto"/>
              <w:jc w:val="left"/>
            </w:pPr>
            <w:r>
              <w:rPr>
                <w:rFonts w:ascii="Arial" w:hAnsi="Arial"/>
                <w:b/>
                <w:color w:val="FFFFFF"/>
                <w:sz w:val="15"/>
              </w:rPr>
              <w:t xml:space="preserve">Products</w:t>
            </w:r>
          </w:p>
        </w:tc>
        <w:tc>
          <w:tcPr>
            <w:tcW w:w="4126" w:type="dxa"/>
            <w:shd w:val="clear" w:color="auto" w:fill="13213F"/>
          </w:tcPr>
          <w:p>
            <w:pPr>
              <w:pStyle w:val="Compact"/>
              <w:spacing w:before="0" w:after="0" w:line="240" w:lineRule="auto"/>
              <w:jc w:val="left"/>
            </w:pPr>
            <w:r>
              <w:rPr>
                <w:rFonts w:ascii="Arial" w:hAnsi="Arial"/>
                <w:b/>
                <w:color w:val="FFFFFF"/>
                <w:sz w:val="15"/>
              </w:rPr>
              <w:t xml:space="preserve">Pricing / economics</w:t>
            </w:r>
          </w:p>
        </w:tc>
      </w:tr>
      <w:tr>
        <w:trPr>
          <w:cantSplit/>
        </w:trPr>
        <w:tc>
          <w:tcPr>
            <w:tcW w:w="1724" w:type="dxa"/>
          </w:tcPr>
          <w:p>
            <w:pPr>
              <w:pStyle w:val="Compact"/>
              <w:spacing w:before="0" w:after="0" w:line="240" w:lineRule="auto"/>
              <w:jc w:val="left"/>
            </w:pPr>
            <w:r>
              <w:rPr>
                <w:rFonts w:ascii="Arial" w:hAnsi="Arial"/>
                <w:sz w:val="15"/>
              </w:rPr>
              <w:t xml:space="preserve">Corporate</w:t>
            </w:r>
          </w:p>
        </w:tc>
        <w:tc>
          <w:tcPr>
            <w:tcW w:w="4126" w:type="dxa"/>
          </w:tcPr>
          <w:p>
            <w:pPr>
              <w:pStyle w:val="Compact"/>
              <w:spacing w:before="0" w:after="0" w:line="240" w:lineRule="auto"/>
              <w:jc w:val="left"/>
            </w:pPr>
            <w:r>
              <w:rPr>
                <w:rFonts w:ascii="Arial" w:hAnsi="Arial"/>
                <w:sz w:val="15"/>
              </w:rPr>
              <w:t xml:space="preserve">Working-capital and investment loans, project finance, trade finance, guarantees, cash management, FX, payroll</w:t>
            </w:r>
          </w:p>
        </w:tc>
        <w:tc>
          <w:tcPr>
            <w:tcW w:w="4126" w:type="dxa"/>
          </w:tcPr>
          <w:p>
            <w:pPr>
              <w:pStyle w:val="Compact"/>
              <w:spacing w:before="0" w:after="0" w:line="240" w:lineRule="auto"/>
              <w:jc w:val="left"/>
            </w:pPr>
            <w:r>
              <w:rPr>
                <w:rFonts w:ascii="Arial" w:hAnsi="Arial"/>
                <w:sz w:val="15"/>
              </w:rPr>
              <w:t xml:space="preserve">Lower spread; low credit cost (corporate NPL 90+ 2.6%, coverage 123%)</w:t>
            </w:r>
          </w:p>
        </w:tc>
      </w:tr>
      <w:tr>
        <w:trPr>
          <w:cantSplit/>
        </w:trPr>
        <w:tc>
          <w:tcPr>
            <w:tcW w:w="1724" w:type="dxa"/>
          </w:tcPr>
          <w:p>
            <w:pPr>
              <w:pStyle w:val="Compact"/>
              <w:spacing w:before="0" w:after="0" w:line="240" w:lineRule="auto"/>
              <w:jc w:val="left"/>
            </w:pPr>
            <w:r>
              <w:rPr>
                <w:rFonts w:ascii="Arial" w:hAnsi="Arial"/>
                <w:sz w:val="15"/>
              </w:rPr>
              <w:t xml:space="preserve">SME</w:t>
            </w:r>
          </w:p>
        </w:tc>
        <w:tc>
          <w:tcPr>
            <w:tcW w:w="4126" w:type="dxa"/>
          </w:tcPr>
          <w:p>
            <w:pPr>
              <w:pStyle w:val="Compact"/>
              <w:spacing w:before="0" w:after="0" w:line="240" w:lineRule="auto"/>
              <w:jc w:val="left"/>
            </w:pPr>
            <w:r>
              <w:rPr>
                <w:rFonts w:ascii="Arial" w:hAnsi="Arial"/>
                <w:sz w:val="15"/>
              </w:rPr>
              <w:t xml:space="preserve">Loans (incl. state-subsidised Damu programmes), Onlinebank digital accounts, acquiring</w:t>
            </w:r>
          </w:p>
        </w:tc>
        <w:tc>
          <w:tcPr>
            <w:tcW w:w="4126" w:type="dxa"/>
          </w:tcPr>
          <w:p>
            <w:pPr>
              <w:pStyle w:val="Compact"/>
              <w:spacing w:before="0" w:after="0" w:line="240" w:lineRule="auto"/>
              <w:jc w:val="left"/>
            </w:pPr>
            <w:r>
              <w:rPr>
                <w:rFonts w:ascii="Arial" w:hAnsi="Arial"/>
                <w:sz w:val="15"/>
              </w:rPr>
              <w:t xml:space="preserve">Mid spread; fastest growth (+25% y/y in 1H26)</w:t>
            </w:r>
          </w:p>
        </w:tc>
      </w:tr>
      <w:tr>
        <w:trPr>
          <w:cantSplit/>
        </w:trPr>
        <w:tc>
          <w:tcPr>
            <w:tcW w:w="1724" w:type="dxa"/>
          </w:tcPr>
          <w:p>
            <w:pPr>
              <w:pStyle w:val="Compact"/>
              <w:spacing w:before="0" w:after="0" w:line="240" w:lineRule="auto"/>
              <w:jc w:val="left"/>
            </w:pPr>
            <w:r>
              <w:rPr>
                <w:rFonts w:ascii="Arial" w:hAnsi="Arial"/>
                <w:sz w:val="15"/>
              </w:rPr>
              <w:t xml:space="preserve">Retail lending</w:t>
            </w:r>
          </w:p>
        </w:tc>
        <w:tc>
          <w:tcPr>
            <w:tcW w:w="4126" w:type="dxa"/>
          </w:tcPr>
          <w:p>
            <w:pPr>
              <w:pStyle w:val="Compact"/>
              <w:spacing w:before="0" w:after="0" w:line="240" w:lineRule="auto"/>
              <w:jc w:val="left"/>
            </w:pPr>
            <w:r>
              <w:rPr>
                <w:rFonts w:ascii="Arial" w:hAnsi="Arial"/>
                <w:sz w:val="15"/>
              </w:rPr>
              <w:t xml:space="preserve">Consumer cash loans, card credit, auto loans, mortgages (incl. state programmes), BNPL (paused)</w:t>
            </w:r>
          </w:p>
        </w:tc>
        <w:tc>
          <w:tcPr>
            <w:tcW w:w="4126" w:type="dxa"/>
          </w:tcPr>
          <w:p>
            <w:pPr>
              <w:pStyle w:val="Compact"/>
              <w:spacing w:before="0" w:after="0" w:line="240" w:lineRule="auto"/>
              <w:jc w:val="left"/>
            </w:pPr>
            <w:r>
              <w:rPr>
                <w:rFonts w:ascii="Arial" w:hAnsi="Arial"/>
                <w:sz w:val="15"/>
              </w:rPr>
              <w:t xml:space="preserve">Highest spread; GEIR (effective-rate) cap cut from 56% to 46%; retail NPL 90+ 9.2%</w:t>
            </w:r>
          </w:p>
        </w:tc>
      </w:tr>
      <w:tr>
        <w:trPr>
          <w:cantSplit/>
        </w:trPr>
        <w:tc>
          <w:tcPr>
            <w:tcW w:w="1724" w:type="dxa"/>
          </w:tcPr>
          <w:p>
            <w:pPr>
              <w:pStyle w:val="Compact"/>
              <w:spacing w:before="0" w:after="0" w:line="240" w:lineRule="auto"/>
              <w:jc w:val="left"/>
            </w:pPr>
            <w:r>
              <w:rPr>
                <w:rFonts w:ascii="Arial" w:hAnsi="Arial"/>
                <w:sz w:val="15"/>
              </w:rPr>
              <w:t xml:space="preserve">Retail deposits and payments</w:t>
            </w:r>
          </w:p>
        </w:tc>
        <w:tc>
          <w:tcPr>
            <w:tcW w:w="4126" w:type="dxa"/>
          </w:tcPr>
          <w:p>
            <w:pPr>
              <w:pStyle w:val="Compact"/>
              <w:spacing w:before="0" w:after="0" w:line="240" w:lineRule="auto"/>
              <w:jc w:val="left"/>
            </w:pPr>
            <w:r>
              <w:rPr>
                <w:rFonts w:ascii="Arial" w:hAnsi="Arial"/>
                <w:sz w:val="15"/>
              </w:rPr>
              <w:t xml:space="preserve">Term and savings deposits, cards (Visa, Mastercard, UnionPay), QR payments, P2P</w:t>
            </w:r>
          </w:p>
        </w:tc>
        <w:tc>
          <w:tcPr>
            <w:tcW w:w="4126" w:type="dxa"/>
          </w:tcPr>
          <w:p>
            <w:pPr>
              <w:pStyle w:val="Compact"/>
              <w:spacing w:before="0" w:after="0" w:line="240" w:lineRule="auto"/>
              <w:jc w:val="left"/>
            </w:pPr>
            <w:r>
              <w:rPr>
                <w:rFonts w:ascii="Arial" w:hAnsi="Arial"/>
                <w:sz w:val="15"/>
              </w:rPr>
              <w:t xml:space="preserve">Deposits insured by KDIF; rising tenge deposit costs</w:t>
            </w:r>
          </w:p>
        </w:tc>
      </w:tr>
      <w:tr>
        <w:trPr>
          <w:cantSplit/>
        </w:trPr>
        <w:tc>
          <w:tcPr>
            <w:tcW w:w="1724" w:type="dxa"/>
          </w:tcPr>
          <w:p>
            <w:pPr>
              <w:pStyle w:val="Compact"/>
              <w:spacing w:before="0" w:after="0" w:line="240" w:lineRule="auto"/>
              <w:jc w:val="left"/>
            </w:pPr>
            <w:r>
              <w:rPr>
                <w:rFonts w:ascii="Arial" w:hAnsi="Arial"/>
                <w:sz w:val="15"/>
              </w:rPr>
              <w:t xml:space="preserve">Insurance</w:t>
            </w:r>
          </w:p>
        </w:tc>
        <w:tc>
          <w:tcPr>
            <w:tcW w:w="4126" w:type="dxa"/>
          </w:tcPr>
          <w:p>
            <w:pPr>
              <w:pStyle w:val="Compact"/>
              <w:spacing w:before="0" w:after="0" w:line="240" w:lineRule="auto"/>
              <w:jc w:val="left"/>
            </w:pPr>
            <w:r>
              <w:rPr>
                <w:rFonts w:ascii="Arial" w:hAnsi="Arial"/>
                <w:sz w:val="15"/>
              </w:rPr>
              <w:t xml:space="preserve">Life (annuities, savings, credit life) and non-life (OSAGO, property, corporate)</w:t>
            </w:r>
          </w:p>
        </w:tc>
        <w:tc>
          <w:tcPr>
            <w:tcW w:w="4126" w:type="dxa"/>
          </w:tcPr>
          <w:p>
            <w:pPr>
              <w:pStyle w:val="Compact"/>
              <w:spacing w:before="0" w:after="0" w:line="240" w:lineRule="auto"/>
              <w:jc w:val="left"/>
            </w:pPr>
            <w:r>
              <w:rPr>
                <w:rFonts w:ascii="Arial" w:hAnsi="Arial"/>
                <w:sz w:val="15"/>
              </w:rPr>
              <w:t xml:space="preserve">2025 net insurance income KZT63bn; 2Q26 loss on OSAGO pricing and a model change</w:t>
            </w:r>
          </w:p>
        </w:tc>
      </w:tr>
      <w:tr>
        <w:trPr>
          <w:cantSplit/>
        </w:trPr>
        <w:tc>
          <w:tcPr>
            <w:tcW w:w="1724" w:type="dxa"/>
          </w:tcPr>
          <w:p>
            <w:pPr>
              <w:pStyle w:val="Compact"/>
              <w:spacing w:before="0" w:after="0" w:line="240" w:lineRule="auto"/>
              <w:jc w:val="left"/>
            </w:pPr>
            <w:r>
              <w:rPr>
                <w:rFonts w:ascii="Arial" w:hAnsi="Arial"/>
                <w:sz w:val="15"/>
              </w:rPr>
              <w:t xml:space="preserve">Investment banking</w:t>
            </w:r>
          </w:p>
        </w:tc>
        <w:tc>
          <w:tcPr>
            <w:tcW w:w="4126" w:type="dxa"/>
          </w:tcPr>
          <w:p>
            <w:pPr>
              <w:pStyle w:val="Compact"/>
              <w:spacing w:before="0" w:after="0" w:line="240" w:lineRule="auto"/>
              <w:jc w:val="left"/>
            </w:pPr>
            <w:r>
              <w:rPr>
                <w:rFonts w:ascii="Arial" w:hAnsi="Arial"/>
                <w:sz w:val="15"/>
              </w:rPr>
              <w:t xml:space="preserve">Brokerage, DCM/ECM, asset management, custody (Halyk Finance, Halyk Global Markets)</w:t>
            </w:r>
          </w:p>
        </w:tc>
        <w:tc>
          <w:tcPr>
            <w:tcW w:w="4126" w:type="dxa"/>
          </w:tcPr>
          <w:p>
            <w:pPr>
              <w:pStyle w:val="Compact"/>
              <w:spacing w:before="0" w:after="0" w:line="240" w:lineRule="auto"/>
              <w:jc w:val="left"/>
            </w:pPr>
            <w:r>
              <w:rPr>
                <w:rFonts w:ascii="Arial" w:hAnsi="Arial"/>
                <w:sz w:val="15"/>
              </w:rPr>
              <w:t xml:space="preserve">Small but strategic</w:t>
            </w:r>
          </w:p>
        </w:tc>
      </w:tr>
    </w:tbl>
    <w:bookmarkEnd w:id="25"/>
    <w:bookmarkStart w:id="26" w:name="customers-suppliers-and-competitors"/>
    <w:p>
      <w:pPr>
        <w:pStyle w:val="Heading2"/>
      </w:pPr>
      <w:r>
        <w:t xml:space="preserve">Customers, suppliers and competitors</w:t>
      </w:r>
    </w:p>
    <w:p>
      <w:pPr>
        <w:numPr>
          <w:ilvl w:val="0"/>
          <w:numId w:val="1019"/>
        </w:numPr>
        <w:pStyle w:val="Compact"/>
      </w:pPr>
      <w:r>
        <w:rPr>
          <w:bCs/>
          <w:b/>
        </w:rPr>
        <w:t xml:space="preserve">Customers.</w:t>
      </w:r>
    </w:p>
    <w:p>
      <w:pPr>
        <w:numPr>
          <w:ilvl w:val="1"/>
          <w:numId w:val="1020"/>
        </w:numPr>
        <w:pStyle w:val="Compact"/>
      </w:pPr>
      <w:r>
        <w:t xml:space="preserve">Large corporates and quasi-state groups. Halyk does not disclose its largest borrowers; its ~48% corporate-loan share implies exposure to most of the country’s large corporate sector.</w:t>
      </w:r>
    </w:p>
    <w:p>
      <w:pPr>
        <w:numPr>
          <w:ilvl w:val="1"/>
          <w:numId w:val="1020"/>
        </w:numPr>
        <w:pStyle w:val="Compact"/>
      </w:pPr>
      <w:r>
        <w:t xml:space="preserve">About 1.83m retail borrowers and ~8m active depositors and app users.</w:t>
      </w:r>
    </w:p>
    <w:p>
      <w:pPr>
        <w:numPr>
          <w:ilvl w:val="1"/>
          <w:numId w:val="1020"/>
        </w:numPr>
        <w:pStyle w:val="Compact"/>
      </w:pPr>
      <w:r>
        <w:t xml:space="preserve">SMEs, including ~317k monthly active Onlinebank users.</w:t>
      </w:r>
    </w:p>
    <w:p>
      <w:pPr>
        <w:numPr>
          <w:ilvl w:val="1"/>
          <w:numId w:val="1020"/>
        </w:numPr>
        <w:pStyle w:val="Compact"/>
      </w:pPr>
      <w:r>
        <w:t xml:space="preserve">Government (social and pension flows) and cross-border clients in Georgia and Uzbekistan.</w:t>
      </w:r>
    </w:p>
    <w:p>
      <w:pPr>
        <w:numPr>
          <w:ilvl w:val="0"/>
          <w:numId w:val="1019"/>
        </w:numPr>
        <w:pStyle w:val="Compact"/>
      </w:pPr>
      <w:r>
        <w:rPr>
          <w:bCs/>
          <w:b/>
        </w:rPr>
        <w:t xml:space="preserve">“</w:t>
      </w:r>
      <w:r>
        <w:rPr>
          <w:bCs/>
          <w:b/>
        </w:rPr>
        <w:t xml:space="preserve">Suppliers</w:t>
      </w:r>
      <w:r>
        <w:rPr>
          <w:bCs/>
          <w:b/>
        </w:rPr>
        <w:t xml:space="preserve">”</w:t>
      </w:r>
      <w:r>
        <w:rPr>
          <w:bCs/>
          <w:b/>
        </w:rPr>
        <w:t xml:space="preserve"> </w:t>
      </w:r>
      <w:r>
        <w:rPr>
          <w:bCs/>
          <w:b/>
        </w:rPr>
        <w:t xml:space="preserve">(funding and infrastructure).</w:t>
      </w:r>
    </w:p>
    <w:p>
      <w:pPr>
        <w:numPr>
          <w:ilvl w:val="1"/>
          <w:numId w:val="1021"/>
        </w:numPr>
        <w:pStyle w:val="Compact"/>
      </w:pPr>
      <w:r>
        <w:t xml:space="preserve">Retail and corporate depositors; the Kazakhstan Deposit Insurance Fund (KDIF).</w:t>
      </w:r>
    </w:p>
    <w:p>
      <w:pPr>
        <w:numPr>
          <w:ilvl w:val="1"/>
          <w:numId w:val="1021"/>
        </w:numPr>
        <w:pStyle w:val="Compact"/>
      </w:pPr>
      <w:r>
        <w:t xml:space="preserve">The National Bank of Kazakhstan (liquidity, reserve requirements) and ARDFM (prudential rules).</w:t>
      </w:r>
    </w:p>
    <w:p>
      <w:pPr>
        <w:numPr>
          <w:ilvl w:val="1"/>
          <w:numId w:val="1021"/>
        </w:numPr>
        <w:pStyle w:val="Compact"/>
      </w:pPr>
      <w:r>
        <w:t xml:space="preserve">Card schemes (Visa, Mastercard, UnionPay) and the NBK interbank clearing system.</w:t>
      </w:r>
    </w:p>
    <w:p>
      <w:pPr>
        <w:numPr>
          <w:ilvl w:val="1"/>
          <w:numId w:val="1021"/>
        </w:numPr>
        <w:pStyle w:val="Compact"/>
      </w:pPr>
      <w:r>
        <w:t xml:space="preserve">Credit bureaus (First Credit Bureau, State Credit Bureau) and collection agencies.</w:t>
      </w:r>
    </w:p>
    <w:p>
      <w:pPr>
        <w:numPr>
          <w:ilvl w:val="1"/>
          <w:numId w:val="1021"/>
        </w:numPr>
        <w:pStyle w:val="Compact"/>
      </w:pPr>
      <w:r>
        <w:t xml:space="preserve">Auditor: EY from the 9M26 review.</w:t>
      </w:r>
    </w:p>
    <w:p>
      <w:pPr>
        <w:numPr>
          <w:ilvl w:val="1"/>
          <w:numId w:val="1021"/>
        </w:numPr>
        <w:pStyle w:val="Compact"/>
      </w:pPr>
      <w:r>
        <w:t xml:space="preserve">Capital-markets investors: KZT bonds on KASE (a KZT100bn programme was approved in September 2026) and a planned US$200m two-year bond on AIX at 3.5% [u].</w:t>
      </w:r>
    </w:p>
    <w:p>
      <w:pPr>
        <w:numPr>
          <w:ilvl w:val="0"/>
          <w:numId w:val="1019"/>
        </w:numPr>
        <w:pStyle w:val="Compact"/>
      </w:pPr>
      <w:r>
        <w:rPr>
          <w:bCs/>
          <w:b/>
        </w:rPr>
        <w:t xml:space="preserve">Competitors.</w:t>
      </w:r>
    </w:p>
    <w:p>
      <w:pPr>
        <w:numPr>
          <w:ilvl w:val="1"/>
          <w:numId w:val="1022"/>
        </w:numPr>
        <w:pStyle w:val="Compact"/>
      </w:pPr>
      <w:r>
        <w:t xml:space="preserve">Kaspi.kz (Nasdaq: KSPI): payments, marketplace and consumer-lending super-app; #2 by assets at 14.2%.</w:t>
      </w:r>
    </w:p>
    <w:p>
      <w:pPr>
        <w:numPr>
          <w:ilvl w:val="1"/>
          <w:numId w:val="1022"/>
        </w:numPr>
        <w:pStyle w:val="Compact"/>
      </w:pPr>
      <w:r>
        <w:t xml:space="preserve">Bank CenterCredit (KASE: CCBN): 11.8%.</w:t>
      </w:r>
    </w:p>
    <w:p>
      <w:pPr>
        <w:numPr>
          <w:ilvl w:val="1"/>
          <w:numId w:val="1022"/>
        </w:numPr>
        <w:pStyle w:val="Compact"/>
      </w:pPr>
      <w:r>
        <w:t xml:space="preserve">Otbasy Bank: state housing bank, 8.0%.</w:t>
      </w:r>
    </w:p>
    <w:p>
      <w:pPr>
        <w:numPr>
          <w:ilvl w:val="1"/>
          <w:numId w:val="1022"/>
        </w:numPr>
        <w:pStyle w:val="Compact"/>
      </w:pPr>
      <w:r>
        <w:t xml:space="preserve">ForteBank: 7.3%, plus Home Credit Bank, acquired in 2025.</w:t>
      </w:r>
    </w:p>
    <w:p>
      <w:pPr>
        <w:numPr>
          <w:ilvl w:val="1"/>
          <w:numId w:val="1022"/>
        </w:numPr>
        <w:pStyle w:val="Compact"/>
      </w:pPr>
      <w:r>
        <w:t xml:space="preserve">Alatau City Bank (ex-Jusan): 4.3%, owned by Kaspi co-founder Vyacheslav Kim since July 2025.</w:t>
      </w:r>
    </w:p>
    <w:p>
      <w:pPr>
        <w:numPr>
          <w:ilvl w:val="1"/>
          <w:numId w:val="1022"/>
        </w:numPr>
        <w:pStyle w:val="Compact"/>
      </w:pPr>
      <w:r>
        <w:t xml:space="preserve">Freedom Bank (Nasdaq parent FRHC): ~4%, the fastest-growing.</w:t>
      </w:r>
    </w:p>
    <w:p>
      <w:pPr>
        <w:numPr>
          <w:ilvl w:val="1"/>
          <w:numId w:val="1022"/>
        </w:numPr>
        <w:pStyle w:val="Compact"/>
      </w:pPr>
      <w:r>
        <w:t xml:space="preserve">Bereke Bank: ex-Sberbank, now Qatari-owned.</w:t>
      </w:r>
    </w:p>
    <w:p>
      <w:pPr>
        <w:numPr>
          <w:ilvl w:val="1"/>
          <w:numId w:val="1022"/>
        </w:numPr>
        <w:pStyle w:val="Compact"/>
      </w:pPr>
      <w:r>
        <w:t xml:space="preserve">State development institutions in subsidised segments: Baiterek, DBK, Damu.</w:t>
      </w:r>
    </w:p>
    <w:bookmarkEnd w:id="26"/>
    <w:bookmarkStart w:id="27" w:name="markets-and-geographies"/>
    <w:p>
      <w:pPr>
        <w:pStyle w:val="Heading2"/>
      </w:pPr>
      <w:r>
        <w:t xml:space="preserve">Markets and geographies</w:t>
      </w:r>
    </w:p>
    <w:p>
      <w:pPr>
        <w:numPr>
          <w:ilvl w:val="0"/>
          <w:numId w:val="1023"/>
        </w:numPr>
        <w:pStyle w:val="Compact"/>
      </w:pPr>
      <w:r>
        <w:rPr>
          <w:bCs/>
          <w:b/>
        </w:rPr>
        <w:t xml:space="preserve">Kazakhstan</w:t>
      </w:r>
      <w:r>
        <w:t xml:space="preserve"> </w:t>
      </w:r>
      <w:r>
        <w:t xml:space="preserve">generates ~98% of group profit [e].</w:t>
      </w:r>
    </w:p>
    <w:p>
      <w:pPr>
        <w:numPr>
          <w:ilvl w:val="0"/>
          <w:numId w:val="1023"/>
        </w:numPr>
        <w:pStyle w:val="Compact"/>
      </w:pPr>
      <w:r>
        <w:rPr>
          <w:bCs/>
          <w:b/>
        </w:rPr>
        <w:t xml:space="preserve">Foreign subsidiaries</w:t>
      </w:r>
      <w:r>
        <w:t xml:space="preserve"> </w:t>
      </w:r>
      <w:r>
        <w:t xml:space="preserve">(Halyk Bank Georgia; Tenge Bank, Uzbekistan) earned ~KZT11bn in 2023, ~1.6% of group profit.</w:t>
      </w:r>
    </w:p>
    <w:p>
      <w:pPr>
        <w:numPr>
          <w:ilvl w:val="0"/>
          <w:numId w:val="1023"/>
        </w:numPr>
        <w:pStyle w:val="Compact"/>
      </w:pPr>
      <w:r>
        <w:rPr>
          <w:bCs/>
          <w:b/>
        </w:rPr>
        <w:t xml:space="preserve">Exits:</w:t>
      </w:r>
    </w:p>
    <w:p>
      <w:pPr>
        <w:numPr>
          <w:ilvl w:val="1"/>
          <w:numId w:val="1024"/>
        </w:numPr>
        <w:pStyle w:val="Compact"/>
      </w:pPr>
      <w:r>
        <w:t xml:space="preserve">Tajikistan and Russia (Moskommertsbank) in December 2022;</w:t>
      </w:r>
    </w:p>
    <w:p>
      <w:pPr>
        <w:numPr>
          <w:ilvl w:val="1"/>
          <w:numId w:val="1024"/>
        </w:numPr>
        <w:pStyle w:val="Compact"/>
      </w:pPr>
      <w:r>
        <w:t xml:space="preserve">Kyrgyzstan in April 2024;</w:t>
      </w:r>
    </w:p>
    <w:p>
      <w:pPr>
        <w:numPr>
          <w:ilvl w:val="1"/>
          <w:numId w:val="1024"/>
        </w:numPr>
        <w:pStyle w:val="Compact"/>
      </w:pPr>
      <w:r>
        <w:t xml:space="preserve">60% of Altyn Bank (to China CITIC) in 2018, with 40% retained.</w:t>
      </w:r>
    </w:p>
    <w:p>
      <w:pPr>
        <w:numPr>
          <w:ilvl w:val="0"/>
          <w:numId w:val="1023"/>
        </w:numPr>
        <w:pStyle w:val="Compact"/>
      </w:pPr>
      <w:r>
        <w:rPr>
          <w:bCs/>
          <w:b/>
        </w:rPr>
        <w:t xml:space="preserve">Uzbekistan expansion.</w:t>
      </w:r>
      <w:r>
        <w:t xml:space="preserve"> </w:t>
      </w:r>
      <w:r>
        <w:t xml:space="preserve">In July 2025 Halyk agreed to buy 49% of the payments company Click for US$176.4m, alongside the sale of 49% of Tenge Bank to Click’s owners for US$60.76m. The documents lapsed on 31-Dec-2025 without completion; talks continue.</w:t>
      </w:r>
    </w:p>
    <w:bookmarkEnd w:id="27"/>
    <w:bookmarkStart w:id="28" w:name="contracts-and-payment-terms"/>
    <w:p>
      <w:pPr>
        <w:pStyle w:val="Heading2"/>
      </w:pPr>
      <w:r>
        <w:t xml:space="preserve">Contracts and payment terms</w:t>
      </w:r>
    </w:p>
    <w:p>
      <w:pPr>
        <w:pStyle w:val="FirstParagraph"/>
      </w:pPr>
      <w:r>
        <w:t xml:space="preserve">Banks do not have supply contracts in the industrial sense; the economics are set by product terms and regulation.</w:t>
      </w:r>
    </w:p>
    <w:p>
      <w:pPr>
        <w:numPr>
          <w:ilvl w:val="0"/>
          <w:numId w:val="1025"/>
        </w:numPr>
        <w:pStyle w:val="Compact"/>
      </w:pPr>
      <w:r>
        <w:rPr>
          <w:bCs/>
          <w:b/>
        </w:rPr>
        <w:t xml:space="preserve">Loans.</w:t>
      </w:r>
    </w:p>
    <w:p>
      <w:pPr>
        <w:numPr>
          <w:ilvl w:val="1"/>
          <w:numId w:val="1026"/>
        </w:numPr>
        <w:pStyle w:val="Compact"/>
      </w:pPr>
      <w:r>
        <w:t xml:space="preserve">Corporate loans are mostly floating or repriceable, with tenors of 1–7 years.</w:t>
      </w:r>
    </w:p>
    <w:p>
      <w:pPr>
        <w:numPr>
          <w:ilvl w:val="1"/>
          <w:numId w:val="1026"/>
        </w:numPr>
        <w:pStyle w:val="Compact"/>
      </w:pPr>
      <w:r>
        <w:t xml:space="preserve">Unsecured consumer loans are capped at KZT9.5m per borrower and 5 years’ tenor under the 2026 rules, with a 46% maximum effective rate.</w:t>
      </w:r>
    </w:p>
    <w:p>
      <w:pPr>
        <w:numPr>
          <w:ilvl w:val="1"/>
          <w:numId w:val="1026"/>
        </w:numPr>
        <w:pStyle w:val="Compact"/>
      </w:pPr>
      <w:r>
        <w:t xml:space="preserve">Mortgage refinancing and transfer between banks is now offered (October 2026).</w:t>
      </w:r>
    </w:p>
    <w:p>
      <w:pPr>
        <w:numPr>
          <w:ilvl w:val="0"/>
          <w:numId w:val="1025"/>
        </w:numPr>
        <w:pStyle w:val="Compact"/>
      </w:pPr>
      <w:r>
        <w:rPr>
          <w:bCs/>
          <w:b/>
        </w:rPr>
        <w:t xml:space="preserve">Deposits.</w:t>
      </w:r>
      <w:r>
        <w:t xml:space="preserve"> </w:t>
      </w:r>
      <w:r>
        <w:t xml:space="preserve">Term deposits are early-withdrawable at a penalty rate. KDIF sets maximum recommended rates and premiums by deposit type.</w:t>
      </w:r>
    </w:p>
    <w:p>
      <w:pPr>
        <w:numPr>
          <w:ilvl w:val="0"/>
          <w:numId w:val="1025"/>
        </w:numPr>
        <w:pStyle w:val="Compact"/>
      </w:pPr>
      <w:r>
        <w:rPr>
          <w:bCs/>
          <w:b/>
        </w:rPr>
        <w:t xml:space="preserve">Payments.</w:t>
      </w:r>
      <w:r>
        <w:t xml:space="preserve"> </w:t>
      </w:r>
      <w:r>
        <w:t xml:space="preserve">Card scheme fees are paid to Visa, Mastercard and UnionPay. Merchant acquiring and VAT now apply to some bank commissions (2026).</w:t>
      </w:r>
    </w:p>
    <w:bookmarkEnd w:id="28"/>
    <w:bookmarkEnd w:id="29"/>
    <w:bookmarkStart w:id="30" w:name="key-business-drivers"/>
    <w:p>
      <w:pPr>
        <w:pStyle w:val="Heading1"/>
      </w:pPr>
      <w:r>
        <w:t xml:space="preserve">Key business drivers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587"/>
        <w:gridCol w:w="3158"/>
        <w:gridCol w:w="2914"/>
        <w:gridCol w:w="2317"/>
      </w:tblGrid>
      <w:tr>
        <w:trPr>
          <w:tblHeader w:val="true"/>
          <w:cantSplit/>
          <w:tblHeader w:val="true"/>
        </w:trPr>
        <w:tc>
          <w:tcPr>
            <w:tcW w:w="1587" w:type="dxa"/>
            <w:shd w:val="clear" w:color="auto" w:fill="13213F"/>
          </w:tcPr>
          <w:p>
            <w:pPr>
              <w:pStyle w:val="Compact"/>
              <w:spacing w:before="0" w:after="0" w:line="240" w:lineRule="auto"/>
              <w:jc w:val="left"/>
            </w:pPr>
            <w:r>
              <w:rPr>
                <w:rFonts w:ascii="Arial" w:hAnsi="Arial"/>
                <w:b/>
                <w:color w:val="FFFFFF"/>
                <w:sz w:val="15"/>
              </w:rPr>
              <w:t xml:space="preserve">Driver</w:t>
            </w:r>
          </w:p>
        </w:tc>
        <w:tc>
          <w:tcPr>
            <w:tcW w:w="3158" w:type="dxa"/>
            <w:shd w:val="clear" w:color="auto" w:fill="13213F"/>
          </w:tcPr>
          <w:p>
            <w:pPr>
              <w:pStyle w:val="Compact"/>
              <w:spacing w:before="0" w:after="0" w:line="240" w:lineRule="auto"/>
              <w:jc w:val="left"/>
            </w:pPr>
            <w:r>
              <w:rPr>
                <w:rFonts w:ascii="Arial" w:hAnsi="Arial"/>
                <w:b/>
                <w:color w:val="FFFFFF"/>
                <w:sz w:val="15"/>
              </w:rPr>
              <w:t xml:space="preserve">Mechanism</w:t>
            </w:r>
          </w:p>
        </w:tc>
        <w:tc>
          <w:tcPr>
            <w:tcW w:w="2914" w:type="dxa"/>
            <w:shd w:val="clear" w:color="auto" w:fill="13213F"/>
          </w:tcPr>
          <w:p>
            <w:pPr>
              <w:pStyle w:val="Compact"/>
              <w:spacing w:before="0" w:after="0" w:line="240" w:lineRule="auto"/>
              <w:jc w:val="left"/>
            </w:pPr>
            <w:r>
              <w:rPr>
                <w:rFonts w:ascii="Arial" w:hAnsi="Arial"/>
                <w:b/>
                <w:color w:val="FFFFFF"/>
                <w:sz w:val="15"/>
              </w:rPr>
              <w:t xml:space="preserve">Current direction</w:t>
            </w:r>
          </w:p>
        </w:tc>
        <w:tc>
          <w:tcPr>
            <w:tcW w:w="2317" w:type="dxa"/>
            <w:shd w:val="clear" w:color="auto" w:fill="13213F"/>
          </w:tcPr>
          <w:p>
            <w:pPr>
              <w:pStyle w:val="Compact"/>
              <w:spacing w:before="0" w:after="0" w:line="240" w:lineRule="auto"/>
              <w:jc w:val="left"/>
            </w:pPr>
            <w:r>
              <w:rPr>
                <w:rFonts w:ascii="Arial" w:hAnsi="Arial"/>
                <w:b/>
                <w:color w:val="FFFFFF"/>
                <w:sz w:val="15"/>
              </w:rPr>
              <w:t xml:space="preserve">Sensitivity [e]</w:t>
            </w:r>
          </w:p>
        </w:tc>
      </w:tr>
      <w:tr>
        <w:trPr>
          <w:cantSplit/>
        </w:trPr>
        <w:tc>
          <w:tcPr>
            <w:tcW w:w="1587" w:type="dxa"/>
          </w:tcPr>
          <w:p>
            <w:pPr>
              <w:pStyle w:val="Compact"/>
              <w:spacing w:before="0" w:after="0" w:line="240" w:lineRule="auto"/>
              <w:jc w:val="left"/>
            </w:pPr>
            <w:r>
              <w:rPr>
                <w:bCs/>
                <w:rFonts w:ascii="Arial" w:hAnsi="Arial"/>
                <w:b/>
                <w:sz w:val="15"/>
              </w:rPr>
              <w:t xml:space="preserve">Policy rate / NIM</w:t>
            </w:r>
          </w:p>
        </w:tc>
        <w:tc>
          <w:tcPr>
            <w:tcW w:w="3158" w:type="dxa"/>
          </w:tcPr>
          <w:p>
            <w:pPr>
              <w:pStyle w:val="Compact"/>
              <w:spacing w:before="0" w:after="0" w:line="240" w:lineRule="auto"/>
              <w:jc w:val="left"/>
            </w:pPr>
            <w:r>
              <w:rPr>
                <w:rFonts w:ascii="Arial" w:hAnsi="Arial"/>
                <w:sz w:val="15"/>
              </w:rPr>
              <w:t xml:space="preserve">Roughly half of assets reprice within a year [e] (corporate floaters, NBK notes, government bonds). Deposit costs lag.</w:t>
            </w:r>
          </w:p>
        </w:tc>
        <w:tc>
          <w:tcPr>
            <w:tcW w:w="2914" w:type="dxa"/>
          </w:tcPr>
          <w:p>
            <w:pPr>
              <w:pStyle w:val="Compact"/>
              <w:spacing w:before="0" w:after="0" w:line="240" w:lineRule="auto"/>
              <w:jc w:val="left"/>
            </w:pPr>
            <w:r>
              <w:rPr>
                <w:rFonts w:ascii="Arial" w:hAnsi="Arial"/>
                <w:sz w:val="15"/>
              </w:rPr>
              <w:t xml:space="preserve">Base rate cut 225bp since June to 15.75% (23-Oct-26). NIM 6.8% in 1H26.</w:t>
            </w:r>
          </w:p>
        </w:tc>
        <w:tc>
          <w:tcPr>
            <w:tcW w:w="2317" w:type="dxa"/>
          </w:tcPr>
          <w:p>
            <w:pPr>
              <w:pStyle w:val="Compact"/>
              <w:spacing w:before="0" w:after="0" w:line="240" w:lineRule="auto"/>
              <w:jc w:val="left"/>
            </w:pPr>
            <w:r>
              <w:rPr>
                <w:rFonts w:ascii="Arial" w:hAnsi="Arial"/>
                <w:sz w:val="15"/>
              </w:rPr>
              <w:t xml:space="preserve">±10bp NIM ≈ ±KZT20bn NII ≈ ±2% net income</w:t>
            </w:r>
          </w:p>
        </w:tc>
      </w:tr>
      <w:tr>
        <w:trPr>
          <w:cantSplit/>
        </w:trPr>
        <w:tc>
          <w:tcPr>
            <w:tcW w:w="1587" w:type="dxa"/>
          </w:tcPr>
          <w:p>
            <w:pPr>
              <w:pStyle w:val="Compact"/>
              <w:spacing w:before="0" w:after="0" w:line="240" w:lineRule="auto"/>
              <w:jc w:val="left"/>
            </w:pPr>
            <w:r>
              <w:rPr>
                <w:bCs/>
                <w:rFonts w:ascii="Arial" w:hAnsi="Arial"/>
                <w:b/>
                <w:sz w:val="15"/>
              </w:rPr>
              <w:t xml:space="preserve">Reserve requirements (MRR)</w:t>
            </w:r>
          </w:p>
        </w:tc>
        <w:tc>
          <w:tcPr>
            <w:tcW w:w="3158" w:type="dxa"/>
          </w:tcPr>
          <w:p>
            <w:pPr>
              <w:pStyle w:val="Compact"/>
              <w:spacing w:before="0" w:after="0" w:line="240" w:lineRule="auto"/>
              <w:jc w:val="left"/>
            </w:pPr>
            <w:r>
              <w:rPr>
                <w:rFonts w:ascii="Arial" w:hAnsi="Arial"/>
                <w:sz w:val="15"/>
              </w:rPr>
              <w:t xml:space="preserve">Unremunerated reserves at the NBK, raised in three stages (Sep-25, Apr-26, Sep-26); system total ~KZT4.3trn</w:t>
            </w:r>
          </w:p>
        </w:tc>
        <w:tc>
          <w:tcPr>
            <w:tcW w:w="2914" w:type="dxa"/>
          </w:tcPr>
          <w:p>
            <w:pPr>
              <w:pStyle w:val="Compact"/>
              <w:spacing w:before="0" w:after="0" w:line="240" w:lineRule="auto"/>
              <w:jc w:val="left"/>
            </w:pPr>
            <w:r>
              <w:rPr>
                <w:rFonts w:ascii="Arial" w:hAnsi="Arial"/>
                <w:sz w:val="15"/>
              </w:rPr>
              <w:t xml:space="preserve">Final step taken in Sep-26; full-year drag in 2027</w:t>
            </w:r>
          </w:p>
        </w:tc>
        <w:tc>
          <w:tcPr>
            <w:tcW w:w="2317" w:type="dxa"/>
          </w:tcPr>
          <w:p>
            <w:pPr>
              <w:pStyle w:val="Compact"/>
              <w:spacing w:before="0" w:after="0" w:line="240" w:lineRule="auto"/>
              <w:jc w:val="left"/>
            </w:pPr>
            <w:r>
              <w:rPr>
                <w:rFonts w:ascii="Arial" w:hAnsi="Arial"/>
                <w:sz w:val="15"/>
              </w:rPr>
              <w:t xml:space="preserve">~40bp NIM in 1H26 (company)</w:t>
            </w:r>
          </w:p>
        </w:tc>
      </w:tr>
      <w:tr>
        <w:trPr>
          <w:cantSplit/>
        </w:trPr>
        <w:tc>
          <w:tcPr>
            <w:tcW w:w="1587" w:type="dxa"/>
          </w:tcPr>
          <w:p>
            <w:pPr>
              <w:pStyle w:val="Compact"/>
              <w:spacing w:before="0" w:after="0" w:line="240" w:lineRule="auto"/>
              <w:jc w:val="left"/>
            </w:pPr>
            <w:r>
              <w:rPr>
                <w:bCs/>
                <w:rFonts w:ascii="Arial" w:hAnsi="Arial"/>
                <w:b/>
                <w:sz w:val="15"/>
              </w:rPr>
              <w:t xml:space="preserve">Loan volume</w:t>
            </w:r>
          </w:p>
        </w:tc>
        <w:tc>
          <w:tcPr>
            <w:tcW w:w="3158" w:type="dxa"/>
          </w:tcPr>
          <w:p>
            <w:pPr>
              <w:pStyle w:val="Compact"/>
              <w:spacing w:before="0" w:after="0" w:line="240" w:lineRule="auto"/>
              <w:jc w:val="left"/>
            </w:pPr>
            <w:r>
              <w:rPr>
                <w:rFonts w:ascii="Arial" w:hAnsi="Arial"/>
                <w:sz w:val="15"/>
              </w:rPr>
              <w:t xml:space="preserve">Corporate capex cycle (energy, utilities, grid), SME programmes, mortgage subsidies</w:t>
            </w:r>
          </w:p>
        </w:tc>
        <w:tc>
          <w:tcPr>
            <w:tcW w:w="2914" w:type="dxa"/>
          </w:tcPr>
          <w:p>
            <w:pPr>
              <w:pStyle w:val="Compact"/>
              <w:spacing w:before="0" w:after="0" w:line="240" w:lineRule="auto"/>
              <w:jc w:val="left"/>
            </w:pPr>
            <w:r>
              <w:rPr>
                <w:rFonts w:ascii="Arial" w:hAnsi="Arial"/>
                <w:sz w:val="15"/>
              </w:rPr>
              <w:t xml:space="preserve">Guidance 9–12% net loan growth for 2026; +1.8% YTD at 1H</w:t>
            </w:r>
          </w:p>
        </w:tc>
        <w:tc>
          <w:tcPr>
            <w:tcW w:w="2317" w:type="dxa"/>
          </w:tcPr>
          <w:p>
            <w:pPr>
              <w:pStyle w:val="Compact"/>
              <w:spacing w:before="0" w:after="0" w:line="240" w:lineRule="auto"/>
              <w:jc w:val="left"/>
            </w:pPr>
            <w:r>
              <w:rPr>
                <w:rFonts w:ascii="Arial" w:hAnsi="Arial"/>
                <w:sz w:val="15"/>
              </w:rPr>
              <w:t xml:space="preserve">+1pp growth ≈ +KZT13bn NII</w:t>
            </w:r>
          </w:p>
        </w:tc>
      </w:tr>
      <w:tr>
        <w:trPr>
          <w:cantSplit/>
        </w:trPr>
        <w:tc>
          <w:tcPr>
            <w:tcW w:w="1587" w:type="dxa"/>
          </w:tcPr>
          <w:p>
            <w:pPr>
              <w:pStyle w:val="Compact"/>
              <w:spacing w:before="0" w:after="0" w:line="240" w:lineRule="auto"/>
              <w:jc w:val="left"/>
            </w:pPr>
            <w:r>
              <w:rPr>
                <w:bCs/>
                <w:rFonts w:ascii="Arial" w:hAnsi="Arial"/>
                <w:b/>
                <w:sz w:val="15"/>
              </w:rPr>
              <w:t xml:space="preserve">Retail regulation</w:t>
            </w:r>
          </w:p>
        </w:tc>
        <w:tc>
          <w:tcPr>
            <w:tcW w:w="3158" w:type="dxa"/>
          </w:tcPr>
          <w:p>
            <w:pPr>
              <w:pStyle w:val="Compact"/>
              <w:spacing w:before="0" w:after="0" w:line="240" w:lineRule="auto"/>
              <w:jc w:val="left"/>
            </w:pPr>
            <w:r>
              <w:rPr>
                <w:rFonts w:ascii="Arial" w:hAnsi="Arial"/>
                <w:sz w:val="15"/>
              </w:rPr>
              <w:t xml:space="preserve">Debt-burden caps, GEIR cap 46%, 350% risk weights on long unsecured loans, BNPL rules, 2% sectoral buffer</w:t>
            </w:r>
          </w:p>
        </w:tc>
        <w:tc>
          <w:tcPr>
            <w:tcW w:w="2914" w:type="dxa"/>
          </w:tcPr>
          <w:p>
            <w:pPr>
              <w:pStyle w:val="Compact"/>
              <w:spacing w:before="0" w:after="0" w:line="240" w:lineRule="auto"/>
              <w:jc w:val="left"/>
            </w:pPr>
            <w:r>
              <w:rPr>
                <w:rFonts w:ascii="Arial" w:hAnsi="Arial"/>
                <w:sz w:val="15"/>
              </w:rPr>
              <w:t xml:space="preserve">Tightening; unsecured lending +3.1% in 6M26 (sector)</w:t>
            </w:r>
          </w:p>
        </w:tc>
        <w:tc>
          <w:tcPr>
            <w:tcW w:w="2317" w:type="dxa"/>
          </w:tcPr>
          <w:p>
            <w:pPr>
              <w:pStyle w:val="Compact"/>
              <w:spacing w:before="0" w:after="0" w:line="240" w:lineRule="auto"/>
              <w:jc w:val="left"/>
            </w:pPr>
            <w:r>
              <w:rPr>
                <w:rFonts w:ascii="Arial" w:hAnsi="Arial"/>
                <w:sz w:val="15"/>
              </w:rPr>
              <w:t xml:space="preserve">Mix shift to secured, lower yield but lower CoR</w:t>
            </w:r>
          </w:p>
        </w:tc>
      </w:tr>
      <w:tr>
        <w:trPr>
          <w:cantSplit/>
        </w:trPr>
        <w:tc>
          <w:tcPr>
            <w:tcW w:w="1587" w:type="dxa"/>
          </w:tcPr>
          <w:p>
            <w:pPr>
              <w:pStyle w:val="Compact"/>
              <w:spacing w:before="0" w:after="0" w:line="240" w:lineRule="auto"/>
              <w:jc w:val="left"/>
            </w:pPr>
            <w:r>
              <w:rPr>
                <w:bCs/>
                <w:rFonts w:ascii="Arial" w:hAnsi="Arial"/>
                <w:b/>
                <w:sz w:val="15"/>
              </w:rPr>
              <w:t xml:space="preserve">Credit cost</w:t>
            </w:r>
          </w:p>
        </w:tc>
        <w:tc>
          <w:tcPr>
            <w:tcW w:w="3158" w:type="dxa"/>
          </w:tcPr>
          <w:p>
            <w:pPr>
              <w:pStyle w:val="Compact"/>
              <w:spacing w:before="0" w:after="0" w:line="240" w:lineRule="auto"/>
              <w:jc w:val="left"/>
            </w:pPr>
            <w:r>
              <w:rPr>
                <w:rFonts w:ascii="Arial" w:hAnsi="Arial"/>
                <w:sz w:val="15"/>
              </w:rPr>
              <w:t xml:space="preserve">Retail delinquencies, collector-sale moratorium (to 1-May-26), personal bankruptcy law (2023)</w:t>
            </w:r>
          </w:p>
        </w:tc>
        <w:tc>
          <w:tcPr>
            <w:tcW w:w="2914" w:type="dxa"/>
          </w:tcPr>
          <w:p>
            <w:pPr>
              <w:pStyle w:val="Compact"/>
              <w:spacing w:before="0" w:after="0" w:line="240" w:lineRule="auto"/>
              <w:jc w:val="left"/>
            </w:pPr>
            <w:r>
              <w:rPr>
                <w:rFonts w:ascii="Arial" w:hAnsi="Arial"/>
                <w:sz w:val="15"/>
              </w:rPr>
              <w:t xml:space="preserve">NPL 90+ 5.3% (from 3.0%); CoR 1.4–1.5%</w:t>
            </w:r>
          </w:p>
        </w:tc>
        <w:tc>
          <w:tcPr>
            <w:tcW w:w="2317" w:type="dxa"/>
          </w:tcPr>
          <w:p>
            <w:pPr>
              <w:pStyle w:val="Compact"/>
              <w:spacing w:before="0" w:after="0" w:line="240" w:lineRule="auto"/>
              <w:jc w:val="left"/>
            </w:pPr>
            <w:r>
              <w:rPr>
                <w:rFonts w:ascii="Arial" w:hAnsi="Arial"/>
                <w:sz w:val="15"/>
              </w:rPr>
              <w:t xml:space="preserve">+10bp CoR ≈ −KZT14bn</w:t>
            </w:r>
          </w:p>
        </w:tc>
      </w:tr>
      <w:tr>
        <w:trPr>
          <w:cantSplit/>
        </w:trPr>
        <w:tc>
          <w:tcPr>
            <w:tcW w:w="1587" w:type="dxa"/>
          </w:tcPr>
          <w:p>
            <w:pPr>
              <w:pStyle w:val="Compact"/>
              <w:spacing w:before="0" w:after="0" w:line="240" w:lineRule="auto"/>
              <w:jc w:val="left"/>
            </w:pPr>
            <w:r>
              <w:rPr>
                <w:bCs/>
                <w:rFonts w:ascii="Arial" w:hAnsi="Arial"/>
                <w:b/>
                <w:sz w:val="15"/>
              </w:rPr>
              <w:t xml:space="preserve">Fees and VAT</w:t>
            </w:r>
          </w:p>
        </w:tc>
        <w:tc>
          <w:tcPr>
            <w:tcW w:w="3158" w:type="dxa"/>
          </w:tcPr>
          <w:p>
            <w:pPr>
              <w:pStyle w:val="Compact"/>
              <w:spacing w:before="0" w:after="0" w:line="240" w:lineRule="auto"/>
              <w:jc w:val="left"/>
            </w:pPr>
            <w:r>
              <w:rPr>
                <w:rFonts w:ascii="Arial" w:hAnsi="Arial"/>
                <w:sz w:val="15"/>
              </w:rPr>
              <w:t xml:space="preserve">Transaction volumes (+14% y/y), BNPL fee loss, VAT on some commissions</w:t>
            </w:r>
          </w:p>
        </w:tc>
        <w:tc>
          <w:tcPr>
            <w:tcW w:w="2914" w:type="dxa"/>
          </w:tcPr>
          <w:p>
            <w:pPr>
              <w:pStyle w:val="Compact"/>
              <w:spacing w:before="0" w:after="0" w:line="240" w:lineRule="auto"/>
              <w:jc w:val="left"/>
            </w:pPr>
            <w:r>
              <w:rPr>
                <w:rFonts w:ascii="Arial" w:hAnsi="Arial"/>
                <w:sz w:val="15"/>
              </w:rPr>
              <w:t xml:space="preserve">Net fees guided to −10% in 2026, then +10%</w:t>
            </w:r>
          </w:p>
        </w:tc>
        <w:tc>
          <w:tcPr>
            <w:tcW w:w="2317" w:type="dxa"/>
          </w:tcPr>
          <w:p>
            <w:pPr>
              <w:pStyle w:val="Compact"/>
              <w:spacing w:before="0" w:after="0" w:line="240" w:lineRule="auto"/>
              <w:jc w:val="left"/>
            </w:pPr>
            <w:r>
              <w:rPr>
                <w:rFonts w:ascii="Arial" w:hAnsi="Arial"/>
                <w:sz w:val="15"/>
              </w:rPr>
              <w:t xml:space="preserve">Fees ~8% of revenue</w:t>
            </w:r>
          </w:p>
        </w:tc>
      </w:tr>
      <w:tr>
        <w:trPr>
          <w:cantSplit/>
        </w:trPr>
        <w:tc>
          <w:tcPr>
            <w:tcW w:w="1587" w:type="dxa"/>
          </w:tcPr>
          <w:p>
            <w:pPr>
              <w:pStyle w:val="Compact"/>
              <w:spacing w:before="0" w:after="0" w:line="240" w:lineRule="auto"/>
              <w:jc w:val="left"/>
            </w:pPr>
            <w:r>
              <w:rPr>
                <w:bCs/>
                <w:rFonts w:ascii="Arial" w:hAnsi="Arial"/>
                <w:b/>
                <w:sz w:val="15"/>
              </w:rPr>
              <w:t xml:space="preserve">Tax</w:t>
            </w:r>
          </w:p>
        </w:tc>
        <w:tc>
          <w:tcPr>
            <w:tcW w:w="3158" w:type="dxa"/>
          </w:tcPr>
          <w:p>
            <w:pPr>
              <w:pStyle w:val="Compact"/>
              <w:spacing w:before="0" w:after="0" w:line="240" w:lineRule="auto"/>
              <w:jc w:val="left"/>
            </w:pPr>
            <w:r>
              <w:rPr>
                <w:rFonts w:ascii="Arial" w:hAnsi="Arial"/>
                <w:sz w:val="15"/>
              </w:rPr>
              <w:t xml:space="preserve">Bank CIT raised from 20% to 25% (business-loan income may stay at 20% [u]); 2025 one-off 10% excess-profit tax ended</w:t>
            </w:r>
          </w:p>
        </w:tc>
        <w:tc>
          <w:tcPr>
            <w:tcW w:w="2914" w:type="dxa"/>
          </w:tcPr>
          <w:p>
            <w:pPr>
              <w:pStyle w:val="Compact"/>
              <w:spacing w:before="0" w:after="0" w:line="240" w:lineRule="auto"/>
              <w:jc w:val="left"/>
            </w:pPr>
            <w:r>
              <w:rPr>
                <w:rFonts w:ascii="Arial" w:hAnsi="Arial"/>
                <w:sz w:val="15"/>
              </w:rPr>
              <w:t xml:space="preserve">ETR 16.6% in 1Q26 vs 15.6%</w:t>
            </w:r>
          </w:p>
        </w:tc>
        <w:tc>
          <w:tcPr>
            <w:tcW w:w="2317" w:type="dxa"/>
          </w:tcPr>
          <w:p>
            <w:pPr>
              <w:pStyle w:val="Compact"/>
              <w:spacing w:before="0" w:after="0" w:line="240" w:lineRule="auto"/>
              <w:jc w:val="left"/>
            </w:pPr>
            <w:r>
              <w:rPr>
                <w:rFonts w:ascii="Arial" w:hAnsi="Arial"/>
                <w:sz w:val="15"/>
              </w:rPr>
              <w:t xml:space="preserve">+1pp ETR ≈ −1.2% net income</w:t>
            </w:r>
          </w:p>
        </w:tc>
      </w:tr>
      <w:tr>
        <w:trPr>
          <w:cantSplit/>
        </w:trPr>
        <w:tc>
          <w:tcPr>
            <w:tcW w:w="1587" w:type="dxa"/>
          </w:tcPr>
          <w:p>
            <w:pPr>
              <w:pStyle w:val="Compact"/>
              <w:spacing w:before="0" w:after="0" w:line="240" w:lineRule="auto"/>
              <w:jc w:val="left"/>
            </w:pPr>
            <w:r>
              <w:rPr>
                <w:bCs/>
                <w:rFonts w:ascii="Arial" w:hAnsi="Arial"/>
                <w:b/>
                <w:sz w:val="15"/>
              </w:rPr>
              <w:t xml:space="preserve">FX (tenge)</w:t>
            </w:r>
          </w:p>
        </w:tc>
        <w:tc>
          <w:tcPr>
            <w:tcW w:w="3158" w:type="dxa"/>
          </w:tcPr>
          <w:p>
            <w:pPr>
              <w:pStyle w:val="Compact"/>
              <w:spacing w:before="0" w:after="0" w:line="240" w:lineRule="auto"/>
              <w:jc w:val="left"/>
            </w:pPr>
            <w:r>
              <w:rPr>
                <w:rFonts w:ascii="Arial" w:hAnsi="Arial"/>
                <w:sz w:val="15"/>
              </w:rPr>
              <w:t xml:space="preserve">Translates KZT earnings into US$ for GDR holders; affects FX income and asset quality</w:t>
            </w:r>
          </w:p>
        </w:tc>
        <w:tc>
          <w:tcPr>
            <w:tcW w:w="2914" w:type="dxa"/>
          </w:tcPr>
          <w:p>
            <w:pPr>
              <w:pStyle w:val="Compact"/>
              <w:spacing w:before="0" w:after="0" w:line="240" w:lineRule="auto"/>
              <w:jc w:val="left"/>
            </w:pPr>
            <w:r>
              <w:rPr>
                <w:rFonts w:ascii="Arial" w:hAnsi="Arial"/>
                <w:sz w:val="15"/>
              </w:rPr>
              <w:t xml:space="preserve">Tenge ~449/US$ (strong) vs 505.7 at end-25 and 525 at end-24</w:t>
            </w:r>
          </w:p>
        </w:tc>
        <w:tc>
          <w:tcPr>
            <w:tcW w:w="2317" w:type="dxa"/>
          </w:tcPr>
          <w:p>
            <w:pPr>
              <w:pStyle w:val="Compact"/>
              <w:spacing w:before="0" w:after="0" w:line="240" w:lineRule="auto"/>
              <w:jc w:val="left"/>
            </w:pPr>
            <w:r>
              <w:rPr>
                <w:rFonts w:ascii="Arial" w:hAnsi="Arial"/>
                <w:sz w:val="15"/>
              </w:rPr>
              <w:t xml:space="preserve">10% KZT depreciation ≈ −9% on US$ value</w:t>
            </w:r>
          </w:p>
        </w:tc>
      </w:tr>
      <w:tr>
        <w:trPr>
          <w:cantSplit/>
        </w:trPr>
        <w:tc>
          <w:tcPr>
            <w:tcW w:w="1587" w:type="dxa"/>
          </w:tcPr>
          <w:p>
            <w:pPr>
              <w:pStyle w:val="Compact"/>
              <w:spacing w:before="0" w:after="0" w:line="240" w:lineRule="auto"/>
              <w:jc w:val="left"/>
            </w:pPr>
            <w:r>
              <w:rPr>
                <w:bCs/>
                <w:rFonts w:ascii="Arial" w:hAnsi="Arial"/>
                <w:b/>
                <w:sz w:val="15"/>
              </w:rPr>
              <w:t xml:space="preserve">Capex cycle</w:t>
            </w:r>
          </w:p>
        </w:tc>
        <w:tc>
          <w:tcPr>
            <w:tcW w:w="3158" w:type="dxa"/>
          </w:tcPr>
          <w:p>
            <w:pPr>
              <w:pStyle w:val="Compact"/>
              <w:spacing w:before="0" w:after="0" w:line="240" w:lineRule="auto"/>
              <w:jc w:val="left"/>
            </w:pPr>
            <w:r>
              <w:rPr>
                <w:rFonts w:ascii="Arial" w:hAnsi="Arial"/>
                <w:sz w:val="15"/>
              </w:rPr>
              <w:t xml:space="preserve">Large state infrastructure (grid, power, transport) supports corporate loan demand</w:t>
            </w:r>
          </w:p>
        </w:tc>
        <w:tc>
          <w:tcPr>
            <w:tcW w:w="2914" w:type="dxa"/>
          </w:tcPr>
          <w:p>
            <w:pPr>
              <w:pStyle w:val="Compact"/>
              <w:spacing w:before="0" w:after="0" w:line="240" w:lineRule="auto"/>
              <w:jc w:val="left"/>
            </w:pPr>
            <w:r>
              <w:rPr>
                <w:rFonts w:ascii="Arial" w:hAnsi="Arial"/>
                <w:sz w:val="15"/>
              </w:rPr>
              <w:t xml:space="preserve">Supportive; oil windfall (Brent ~US$110) funds the budget</w:t>
            </w:r>
          </w:p>
        </w:tc>
        <w:tc>
          <w:tcPr>
            <w:tcW w:w="2317" w:type="dxa"/>
          </w:tcPr>
          <w:p>
            <w:pPr>
              <w:pStyle w:val="Compact"/>
              <w:spacing w:before="0" w:after="0" w:line="240" w:lineRule="auto"/>
              <w:jc w:val="left"/>
            </w:pPr>
            <w:r>
              <w:rPr>
                <w:rFonts w:ascii="Arial" w:hAnsi="Arial"/>
                <w:sz w:val="15"/>
              </w:rPr>
              <w:t xml:space="preserve">Positive for corporate volumes</w:t>
            </w:r>
          </w:p>
        </w:tc>
      </w:tr>
    </w:tbl>
    <w:bookmarkEnd w:id="30"/>
    <w:bookmarkStart w:id="34" w:name="X8380dafc01e0f9aa568d67b6f125a80e7b51943"/>
    <w:p>
      <w:pPr>
        <w:pStyle w:val="Heading1"/>
      </w:pPr>
      <w:r>
        <w:t xml:space="preserve">Macro and micro factors: tailwinds and headwinds</w:t>
      </w:r>
    </w:p>
    <w:bookmarkStart w:id="31" w:name="macro-backdrop-kazakhstan"/>
    <w:p>
      <w:pPr>
        <w:pStyle w:val="Heading2"/>
      </w:pPr>
      <w:r>
        <w:t xml:space="preserve">Macro backdrop (Kazakhstan)</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943"/>
        <w:gridCol w:w="1392"/>
        <w:gridCol w:w="838"/>
        <w:gridCol w:w="960"/>
        <w:gridCol w:w="1032"/>
        <w:gridCol w:w="2482"/>
        <w:gridCol w:w="1328"/>
      </w:tblGrid>
      <w:tr>
        <w:trPr>
          <w:tblHeader w:val="true"/>
          <w:cantSplit/>
          <w:tblHeader w:val="true"/>
        </w:trPr>
        <w:tc>
          <w:tcPr>
            <w:tcW w:w="1943" w:type="dxa"/>
            <w:shd w:val="clear" w:color="auto" w:fill="13213F"/>
          </w:tcPr>
          <w:p>
            <w:pPr>
              <w:pStyle w:val="Compact"/>
              <w:spacing w:before="0" w:after="0" w:line="240" w:lineRule="auto"/>
              <w:jc w:val="left"/>
            </w:pPr>
            <w:r>
              <w:rPr>
                <w:rFonts w:ascii="Arial" w:hAnsi="Arial"/>
                <w:b/>
                <w:color w:val="FFFFFF"/>
                <w:sz w:val="15"/>
              </w:rPr>
              <w:t xml:space="preserve">Indicator</w:t>
            </w:r>
          </w:p>
        </w:tc>
        <w:tc>
          <w:tcPr>
            <w:tcW w:w="1392" w:type="dxa"/>
            <w:shd w:val="clear" w:color="auto" w:fill="13213F"/>
          </w:tcPr>
          <w:p>
            <w:pPr>
              <w:pStyle w:val="Compact"/>
              <w:spacing w:before="0" w:after="0" w:line="240" w:lineRule="auto"/>
              <w:jc w:val="left"/>
            </w:pPr>
            <w:r>
              <w:rPr>
                <w:rFonts w:ascii="Arial" w:hAnsi="Arial"/>
                <w:b/>
                <w:color w:val="FFFFFF"/>
                <w:sz w:val="15"/>
              </w:rPr>
              <w:t xml:space="preserve">2022</w:t>
            </w:r>
          </w:p>
        </w:tc>
        <w:tc>
          <w:tcPr>
            <w:tcW w:w="838" w:type="dxa"/>
            <w:shd w:val="clear" w:color="auto" w:fill="13213F"/>
          </w:tcPr>
          <w:p>
            <w:pPr>
              <w:pStyle w:val="Compact"/>
              <w:spacing w:before="0" w:after="0" w:line="240" w:lineRule="auto"/>
              <w:jc w:val="left"/>
            </w:pPr>
            <w:r>
              <w:rPr>
                <w:rFonts w:ascii="Arial" w:hAnsi="Arial"/>
                <w:b/>
                <w:color w:val="FFFFFF"/>
                <w:sz w:val="15"/>
              </w:rPr>
              <w:t xml:space="preserve">2023</w:t>
            </w:r>
          </w:p>
        </w:tc>
        <w:tc>
          <w:tcPr>
            <w:tcW w:w="960" w:type="dxa"/>
            <w:shd w:val="clear" w:color="auto" w:fill="13213F"/>
          </w:tcPr>
          <w:p>
            <w:pPr>
              <w:pStyle w:val="Compact"/>
              <w:spacing w:before="0" w:after="0" w:line="240" w:lineRule="auto"/>
              <w:jc w:val="left"/>
            </w:pPr>
            <w:r>
              <w:rPr>
                <w:rFonts w:ascii="Arial" w:hAnsi="Arial"/>
                <w:b/>
                <w:color w:val="FFFFFF"/>
                <w:sz w:val="15"/>
              </w:rPr>
              <w:t xml:space="preserve">2024</w:t>
            </w:r>
          </w:p>
        </w:tc>
        <w:tc>
          <w:tcPr>
            <w:tcW w:w="1032" w:type="dxa"/>
            <w:shd w:val="clear" w:color="auto" w:fill="13213F"/>
          </w:tcPr>
          <w:p>
            <w:pPr>
              <w:pStyle w:val="Compact"/>
              <w:spacing w:before="0" w:after="0" w:line="240" w:lineRule="auto"/>
              <w:jc w:val="left"/>
            </w:pPr>
            <w:r>
              <w:rPr>
                <w:rFonts w:ascii="Arial" w:hAnsi="Arial"/>
                <w:b/>
                <w:color w:val="FFFFFF"/>
                <w:sz w:val="15"/>
              </w:rPr>
              <w:t xml:space="preserve">2025</w:t>
            </w:r>
          </w:p>
        </w:tc>
        <w:tc>
          <w:tcPr>
            <w:tcW w:w="2482" w:type="dxa"/>
            <w:shd w:val="clear" w:color="auto" w:fill="13213F"/>
          </w:tcPr>
          <w:p>
            <w:pPr>
              <w:pStyle w:val="Compact"/>
              <w:spacing w:before="0" w:after="0" w:line="240" w:lineRule="auto"/>
              <w:jc w:val="left"/>
            </w:pPr>
            <w:r>
              <w:rPr>
                <w:rFonts w:ascii="Arial" w:hAnsi="Arial"/>
                <w:b/>
                <w:color w:val="FFFFFF"/>
                <w:sz w:val="15"/>
              </w:rPr>
              <w:t xml:space="preserve">2026 YTD / forecast</w:t>
            </w:r>
          </w:p>
        </w:tc>
        <w:tc>
          <w:tcPr>
            <w:tcW w:w="1328" w:type="dxa"/>
            <w:shd w:val="clear" w:color="auto" w:fill="13213F"/>
          </w:tcPr>
          <w:p>
            <w:pPr>
              <w:pStyle w:val="Compact"/>
              <w:spacing w:before="0" w:after="0" w:line="240" w:lineRule="auto"/>
              <w:jc w:val="left"/>
            </w:pPr>
            <w:r>
              <w:rPr>
                <w:rFonts w:ascii="Arial" w:hAnsi="Arial"/>
                <w:b/>
                <w:color w:val="FFFFFF"/>
                <w:sz w:val="15"/>
              </w:rPr>
              <w:t xml:space="preserve">2027F</w:t>
            </w:r>
          </w:p>
        </w:tc>
      </w:tr>
      <w:tr>
        <w:trPr>
          <w:cantSplit/>
        </w:trPr>
        <w:tc>
          <w:tcPr>
            <w:tcW w:w="1943" w:type="dxa"/>
          </w:tcPr>
          <w:p>
            <w:pPr>
              <w:pStyle w:val="Compact"/>
              <w:spacing w:before="0" w:after="0" w:line="240" w:lineRule="auto"/>
              <w:jc w:val="left"/>
            </w:pPr>
            <w:r>
              <w:rPr>
                <w:rFonts w:ascii="Arial" w:hAnsi="Arial"/>
                <w:sz w:val="15"/>
              </w:rPr>
              <w:t xml:space="preserve">Real GDP growth</w:t>
            </w:r>
          </w:p>
        </w:tc>
        <w:tc>
          <w:tcPr>
            <w:tcW w:w="1392" w:type="dxa"/>
          </w:tcPr>
          <w:p>
            <w:pPr>
              <w:pStyle w:val="Compact"/>
              <w:spacing w:before="0" w:after="0" w:line="240" w:lineRule="auto"/>
              <w:jc w:val="left"/>
            </w:pPr>
            <w:r>
              <w:rPr>
                <w:rFonts w:ascii="Arial" w:hAnsi="Arial"/>
                <w:sz w:val="15"/>
              </w:rPr>
              <w:t xml:space="preserve">3.2%</w:t>
            </w:r>
          </w:p>
        </w:tc>
        <w:tc>
          <w:tcPr>
            <w:tcW w:w="838" w:type="dxa"/>
          </w:tcPr>
          <w:p>
            <w:pPr>
              <w:pStyle w:val="Compact"/>
              <w:spacing w:before="0" w:after="0" w:line="240" w:lineRule="auto"/>
              <w:jc w:val="left"/>
            </w:pPr>
            <w:r>
              <w:rPr>
                <w:rFonts w:ascii="Arial" w:hAnsi="Arial"/>
                <w:sz w:val="15"/>
              </w:rPr>
              <w:t xml:space="preserve">5.1%</w:t>
            </w:r>
          </w:p>
        </w:tc>
        <w:tc>
          <w:tcPr>
            <w:tcW w:w="960" w:type="dxa"/>
          </w:tcPr>
          <w:p>
            <w:pPr>
              <w:pStyle w:val="Compact"/>
              <w:spacing w:before="0" w:after="0" w:line="240" w:lineRule="auto"/>
              <w:jc w:val="left"/>
            </w:pPr>
            <w:r>
              <w:rPr>
                <w:rFonts w:ascii="Arial" w:hAnsi="Arial"/>
                <w:sz w:val="15"/>
              </w:rPr>
              <w:t xml:space="preserve">5.0%</w:t>
            </w:r>
          </w:p>
        </w:tc>
        <w:tc>
          <w:tcPr>
            <w:tcW w:w="1032" w:type="dxa"/>
          </w:tcPr>
          <w:p>
            <w:pPr>
              <w:pStyle w:val="Compact"/>
              <w:spacing w:before="0" w:after="0" w:line="240" w:lineRule="auto"/>
              <w:jc w:val="left"/>
            </w:pPr>
            <w:r>
              <w:rPr>
                <w:rFonts w:ascii="Arial" w:hAnsi="Arial"/>
                <w:sz w:val="15"/>
              </w:rPr>
              <w:t xml:space="preserve">6.5%</w:t>
            </w:r>
          </w:p>
        </w:tc>
        <w:tc>
          <w:tcPr>
            <w:tcW w:w="2482" w:type="dxa"/>
          </w:tcPr>
          <w:p>
            <w:pPr>
              <w:pStyle w:val="Compact"/>
              <w:spacing w:before="0" w:after="0" w:line="240" w:lineRule="auto"/>
              <w:jc w:val="left"/>
            </w:pPr>
            <w:r>
              <w:rPr>
                <w:rFonts w:ascii="Arial" w:hAnsi="Arial"/>
                <w:sz w:val="15"/>
              </w:rPr>
              <w:t xml:space="preserve">4.2% (9M26); IMF 4.4%</w:t>
            </w:r>
          </w:p>
        </w:tc>
        <w:tc>
          <w:tcPr>
            <w:tcW w:w="1328" w:type="dxa"/>
          </w:tcPr>
          <w:p>
            <w:pPr>
              <w:pStyle w:val="Compact"/>
              <w:spacing w:before="0" w:after="0" w:line="240" w:lineRule="auto"/>
              <w:jc w:val="left"/>
            </w:pPr>
            <w:r>
              <w:rPr>
                <w:rFonts w:ascii="Arial" w:hAnsi="Arial"/>
                <w:sz w:val="15"/>
              </w:rPr>
              <w:t xml:space="preserve">IMF 4.9%</w:t>
            </w:r>
          </w:p>
        </w:tc>
      </w:tr>
      <w:tr>
        <w:trPr>
          <w:cantSplit/>
        </w:trPr>
        <w:tc>
          <w:tcPr>
            <w:tcW w:w="1943" w:type="dxa"/>
          </w:tcPr>
          <w:p>
            <w:pPr>
              <w:pStyle w:val="Compact"/>
              <w:spacing w:before="0" w:after="0" w:line="240" w:lineRule="auto"/>
              <w:jc w:val="left"/>
            </w:pPr>
            <w:r>
              <w:rPr>
                <w:rFonts w:ascii="Arial" w:hAnsi="Arial"/>
                <w:sz w:val="15"/>
              </w:rPr>
              <w:t xml:space="preserve">CPI, year-end</w:t>
            </w:r>
          </w:p>
        </w:tc>
        <w:tc>
          <w:tcPr>
            <w:tcW w:w="1392" w:type="dxa"/>
          </w:tcPr>
          <w:p>
            <w:pPr>
              <w:pStyle w:val="Compact"/>
              <w:spacing w:before="0" w:after="0" w:line="240" w:lineRule="auto"/>
              <w:jc w:val="left"/>
            </w:pPr>
            <w:r>
              <w:rPr>
                <w:rFonts w:ascii="Arial" w:hAnsi="Arial"/>
                <w:sz w:val="15"/>
              </w:rPr>
              <w:t xml:space="preserve">20.3%</w:t>
            </w:r>
          </w:p>
        </w:tc>
        <w:tc>
          <w:tcPr>
            <w:tcW w:w="838" w:type="dxa"/>
          </w:tcPr>
          <w:p>
            <w:pPr>
              <w:pStyle w:val="Compact"/>
              <w:spacing w:before="0" w:after="0" w:line="240" w:lineRule="auto"/>
              <w:jc w:val="left"/>
            </w:pPr>
            <w:r>
              <w:rPr>
                <w:rFonts w:ascii="Arial" w:hAnsi="Arial"/>
                <w:sz w:val="15"/>
              </w:rPr>
              <w:t xml:space="preserve">9.8%</w:t>
            </w:r>
          </w:p>
        </w:tc>
        <w:tc>
          <w:tcPr>
            <w:tcW w:w="960" w:type="dxa"/>
          </w:tcPr>
          <w:p>
            <w:pPr>
              <w:pStyle w:val="Compact"/>
              <w:spacing w:before="0" w:after="0" w:line="240" w:lineRule="auto"/>
              <w:jc w:val="left"/>
            </w:pPr>
            <w:r>
              <w:rPr>
                <w:rFonts w:ascii="Arial" w:hAnsi="Arial"/>
                <w:sz w:val="15"/>
              </w:rPr>
              <w:t xml:space="preserve">8.6%</w:t>
            </w:r>
          </w:p>
        </w:tc>
        <w:tc>
          <w:tcPr>
            <w:tcW w:w="1032" w:type="dxa"/>
          </w:tcPr>
          <w:p>
            <w:pPr>
              <w:pStyle w:val="Compact"/>
              <w:spacing w:before="0" w:after="0" w:line="240" w:lineRule="auto"/>
              <w:jc w:val="left"/>
            </w:pPr>
            <w:r>
              <w:rPr>
                <w:rFonts w:ascii="Arial" w:hAnsi="Arial"/>
                <w:sz w:val="15"/>
              </w:rPr>
              <w:t xml:space="preserve">12.3%</w:t>
            </w:r>
          </w:p>
        </w:tc>
        <w:tc>
          <w:tcPr>
            <w:tcW w:w="2482" w:type="dxa"/>
          </w:tcPr>
          <w:p>
            <w:pPr>
              <w:pStyle w:val="Compact"/>
              <w:spacing w:before="0" w:after="0" w:line="240" w:lineRule="auto"/>
              <w:jc w:val="left"/>
            </w:pPr>
            <w:r>
              <w:rPr>
                <w:rFonts w:ascii="Arial" w:hAnsi="Arial"/>
                <w:sz w:val="15"/>
              </w:rPr>
              <w:t xml:space="preserve">9.3% (Sep-26); NBK target 9–11%</w:t>
            </w:r>
          </w:p>
        </w:tc>
        <w:tc>
          <w:tcPr>
            <w:tcW w:w="1328" w:type="dxa"/>
          </w:tcPr>
          <w:p>
            <w:pPr>
              <w:pStyle w:val="Compact"/>
              <w:spacing w:before="0" w:after="0" w:line="240" w:lineRule="auto"/>
              <w:jc w:val="left"/>
            </w:pPr>
            <w:r>
              <w:rPr>
                <w:rFonts w:ascii="Arial" w:hAnsi="Arial"/>
                <w:sz w:val="15"/>
              </w:rPr>
              <w:t xml:space="preserve">NBK 6.5–8.5%</w:t>
            </w:r>
          </w:p>
        </w:tc>
      </w:tr>
      <w:tr>
        <w:trPr>
          <w:cantSplit/>
        </w:trPr>
        <w:tc>
          <w:tcPr>
            <w:tcW w:w="1943" w:type="dxa"/>
          </w:tcPr>
          <w:p>
            <w:pPr>
              <w:pStyle w:val="Compact"/>
              <w:spacing w:before="0" w:after="0" w:line="240" w:lineRule="auto"/>
              <w:jc w:val="left"/>
            </w:pPr>
            <w:r>
              <w:rPr>
                <w:rFonts w:ascii="Arial" w:hAnsi="Arial"/>
                <w:sz w:val="15"/>
              </w:rPr>
              <w:t xml:space="preserve">NBK base rate, year-end</w:t>
            </w:r>
          </w:p>
        </w:tc>
        <w:tc>
          <w:tcPr>
            <w:tcW w:w="1392" w:type="dxa"/>
          </w:tcPr>
          <w:p>
            <w:pPr>
              <w:pStyle w:val="Compact"/>
              <w:spacing w:before="0" w:after="0" w:line="240" w:lineRule="auto"/>
              <w:jc w:val="left"/>
            </w:pPr>
            <w:r>
              <w:rPr>
                <w:rFonts w:ascii="Arial" w:hAnsi="Arial"/>
                <w:sz w:val="15"/>
              </w:rPr>
              <w:t xml:space="preserve">16.75%</w:t>
            </w:r>
          </w:p>
        </w:tc>
        <w:tc>
          <w:tcPr>
            <w:tcW w:w="838" w:type="dxa"/>
          </w:tcPr>
          <w:p>
            <w:pPr>
              <w:pStyle w:val="Compact"/>
              <w:spacing w:before="0" w:after="0" w:line="240" w:lineRule="auto"/>
              <w:jc w:val="left"/>
            </w:pPr>
            <w:r>
              <w:rPr>
                <w:rFonts w:ascii="Arial" w:hAnsi="Arial"/>
                <w:sz w:val="15"/>
              </w:rPr>
              <w:t xml:space="preserve">15.75%</w:t>
            </w:r>
          </w:p>
        </w:tc>
        <w:tc>
          <w:tcPr>
            <w:tcW w:w="960" w:type="dxa"/>
          </w:tcPr>
          <w:p>
            <w:pPr>
              <w:pStyle w:val="Compact"/>
              <w:spacing w:before="0" w:after="0" w:line="240" w:lineRule="auto"/>
              <w:jc w:val="left"/>
            </w:pPr>
            <w:r>
              <w:rPr>
                <w:rFonts w:ascii="Arial" w:hAnsi="Arial"/>
                <w:sz w:val="15"/>
              </w:rPr>
              <w:t xml:space="preserve">15.25%</w:t>
            </w:r>
          </w:p>
        </w:tc>
        <w:tc>
          <w:tcPr>
            <w:tcW w:w="1032" w:type="dxa"/>
          </w:tcPr>
          <w:p>
            <w:pPr>
              <w:pStyle w:val="Compact"/>
              <w:spacing w:before="0" w:after="0" w:line="240" w:lineRule="auto"/>
              <w:jc w:val="left"/>
            </w:pPr>
            <w:r>
              <w:rPr>
                <w:rFonts w:ascii="Arial" w:hAnsi="Arial"/>
                <w:sz w:val="15"/>
              </w:rPr>
              <w:t xml:space="preserve">18.00%</w:t>
            </w:r>
          </w:p>
        </w:tc>
        <w:tc>
          <w:tcPr>
            <w:tcW w:w="2482" w:type="dxa"/>
          </w:tcPr>
          <w:p>
            <w:pPr>
              <w:pStyle w:val="Compact"/>
              <w:spacing w:before="0" w:after="0" w:line="240" w:lineRule="auto"/>
              <w:jc w:val="left"/>
            </w:pPr>
            <w:r>
              <w:rPr>
                <w:rFonts w:ascii="Arial" w:hAnsi="Arial"/>
                <w:sz w:val="15"/>
              </w:rPr>
              <w:t xml:space="preserve">15.75% (23-Oct-26)</w:t>
            </w:r>
          </w:p>
        </w:tc>
        <w:tc>
          <w:tcPr>
            <w:tcW w:w="1328" w:type="dxa"/>
          </w:tcPr>
          <w:p>
            <w:pPr>
              <w:pStyle w:val="Compact"/>
              <w:spacing w:before="0" w:after="0" w:line="240" w:lineRule="auto"/>
              <w:jc w:val="left"/>
            </w:pPr>
            <w:r>
              <w:rPr>
                <w:rFonts w:ascii="Arial" w:hAnsi="Arial"/>
                <w:sz w:val="15"/>
              </w:rPr>
              <w:t xml:space="preserve">Easing bias [e]</w:t>
            </w:r>
          </w:p>
        </w:tc>
      </w:tr>
      <w:tr>
        <w:trPr>
          <w:cantSplit/>
        </w:trPr>
        <w:tc>
          <w:tcPr>
            <w:tcW w:w="1943" w:type="dxa"/>
          </w:tcPr>
          <w:p>
            <w:pPr>
              <w:pStyle w:val="Compact"/>
              <w:spacing w:before="0" w:after="0" w:line="240" w:lineRule="auto"/>
              <w:jc w:val="left"/>
            </w:pPr>
            <w:r>
              <w:rPr>
                <w:rFonts w:ascii="Arial" w:hAnsi="Arial"/>
                <w:sz w:val="15"/>
              </w:rPr>
              <w:t xml:space="preserve">USD/KZT, year-end</w:t>
            </w:r>
          </w:p>
        </w:tc>
        <w:tc>
          <w:tcPr>
            <w:tcW w:w="1392" w:type="dxa"/>
          </w:tcPr>
          <w:p>
            <w:pPr>
              <w:pStyle w:val="Compact"/>
              <w:spacing w:before="0" w:after="0" w:line="240" w:lineRule="auto"/>
              <w:jc w:val="left"/>
            </w:pPr>
            <w:r>
              <w:rPr>
                <w:rFonts w:ascii="Arial" w:hAnsi="Arial"/>
                <w:sz w:val="15"/>
              </w:rPr>
              <w:t xml:space="preserve">462.7</w:t>
            </w:r>
          </w:p>
        </w:tc>
        <w:tc>
          <w:tcPr>
            <w:tcW w:w="838" w:type="dxa"/>
          </w:tcPr>
          <w:p>
            <w:pPr>
              <w:pStyle w:val="Compact"/>
              <w:spacing w:before="0" w:after="0" w:line="240" w:lineRule="auto"/>
              <w:jc w:val="left"/>
            </w:pPr>
            <w:r>
              <w:rPr>
                <w:rFonts w:ascii="Arial" w:hAnsi="Arial"/>
                <w:sz w:val="15"/>
              </w:rPr>
              <w:t xml:space="preserve">454.6</w:t>
            </w:r>
          </w:p>
        </w:tc>
        <w:tc>
          <w:tcPr>
            <w:tcW w:w="960" w:type="dxa"/>
          </w:tcPr>
          <w:p>
            <w:pPr>
              <w:pStyle w:val="Compact"/>
              <w:spacing w:before="0" w:after="0" w:line="240" w:lineRule="auto"/>
              <w:jc w:val="left"/>
            </w:pPr>
            <w:r>
              <w:rPr>
                <w:rFonts w:ascii="Arial" w:hAnsi="Arial"/>
                <w:sz w:val="15"/>
              </w:rPr>
              <w:t xml:space="preserve">525.1</w:t>
            </w:r>
          </w:p>
        </w:tc>
        <w:tc>
          <w:tcPr>
            <w:tcW w:w="1032" w:type="dxa"/>
          </w:tcPr>
          <w:p>
            <w:pPr>
              <w:pStyle w:val="Compact"/>
              <w:spacing w:before="0" w:after="0" w:line="240" w:lineRule="auto"/>
              <w:jc w:val="left"/>
            </w:pPr>
            <w:r>
              <w:rPr>
                <w:rFonts w:ascii="Arial" w:hAnsi="Arial"/>
                <w:sz w:val="15"/>
              </w:rPr>
              <w:t xml:space="preserve">505.7</w:t>
            </w:r>
          </w:p>
        </w:tc>
        <w:tc>
          <w:tcPr>
            <w:tcW w:w="2482" w:type="dxa"/>
          </w:tcPr>
          <w:p>
            <w:pPr>
              <w:pStyle w:val="Compact"/>
              <w:spacing w:before="0" w:after="0" w:line="240" w:lineRule="auto"/>
              <w:jc w:val="left"/>
            </w:pPr>
            <w:r>
              <w:rPr>
                <w:rFonts w:ascii="Arial" w:hAnsi="Arial"/>
                <w:sz w:val="15"/>
              </w:rPr>
              <w:t xml:space="preserve">~449 (22-Oct-26)</w:t>
            </w:r>
          </w:p>
        </w:tc>
        <w:tc>
          <w:tcPr>
            <w:tcW w:w="1328" w:type="dxa"/>
          </w:tcPr>
          <w:p>
            <w:pPr>
              <w:pStyle w:val="Compact"/>
              <w:spacing w:before="0" w:after="0" w:line="240" w:lineRule="auto"/>
              <w:jc w:val="left"/>
            </w:pPr>
            <w:r>
              <w:rPr>
                <w:rFonts w:ascii="Arial" w:hAnsi="Arial"/>
                <w:sz w:val="15"/>
              </w:rPr>
              <w:t xml:space="preserve">470 [e]</w:t>
            </w:r>
          </w:p>
        </w:tc>
      </w:tr>
      <w:tr>
        <w:trPr>
          <w:cantSplit/>
        </w:trPr>
        <w:tc>
          <w:tcPr>
            <w:tcW w:w="1943" w:type="dxa"/>
          </w:tcPr>
          <w:p>
            <w:pPr>
              <w:pStyle w:val="Compact"/>
              <w:spacing w:before="0" w:after="0" w:line="240" w:lineRule="auto"/>
              <w:jc w:val="left"/>
            </w:pPr>
            <w:r>
              <w:rPr>
                <w:rFonts w:ascii="Arial" w:hAnsi="Arial"/>
                <w:sz w:val="15"/>
              </w:rPr>
              <w:t xml:space="preserve">Brent, average (US$/bbl)</w:t>
            </w:r>
          </w:p>
        </w:tc>
        <w:tc>
          <w:tcPr>
            <w:tcW w:w="1392" w:type="dxa"/>
          </w:tcPr>
          <w:p>
            <w:pPr>
              <w:pStyle w:val="Compact"/>
              <w:spacing w:before="0" w:after="0" w:line="240" w:lineRule="auto"/>
              <w:jc w:val="left"/>
            </w:pPr>
            <w:r>
              <w:rPr>
                <w:rFonts w:ascii="Arial" w:hAnsi="Arial"/>
                <w:sz w:val="15"/>
              </w:rPr>
              <w:t xml:space="preserve">~100</w:t>
            </w:r>
          </w:p>
        </w:tc>
        <w:tc>
          <w:tcPr>
            <w:tcW w:w="838" w:type="dxa"/>
          </w:tcPr>
          <w:p>
            <w:pPr>
              <w:pStyle w:val="Compact"/>
              <w:spacing w:before="0" w:after="0" w:line="240" w:lineRule="auto"/>
              <w:jc w:val="left"/>
            </w:pPr>
            <w:r>
              <w:rPr>
                <w:rFonts w:ascii="Arial" w:hAnsi="Arial"/>
                <w:sz w:val="15"/>
              </w:rPr>
              <w:t xml:space="preserve">~83</w:t>
            </w:r>
          </w:p>
        </w:tc>
        <w:tc>
          <w:tcPr>
            <w:tcW w:w="960" w:type="dxa"/>
          </w:tcPr>
          <w:p>
            <w:pPr>
              <w:pStyle w:val="Compact"/>
              <w:spacing w:before="0" w:after="0" w:line="240" w:lineRule="auto"/>
              <w:jc w:val="left"/>
            </w:pPr>
            <w:r>
              <w:rPr>
                <w:rFonts w:ascii="Arial" w:hAnsi="Arial"/>
                <w:sz w:val="15"/>
              </w:rPr>
              <w:t xml:space="preserve">~81</w:t>
            </w:r>
          </w:p>
        </w:tc>
        <w:tc>
          <w:tcPr>
            <w:tcW w:w="1032" w:type="dxa"/>
          </w:tcPr>
          <w:p>
            <w:pPr>
              <w:pStyle w:val="Compact"/>
              <w:spacing w:before="0" w:after="0" w:line="240" w:lineRule="auto"/>
              <w:jc w:val="left"/>
            </w:pPr>
            <w:r>
              <w:rPr>
                <w:rFonts w:ascii="Arial" w:hAnsi="Arial"/>
                <w:sz w:val="15"/>
              </w:rPr>
              <w:t xml:space="preserve">69</w:t>
            </w:r>
          </w:p>
        </w:tc>
        <w:tc>
          <w:tcPr>
            <w:tcW w:w="2482" w:type="dxa"/>
          </w:tcPr>
          <w:p>
            <w:pPr>
              <w:pStyle w:val="Compact"/>
              <w:spacing w:before="0" w:after="0" w:line="240" w:lineRule="auto"/>
              <w:jc w:val="left"/>
            </w:pPr>
            <w:r>
              <w:rPr>
                <w:rFonts w:ascii="Arial" w:hAnsi="Arial"/>
                <w:sz w:val="15"/>
              </w:rPr>
              <w:t xml:space="preserve">~91–95 YTD (NBK assumes 89)</w:t>
            </w:r>
          </w:p>
        </w:tc>
        <w:tc>
          <w:tcPr>
            <w:tcW w:w="1328" w:type="dxa"/>
          </w:tcPr>
          <w:p>
            <w:pPr>
              <w:pStyle w:val="Compact"/>
              <w:spacing w:before="0" w:after="0" w:line="240" w:lineRule="auto"/>
              <w:jc w:val="left"/>
            </w:pPr>
            <w:r>
              <w:rPr>
                <w:rFonts w:ascii="Arial" w:hAnsi="Arial"/>
                <w:sz w:val="15"/>
              </w:rPr>
              <w:t xml:space="preserve">NBK 75</w:t>
            </w:r>
          </w:p>
        </w:tc>
      </w:tr>
      <w:tr>
        <w:trPr>
          <w:cantSplit/>
        </w:trPr>
        <w:tc>
          <w:tcPr>
            <w:tcW w:w="1943" w:type="dxa"/>
          </w:tcPr>
          <w:p>
            <w:pPr>
              <w:pStyle w:val="Compact"/>
              <w:spacing w:before="0" w:after="0" w:line="240" w:lineRule="auto"/>
              <w:jc w:val="left"/>
            </w:pPr>
            <w:r>
              <w:rPr>
                <w:rFonts w:ascii="Arial" w:hAnsi="Arial"/>
                <w:sz w:val="15"/>
              </w:rPr>
              <w:t xml:space="preserve">Sovereign rating</w:t>
            </w:r>
          </w:p>
        </w:tc>
        <w:tc>
          <w:tcPr>
            <w:tcW w:w="1392" w:type="dxa"/>
          </w:tcPr>
          <w:p>
            <w:pPr>
              <w:pStyle w:val="Compact"/>
              <w:spacing w:before="0" w:after="0" w:line="240" w:lineRule="auto"/>
              <w:jc w:val="left"/>
            </w:pPr>
            <w:r>
              <w:rPr>
                <w:rFonts w:ascii="Arial" w:hAnsi="Arial"/>
                <w:sz w:val="15"/>
              </w:rPr>
              <w:t xml:space="preserve">BBB-/Baa2/BBB</w:t>
            </w:r>
          </w:p>
        </w:tc>
        <w:tc>
          <w:tcPr>
            <w:tcW w:w="838" w:type="dxa"/>
          </w:tcPr>
          <w:p>
            <w:pPr>
              <w:pStyle w:val="Compact"/>
              <w:spacing w:before="0" w:after="0" w:line="240" w:lineRule="auto"/>
            </w:pPr>
          </w:p>
        </w:tc>
        <w:tc>
          <w:tcPr>
            <w:tcW w:w="960" w:type="dxa"/>
          </w:tcPr>
          <w:p>
            <w:pPr>
              <w:pStyle w:val="Compact"/>
              <w:spacing w:before="0" w:after="0" w:line="240" w:lineRule="auto"/>
              <w:jc w:val="left"/>
            </w:pPr>
            <w:r>
              <w:rPr>
                <w:rFonts w:ascii="Arial" w:hAnsi="Arial"/>
                <w:sz w:val="15"/>
              </w:rPr>
              <w:t xml:space="preserve">Moody’s Baa1</w:t>
            </w:r>
          </w:p>
        </w:tc>
        <w:tc>
          <w:tcPr>
            <w:tcW w:w="1032" w:type="dxa"/>
          </w:tcPr>
          <w:p>
            <w:pPr>
              <w:pStyle w:val="Compact"/>
              <w:spacing w:before="0" w:after="0" w:line="240" w:lineRule="auto"/>
              <w:jc w:val="left"/>
            </w:pPr>
            <w:r>
              <w:rPr>
                <w:rFonts w:ascii="Arial" w:hAnsi="Arial"/>
                <w:sz w:val="15"/>
              </w:rPr>
              <w:t xml:space="preserve">S&amp;P outlook positive</w:t>
            </w:r>
          </w:p>
        </w:tc>
        <w:tc>
          <w:tcPr>
            <w:tcW w:w="2482" w:type="dxa"/>
          </w:tcPr>
          <w:p>
            <w:pPr>
              <w:pStyle w:val="Compact"/>
              <w:spacing w:before="0" w:after="0" w:line="240" w:lineRule="auto"/>
              <w:jc w:val="left"/>
            </w:pPr>
            <w:r>
              <w:rPr>
                <w:rFonts w:ascii="Arial" w:hAnsi="Arial"/>
                <w:sz w:val="15"/>
              </w:rPr>
              <w:t xml:space="preserve">S&amp;P BBB (upgraded 21-Aug-26); Moody’s Baa1; Fitch BBB</w:t>
            </w:r>
          </w:p>
        </w:tc>
        <w:tc>
          <w:tcPr>
            <w:tcW w:w="1328" w:type="dxa"/>
          </w:tcPr>
          <w:p>
            <w:pPr>
              <w:pStyle w:val="Compact"/>
              <w:spacing w:before="0" w:after="0" w:line="240" w:lineRule="auto"/>
            </w:pPr>
          </w:p>
        </w:tc>
      </w:tr>
    </w:tbl>
    <w:p>
      <w:pPr>
        <w:pStyle w:val="BodyText"/>
      </w:pPr>
      <w:r>
        <w:t xml:space="preserve">Sources: Bureau of National Statistics, NBK, IMF WEO (October 2026), ADB, rating agencies. Pre-2024 values are background data [u].</w:t>
      </w:r>
    </w:p>
    <w:p>
      <w:pPr>
        <w:pStyle w:val="BodyText"/>
      </w:pPr>
      <w:r>
        <w:rPr>
          <w:bCs/>
          <w:b/>
        </w:rPr>
        <w:t xml:space="preserve">What matters for Halyk:</w:t>
      </w:r>
    </w:p>
    <w:p>
      <w:pPr>
        <w:numPr>
          <w:ilvl w:val="0"/>
          <w:numId w:val="1027"/>
        </w:numPr>
        <w:pStyle w:val="Compact"/>
      </w:pPr>
      <w:r>
        <w:rPr>
          <w:bCs/>
          <w:b/>
        </w:rPr>
        <w:t xml:space="preserve">Oil windfall, volume constraint.</w:t>
      </w:r>
    </w:p>
    <w:p>
      <w:pPr>
        <w:numPr>
          <w:ilvl w:val="1"/>
          <w:numId w:val="1028"/>
        </w:numPr>
        <w:pStyle w:val="Compact"/>
      </w:pPr>
      <w:r>
        <w:t xml:space="preserve">The Middle East war (from 28-Feb-26) and the closure of the Strait of Hormuz pushed Brent to ~US$138 in April. It is ~US$110 now.</w:t>
      </w:r>
    </w:p>
    <w:p>
      <w:pPr>
        <w:numPr>
          <w:ilvl w:val="1"/>
          <w:numId w:val="1028"/>
        </w:numPr>
        <w:pStyle w:val="Compact"/>
      </w:pPr>
      <w:r>
        <w:t xml:space="preserve">Kazakhstan’s output is down 8.3% in 9M26, because Ukrainian drone strikes hit the CPC terminal at Novorossiysk (Nov-25 and Jul-26) and Tengiz had outages.</w:t>
      </w:r>
    </w:p>
    <w:p>
      <w:pPr>
        <w:numPr>
          <w:ilvl w:val="1"/>
          <w:numId w:val="1028"/>
        </w:numPr>
        <w:pStyle w:val="Compact"/>
      </w:pPr>
      <w:r>
        <w:t xml:space="preserve">Net effect: strong fiscal and external positions, a strong tenge, and a sovereign upgrade. This is supportive for bank funding costs and corporate credit.</w:t>
      </w:r>
    </w:p>
    <w:p>
      <w:pPr>
        <w:numPr>
          <w:ilvl w:val="0"/>
          <w:numId w:val="1027"/>
        </w:numPr>
        <w:pStyle w:val="Compact"/>
      </w:pPr>
      <w:r>
        <w:rPr>
          <w:bCs/>
          <w:b/>
        </w:rPr>
        <w:t xml:space="preserve">Easing cycle.</w:t>
      </w:r>
    </w:p>
    <w:p>
      <w:pPr>
        <w:numPr>
          <w:ilvl w:val="1"/>
          <w:numId w:val="1029"/>
        </w:numPr>
        <w:pStyle w:val="Compact"/>
      </w:pPr>
      <w:r>
        <w:t xml:space="preserve">The NBK has cut 225bp since June (18.00% → 15.75%) as inflation fell for 12 straight months to 9.3%. It signals no further cut before year-end; the next meeting is 4 December.</w:t>
      </w:r>
    </w:p>
    <w:p>
      <w:pPr>
        <w:numPr>
          <w:ilvl w:val="1"/>
          <w:numId w:val="1029"/>
        </w:numPr>
        <w:pStyle w:val="Compact"/>
      </w:pPr>
      <w:r>
        <w:t xml:space="preserve">For Halyk this is negative for NIM in the near term (assets reprice first) and positive for loan demand and asset quality later.</w:t>
      </w:r>
    </w:p>
    <w:p>
      <w:pPr>
        <w:numPr>
          <w:ilvl w:val="0"/>
          <w:numId w:val="1027"/>
        </w:numPr>
        <w:pStyle w:val="Compact"/>
      </w:pPr>
      <w:r>
        <w:rPr>
          <w:bCs/>
          <w:b/>
        </w:rPr>
        <w:t xml:space="preserve">Fiscal tightening via tax.</w:t>
      </w:r>
      <w:r>
        <w:t xml:space="preserve"> </w:t>
      </w:r>
      <w:r>
        <w:t xml:space="preserve">The 2026 Tax Code raised VAT from 12% to 16% and bank CIT to 25%, as part of consolidating the deficit (−2.5% of GDP in 2026 to −0.9% by 2028).</w:t>
      </w:r>
    </w:p>
    <w:bookmarkEnd w:id="31"/>
    <w:bookmarkStart w:id="32" w:name="micro-and-regulatory-backdrop"/>
    <w:p>
      <w:pPr>
        <w:pStyle w:val="Heading2"/>
      </w:pPr>
      <w:r>
        <w:t xml:space="preserve">Micro and regulatory backdrop</w:t>
      </w:r>
    </w:p>
    <w:p>
      <w:pPr>
        <w:numPr>
          <w:ilvl w:val="0"/>
          <w:numId w:val="1030"/>
        </w:numPr>
        <w:pStyle w:val="Compact"/>
      </w:pPr>
      <w:r>
        <w:rPr>
          <w:bCs/>
          <w:b/>
        </w:rPr>
        <w:t xml:space="preserve">A regulator leaning against consumer credit.</w:t>
      </w:r>
      <w:r>
        <w:t xml:space="preserve"> </w:t>
      </w:r>
      <w:r>
        <w:t xml:space="preserve">ARDFM and the NBK have layered:</w:t>
      </w:r>
    </w:p>
    <w:p>
      <w:pPr>
        <w:numPr>
          <w:ilvl w:val="1"/>
          <w:numId w:val="1031"/>
        </w:numPr>
        <w:pStyle w:val="Compact"/>
      </w:pPr>
      <w:r>
        <w:t xml:space="preserve">debt-burden limits (50% of income);</w:t>
      </w:r>
    </w:p>
    <w:p>
      <w:pPr>
        <w:numPr>
          <w:ilvl w:val="1"/>
          <w:numId w:val="1031"/>
        </w:numPr>
        <w:pStyle w:val="Compact"/>
      </w:pPr>
      <w:r>
        <w:t xml:space="preserve">a cut in the GEIR cap from 56% to 46%;</w:t>
      </w:r>
    </w:p>
    <w:p>
      <w:pPr>
        <w:numPr>
          <w:ilvl w:val="1"/>
          <w:numId w:val="1031"/>
        </w:numPr>
        <w:pStyle w:val="Compact"/>
      </w:pPr>
      <w:r>
        <w:t xml:space="preserve">caps on unsecured loan size and tenor (KZT9.5m, 5 years);</w:t>
      </w:r>
    </w:p>
    <w:p>
      <w:pPr>
        <w:numPr>
          <w:ilvl w:val="1"/>
          <w:numId w:val="1031"/>
        </w:numPr>
        <w:pStyle w:val="Compact"/>
      </w:pPr>
      <w:r>
        <w:t xml:space="preserve">risk weights up to 350% on long unsecured loans;</w:t>
      </w:r>
    </w:p>
    <w:p>
      <w:pPr>
        <w:numPr>
          <w:ilvl w:val="1"/>
          <w:numId w:val="1031"/>
        </w:numPr>
        <w:pStyle w:val="Compact"/>
      </w:pPr>
      <w:r>
        <w:t xml:space="preserve">a 2% sectoral countercyclical buffer on retail exposures (from 1-Apr-26, 12-month phase-in);</w:t>
      </w:r>
    </w:p>
    <w:p>
      <w:pPr>
        <w:numPr>
          <w:ilvl w:val="1"/>
          <w:numId w:val="1031"/>
        </w:numPr>
        <w:pStyle w:val="Compact"/>
      </w:pPr>
      <w:r>
        <w:t xml:space="preserve">a Pillar 2 add-on of 0–4.5% and a stress-test buffer of 0–3%;</w:t>
      </w:r>
    </w:p>
    <w:p>
      <w:pPr>
        <w:numPr>
          <w:ilvl w:val="1"/>
          <w:numId w:val="1031"/>
        </w:numPr>
        <w:pStyle w:val="Compact"/>
      </w:pPr>
      <w:r>
        <w:t xml:space="preserve">a proposed total-debt cap of 8x income from 2027 [u].</w:t>
      </w:r>
    </w:p>
    <w:p>
      <w:pPr>
        <w:numPr>
          <w:ilvl w:val="1"/>
          <w:numId w:val="1031"/>
        </w:numPr>
        <w:pStyle w:val="Compact"/>
      </w:pPr>
      <w:r>
        <w:t xml:space="preserve">Result: sector unsecured lending grew only 3.1% in 6M26, a six-year low.</w:t>
      </w:r>
    </w:p>
    <w:p>
      <w:pPr>
        <w:numPr>
          <w:ilvl w:val="0"/>
          <w:numId w:val="1030"/>
        </w:numPr>
        <w:pStyle w:val="Compact"/>
      </w:pPr>
      <w:r>
        <w:rPr>
          <w:bCs/>
          <w:b/>
        </w:rPr>
        <w:t xml:space="preserve">Reserve requirements as a quasi-tax.</w:t>
      </w:r>
      <w:r>
        <w:t xml:space="preserve"> </w:t>
      </w:r>
      <w:r>
        <w:t xml:space="preserve">The three-stage MRR increase sterilises ~KZT4.3trn of system liquidity at zero yield.</w:t>
      </w:r>
    </w:p>
    <w:p>
      <w:pPr>
        <w:numPr>
          <w:ilvl w:val="0"/>
          <w:numId w:val="1030"/>
        </w:numPr>
        <w:pStyle w:val="Compact"/>
      </w:pPr>
      <w:r>
        <w:rPr>
          <w:bCs/>
          <w:b/>
        </w:rPr>
        <w:t xml:space="preserve">Competition.</w:t>
      </w:r>
    </w:p>
    <w:p>
      <w:pPr>
        <w:numPr>
          <w:ilvl w:val="1"/>
          <w:numId w:val="1032"/>
        </w:numPr>
        <w:pStyle w:val="Compact"/>
      </w:pPr>
      <w:r>
        <w:t xml:space="preserve">Kaspi dominates retail payments and e-commerce lending, with a 29% standalone ROE in 2026 YTD.</w:t>
      </w:r>
    </w:p>
    <w:p>
      <w:pPr>
        <w:numPr>
          <w:ilvl w:val="1"/>
          <w:numId w:val="1032"/>
        </w:numPr>
        <w:pStyle w:val="Compact"/>
      </w:pPr>
      <w:r>
        <w:t xml:space="preserve">Freedom Bank buys deposit share with high rates.</w:t>
      </w:r>
    </w:p>
    <w:p>
      <w:pPr>
        <w:numPr>
          <w:ilvl w:val="1"/>
          <w:numId w:val="1032"/>
        </w:numPr>
        <w:pStyle w:val="Compact"/>
      </w:pPr>
      <w:r>
        <w:t xml:space="preserve">Mid-tier consolidation is happening under Kaspi- and Forte-linked owners (Alatau City Bank, Home Credit).</w:t>
      </w:r>
    </w:p>
    <w:p>
      <w:pPr>
        <w:numPr>
          <w:ilvl w:val="1"/>
          <w:numId w:val="1032"/>
        </w:numPr>
        <w:pStyle w:val="Compact"/>
      </w:pPr>
      <w:r>
        <w:t xml:space="preserve">State programmes (Otbasy mortgages at 7–9%) crowd out part of the mortgage market.</w:t>
      </w:r>
    </w:p>
    <w:p>
      <w:pPr>
        <w:numPr>
          <w:ilvl w:val="0"/>
          <w:numId w:val="1030"/>
        </w:numPr>
        <w:pStyle w:val="Compact"/>
      </w:pPr>
      <w:r>
        <w:rPr>
          <w:bCs/>
          <w:b/>
        </w:rPr>
        <w:t xml:space="preserve">Sector profitability is falling.</w:t>
      </w:r>
    </w:p>
    <w:p>
      <w:pPr>
        <w:numPr>
          <w:ilvl w:val="1"/>
          <w:numId w:val="1033"/>
        </w:numPr>
        <w:pStyle w:val="Compact"/>
      </w:pPr>
      <w:r>
        <w:t xml:space="preserve">Sector profit fell 11.6% y/y in 9M26 (KZT1.81trn), as interest expense rose from KZT3.2trn to KZT4.2trn (Jan–Aug) and net fees fell ~25%.</w:t>
      </w:r>
    </w:p>
    <w:p>
      <w:pPr>
        <w:numPr>
          <w:ilvl w:val="1"/>
          <w:numId w:val="1033"/>
        </w:numPr>
        <w:pStyle w:val="Compact"/>
      </w:pPr>
      <w:r>
        <w:t xml:space="preserve">September 2026 was the first month of y/y profit growth.</w:t>
      </w:r>
    </w:p>
    <w:bookmarkEnd w:id="32"/>
    <w:bookmarkStart w:id="33" w:name="summary-tailwinds-and-headwinds"/>
    <w:p>
      <w:pPr>
        <w:pStyle w:val="Heading2"/>
      </w:pPr>
      <w:r>
        <w:t xml:space="preserve">Summary: tailwinds and headwinds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4917"/>
        <w:gridCol w:w="5061"/>
      </w:tblGrid>
      <w:tr>
        <w:trPr>
          <w:tblHeader w:val="true"/>
          <w:cantSplit/>
          <w:tblHeader w:val="true"/>
        </w:trPr>
        <w:tc>
          <w:tcPr>
            <w:tcW w:w="4917" w:type="dxa"/>
            <w:shd w:val="clear" w:color="auto" w:fill="13213F"/>
          </w:tcPr>
          <w:p>
            <w:pPr>
              <w:pStyle w:val="Compact"/>
              <w:spacing w:before="0" w:after="0" w:line="240" w:lineRule="auto"/>
              <w:jc w:val="left"/>
            </w:pPr>
            <w:r>
              <w:rPr>
                <w:rFonts w:ascii="Arial" w:hAnsi="Arial"/>
                <w:b/>
                <w:color w:val="FFFFFF"/>
                <w:sz w:val="15"/>
              </w:rPr>
              <w:t xml:space="preserve">Tailwinds</w:t>
            </w:r>
          </w:p>
        </w:tc>
        <w:tc>
          <w:tcPr>
            <w:tcW w:w="5061" w:type="dxa"/>
            <w:shd w:val="clear" w:color="auto" w:fill="13213F"/>
          </w:tcPr>
          <w:p>
            <w:pPr>
              <w:pStyle w:val="Compact"/>
              <w:spacing w:before="0" w:after="0" w:line="240" w:lineRule="auto"/>
              <w:jc w:val="left"/>
            </w:pPr>
            <w:r>
              <w:rPr>
                <w:rFonts w:ascii="Arial" w:hAnsi="Arial"/>
                <w:b/>
                <w:color w:val="FFFFFF"/>
                <w:sz w:val="15"/>
              </w:rPr>
              <w:t xml:space="preserve">Headwinds</w:t>
            </w:r>
          </w:p>
        </w:tc>
      </w:tr>
      <w:tr>
        <w:trPr>
          <w:cantSplit/>
        </w:trPr>
        <w:tc>
          <w:tcPr>
            <w:tcW w:w="4917" w:type="dxa"/>
          </w:tcPr>
          <w:p>
            <w:pPr>
              <w:pStyle w:val="Compact"/>
              <w:spacing w:before="0" w:after="0" w:line="240" w:lineRule="auto"/>
              <w:jc w:val="left"/>
            </w:pPr>
            <w:r>
              <w:rPr>
                <w:rFonts w:ascii="Arial" w:hAnsi="Arial"/>
                <w:sz w:val="15"/>
              </w:rPr>
              <w:t xml:space="preserve">Sovereign upgrade (S&amp;P BBB) and oil windfall; strong tenge (KZT449/US$)</w:t>
            </w:r>
          </w:p>
        </w:tc>
        <w:tc>
          <w:tcPr>
            <w:tcW w:w="5061" w:type="dxa"/>
          </w:tcPr>
          <w:p>
            <w:pPr>
              <w:pStyle w:val="Compact"/>
              <w:spacing w:before="0" w:after="0" w:line="240" w:lineRule="auto"/>
              <w:jc w:val="left"/>
            </w:pPr>
            <w:r>
              <w:rPr>
                <w:rFonts w:ascii="Arial" w:hAnsi="Arial"/>
                <w:sz w:val="15"/>
              </w:rPr>
              <w:t xml:space="preserve">Bank CIT 25% and VAT on fees; 2025’s 10% excess-profit tax set a precedent for ad hoc levies</w:t>
            </w:r>
          </w:p>
        </w:tc>
      </w:tr>
      <w:tr>
        <w:trPr>
          <w:cantSplit/>
        </w:trPr>
        <w:tc>
          <w:tcPr>
            <w:tcW w:w="4917" w:type="dxa"/>
          </w:tcPr>
          <w:p>
            <w:pPr>
              <w:pStyle w:val="Compact"/>
              <w:spacing w:before="0" w:after="0" w:line="240" w:lineRule="auto"/>
              <w:jc w:val="left"/>
            </w:pPr>
            <w:r>
              <w:rPr>
                <w:rFonts w:ascii="Arial" w:hAnsi="Arial"/>
                <w:sz w:val="15"/>
              </w:rPr>
              <w:t xml:space="preserve">Easing cycle revives loan demand and eases borrower stress (2027+)</w:t>
            </w:r>
          </w:p>
        </w:tc>
        <w:tc>
          <w:tcPr>
            <w:tcW w:w="5061" w:type="dxa"/>
          </w:tcPr>
          <w:p>
            <w:pPr>
              <w:pStyle w:val="Compact"/>
              <w:spacing w:before="0" w:after="0" w:line="240" w:lineRule="auto"/>
              <w:jc w:val="left"/>
            </w:pPr>
            <w:r>
              <w:rPr>
                <w:rFonts w:ascii="Arial" w:hAnsi="Arial"/>
                <w:sz w:val="15"/>
              </w:rPr>
              <w:t xml:space="preserve">Near-term NIM compression from rate cuts plus full-year MRR drag</w:t>
            </w:r>
          </w:p>
        </w:tc>
      </w:tr>
      <w:tr>
        <w:trPr>
          <w:cantSplit/>
        </w:trPr>
        <w:tc>
          <w:tcPr>
            <w:tcW w:w="4917" w:type="dxa"/>
          </w:tcPr>
          <w:p>
            <w:pPr>
              <w:pStyle w:val="Compact"/>
              <w:spacing w:before="0" w:after="0" w:line="240" w:lineRule="auto"/>
              <w:jc w:val="left"/>
            </w:pPr>
            <w:r>
              <w:rPr>
                <w:rFonts w:ascii="Arial" w:hAnsi="Arial"/>
                <w:sz w:val="15"/>
              </w:rPr>
              <w:t xml:space="preserve">Low credit penetration (loans ~26% of GDP) leaves a long growth runway</w:t>
            </w:r>
          </w:p>
        </w:tc>
        <w:tc>
          <w:tcPr>
            <w:tcW w:w="5061" w:type="dxa"/>
          </w:tcPr>
          <w:p>
            <w:pPr>
              <w:pStyle w:val="Compact"/>
              <w:spacing w:before="0" w:after="0" w:line="240" w:lineRule="auto"/>
              <w:jc w:val="left"/>
            </w:pPr>
            <w:r>
              <w:rPr>
                <w:rFonts w:ascii="Arial" w:hAnsi="Arial"/>
                <w:sz w:val="15"/>
              </w:rPr>
              <w:t xml:space="preserve">Retail macroprudential tightening: lower yields, slower volumes, higher capital use</w:t>
            </w:r>
          </w:p>
        </w:tc>
      </w:tr>
      <w:tr>
        <w:trPr>
          <w:cantSplit/>
        </w:trPr>
        <w:tc>
          <w:tcPr>
            <w:tcW w:w="4917" w:type="dxa"/>
          </w:tcPr>
          <w:p>
            <w:pPr>
              <w:pStyle w:val="Compact"/>
              <w:spacing w:before="0" w:after="0" w:line="240" w:lineRule="auto"/>
              <w:jc w:val="left"/>
            </w:pPr>
            <w:r>
              <w:rPr>
                <w:rFonts w:ascii="Arial" w:hAnsi="Arial"/>
                <w:sz w:val="15"/>
              </w:rPr>
              <w:t xml:space="preserve">State infrastructure capex (grid, power, renewables) suits Halyk’s corporate franchise</w:t>
            </w:r>
          </w:p>
        </w:tc>
        <w:tc>
          <w:tcPr>
            <w:tcW w:w="5061" w:type="dxa"/>
          </w:tcPr>
          <w:p>
            <w:pPr>
              <w:pStyle w:val="Compact"/>
              <w:spacing w:before="0" w:after="0" w:line="240" w:lineRule="auto"/>
              <w:jc w:val="left"/>
            </w:pPr>
            <w:r>
              <w:rPr>
                <w:rFonts w:ascii="Arial" w:hAnsi="Arial"/>
                <w:sz w:val="15"/>
              </w:rPr>
              <w:t xml:space="preserve">Retail NPL 90+ at 9.2%; collector-sale moratorium distorted collections</w:t>
            </w:r>
          </w:p>
        </w:tc>
      </w:tr>
      <w:tr>
        <w:trPr>
          <w:cantSplit/>
        </w:trPr>
        <w:tc>
          <w:tcPr>
            <w:tcW w:w="4917" w:type="dxa"/>
          </w:tcPr>
          <w:p>
            <w:pPr>
              <w:pStyle w:val="Compact"/>
              <w:spacing w:before="0" w:after="0" w:line="240" w:lineRule="auto"/>
              <w:jc w:val="left"/>
            </w:pPr>
            <w:r>
              <w:rPr>
                <w:rFonts w:ascii="Arial" w:hAnsi="Arial"/>
                <w:sz w:val="15"/>
              </w:rPr>
              <w:t xml:space="preserve">Tough rules hurt MFOs and smaller lenders more; Halyk’s capital lets it take share</w:t>
            </w:r>
          </w:p>
        </w:tc>
        <w:tc>
          <w:tcPr>
            <w:tcW w:w="5061" w:type="dxa"/>
          </w:tcPr>
          <w:p>
            <w:pPr>
              <w:pStyle w:val="Compact"/>
              <w:spacing w:before="0" w:after="0" w:line="240" w:lineRule="auto"/>
              <w:jc w:val="left"/>
            </w:pPr>
            <w:r>
              <w:rPr>
                <w:rFonts w:ascii="Arial" w:hAnsi="Arial"/>
                <w:sz w:val="15"/>
              </w:rPr>
              <w:t xml:space="preserve">Kaspi’s engagement lead in retail; Freedom’s deposit pricing</w:t>
            </w:r>
          </w:p>
        </w:tc>
      </w:tr>
      <w:tr>
        <w:trPr>
          <w:cantSplit/>
        </w:trPr>
        <w:tc>
          <w:tcPr>
            <w:tcW w:w="4917" w:type="dxa"/>
          </w:tcPr>
          <w:p>
            <w:pPr>
              <w:pStyle w:val="Compact"/>
              <w:spacing w:before="0" w:after="0" w:line="240" w:lineRule="auto"/>
              <w:jc w:val="left"/>
            </w:pPr>
            <w:r>
              <w:rPr>
                <w:rFonts w:ascii="Arial" w:hAnsi="Arial"/>
                <w:sz w:val="15"/>
              </w:rPr>
              <w:t xml:space="preserve">More free float after the ALMEX sell-down; MSCI weight ~28% of the Kazakhstan index</w:t>
            </w:r>
          </w:p>
        </w:tc>
        <w:tc>
          <w:tcPr>
            <w:tcW w:w="5061" w:type="dxa"/>
          </w:tcPr>
          <w:p>
            <w:pPr>
              <w:pStyle w:val="Compact"/>
              <w:spacing w:before="0" w:after="0" w:line="240" w:lineRule="auto"/>
              <w:jc w:val="left"/>
            </w:pPr>
            <w:r>
              <w:rPr>
                <w:rFonts w:ascii="Arial" w:hAnsi="Arial"/>
                <w:sz w:val="15"/>
              </w:rPr>
              <w:t xml:space="preserve">ALMEX overhang (~11pp saleable) after the late-November lock-up expiry</w:t>
            </w:r>
          </w:p>
        </w:tc>
      </w:tr>
      <w:tr>
        <w:trPr>
          <w:cantSplit/>
        </w:trPr>
        <w:tc>
          <w:tcPr>
            <w:tcW w:w="4917" w:type="dxa"/>
          </w:tcPr>
          <w:p>
            <w:pPr>
              <w:pStyle w:val="Compact"/>
              <w:spacing w:before="0" w:after="0" w:line="240" w:lineRule="auto"/>
              <w:jc w:val="left"/>
            </w:pPr>
            <w:r>
              <w:rPr>
                <w:rFonts w:ascii="Arial" w:hAnsi="Arial"/>
                <w:sz w:val="15"/>
              </w:rPr>
              <w:t xml:space="preserve">Digital cost advantage (CIR &lt;20%)</w:t>
            </w:r>
          </w:p>
        </w:tc>
        <w:tc>
          <w:tcPr>
            <w:tcW w:w="5061" w:type="dxa"/>
          </w:tcPr>
          <w:p>
            <w:pPr>
              <w:pStyle w:val="Compact"/>
              <w:spacing w:before="0" w:after="0" w:line="240" w:lineRule="auto"/>
              <w:jc w:val="left"/>
            </w:pPr>
            <w:r>
              <w:rPr>
                <w:rFonts w:ascii="Arial" w:hAnsi="Arial"/>
                <w:sz w:val="15"/>
              </w:rPr>
              <w:t xml:space="preserve">Political and sanctions tail risks (Nazarbayev-linked owners; Russia-related compliance)</w:t>
            </w:r>
          </w:p>
        </w:tc>
      </w:tr>
    </w:tbl>
    <w:bookmarkEnd w:id="33"/>
    <w:bookmarkEnd w:id="34"/>
    <w:bookmarkStart w:id="35" w:name="competitive-position-and-economic-moats"/>
    <w:p>
      <w:pPr>
        <w:pStyle w:val="Heading1"/>
      </w:pPr>
      <w:r>
        <w:t xml:space="preserve">Competitive position and economic moats</w:t>
      </w:r>
    </w:p>
    <w:p>
      <w:pPr>
        <w:pStyle w:val="FirstParagraph"/>
      </w:pPr>
      <w:r>
        <w:rPr>
          <w:bCs/>
          <w:b/>
        </w:rPr>
        <w:t xml:space="preserve">Perceived value, brand and marketing.</w:t>
      </w:r>
    </w:p>
    <w:p>
      <w:pPr>
        <w:numPr>
          <w:ilvl w:val="0"/>
          <w:numId w:val="1034"/>
        </w:numPr>
        <w:pStyle w:val="Compact"/>
      </w:pPr>
      <w:r>
        <w:rPr>
          <w:bCs/>
          <w:b/>
        </w:rPr>
        <w:t xml:space="preserve">Brand.</w:t>
      </w:r>
    </w:p>
    <w:p>
      <w:pPr>
        <w:numPr>
          <w:ilvl w:val="1"/>
          <w:numId w:val="1035"/>
        </w:numPr>
        <w:pStyle w:val="Compact"/>
      </w:pPr>
      <w:r>
        <w:t xml:space="preserve">Halyk is Kazakhstan’s</w:t>
      </w:r>
      <w:r>
        <w:t xml:space="preserve"> </w:t>
      </w:r>
      <w:r>
        <w:t xml:space="preserve">“</w:t>
      </w:r>
      <w:r>
        <w:t xml:space="preserve">people’s bank</w:t>
      </w:r>
      <w:r>
        <w:t xml:space="preserve">”</w:t>
      </w:r>
      <w:r>
        <w:t xml:space="preserve">: the default for salaries, pensions and state flows, with the widest branch network.</w:t>
      </w:r>
    </w:p>
    <w:p>
      <w:pPr>
        <w:numPr>
          <w:ilvl w:val="1"/>
          <w:numId w:val="1035"/>
        </w:numPr>
        <w:pStyle w:val="Compact"/>
      </w:pPr>
      <w:r>
        <w:t xml:space="preserve">Its brand signals safety rather than innovation. In consumer surveys and the Forbes.kz/Baker Tilly bank ranking,</w:t>
      </w:r>
      <w:r>
        <w:t xml:space="preserve"> </w:t>
      </w:r>
      <w:r>
        <w:rPr>
          <w:bCs/>
          <w:b/>
        </w:rPr>
        <w:t xml:space="preserve">Kaspi</w:t>
      </w:r>
      <w:r>
        <w:t xml:space="preserve"> </w:t>
      </w:r>
      <w:r>
        <w:t xml:space="preserve">has been ranked #1 for five years running and wins on user experience and engagement. Kaspi’s DAU/MAU ratio is far higher than Halyk’s (Halyk 2.8m/8.6m = 33%).</w:t>
      </w:r>
    </w:p>
    <w:p>
      <w:pPr>
        <w:numPr>
          <w:ilvl w:val="1"/>
          <w:numId w:val="1035"/>
        </w:numPr>
        <w:pStyle w:val="Compact"/>
      </w:pPr>
      <w:r>
        <w:t xml:space="preserve">Halyk wins on trust, corporate relationships, deposit pricing power and product breadth (insurance, brokerage, FX, trade finance).</w:t>
      </w:r>
    </w:p>
    <w:p>
      <w:pPr>
        <w:numPr>
          <w:ilvl w:val="0"/>
          <w:numId w:val="1034"/>
        </w:numPr>
        <w:pStyle w:val="Compact"/>
      </w:pPr>
      <w:r>
        <w:rPr>
          <w:bCs/>
          <w:b/>
        </w:rPr>
        <w:t xml:space="preserve">Marketing.</w:t>
      </w:r>
      <w:r>
        <w:t xml:space="preserve"> </w:t>
      </w:r>
      <w:r>
        <w:t xml:space="preserve">Halyk markets the Super App, payroll projects and secured lending (auto, mortgages). It has deliberately pulled back from BNPL and unsecured credit, where Kaspi is strongest.</w:t>
      </w:r>
    </w:p>
    <w:p>
      <w:pPr>
        <w:pStyle w:val="FirstParagraph"/>
      </w:pPr>
      <w:r>
        <w:rPr>
          <w:bCs/>
          <w:b/>
        </w:rPr>
        <w:t xml:space="preserve">Moat assessment</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3500"/>
        <w:gridCol w:w="1384"/>
        <w:gridCol w:w="5093"/>
      </w:tblGrid>
      <w:tr>
        <w:trPr>
          <w:tblHeader w:val="true"/>
          <w:cantSplit/>
          <w:tblHeader w:val="true"/>
        </w:trPr>
        <w:tc>
          <w:tcPr>
            <w:tcW w:w="3500" w:type="dxa"/>
            <w:shd w:val="clear" w:color="auto" w:fill="13213F"/>
          </w:tcPr>
          <w:p>
            <w:pPr>
              <w:pStyle w:val="Compact"/>
              <w:spacing w:before="0" w:after="0" w:line="240" w:lineRule="auto"/>
              <w:jc w:val="left"/>
            </w:pPr>
            <w:r>
              <w:rPr>
                <w:rFonts w:ascii="Arial" w:hAnsi="Arial"/>
                <w:b/>
                <w:color w:val="FFFFFF"/>
                <w:sz w:val="15"/>
              </w:rPr>
              <w:t xml:space="preserve">Moat category</w:t>
            </w:r>
          </w:p>
        </w:tc>
        <w:tc>
          <w:tcPr>
            <w:tcW w:w="1384" w:type="dxa"/>
            <w:shd w:val="clear" w:color="auto" w:fill="13213F"/>
          </w:tcPr>
          <w:p>
            <w:pPr>
              <w:pStyle w:val="Compact"/>
              <w:spacing w:before="0" w:after="0" w:line="240" w:lineRule="auto"/>
              <w:jc w:val="left"/>
            </w:pPr>
            <w:r>
              <w:rPr>
                <w:rFonts w:ascii="Arial" w:hAnsi="Arial"/>
                <w:b/>
                <w:color w:val="FFFFFF"/>
                <w:sz w:val="15"/>
              </w:rPr>
              <w:t xml:space="preserve">Strength</w:t>
            </w:r>
          </w:p>
        </w:tc>
        <w:tc>
          <w:tcPr>
            <w:tcW w:w="5093" w:type="dxa"/>
            <w:shd w:val="clear" w:color="auto" w:fill="13213F"/>
          </w:tcPr>
          <w:p>
            <w:pPr>
              <w:pStyle w:val="Compact"/>
              <w:spacing w:before="0" w:after="0" w:line="240" w:lineRule="auto"/>
              <w:jc w:val="left"/>
            </w:pPr>
            <w:r>
              <w:rPr>
                <w:rFonts w:ascii="Arial" w:hAnsi="Arial"/>
                <w:b/>
                <w:color w:val="FFFFFF"/>
                <w:sz w:val="15"/>
              </w:rPr>
              <w:t xml:space="preserve">Assessment</w:t>
            </w:r>
          </w:p>
        </w:tc>
      </w:tr>
      <w:tr>
        <w:trPr>
          <w:cantSplit/>
        </w:trPr>
        <w:tc>
          <w:tcPr>
            <w:tcW w:w="3500" w:type="dxa"/>
          </w:tcPr>
          <w:p>
            <w:pPr>
              <w:pStyle w:val="Compact"/>
              <w:spacing w:before="0" w:after="0" w:line="240" w:lineRule="auto"/>
              <w:jc w:val="left"/>
            </w:pPr>
            <w:r>
              <w:rPr>
                <w:bCs/>
                <w:rFonts w:ascii="Arial" w:hAnsi="Arial"/>
                <w:b/>
                <w:sz w:val="15"/>
              </w:rPr>
              <w:t xml:space="preserve">Brand</w:t>
            </w:r>
          </w:p>
        </w:tc>
        <w:tc>
          <w:tcPr>
            <w:tcW w:w="1384" w:type="dxa"/>
          </w:tcPr>
          <w:p>
            <w:pPr>
              <w:pStyle w:val="Compact"/>
              <w:spacing w:before="0" w:after="0" w:line="240" w:lineRule="auto"/>
              <w:jc w:val="left"/>
            </w:pPr>
            <w:r>
              <w:rPr>
                <w:rFonts w:ascii="Arial" w:hAnsi="Arial"/>
                <w:sz w:val="15"/>
              </w:rPr>
              <w:t xml:space="preserve">Strong</w:t>
            </w:r>
          </w:p>
        </w:tc>
        <w:tc>
          <w:tcPr>
            <w:tcW w:w="5093" w:type="dxa"/>
          </w:tcPr>
          <w:p>
            <w:pPr>
              <w:pStyle w:val="Compact"/>
              <w:spacing w:before="0" w:after="0" w:line="240" w:lineRule="auto"/>
              <w:jc w:val="left"/>
            </w:pPr>
            <w:r>
              <w:rPr>
                <w:rFonts w:ascii="Arial" w:hAnsi="Arial"/>
                <w:sz w:val="15"/>
              </w:rPr>
              <w:t xml:space="preserve">Heritage savings bank; largest retail deposit share (27%); trusted by the state and corporates. Weaker than Kaspi with younger, digital-first consumers.</w:t>
            </w:r>
          </w:p>
        </w:tc>
      </w:tr>
      <w:tr>
        <w:trPr>
          <w:cantSplit/>
        </w:trPr>
        <w:tc>
          <w:tcPr>
            <w:tcW w:w="3500" w:type="dxa"/>
          </w:tcPr>
          <w:p>
            <w:pPr>
              <w:pStyle w:val="Compact"/>
              <w:spacing w:before="0" w:after="0" w:line="240" w:lineRule="auto"/>
              <w:jc w:val="left"/>
            </w:pPr>
            <w:r>
              <w:rPr>
                <w:bCs/>
                <w:rFonts w:ascii="Arial" w:hAnsi="Arial"/>
                <w:b/>
                <w:sz w:val="15"/>
              </w:rPr>
              <w:t xml:space="preserve">Hard assets</w:t>
            </w:r>
          </w:p>
        </w:tc>
        <w:tc>
          <w:tcPr>
            <w:tcW w:w="1384" w:type="dxa"/>
          </w:tcPr>
          <w:p>
            <w:pPr>
              <w:pStyle w:val="Compact"/>
              <w:spacing w:before="0" w:after="0" w:line="240" w:lineRule="auto"/>
              <w:jc w:val="left"/>
            </w:pPr>
            <w:r>
              <w:rPr>
                <w:rFonts w:ascii="Arial" w:hAnsi="Arial"/>
                <w:sz w:val="15"/>
              </w:rPr>
              <w:t xml:space="preserve">Moderate</w:t>
            </w:r>
          </w:p>
        </w:tc>
        <w:tc>
          <w:tcPr>
            <w:tcW w:w="5093" w:type="dxa"/>
          </w:tcPr>
          <w:p>
            <w:pPr>
              <w:pStyle w:val="Compact"/>
              <w:spacing w:before="0" w:after="0" w:line="240" w:lineRule="auto"/>
              <w:jc w:val="left"/>
            </w:pPr>
            <w:r>
              <w:rPr>
                <w:rFonts w:ascii="Arial" w:hAnsi="Arial"/>
                <w:sz w:val="15"/>
              </w:rPr>
              <w:t xml:space="preserve">531 branches/outlets, cash and ATM network, data centres. Branches matter for corporate, SME and older retail clients, but are not an insurmountable barrier.</w:t>
            </w:r>
          </w:p>
        </w:tc>
      </w:tr>
      <w:tr>
        <w:trPr>
          <w:cantSplit/>
        </w:trPr>
        <w:tc>
          <w:tcPr>
            <w:tcW w:w="3500" w:type="dxa"/>
          </w:tcPr>
          <w:p>
            <w:pPr>
              <w:pStyle w:val="Compact"/>
              <w:spacing w:before="0" w:after="0" w:line="240" w:lineRule="auto"/>
              <w:jc w:val="left"/>
            </w:pPr>
            <w:r>
              <w:rPr>
                <w:bCs/>
                <w:rFonts w:ascii="Arial" w:hAnsi="Arial"/>
                <w:b/>
                <w:sz w:val="15"/>
              </w:rPr>
              <w:t xml:space="preserve">Long-term contracts</w:t>
            </w:r>
          </w:p>
        </w:tc>
        <w:tc>
          <w:tcPr>
            <w:tcW w:w="1384" w:type="dxa"/>
          </w:tcPr>
          <w:p>
            <w:pPr>
              <w:pStyle w:val="Compact"/>
              <w:spacing w:before="0" w:after="0" w:line="240" w:lineRule="auto"/>
              <w:jc w:val="left"/>
            </w:pPr>
            <w:r>
              <w:rPr>
                <w:rFonts w:ascii="Arial" w:hAnsi="Arial"/>
                <w:sz w:val="15"/>
              </w:rPr>
              <w:t xml:space="preserve">Moderate</w:t>
            </w:r>
          </w:p>
        </w:tc>
        <w:tc>
          <w:tcPr>
            <w:tcW w:w="5093" w:type="dxa"/>
          </w:tcPr>
          <w:p>
            <w:pPr>
              <w:pStyle w:val="Compact"/>
              <w:spacing w:before="0" w:after="0" w:line="240" w:lineRule="auto"/>
              <w:jc w:val="left"/>
            </w:pPr>
            <w:r>
              <w:rPr>
                <w:rFonts w:ascii="Arial" w:hAnsi="Arial"/>
                <w:sz w:val="15"/>
              </w:rPr>
              <w:t xml:space="preserve">Payroll and cash-management mandates, multi-year corporate loans and project finance; sticky but rebid periodically.</w:t>
            </w:r>
          </w:p>
        </w:tc>
      </w:tr>
      <w:tr>
        <w:trPr>
          <w:cantSplit/>
        </w:trPr>
        <w:tc>
          <w:tcPr>
            <w:tcW w:w="3500" w:type="dxa"/>
          </w:tcPr>
          <w:p>
            <w:pPr>
              <w:pStyle w:val="Compact"/>
              <w:spacing w:before="0" w:after="0" w:line="240" w:lineRule="auto"/>
              <w:jc w:val="left"/>
            </w:pPr>
            <w:r>
              <w:rPr>
                <w:bCs/>
                <w:rFonts w:ascii="Arial" w:hAnsi="Arial"/>
                <w:b/>
                <w:sz w:val="15"/>
              </w:rPr>
              <w:t xml:space="preserve">Network effects</w:t>
            </w:r>
          </w:p>
        </w:tc>
        <w:tc>
          <w:tcPr>
            <w:tcW w:w="1384" w:type="dxa"/>
          </w:tcPr>
          <w:p>
            <w:pPr>
              <w:pStyle w:val="Compact"/>
              <w:spacing w:before="0" w:after="0" w:line="240" w:lineRule="auto"/>
              <w:jc w:val="left"/>
            </w:pPr>
            <w:r>
              <w:rPr>
                <w:rFonts w:ascii="Arial" w:hAnsi="Arial"/>
                <w:sz w:val="15"/>
              </w:rPr>
              <w:t xml:space="preserve">Moderate</w:t>
            </w:r>
          </w:p>
        </w:tc>
        <w:tc>
          <w:tcPr>
            <w:tcW w:w="5093" w:type="dxa"/>
          </w:tcPr>
          <w:p>
            <w:pPr>
              <w:pStyle w:val="Compact"/>
              <w:spacing w:before="0" w:after="0" w:line="240" w:lineRule="auto"/>
              <w:jc w:val="left"/>
            </w:pPr>
            <w:r>
              <w:rPr>
                <w:rFonts w:ascii="Arial" w:hAnsi="Arial"/>
                <w:sz w:val="15"/>
              </w:rPr>
              <w:t xml:space="preserve">Payments and P2P within the Super App (6.1m monthly transacting users), merchant acquiring and SME Onlinebank. Kaspi’s two-sided marketplace network is stronger in retail.</w:t>
            </w:r>
          </w:p>
        </w:tc>
      </w:tr>
      <w:tr>
        <w:trPr>
          <w:cantSplit/>
        </w:trPr>
        <w:tc>
          <w:tcPr>
            <w:tcW w:w="3500" w:type="dxa"/>
          </w:tcPr>
          <w:p>
            <w:pPr>
              <w:pStyle w:val="Compact"/>
              <w:spacing w:before="0" w:after="0" w:line="240" w:lineRule="auto"/>
              <w:jc w:val="left"/>
            </w:pPr>
            <w:r>
              <w:rPr>
                <w:bCs/>
                <w:rFonts w:ascii="Arial" w:hAnsi="Arial"/>
                <w:b/>
                <w:sz w:val="15"/>
              </w:rPr>
              <w:t xml:space="preserve">Regulatory barriers and switching costs</w:t>
            </w:r>
          </w:p>
        </w:tc>
        <w:tc>
          <w:tcPr>
            <w:tcW w:w="1384" w:type="dxa"/>
          </w:tcPr>
          <w:p>
            <w:pPr>
              <w:pStyle w:val="Compact"/>
              <w:spacing w:before="0" w:after="0" w:line="240" w:lineRule="auto"/>
              <w:jc w:val="left"/>
            </w:pPr>
            <w:r>
              <w:rPr>
                <w:rFonts w:ascii="Arial" w:hAnsi="Arial"/>
                <w:sz w:val="15"/>
              </w:rPr>
              <w:t xml:space="preserve">Strong</w:t>
            </w:r>
          </w:p>
        </w:tc>
        <w:tc>
          <w:tcPr>
            <w:tcW w:w="5093" w:type="dxa"/>
          </w:tcPr>
          <w:p>
            <w:pPr>
              <w:pStyle w:val="Compact"/>
              <w:spacing w:before="0" w:after="0" w:line="240" w:lineRule="auto"/>
              <w:jc w:val="left"/>
            </w:pPr>
            <w:r>
              <w:rPr>
                <w:rFonts w:ascii="Arial" w:hAnsi="Arial"/>
                <w:sz w:val="15"/>
              </w:rPr>
              <w:t xml:space="preserve">Banking licences, ARDFM approval for 10%+ holders, D-SIB capital rules and KDIF. Corporate switching costs are high (credit lines, collateral, cash management). Retail switching is lower (app-based, and mortgage transfers are now enabled).</w:t>
            </w:r>
          </w:p>
        </w:tc>
      </w:tr>
      <w:tr>
        <w:trPr>
          <w:cantSplit/>
        </w:trPr>
        <w:tc>
          <w:tcPr>
            <w:tcW w:w="3500" w:type="dxa"/>
          </w:tcPr>
          <w:p>
            <w:pPr>
              <w:pStyle w:val="Compact"/>
              <w:spacing w:before="0" w:after="0" w:line="240" w:lineRule="auto"/>
              <w:jc w:val="left"/>
            </w:pPr>
            <w:r>
              <w:rPr>
                <w:bCs/>
                <w:rFonts w:ascii="Arial" w:hAnsi="Arial"/>
                <w:b/>
                <w:sz w:val="15"/>
              </w:rPr>
              <w:t xml:space="preserve">Oligopolistic / monopolistic industry</w:t>
            </w:r>
          </w:p>
        </w:tc>
        <w:tc>
          <w:tcPr>
            <w:tcW w:w="1384" w:type="dxa"/>
          </w:tcPr>
          <w:p>
            <w:pPr>
              <w:pStyle w:val="Compact"/>
              <w:spacing w:before="0" w:after="0" w:line="240" w:lineRule="auto"/>
              <w:jc w:val="left"/>
            </w:pPr>
            <w:r>
              <w:rPr>
                <w:rFonts w:ascii="Arial" w:hAnsi="Arial"/>
                <w:sz w:val="15"/>
              </w:rPr>
              <w:t xml:space="preserve">Strong</w:t>
            </w:r>
          </w:p>
        </w:tc>
        <w:tc>
          <w:tcPr>
            <w:tcW w:w="5093" w:type="dxa"/>
          </w:tcPr>
          <w:p>
            <w:pPr>
              <w:pStyle w:val="Compact"/>
              <w:spacing w:before="0" w:after="0" w:line="240" w:lineRule="auto"/>
              <w:jc w:val="left"/>
            </w:pPr>
            <w:r>
              <w:rPr>
                <w:rFonts w:ascii="Arial" w:hAnsi="Arial"/>
                <w:sz w:val="15"/>
              </w:rPr>
              <w:t xml:space="preserve">Top 5 banks hold ~70% of assets and top 10 ~89%. Halyk has ~48% of corporate loans: near-monopoly scale in large-ticket corporate lending.</w:t>
            </w:r>
          </w:p>
        </w:tc>
      </w:tr>
      <w:tr>
        <w:trPr>
          <w:cantSplit/>
        </w:trPr>
        <w:tc>
          <w:tcPr>
            <w:tcW w:w="3500" w:type="dxa"/>
          </w:tcPr>
          <w:p>
            <w:pPr>
              <w:pStyle w:val="Compact"/>
              <w:spacing w:before="0" w:after="0" w:line="240" w:lineRule="auto"/>
              <w:jc w:val="left"/>
            </w:pPr>
            <w:r>
              <w:rPr>
                <w:bCs/>
                <w:rFonts w:ascii="Arial" w:hAnsi="Arial"/>
                <w:b/>
                <w:sz w:val="15"/>
              </w:rPr>
              <w:t xml:space="preserve">Cash-flow predictability</w:t>
            </w:r>
          </w:p>
        </w:tc>
        <w:tc>
          <w:tcPr>
            <w:tcW w:w="1384" w:type="dxa"/>
          </w:tcPr>
          <w:p>
            <w:pPr>
              <w:pStyle w:val="Compact"/>
              <w:spacing w:before="0" w:after="0" w:line="240" w:lineRule="auto"/>
              <w:jc w:val="left"/>
            </w:pPr>
            <w:r>
              <w:rPr>
                <w:rFonts w:ascii="Arial" w:hAnsi="Arial"/>
                <w:sz w:val="15"/>
              </w:rPr>
              <w:t xml:space="preserve">Moderate</w:t>
            </w:r>
          </w:p>
        </w:tc>
        <w:tc>
          <w:tcPr>
            <w:tcW w:w="5093" w:type="dxa"/>
          </w:tcPr>
          <w:p>
            <w:pPr>
              <w:pStyle w:val="Compact"/>
              <w:spacing w:before="0" w:after="0" w:line="240" w:lineRule="auto"/>
              <w:jc w:val="left"/>
            </w:pPr>
            <w:r>
              <w:rPr>
                <w:rFonts w:ascii="Arial" w:hAnsi="Arial"/>
                <w:sz w:val="15"/>
              </w:rPr>
              <w:t xml:space="preserve">NII is ~73% of revenue and deposits are stable, but earnings swing with the NBK rate, the MRR and regulation (2026 −15%).</w:t>
            </w:r>
          </w:p>
        </w:tc>
      </w:tr>
      <w:tr>
        <w:trPr>
          <w:cantSplit/>
        </w:trPr>
        <w:tc>
          <w:tcPr>
            <w:tcW w:w="3500" w:type="dxa"/>
          </w:tcPr>
          <w:p>
            <w:pPr>
              <w:pStyle w:val="Compact"/>
              <w:spacing w:before="0" w:after="0" w:line="240" w:lineRule="auto"/>
              <w:jc w:val="left"/>
            </w:pPr>
            <w:r>
              <w:rPr>
                <w:bCs/>
                <w:rFonts w:ascii="Arial" w:hAnsi="Arial"/>
                <w:b/>
                <w:sz w:val="15"/>
              </w:rPr>
              <w:t xml:space="preserve">Scalability</w:t>
            </w:r>
          </w:p>
        </w:tc>
        <w:tc>
          <w:tcPr>
            <w:tcW w:w="1384" w:type="dxa"/>
          </w:tcPr>
          <w:p>
            <w:pPr>
              <w:pStyle w:val="Compact"/>
              <w:spacing w:before="0" w:after="0" w:line="240" w:lineRule="auto"/>
              <w:jc w:val="left"/>
            </w:pPr>
            <w:r>
              <w:rPr>
                <w:rFonts w:ascii="Arial" w:hAnsi="Arial"/>
                <w:sz w:val="15"/>
              </w:rPr>
              <w:t xml:space="preserve">Strong</w:t>
            </w:r>
          </w:p>
        </w:tc>
        <w:tc>
          <w:tcPr>
            <w:tcW w:w="5093" w:type="dxa"/>
          </w:tcPr>
          <w:p>
            <w:pPr>
              <w:pStyle w:val="Compact"/>
              <w:spacing w:before="0" w:after="0" w:line="240" w:lineRule="auto"/>
              <w:jc w:val="left"/>
            </w:pPr>
            <w:r>
              <w:rPr>
                <w:rFonts w:ascii="Arial" w:hAnsi="Arial"/>
                <w:sz w:val="15"/>
              </w:rPr>
              <w:t xml:space="preserve">CIR fell from 26.8% to 17.5% (2020–25); 91% of retail loans and 94% of deposits originate digitally, so incremental volume costs little.</w:t>
            </w:r>
          </w:p>
        </w:tc>
      </w:tr>
      <w:tr>
        <w:trPr>
          <w:cantSplit/>
        </w:trPr>
        <w:tc>
          <w:tcPr>
            <w:tcW w:w="3500" w:type="dxa"/>
          </w:tcPr>
          <w:p>
            <w:pPr>
              <w:pStyle w:val="Compact"/>
              <w:spacing w:before="0" w:after="0" w:line="240" w:lineRule="auto"/>
              <w:jc w:val="left"/>
            </w:pPr>
            <w:r>
              <w:rPr>
                <w:bCs/>
                <w:rFonts w:ascii="Arial" w:hAnsi="Arial"/>
                <w:b/>
                <w:sz w:val="15"/>
              </w:rPr>
              <w:t xml:space="preserve">Risk / history of government interference</w:t>
            </w:r>
          </w:p>
        </w:tc>
        <w:tc>
          <w:tcPr>
            <w:tcW w:w="1384" w:type="dxa"/>
          </w:tcPr>
          <w:p>
            <w:pPr>
              <w:pStyle w:val="Compact"/>
              <w:spacing w:before="0" w:after="0" w:line="240" w:lineRule="auto"/>
              <w:jc w:val="left"/>
            </w:pPr>
            <w:r>
              <w:rPr>
                <w:bCs/>
                <w:rFonts w:ascii="Arial" w:hAnsi="Arial"/>
                <w:b/>
                <w:sz w:val="15"/>
              </w:rPr>
              <w:t xml:space="preserve">High risk (negative)</w:t>
            </w:r>
          </w:p>
        </w:tc>
        <w:tc>
          <w:tcPr>
            <w:tcW w:w="5093" w:type="dxa"/>
          </w:tcPr>
          <w:p>
            <w:pPr>
              <w:pStyle w:val="Compact"/>
              <w:spacing w:before="0" w:after="0" w:line="240" w:lineRule="auto"/>
              <w:jc w:val="left"/>
            </w:pPr>
            <w:r>
              <w:rPr>
                <w:rFonts w:ascii="Arial" w:hAnsi="Arial"/>
                <w:sz w:val="15"/>
              </w:rPr>
              <w:t xml:space="preserve">2019 consumer-debt write-off; FX-mortgage conversions (2015–22); 2025-only 10% excess-profit tax; 2026 bank CIT 25%; GEIR caps; MRR increases; 2023 law on return of illegally acquired assets (owners are Nazarbayev relatives). No action against Halyk has been observed.</w:t>
            </w:r>
          </w:p>
        </w:tc>
      </w:tr>
      <w:tr>
        <w:trPr>
          <w:cantSplit/>
        </w:trPr>
        <w:tc>
          <w:tcPr>
            <w:tcW w:w="3500" w:type="dxa"/>
          </w:tcPr>
          <w:p>
            <w:pPr>
              <w:pStyle w:val="Compact"/>
              <w:spacing w:before="0" w:after="0" w:line="240" w:lineRule="auto"/>
              <w:jc w:val="left"/>
            </w:pPr>
            <w:r>
              <w:rPr>
                <w:bCs/>
                <w:rFonts w:ascii="Arial" w:hAnsi="Arial"/>
                <w:b/>
                <w:sz w:val="15"/>
              </w:rPr>
              <w:t xml:space="preserve">Bargaining power over stakeholders</w:t>
            </w:r>
          </w:p>
        </w:tc>
        <w:tc>
          <w:tcPr>
            <w:tcW w:w="1384" w:type="dxa"/>
          </w:tcPr>
          <w:p>
            <w:pPr>
              <w:pStyle w:val="Compact"/>
              <w:spacing w:before="0" w:after="0" w:line="240" w:lineRule="auto"/>
              <w:jc w:val="left"/>
            </w:pPr>
            <w:r>
              <w:rPr>
                <w:rFonts w:ascii="Arial" w:hAnsi="Arial"/>
                <w:sz w:val="15"/>
              </w:rPr>
              <w:t xml:space="preserve">Strong</w:t>
            </w:r>
          </w:p>
        </w:tc>
        <w:tc>
          <w:tcPr>
            <w:tcW w:w="5093" w:type="dxa"/>
          </w:tcPr>
          <w:p>
            <w:pPr>
              <w:pStyle w:val="Compact"/>
              <w:spacing w:before="0" w:after="0" w:line="240" w:lineRule="auto"/>
              <w:jc w:val="left"/>
            </w:pPr>
            <w:r>
              <w:rPr>
                <w:rFonts w:ascii="Arial" w:hAnsi="Arial"/>
                <w:sz w:val="15"/>
              </w:rPr>
              <w:t xml:space="preserve">Price-setter on corporate deposits and loans. Its systemic size gives it a voice with the NBK and ARDFM, but also makes it the obvious target for quasi-fiscal demands.</w:t>
            </w:r>
          </w:p>
        </w:tc>
      </w:tr>
    </w:tbl>
    <w:p>
      <w:pPr>
        <w:pStyle w:val="BodyText"/>
      </w:pPr>
      <w:r>
        <w:rPr>
          <w:bCs/>
          <w:b/>
        </w:rPr>
        <w:t xml:space="preserve">Overall:</w:t>
      </w:r>
      <w:r>
        <w:t xml:space="preserve"> </w:t>
      </w:r>
      <w:r>
        <w:t xml:space="preserve">a wide moat in corporate and funding, and a narrow moat in retail. The returns are sustainable at 20%+ ROE, but not at the 30%+ of 2021–25, which were flattered by an 18% policy rate and a light tax regime.</w:t>
      </w:r>
    </w:p>
    <w:bookmarkEnd w:id="35"/>
    <w:bookmarkStart w:id="39" w:name="supply-chain-and-halyks-position-in-it"/>
    <w:p>
      <w:pPr>
        <w:pStyle w:val="Heading1"/>
      </w:pPr>
      <w:r>
        <w:t xml:space="preserve">Supply chain and Halyk’s position in it</w:t>
      </w:r>
    </w:p>
    <w:p>
      <w:pPr>
        <w:pStyle w:val="FirstParagraph"/>
      </w:pPr>
      <w:r>
        <w:t xml:space="preserve">Halyk sits in the middle of Kazakhstan’s money chain. Upstream it gathers deposits (retail, corporate, state-linked) and capital (shareholders, bond investors, state on-lending programmes). It operates on regulated rails: NBK liquidity and reserve rules, ARDFM prudential rules, Visa/Mastercard/UnionPay schemes and credit bureaus. Downstream it distributes credit, payments and insurance to corporates, SMEs and households, through branches, the Super App and payroll channels.</w:t>
      </w:r>
    </w:p>
    <w:p>
      <w:pPr>
        <w:pStyle w:val="CaptionedFigure"/>
      </w:pPr>
      <w:r>
        <w:drawing>
          <wp:inline>
            <wp:extent cx="6324600" cy="3934489"/>
            <wp:effectExtent b="0" l="0" r="0" t="0"/>
            <wp:docPr descr="Halyk Bank value chain: funding sources to end customers" title="" id="37" name="Picture"/>
            <a:graphic>
              <a:graphicData uri="http://schemas.openxmlformats.org/drawingml/2006/picture">
                <pic:pic>
                  <pic:nvPicPr>
                    <pic:cNvPr descr="HSBK_charts/supply_chain.png" id="38" name="Picture"/>
                    <pic:cNvPicPr>
                      <a:picLocks noChangeArrowheads="1" noChangeAspect="1"/>
                    </pic:cNvPicPr>
                  </pic:nvPicPr>
                  <pic:blipFill>
                    <a:blip r:embed="rId36"/>
                    <a:stretch>
                      <a:fillRect/>
                    </a:stretch>
                  </pic:blipFill>
                  <pic:spPr bwMode="auto">
                    <a:xfrm>
                      <a:off x="0" y="0"/>
                      <a:ext cx="6324600" cy="3934489"/>
                    </a:xfrm>
                    <a:prstGeom prst="rect">
                      <a:avLst/>
                    </a:prstGeom>
                    <a:noFill/>
                    <a:ln w="9525">
                      <a:noFill/>
                      <a:headEnd/>
                      <a:tailEnd/>
                    </a:ln>
                  </pic:spPr>
                </pic:pic>
              </a:graphicData>
            </a:graphic>
          </wp:inline>
        </w:drawing>
      </w:r>
    </w:p>
    <w:p>
      <w:pPr>
        <w:pStyle w:val="ImageCaption"/>
      </w:pPr>
      <w:r>
        <w:t xml:space="preserve">Halyk Bank value chain: funding sources to end customers</w:t>
      </w:r>
    </w:p>
    <w:bookmarkEnd w:id="39"/>
    <w:bookmarkStart w:id="59" w:name="X3fd55bbeeaeb2fdc70e376d143925c1772f99bd"/>
    <w:p>
      <w:pPr>
        <w:pStyle w:val="Heading1"/>
      </w:pPr>
      <w:r>
        <w:t xml:space="preserve">Financial analysis: five years by division and geography</w:t>
      </w:r>
    </w:p>
    <w:bookmarkStart w:id="43" w:name="Xa39a0f7b9cfef27ffd4dacb661cf9b5267c5d6f"/>
    <w:p>
      <w:pPr>
        <w:pStyle w:val="Heading2"/>
      </w:pPr>
      <w:r>
        <w:t xml:space="preserve">Group P&amp;L (bank equivalents of revenue, EBITDA and EBIT)</w:t>
      </w:r>
    </w:p>
    <w:p>
      <w:pPr>
        <w:pStyle w:val="FirstParagraph"/>
      </w:pPr>
      <w:r>
        <w:t xml:space="preserve">For a bank,</w:t>
      </w:r>
      <w:r>
        <w:t xml:space="preserve"> </w:t>
      </w:r>
      <w:r>
        <w:t xml:space="preserve">“</w:t>
      </w:r>
      <w:r>
        <w:t xml:space="preserve">sales</w:t>
      </w:r>
      <w:r>
        <w:t xml:space="preserve">”</w:t>
      </w:r>
      <w:r>
        <w:t xml:space="preserve"> </w:t>
      </w:r>
      <w:r>
        <w:t xml:space="preserve">is total operating income (net interest, net fee, insurance and other income),</w:t>
      </w:r>
      <w:r>
        <w:t xml:space="preserve"> </w:t>
      </w:r>
      <w:r>
        <w:t xml:space="preserve">“</w:t>
      </w:r>
      <w:r>
        <w:t xml:space="preserve">EBITDA</w:t>
      </w:r>
      <w:r>
        <w:t xml:space="preserve">”</w:t>
      </w:r>
      <w:r>
        <w:t xml:space="preserve"> </w:t>
      </w:r>
      <w:r>
        <w:t xml:space="preserve">is approximated by pre-provision operating profit (PPOP), and</w:t>
      </w:r>
      <w:r>
        <w:t xml:space="preserve"> </w:t>
      </w:r>
      <w:r>
        <w:t xml:space="preserve">“</w:t>
      </w:r>
      <w:r>
        <w:t xml:space="preserve">EBIT</w:t>
      </w:r>
      <w:r>
        <w:t xml:space="preserve">”</w:t>
      </w:r>
      <w:r>
        <w:t xml:space="preserve"> </w:t>
      </w:r>
      <w:r>
        <w:t xml:space="preserve">by profit before tax (PBT), since interest is the cost of goods sold.</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948"/>
        <w:gridCol w:w="1140"/>
        <w:gridCol w:w="1140"/>
        <w:gridCol w:w="935"/>
        <w:gridCol w:w="1007"/>
        <w:gridCol w:w="1007"/>
        <w:gridCol w:w="863"/>
        <w:gridCol w:w="935"/>
      </w:tblGrid>
      <w:tr>
        <w:trPr>
          <w:tblHeader w:val="true"/>
          <w:cantSplit/>
          <w:tblHeader w:val="true"/>
        </w:trPr>
        <w:tc>
          <w:tcPr>
            <w:tcW w:w="2948" w:type="dxa"/>
            <w:shd w:val="clear" w:color="auto" w:fill="13213F"/>
          </w:tcPr>
          <w:p>
            <w:pPr>
              <w:pStyle w:val="Compact"/>
              <w:spacing w:before="0" w:after="0" w:line="240" w:lineRule="auto"/>
              <w:jc w:val="left"/>
            </w:pPr>
            <w:r>
              <w:rPr>
                <w:rFonts w:ascii="Arial" w:hAnsi="Arial"/>
                <w:b/>
                <w:color w:val="FFFFFF"/>
                <w:sz w:val="15"/>
              </w:rPr>
              <w:t xml:space="preserve">KZT bn</w:t>
            </w:r>
          </w:p>
        </w:tc>
        <w:tc>
          <w:tcPr>
            <w:tcW w:w="1140" w:type="dxa"/>
            <w:shd w:val="clear" w:color="auto" w:fill="13213F"/>
          </w:tcPr>
          <w:p>
            <w:pPr>
              <w:pStyle w:val="Compact"/>
              <w:spacing w:before="0" w:after="0" w:line="240" w:lineRule="auto"/>
              <w:jc w:val="left"/>
            </w:pPr>
            <w:r>
              <w:rPr>
                <w:rFonts w:ascii="Arial" w:hAnsi="Arial"/>
                <w:b/>
                <w:color w:val="FFFFFF"/>
                <w:sz w:val="15"/>
              </w:rPr>
              <w:t xml:space="preserve">FY2021</w:t>
            </w:r>
          </w:p>
        </w:tc>
        <w:tc>
          <w:tcPr>
            <w:tcW w:w="1140" w:type="dxa"/>
            <w:shd w:val="clear" w:color="auto" w:fill="13213F"/>
          </w:tcPr>
          <w:p>
            <w:pPr>
              <w:pStyle w:val="Compact"/>
              <w:spacing w:before="0" w:after="0" w:line="240" w:lineRule="auto"/>
              <w:jc w:val="left"/>
            </w:pPr>
            <w:r>
              <w:rPr>
                <w:rFonts w:ascii="Arial" w:hAnsi="Arial"/>
                <w:b/>
                <w:color w:val="FFFFFF"/>
                <w:sz w:val="15"/>
              </w:rPr>
              <w:t xml:space="preserve">FY2022</w:t>
            </w:r>
          </w:p>
        </w:tc>
        <w:tc>
          <w:tcPr>
            <w:tcW w:w="935" w:type="dxa"/>
            <w:shd w:val="clear" w:color="auto" w:fill="13213F"/>
          </w:tcPr>
          <w:p>
            <w:pPr>
              <w:pStyle w:val="Compact"/>
              <w:spacing w:before="0" w:after="0" w:line="240" w:lineRule="auto"/>
              <w:jc w:val="left"/>
            </w:pPr>
            <w:r>
              <w:rPr>
                <w:rFonts w:ascii="Arial" w:hAnsi="Arial"/>
                <w:b/>
                <w:color w:val="FFFFFF"/>
                <w:sz w:val="15"/>
              </w:rPr>
              <w:t xml:space="preserve">FY2023</w:t>
            </w:r>
          </w:p>
        </w:tc>
        <w:tc>
          <w:tcPr>
            <w:tcW w:w="1007" w:type="dxa"/>
            <w:shd w:val="clear" w:color="auto" w:fill="13213F"/>
          </w:tcPr>
          <w:p>
            <w:pPr>
              <w:pStyle w:val="Compact"/>
              <w:spacing w:before="0" w:after="0" w:line="240" w:lineRule="auto"/>
              <w:jc w:val="left"/>
            </w:pPr>
            <w:r>
              <w:rPr>
                <w:rFonts w:ascii="Arial" w:hAnsi="Arial"/>
                <w:b/>
                <w:color w:val="FFFFFF"/>
                <w:sz w:val="15"/>
              </w:rPr>
              <w:t xml:space="preserve">FY2024</w:t>
            </w:r>
          </w:p>
        </w:tc>
        <w:tc>
          <w:tcPr>
            <w:tcW w:w="1007" w:type="dxa"/>
            <w:shd w:val="clear" w:color="auto" w:fill="13213F"/>
          </w:tcPr>
          <w:p>
            <w:pPr>
              <w:pStyle w:val="Compact"/>
              <w:spacing w:before="0" w:after="0" w:line="240" w:lineRule="auto"/>
              <w:jc w:val="left"/>
            </w:pPr>
            <w:r>
              <w:rPr>
                <w:rFonts w:ascii="Arial" w:hAnsi="Arial"/>
                <w:b/>
                <w:color w:val="FFFFFF"/>
                <w:sz w:val="15"/>
              </w:rPr>
              <w:t xml:space="preserve">FY2025</w:t>
            </w:r>
          </w:p>
        </w:tc>
        <w:tc>
          <w:tcPr>
            <w:tcW w:w="863" w:type="dxa"/>
            <w:shd w:val="clear" w:color="auto" w:fill="13213F"/>
          </w:tcPr>
          <w:p>
            <w:pPr>
              <w:pStyle w:val="Compact"/>
              <w:spacing w:before="0" w:after="0" w:line="240" w:lineRule="auto"/>
              <w:jc w:val="left"/>
            </w:pPr>
            <w:r>
              <w:rPr>
                <w:rFonts w:ascii="Arial" w:hAnsi="Arial"/>
                <w:b/>
                <w:color w:val="FFFFFF"/>
                <w:sz w:val="15"/>
              </w:rPr>
              <w:t xml:space="preserve">1H26</w:t>
            </w:r>
          </w:p>
        </w:tc>
        <w:tc>
          <w:tcPr>
            <w:tcW w:w="935" w:type="dxa"/>
            <w:shd w:val="clear" w:color="auto" w:fill="13213F"/>
          </w:tcPr>
          <w:p>
            <w:pPr>
              <w:pStyle w:val="Compact"/>
              <w:spacing w:before="0" w:after="0" w:line="240" w:lineRule="auto"/>
              <w:jc w:val="left"/>
            </w:pPr>
            <w:r>
              <w:rPr>
                <w:rFonts w:ascii="Arial" w:hAnsi="Arial"/>
                <w:b/>
                <w:color w:val="FFFFFF"/>
                <w:sz w:val="15"/>
              </w:rPr>
              <w:t xml:space="preserve">y/y</w:t>
            </w:r>
          </w:p>
        </w:tc>
      </w:tr>
      <w:tr>
        <w:trPr>
          <w:cantSplit/>
        </w:trPr>
        <w:tc>
          <w:tcPr>
            <w:tcW w:w="2948" w:type="dxa"/>
          </w:tcPr>
          <w:p>
            <w:pPr>
              <w:pStyle w:val="Compact"/>
              <w:spacing w:before="0" w:after="0" w:line="240" w:lineRule="auto"/>
              <w:jc w:val="left"/>
            </w:pPr>
            <w:r>
              <w:rPr>
                <w:rFonts w:ascii="Arial" w:hAnsi="Arial"/>
                <w:sz w:val="15"/>
              </w:rPr>
              <w:t xml:space="preserve">Net interest income</w:t>
            </w:r>
          </w:p>
        </w:tc>
        <w:tc>
          <w:tcPr>
            <w:tcW w:w="1140" w:type="dxa"/>
          </w:tcPr>
          <w:p>
            <w:pPr>
              <w:pStyle w:val="Compact"/>
              <w:spacing w:before="0" w:after="0" w:line="240" w:lineRule="auto"/>
              <w:jc w:val="left"/>
            </w:pPr>
            <w:r>
              <w:rPr>
                <w:rFonts w:ascii="Arial" w:hAnsi="Arial"/>
                <w:sz w:val="15"/>
              </w:rPr>
              <w:t xml:space="preserve">513.1</w:t>
            </w:r>
          </w:p>
        </w:tc>
        <w:tc>
          <w:tcPr>
            <w:tcW w:w="1140" w:type="dxa"/>
          </w:tcPr>
          <w:p>
            <w:pPr>
              <w:pStyle w:val="Compact"/>
              <w:spacing w:before="0" w:after="0" w:line="240" w:lineRule="auto"/>
              <w:jc w:val="left"/>
            </w:pPr>
            <w:r>
              <w:rPr>
                <w:rFonts w:ascii="Arial" w:hAnsi="Arial"/>
                <w:sz w:val="15"/>
              </w:rPr>
              <w:t xml:space="preserve">669.5</w:t>
            </w:r>
          </w:p>
        </w:tc>
        <w:tc>
          <w:tcPr>
            <w:tcW w:w="935" w:type="dxa"/>
          </w:tcPr>
          <w:p>
            <w:pPr>
              <w:pStyle w:val="Compact"/>
              <w:spacing w:before="0" w:after="0" w:line="240" w:lineRule="auto"/>
              <w:jc w:val="left"/>
            </w:pPr>
            <w:r>
              <w:rPr>
                <w:rFonts w:ascii="Arial" w:hAnsi="Arial"/>
                <w:sz w:val="15"/>
              </w:rPr>
              <w:t xml:space="preserve">797.1</w:t>
            </w:r>
          </w:p>
        </w:tc>
        <w:tc>
          <w:tcPr>
            <w:tcW w:w="1007" w:type="dxa"/>
          </w:tcPr>
          <w:p>
            <w:pPr>
              <w:pStyle w:val="Compact"/>
              <w:spacing w:before="0" w:after="0" w:line="240" w:lineRule="auto"/>
              <w:jc w:val="left"/>
            </w:pPr>
            <w:r>
              <w:rPr>
                <w:rFonts w:ascii="Arial" w:hAnsi="Arial"/>
                <w:sz w:val="15"/>
              </w:rPr>
              <w:t xml:space="preserve">1,107.9</w:t>
            </w:r>
          </w:p>
        </w:tc>
        <w:tc>
          <w:tcPr>
            <w:tcW w:w="1007" w:type="dxa"/>
          </w:tcPr>
          <w:p>
            <w:pPr>
              <w:pStyle w:val="Compact"/>
              <w:spacing w:before="0" w:after="0" w:line="240" w:lineRule="auto"/>
              <w:jc w:val="left"/>
            </w:pPr>
            <w:r>
              <w:rPr>
                <w:rFonts w:ascii="Arial" w:hAnsi="Arial"/>
                <w:sz w:val="15"/>
              </w:rPr>
              <w:t xml:space="preserve">1,287.7</w:t>
            </w:r>
          </w:p>
        </w:tc>
        <w:tc>
          <w:tcPr>
            <w:tcW w:w="863" w:type="dxa"/>
          </w:tcPr>
          <w:p>
            <w:pPr>
              <w:pStyle w:val="Compact"/>
              <w:spacing w:before="0" w:after="0" w:line="240" w:lineRule="auto"/>
              <w:jc w:val="left"/>
            </w:pPr>
            <w:r>
              <w:rPr>
                <w:rFonts w:ascii="Arial" w:hAnsi="Arial"/>
                <w:sz w:val="15"/>
              </w:rPr>
              <w:t xml:space="preserve">657.6</w:t>
            </w:r>
          </w:p>
        </w:tc>
        <w:tc>
          <w:tcPr>
            <w:tcW w:w="935" w:type="dxa"/>
          </w:tcPr>
          <w:p>
            <w:pPr>
              <w:pStyle w:val="Compact"/>
              <w:spacing w:before="0" w:after="0" w:line="240" w:lineRule="auto"/>
              <w:jc w:val="left"/>
            </w:pPr>
            <w:r>
              <w:rPr>
                <w:rFonts w:ascii="Arial" w:hAnsi="Arial"/>
                <w:sz w:val="15"/>
              </w:rPr>
              <w:t xml:space="preserve">+2.6%</w:t>
            </w:r>
          </w:p>
        </w:tc>
      </w:tr>
      <w:tr>
        <w:trPr>
          <w:cantSplit/>
        </w:trPr>
        <w:tc>
          <w:tcPr>
            <w:tcW w:w="2948" w:type="dxa"/>
          </w:tcPr>
          <w:p>
            <w:pPr>
              <w:pStyle w:val="Compact"/>
              <w:spacing w:before="0" w:after="0" w:line="240" w:lineRule="auto"/>
              <w:jc w:val="left"/>
            </w:pPr>
            <w:r>
              <w:rPr>
                <w:rFonts w:ascii="Arial" w:hAnsi="Arial"/>
                <w:sz w:val="15"/>
              </w:rPr>
              <w:t xml:space="preserve">Net fee &amp; commission income</w:t>
            </w:r>
          </w:p>
        </w:tc>
        <w:tc>
          <w:tcPr>
            <w:tcW w:w="1140" w:type="dxa"/>
          </w:tcPr>
          <w:p>
            <w:pPr>
              <w:pStyle w:val="Compact"/>
              <w:spacing w:before="0" w:after="0" w:line="240" w:lineRule="auto"/>
              <w:jc w:val="left"/>
            </w:pPr>
            <w:r>
              <w:rPr>
                <w:rFonts w:ascii="Arial" w:hAnsi="Arial"/>
                <w:sz w:val="15"/>
              </w:rPr>
              <w:t xml:space="preserve">66.6</w:t>
            </w:r>
          </w:p>
        </w:tc>
        <w:tc>
          <w:tcPr>
            <w:tcW w:w="1140" w:type="dxa"/>
          </w:tcPr>
          <w:p>
            <w:pPr>
              <w:pStyle w:val="Compact"/>
              <w:spacing w:before="0" w:after="0" w:line="240" w:lineRule="auto"/>
              <w:jc w:val="left"/>
            </w:pPr>
            <w:r>
              <w:rPr>
                <w:rFonts w:ascii="Arial" w:hAnsi="Arial"/>
                <w:sz w:val="15"/>
              </w:rPr>
              <w:t xml:space="preserve">83.8</w:t>
            </w:r>
          </w:p>
        </w:tc>
        <w:tc>
          <w:tcPr>
            <w:tcW w:w="935" w:type="dxa"/>
          </w:tcPr>
          <w:p>
            <w:pPr>
              <w:pStyle w:val="Compact"/>
              <w:spacing w:before="0" w:after="0" w:line="240" w:lineRule="auto"/>
              <w:jc w:val="left"/>
            </w:pPr>
            <w:r>
              <w:rPr>
                <w:rFonts w:ascii="Arial" w:hAnsi="Arial"/>
                <w:sz w:val="15"/>
              </w:rPr>
              <w:t xml:space="preserve">113.7</w:t>
            </w:r>
          </w:p>
        </w:tc>
        <w:tc>
          <w:tcPr>
            <w:tcW w:w="1007" w:type="dxa"/>
          </w:tcPr>
          <w:p>
            <w:pPr>
              <w:pStyle w:val="Compact"/>
              <w:spacing w:before="0" w:after="0" w:line="240" w:lineRule="auto"/>
              <w:jc w:val="left"/>
            </w:pPr>
            <w:r>
              <w:rPr>
                <w:rFonts w:ascii="Arial" w:hAnsi="Arial"/>
                <w:sz w:val="15"/>
              </w:rPr>
              <w:t xml:space="preserve">125.3</w:t>
            </w:r>
          </w:p>
        </w:tc>
        <w:tc>
          <w:tcPr>
            <w:tcW w:w="1007" w:type="dxa"/>
          </w:tcPr>
          <w:p>
            <w:pPr>
              <w:pStyle w:val="Compact"/>
              <w:spacing w:before="0" w:after="0" w:line="240" w:lineRule="auto"/>
              <w:jc w:val="left"/>
            </w:pPr>
            <w:r>
              <w:rPr>
                <w:rFonts w:ascii="Arial" w:hAnsi="Arial"/>
                <w:sz w:val="15"/>
              </w:rPr>
              <w:t xml:space="preserve">140.1</w:t>
            </w:r>
          </w:p>
        </w:tc>
        <w:tc>
          <w:tcPr>
            <w:tcW w:w="863" w:type="dxa"/>
          </w:tcPr>
          <w:p>
            <w:pPr>
              <w:pStyle w:val="Compact"/>
              <w:spacing w:before="0" w:after="0" w:line="240" w:lineRule="auto"/>
              <w:jc w:val="left"/>
            </w:pPr>
            <w:r>
              <w:rPr>
                <w:rFonts w:ascii="Arial" w:hAnsi="Arial"/>
                <w:sz w:val="15"/>
              </w:rPr>
              <w:t xml:space="preserve">54.5</w:t>
            </w:r>
          </w:p>
        </w:tc>
        <w:tc>
          <w:tcPr>
            <w:tcW w:w="935" w:type="dxa"/>
          </w:tcPr>
          <w:p>
            <w:pPr>
              <w:pStyle w:val="Compact"/>
              <w:spacing w:before="0" w:after="0" w:line="240" w:lineRule="auto"/>
              <w:jc w:val="left"/>
            </w:pPr>
            <w:r>
              <w:rPr>
                <w:rFonts w:ascii="Arial" w:hAnsi="Arial"/>
                <w:sz w:val="15"/>
              </w:rPr>
              <w:t xml:space="preserve">−19.6%</w:t>
            </w:r>
          </w:p>
        </w:tc>
      </w:tr>
      <w:tr>
        <w:trPr>
          <w:cantSplit/>
        </w:trPr>
        <w:tc>
          <w:tcPr>
            <w:tcW w:w="2948" w:type="dxa"/>
          </w:tcPr>
          <w:p>
            <w:pPr>
              <w:pStyle w:val="Compact"/>
              <w:spacing w:before="0" w:after="0" w:line="240" w:lineRule="auto"/>
              <w:jc w:val="left"/>
            </w:pPr>
            <w:r>
              <w:rPr>
                <w:rFonts w:ascii="Arial" w:hAnsi="Arial"/>
                <w:sz w:val="15"/>
              </w:rPr>
              <w:t xml:space="preserve">Insurance, FX/trading and other income [d]</w:t>
            </w:r>
          </w:p>
        </w:tc>
        <w:tc>
          <w:tcPr>
            <w:tcW w:w="1140" w:type="dxa"/>
          </w:tcPr>
          <w:p>
            <w:pPr>
              <w:pStyle w:val="Compact"/>
              <w:spacing w:before="0" w:after="0" w:line="240" w:lineRule="auto"/>
              <w:jc w:val="left"/>
            </w:pPr>
            <w:r>
              <w:rPr>
                <w:rFonts w:ascii="Arial" w:hAnsi="Arial"/>
                <w:sz w:val="15"/>
              </w:rPr>
              <w:t xml:space="preserve">n/a</w:t>
            </w:r>
          </w:p>
        </w:tc>
        <w:tc>
          <w:tcPr>
            <w:tcW w:w="1140" w:type="dxa"/>
          </w:tcPr>
          <w:p>
            <w:pPr>
              <w:pStyle w:val="Compact"/>
              <w:spacing w:before="0" w:after="0" w:line="240" w:lineRule="auto"/>
              <w:jc w:val="left"/>
            </w:pPr>
            <w:r>
              <w:rPr>
                <w:rFonts w:ascii="Arial" w:hAnsi="Arial"/>
                <w:sz w:val="15"/>
              </w:rPr>
              <w:t xml:space="preserve">n/a</w:t>
            </w:r>
          </w:p>
        </w:tc>
        <w:tc>
          <w:tcPr>
            <w:tcW w:w="935" w:type="dxa"/>
          </w:tcPr>
          <w:p>
            <w:pPr>
              <w:pStyle w:val="Compact"/>
              <w:spacing w:before="0" w:after="0" w:line="240" w:lineRule="auto"/>
              <w:jc w:val="left"/>
            </w:pPr>
            <w:r>
              <w:rPr>
                <w:rFonts w:ascii="Arial" w:hAnsi="Arial"/>
                <w:sz w:val="15"/>
              </w:rPr>
              <w:t xml:space="preserve">216</w:t>
            </w:r>
          </w:p>
        </w:tc>
        <w:tc>
          <w:tcPr>
            <w:tcW w:w="1007" w:type="dxa"/>
          </w:tcPr>
          <w:p>
            <w:pPr>
              <w:pStyle w:val="Compact"/>
              <w:spacing w:before="0" w:after="0" w:line="240" w:lineRule="auto"/>
              <w:jc w:val="left"/>
            </w:pPr>
            <w:r>
              <w:rPr>
                <w:rFonts w:ascii="Arial" w:hAnsi="Arial"/>
                <w:sz w:val="15"/>
              </w:rPr>
              <w:t xml:space="preserve">263</w:t>
            </w:r>
          </w:p>
        </w:tc>
        <w:tc>
          <w:tcPr>
            <w:tcW w:w="1007" w:type="dxa"/>
          </w:tcPr>
          <w:p>
            <w:pPr>
              <w:pStyle w:val="Compact"/>
              <w:spacing w:before="0" w:after="0" w:line="240" w:lineRule="auto"/>
              <w:jc w:val="left"/>
            </w:pPr>
            <w:r>
              <w:rPr>
                <w:rFonts w:ascii="Arial" w:hAnsi="Arial"/>
                <w:sz w:val="15"/>
              </w:rPr>
              <w:t xml:space="preserve">332</w:t>
            </w:r>
          </w:p>
        </w:tc>
        <w:tc>
          <w:tcPr>
            <w:tcW w:w="863" w:type="dxa"/>
          </w:tcPr>
          <w:p>
            <w:pPr>
              <w:pStyle w:val="Compact"/>
              <w:spacing w:before="0" w:after="0" w:line="240" w:lineRule="auto"/>
              <w:jc w:val="left"/>
            </w:pPr>
            <w:r>
              <w:rPr>
                <w:rFonts w:ascii="Arial" w:hAnsi="Arial"/>
                <w:sz w:val="15"/>
              </w:rPr>
              <w:t xml:space="preserve">~93</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shd w:val="clear" w:color="auto" w:fill="F2F4F8"/>
          </w:tcPr>
          <w:p>
            <w:pPr>
              <w:pStyle w:val="Compact"/>
              <w:spacing w:before="0" w:after="0" w:line="240" w:lineRule="auto"/>
              <w:jc w:val="left"/>
            </w:pPr>
            <w:r>
              <w:rPr>
                <w:bCs/>
                <w:rFonts w:ascii="Arial" w:hAnsi="Arial"/>
                <w:b/>
                <w:sz w:val="15"/>
              </w:rPr>
              <w:t xml:space="preserve">Total operating income (</w:t>
            </w:r>
            <w:r>
              <w:rPr>
                <w:bCs/>
                <w:rFonts w:ascii="Arial" w:hAnsi="Arial"/>
                <w:b/>
                <w:sz w:val="15"/>
              </w:rPr>
              <w:t xml:space="preserve">“</w:t>
            </w:r>
            <w:r>
              <w:rPr>
                <w:bCs/>
                <w:rFonts w:ascii="Arial" w:hAnsi="Arial"/>
                <w:b/>
                <w:sz w:val="15"/>
              </w:rPr>
              <w:t xml:space="preserve">sales</w:t>
            </w:r>
            <w:r>
              <w:rPr>
                <w:bCs/>
                <w:rFonts w:ascii="Arial" w:hAnsi="Arial"/>
                <w:b/>
                <w:sz w:val="15"/>
              </w:rPr>
              <w:t xml:space="preserve">”</w:t>
            </w:r>
            <w:r>
              <w:rPr>
                <w:bCs/>
                <w:rFonts w:ascii="Arial" w:hAnsi="Arial"/>
                <w:b/>
                <w:sz w:val="15"/>
              </w:rPr>
              <w:t xml:space="preserve">) [d]</w:t>
            </w:r>
          </w:p>
        </w:tc>
        <w:tc>
          <w:tcPr>
            <w:tcW w:w="1140" w:type="dxa"/>
            <w:shd w:val="clear" w:color="auto" w:fill="F2F4F8"/>
          </w:tcPr>
          <w:p>
            <w:pPr>
              <w:pStyle w:val="Compact"/>
              <w:spacing w:before="0" w:after="0" w:line="240" w:lineRule="auto"/>
              <w:jc w:val="left"/>
            </w:pPr>
            <w:r>
              <w:rPr>
                <w:rFonts w:ascii="Arial" w:hAnsi="Arial"/>
                <w:sz w:val="15"/>
              </w:rPr>
              <w:t xml:space="preserve">~705 [e]</w:t>
            </w:r>
          </w:p>
        </w:tc>
        <w:tc>
          <w:tcPr>
            <w:tcW w:w="1140" w:type="dxa"/>
            <w:shd w:val="clear" w:color="auto" w:fill="F2F4F8"/>
          </w:tcPr>
          <w:p>
            <w:pPr>
              <w:pStyle w:val="Compact"/>
              <w:spacing w:before="0" w:after="0" w:line="240" w:lineRule="auto"/>
              <w:jc w:val="left"/>
            </w:pPr>
            <w:r>
              <w:rPr>
                <w:rFonts w:ascii="Arial" w:hAnsi="Arial"/>
                <w:sz w:val="15"/>
              </w:rPr>
              <w:t xml:space="preserve">~1,050 [e]</w:t>
            </w:r>
          </w:p>
        </w:tc>
        <w:tc>
          <w:tcPr>
            <w:tcW w:w="935" w:type="dxa"/>
            <w:shd w:val="clear" w:color="auto" w:fill="F2F4F8"/>
          </w:tcPr>
          <w:p>
            <w:pPr>
              <w:pStyle w:val="Compact"/>
              <w:spacing w:before="0" w:after="0" w:line="240" w:lineRule="auto"/>
              <w:jc w:val="left"/>
            </w:pPr>
            <w:r>
              <w:rPr>
                <w:rFonts w:ascii="Arial" w:hAnsi="Arial"/>
                <w:sz w:val="15"/>
              </w:rPr>
              <w:t xml:space="preserve">1,127</w:t>
            </w:r>
          </w:p>
        </w:tc>
        <w:tc>
          <w:tcPr>
            <w:tcW w:w="1007" w:type="dxa"/>
            <w:shd w:val="clear" w:color="auto" w:fill="F2F4F8"/>
          </w:tcPr>
          <w:p>
            <w:pPr>
              <w:pStyle w:val="Compact"/>
              <w:spacing w:before="0" w:after="0" w:line="240" w:lineRule="auto"/>
              <w:jc w:val="left"/>
            </w:pPr>
            <w:r>
              <w:rPr>
                <w:rFonts w:ascii="Arial" w:hAnsi="Arial"/>
                <w:sz w:val="15"/>
              </w:rPr>
              <w:t xml:space="preserve">1,497</w:t>
            </w:r>
          </w:p>
        </w:tc>
        <w:tc>
          <w:tcPr>
            <w:tcW w:w="1007" w:type="dxa"/>
            <w:shd w:val="clear" w:color="auto" w:fill="F2F4F8"/>
          </w:tcPr>
          <w:p>
            <w:pPr>
              <w:pStyle w:val="Compact"/>
              <w:spacing w:before="0" w:after="0" w:line="240" w:lineRule="auto"/>
              <w:jc w:val="left"/>
            </w:pPr>
            <w:r>
              <w:rPr>
                <w:rFonts w:ascii="Arial" w:hAnsi="Arial"/>
                <w:sz w:val="15"/>
              </w:rPr>
              <w:t xml:space="preserve">1,760</w:t>
            </w:r>
          </w:p>
        </w:tc>
        <w:tc>
          <w:tcPr>
            <w:tcW w:w="863" w:type="dxa"/>
            <w:shd w:val="clear" w:color="auto" w:fill="F2F4F8"/>
          </w:tcPr>
          <w:p>
            <w:pPr>
              <w:pStyle w:val="Compact"/>
              <w:spacing w:before="0" w:after="0" w:line="240" w:lineRule="auto"/>
              <w:jc w:val="left"/>
            </w:pPr>
            <w:r>
              <w:rPr>
                <w:rFonts w:ascii="Arial" w:hAnsi="Arial"/>
                <w:sz w:val="15"/>
              </w:rPr>
              <w:t xml:space="preserve">~805</w:t>
            </w:r>
          </w:p>
        </w:tc>
        <w:tc>
          <w:tcPr>
            <w:tcW w:w="935" w:type="dxa"/>
            <w:shd w:val="clear" w:color="auto" w:fill="F2F4F8"/>
          </w:tcPr>
          <w:p>
            <w:pPr>
              <w:pStyle w:val="Compact"/>
              <w:spacing w:before="0" w:after="0" w:line="240" w:lineRule="auto"/>
              <w:jc w:val="left"/>
            </w:pPr>
            <w:r>
              <w:rPr>
                <w:rFonts w:ascii="Arial" w:hAnsi="Arial"/>
                <w:sz w:val="15"/>
              </w:rPr>
              <w:t xml:space="preserve">~−6%</w:t>
            </w:r>
          </w:p>
        </w:tc>
      </w:tr>
      <w:tr>
        <w:trPr>
          <w:cantSplit/>
        </w:trPr>
        <w:tc>
          <w:tcPr>
            <w:tcW w:w="2948" w:type="dxa"/>
          </w:tcPr>
          <w:p>
            <w:pPr>
              <w:pStyle w:val="Compact"/>
              <w:spacing w:before="0" w:after="0" w:line="240" w:lineRule="auto"/>
              <w:jc w:val="left"/>
            </w:pPr>
            <w:r>
              <w:rPr>
                <w:rFonts w:ascii="Arial" w:hAnsi="Arial"/>
                <w:sz w:val="15"/>
              </w:rPr>
              <w:t xml:space="preserve">Operating expenses</w:t>
            </w:r>
          </w:p>
        </w:tc>
        <w:tc>
          <w:tcPr>
            <w:tcW w:w="1140" w:type="dxa"/>
          </w:tcPr>
          <w:p>
            <w:pPr>
              <w:pStyle w:val="Compact"/>
              <w:spacing w:before="0" w:after="0" w:line="240" w:lineRule="auto"/>
              <w:jc w:val="left"/>
            </w:pPr>
            <w:r>
              <w:rPr>
                <w:rFonts w:ascii="Arial" w:hAnsi="Arial"/>
                <w:sz w:val="15"/>
              </w:rPr>
              <w:t xml:space="preserve">~170 [e]</w:t>
            </w:r>
          </w:p>
        </w:tc>
        <w:tc>
          <w:tcPr>
            <w:tcW w:w="1140" w:type="dxa"/>
          </w:tcPr>
          <w:p>
            <w:pPr>
              <w:pStyle w:val="Compact"/>
              <w:spacing w:before="0" w:after="0" w:line="240" w:lineRule="auto"/>
              <w:jc w:val="left"/>
            </w:pPr>
            <w:r>
              <w:rPr>
                <w:rFonts w:ascii="Arial" w:hAnsi="Arial"/>
                <w:sz w:val="15"/>
              </w:rPr>
              <w:t xml:space="preserve">~200 [e]</w:t>
            </w:r>
          </w:p>
        </w:tc>
        <w:tc>
          <w:tcPr>
            <w:tcW w:w="935" w:type="dxa"/>
          </w:tcPr>
          <w:p>
            <w:pPr>
              <w:pStyle w:val="Compact"/>
              <w:spacing w:before="0" w:after="0" w:line="240" w:lineRule="auto"/>
              <w:jc w:val="left"/>
            </w:pPr>
            <w:r>
              <w:rPr>
                <w:rFonts w:ascii="Arial" w:hAnsi="Arial"/>
                <w:sz w:val="15"/>
              </w:rPr>
              <w:t xml:space="preserve">216.4</w:t>
            </w:r>
          </w:p>
        </w:tc>
        <w:tc>
          <w:tcPr>
            <w:tcW w:w="1007" w:type="dxa"/>
          </w:tcPr>
          <w:p>
            <w:pPr>
              <w:pStyle w:val="Compact"/>
              <w:spacing w:before="0" w:after="0" w:line="240" w:lineRule="auto"/>
              <w:jc w:val="left"/>
            </w:pPr>
            <w:r>
              <w:rPr>
                <w:rFonts w:ascii="Arial" w:hAnsi="Arial"/>
                <w:sz w:val="15"/>
              </w:rPr>
              <w:t xml:space="preserve">263.4</w:t>
            </w:r>
          </w:p>
        </w:tc>
        <w:tc>
          <w:tcPr>
            <w:tcW w:w="1007" w:type="dxa"/>
          </w:tcPr>
          <w:p>
            <w:pPr>
              <w:pStyle w:val="Compact"/>
              <w:spacing w:before="0" w:after="0" w:line="240" w:lineRule="auto"/>
              <w:jc w:val="left"/>
            </w:pPr>
            <w:r>
              <w:rPr>
                <w:rFonts w:ascii="Arial" w:hAnsi="Arial"/>
                <w:sz w:val="15"/>
              </w:rPr>
              <w:t xml:space="preserve">308.0</w:t>
            </w:r>
          </w:p>
        </w:tc>
        <w:tc>
          <w:tcPr>
            <w:tcW w:w="863" w:type="dxa"/>
          </w:tcPr>
          <w:p>
            <w:pPr>
              <w:pStyle w:val="Compact"/>
              <w:spacing w:before="0" w:after="0" w:line="240" w:lineRule="auto"/>
              <w:jc w:val="left"/>
            </w:pPr>
            <w:r>
              <w:rPr>
                <w:rFonts w:ascii="Arial" w:hAnsi="Arial"/>
                <w:sz w:val="15"/>
              </w:rPr>
              <w:t xml:space="preserve">154.6</w:t>
            </w:r>
          </w:p>
        </w:tc>
        <w:tc>
          <w:tcPr>
            <w:tcW w:w="935" w:type="dxa"/>
          </w:tcPr>
          <w:p>
            <w:pPr>
              <w:pStyle w:val="Compact"/>
              <w:spacing w:before="0" w:after="0" w:line="240" w:lineRule="auto"/>
              <w:jc w:val="left"/>
            </w:pPr>
            <w:r>
              <w:rPr>
                <w:rFonts w:ascii="Arial" w:hAnsi="Arial"/>
                <w:sz w:val="15"/>
              </w:rPr>
              <w:t xml:space="preserve">+5.5%</w:t>
            </w:r>
          </w:p>
        </w:tc>
      </w:tr>
      <w:tr>
        <w:trPr>
          <w:cantSplit/>
        </w:trPr>
        <w:tc>
          <w:tcPr>
            <w:tcW w:w="2948" w:type="dxa"/>
          </w:tcPr>
          <w:p>
            <w:pPr>
              <w:pStyle w:val="Compact"/>
              <w:spacing w:before="0" w:after="0" w:line="240" w:lineRule="auto"/>
              <w:jc w:val="left"/>
            </w:pPr>
            <w:r>
              <w:rPr>
                <w:bCs/>
                <w:rFonts w:ascii="Arial" w:hAnsi="Arial"/>
                <w:b/>
                <w:sz w:val="15"/>
              </w:rPr>
              <w:t xml:space="preserve">PPOP (</w:t>
            </w:r>
            <w:r>
              <w:rPr>
                <w:bCs/>
                <w:rFonts w:ascii="Arial" w:hAnsi="Arial"/>
                <w:b/>
                <w:sz w:val="15"/>
              </w:rPr>
              <w:t xml:space="preserve">“</w:t>
            </w:r>
            <w:r>
              <w:rPr>
                <w:bCs/>
                <w:rFonts w:ascii="Arial" w:hAnsi="Arial"/>
                <w:b/>
                <w:sz w:val="15"/>
              </w:rPr>
              <w:t xml:space="preserve">EBITDA</w:t>
            </w:r>
            <w:r>
              <w:rPr>
                <w:bCs/>
                <w:rFonts w:ascii="Arial" w:hAnsi="Arial"/>
                <w:b/>
                <w:sz w:val="15"/>
              </w:rPr>
              <w:t xml:space="preserve">”</w:t>
            </w:r>
            <w:r>
              <w:rPr>
                <w:bCs/>
                <w:rFonts w:ascii="Arial" w:hAnsi="Arial"/>
                <w:b/>
                <w:sz w:val="15"/>
              </w:rPr>
              <w:t xml:space="preserve">) [d]</w:t>
            </w:r>
          </w:p>
        </w:tc>
        <w:tc>
          <w:tcPr>
            <w:tcW w:w="1140" w:type="dxa"/>
          </w:tcPr>
          <w:p>
            <w:pPr>
              <w:pStyle w:val="Compact"/>
              <w:spacing w:before="0" w:after="0" w:line="240" w:lineRule="auto"/>
              <w:jc w:val="left"/>
            </w:pPr>
            <w:r>
              <w:rPr>
                <w:rFonts w:ascii="Arial" w:hAnsi="Arial"/>
                <w:sz w:val="15"/>
              </w:rPr>
              <w:t xml:space="preserve">~535 [e]</w:t>
            </w:r>
          </w:p>
        </w:tc>
        <w:tc>
          <w:tcPr>
            <w:tcW w:w="1140" w:type="dxa"/>
          </w:tcPr>
          <w:p>
            <w:pPr>
              <w:pStyle w:val="Compact"/>
              <w:spacing w:before="0" w:after="0" w:line="240" w:lineRule="auto"/>
              <w:jc w:val="left"/>
            </w:pPr>
            <w:r>
              <w:rPr>
                <w:rFonts w:ascii="Arial" w:hAnsi="Arial"/>
                <w:sz w:val="15"/>
              </w:rPr>
              <w:t xml:space="preserve">~850 [e]</w:t>
            </w:r>
          </w:p>
        </w:tc>
        <w:tc>
          <w:tcPr>
            <w:tcW w:w="935" w:type="dxa"/>
          </w:tcPr>
          <w:p>
            <w:pPr>
              <w:pStyle w:val="Compact"/>
              <w:spacing w:before="0" w:after="0" w:line="240" w:lineRule="auto"/>
              <w:jc w:val="left"/>
            </w:pPr>
            <w:r>
              <w:rPr>
                <w:rFonts w:ascii="Arial" w:hAnsi="Arial"/>
                <w:sz w:val="15"/>
              </w:rPr>
              <w:t xml:space="preserve">911</w:t>
            </w:r>
          </w:p>
        </w:tc>
        <w:tc>
          <w:tcPr>
            <w:tcW w:w="1007" w:type="dxa"/>
          </w:tcPr>
          <w:p>
            <w:pPr>
              <w:pStyle w:val="Compact"/>
              <w:spacing w:before="0" w:after="0" w:line="240" w:lineRule="auto"/>
              <w:jc w:val="left"/>
            </w:pPr>
            <w:r>
              <w:rPr>
                <w:rFonts w:ascii="Arial" w:hAnsi="Arial"/>
                <w:sz w:val="15"/>
              </w:rPr>
              <w:t xml:space="preserve">1,233</w:t>
            </w:r>
          </w:p>
        </w:tc>
        <w:tc>
          <w:tcPr>
            <w:tcW w:w="1007" w:type="dxa"/>
          </w:tcPr>
          <w:p>
            <w:pPr>
              <w:pStyle w:val="Compact"/>
              <w:spacing w:before="0" w:after="0" w:line="240" w:lineRule="auto"/>
              <w:jc w:val="left"/>
            </w:pPr>
            <w:r>
              <w:rPr>
                <w:rFonts w:ascii="Arial" w:hAnsi="Arial"/>
                <w:sz w:val="15"/>
              </w:rPr>
              <w:t xml:space="preserve">1,452</w:t>
            </w:r>
          </w:p>
        </w:tc>
        <w:tc>
          <w:tcPr>
            <w:tcW w:w="863" w:type="dxa"/>
          </w:tcPr>
          <w:p>
            <w:pPr>
              <w:pStyle w:val="Compact"/>
              <w:spacing w:before="0" w:after="0" w:line="240" w:lineRule="auto"/>
              <w:jc w:val="left"/>
            </w:pPr>
            <w:r>
              <w:rPr>
                <w:rFonts w:ascii="Arial" w:hAnsi="Arial"/>
                <w:sz w:val="15"/>
              </w:rPr>
              <w:t xml:space="preserve">~651</w:t>
            </w:r>
          </w:p>
        </w:tc>
        <w:tc>
          <w:tcPr>
            <w:tcW w:w="935" w:type="dxa"/>
          </w:tcPr>
          <w:p>
            <w:pPr>
              <w:pStyle w:val="Compact"/>
              <w:spacing w:before="0" w:after="0" w:line="240" w:lineRule="auto"/>
              <w:jc w:val="left"/>
            </w:pPr>
            <w:r>
              <w:rPr>
                <w:rFonts w:ascii="Arial" w:hAnsi="Arial"/>
                <w:sz w:val="15"/>
              </w:rPr>
              <w:t xml:space="preserve">~−7%</w:t>
            </w:r>
          </w:p>
        </w:tc>
      </w:tr>
      <w:tr>
        <w:trPr>
          <w:cantSplit/>
        </w:trPr>
        <w:tc>
          <w:tcPr>
            <w:tcW w:w="2948" w:type="dxa"/>
          </w:tcPr>
          <w:p>
            <w:pPr>
              <w:pStyle w:val="Compact"/>
              <w:spacing w:before="0" w:after="0" w:line="240" w:lineRule="auto"/>
              <w:jc w:val="left"/>
            </w:pPr>
            <w:r>
              <w:rPr>
                <w:rFonts w:ascii="Arial" w:hAnsi="Arial"/>
                <w:sz w:val="15"/>
              </w:rPr>
              <w:t xml:space="preserve">Credit loss expense and other [d]</w:t>
            </w:r>
          </w:p>
        </w:tc>
        <w:tc>
          <w:tcPr>
            <w:tcW w:w="1140" w:type="dxa"/>
          </w:tcPr>
          <w:p>
            <w:pPr>
              <w:pStyle w:val="Compact"/>
              <w:spacing w:before="0" w:after="0" w:line="240" w:lineRule="auto"/>
              <w:jc w:val="left"/>
            </w:pPr>
            <w:r>
              <w:rPr>
                <w:rFonts w:ascii="Arial" w:hAnsi="Arial"/>
                <w:sz w:val="15"/>
              </w:rPr>
              <w:t xml:space="preserve">~10 [e]</w:t>
            </w:r>
          </w:p>
        </w:tc>
        <w:tc>
          <w:tcPr>
            <w:tcW w:w="1140" w:type="dxa"/>
          </w:tcPr>
          <w:p>
            <w:pPr>
              <w:pStyle w:val="Compact"/>
              <w:spacing w:before="0" w:after="0" w:line="240" w:lineRule="auto"/>
              <w:jc w:val="left"/>
            </w:pPr>
            <w:r>
              <w:rPr>
                <w:rFonts w:ascii="Arial" w:hAnsi="Arial"/>
                <w:sz w:val="15"/>
              </w:rPr>
              <w:t xml:space="preserve">~190 [e]</w:t>
            </w:r>
          </w:p>
        </w:tc>
        <w:tc>
          <w:tcPr>
            <w:tcW w:w="935" w:type="dxa"/>
          </w:tcPr>
          <w:p>
            <w:pPr>
              <w:pStyle w:val="Compact"/>
              <w:spacing w:before="0" w:after="0" w:line="240" w:lineRule="auto"/>
              <w:jc w:val="left"/>
            </w:pPr>
            <w:r>
              <w:rPr>
                <w:rFonts w:ascii="Arial" w:hAnsi="Arial"/>
                <w:sz w:val="15"/>
              </w:rPr>
              <w:t xml:space="preserve">~96</w:t>
            </w:r>
          </w:p>
        </w:tc>
        <w:tc>
          <w:tcPr>
            <w:tcW w:w="1007" w:type="dxa"/>
          </w:tcPr>
          <w:p>
            <w:pPr>
              <w:pStyle w:val="Compact"/>
              <w:spacing w:before="0" w:after="0" w:line="240" w:lineRule="auto"/>
              <w:jc w:val="left"/>
            </w:pPr>
            <w:r>
              <w:rPr>
                <w:rFonts w:ascii="Arial" w:hAnsi="Arial"/>
                <w:sz w:val="15"/>
              </w:rPr>
              <w:t xml:space="preserve">~131</w:t>
            </w:r>
          </w:p>
        </w:tc>
        <w:tc>
          <w:tcPr>
            <w:tcW w:w="1007" w:type="dxa"/>
          </w:tcPr>
          <w:p>
            <w:pPr>
              <w:pStyle w:val="Compact"/>
              <w:spacing w:before="0" w:after="0" w:line="240" w:lineRule="auto"/>
              <w:jc w:val="left"/>
            </w:pPr>
            <w:r>
              <w:rPr>
                <w:rFonts w:ascii="Arial" w:hAnsi="Arial"/>
                <w:sz w:val="15"/>
              </w:rPr>
              <w:t xml:space="preserve">~154</w:t>
            </w:r>
          </w:p>
        </w:tc>
        <w:tc>
          <w:tcPr>
            <w:tcW w:w="863" w:type="dxa"/>
          </w:tcPr>
          <w:p>
            <w:pPr>
              <w:pStyle w:val="Compact"/>
              <w:spacing w:before="0" w:after="0" w:line="240" w:lineRule="auto"/>
              <w:jc w:val="left"/>
            </w:pPr>
            <w:r>
              <w:rPr>
                <w:rFonts w:ascii="Arial" w:hAnsi="Arial"/>
                <w:sz w:val="15"/>
              </w:rPr>
              <w:t xml:space="preserve">104.0</w:t>
            </w:r>
          </w:p>
        </w:tc>
        <w:tc>
          <w:tcPr>
            <w:tcW w:w="935" w:type="dxa"/>
          </w:tcPr>
          <w:p>
            <w:pPr>
              <w:pStyle w:val="Compact"/>
              <w:spacing w:before="0" w:after="0" w:line="240" w:lineRule="auto"/>
              <w:jc w:val="left"/>
            </w:pPr>
            <w:r>
              <w:rPr>
                <w:rFonts w:ascii="Arial" w:hAnsi="Arial"/>
                <w:sz w:val="15"/>
              </w:rPr>
              <w:t xml:space="preserve">+69%</w:t>
            </w:r>
          </w:p>
        </w:tc>
      </w:tr>
      <w:tr>
        <w:trPr>
          <w:cantSplit/>
        </w:trPr>
        <w:tc>
          <w:tcPr>
            <w:tcW w:w="2948" w:type="dxa"/>
          </w:tcPr>
          <w:p>
            <w:pPr>
              <w:pStyle w:val="Compact"/>
              <w:spacing w:before="0" w:after="0" w:line="240" w:lineRule="auto"/>
              <w:jc w:val="left"/>
            </w:pPr>
            <w:r>
              <w:rPr>
                <w:bCs/>
                <w:rFonts w:ascii="Arial" w:hAnsi="Arial"/>
                <w:b/>
                <w:sz w:val="15"/>
              </w:rPr>
              <w:t xml:space="preserve">Profit before tax (</w:t>
            </w:r>
            <w:r>
              <w:rPr>
                <w:bCs/>
                <w:rFonts w:ascii="Arial" w:hAnsi="Arial"/>
                <w:b/>
                <w:sz w:val="15"/>
              </w:rPr>
              <w:t xml:space="preserve">“</w:t>
            </w:r>
            <w:r>
              <w:rPr>
                <w:bCs/>
                <w:rFonts w:ascii="Arial" w:hAnsi="Arial"/>
                <w:b/>
                <w:sz w:val="15"/>
              </w:rPr>
              <w:t xml:space="preserve">EBIT</w:t>
            </w:r>
            <w:r>
              <w:rPr>
                <w:bCs/>
                <w:rFonts w:ascii="Arial" w:hAnsi="Arial"/>
                <w:b/>
                <w:sz w:val="15"/>
              </w:rPr>
              <w:t xml:space="preserve">”</w:t>
            </w:r>
            <w:r>
              <w:rPr>
                <w:bCs/>
                <w:rFonts w:ascii="Arial" w:hAnsi="Arial"/>
                <w:b/>
                <w:sz w:val="15"/>
              </w:rPr>
              <w:t xml:space="preserve">)</w:t>
            </w:r>
          </w:p>
        </w:tc>
        <w:tc>
          <w:tcPr>
            <w:tcW w:w="1140" w:type="dxa"/>
          </w:tcPr>
          <w:p>
            <w:pPr>
              <w:pStyle w:val="Compact"/>
              <w:spacing w:before="0" w:after="0" w:line="240" w:lineRule="auto"/>
              <w:jc w:val="left"/>
            </w:pPr>
            <w:r>
              <w:rPr>
                <w:rFonts w:ascii="Arial" w:hAnsi="Arial"/>
                <w:sz w:val="15"/>
              </w:rPr>
              <w:t xml:space="preserve">524.6</w:t>
            </w:r>
          </w:p>
        </w:tc>
        <w:tc>
          <w:tcPr>
            <w:tcW w:w="1140" w:type="dxa"/>
          </w:tcPr>
          <w:p>
            <w:pPr>
              <w:pStyle w:val="Compact"/>
              <w:spacing w:before="0" w:after="0" w:line="240" w:lineRule="auto"/>
              <w:jc w:val="left"/>
            </w:pPr>
            <w:r>
              <w:rPr>
                <w:rFonts w:ascii="Arial" w:hAnsi="Arial"/>
                <w:sz w:val="15"/>
              </w:rPr>
              <w:t xml:space="preserve">658.8</w:t>
            </w:r>
          </w:p>
        </w:tc>
        <w:tc>
          <w:tcPr>
            <w:tcW w:w="935" w:type="dxa"/>
          </w:tcPr>
          <w:p>
            <w:pPr>
              <w:pStyle w:val="Compact"/>
              <w:spacing w:before="0" w:after="0" w:line="240" w:lineRule="auto"/>
              <w:jc w:val="left"/>
            </w:pPr>
            <w:r>
              <w:rPr>
                <w:rFonts w:ascii="Arial" w:hAnsi="Arial"/>
                <w:sz w:val="15"/>
              </w:rPr>
              <w:t xml:space="preserve">814.8</w:t>
            </w:r>
          </w:p>
        </w:tc>
        <w:tc>
          <w:tcPr>
            <w:tcW w:w="1007" w:type="dxa"/>
          </w:tcPr>
          <w:p>
            <w:pPr>
              <w:pStyle w:val="Compact"/>
              <w:spacing w:before="0" w:after="0" w:line="240" w:lineRule="auto"/>
              <w:jc w:val="left"/>
            </w:pPr>
            <w:r>
              <w:rPr>
                <w:rFonts w:ascii="Arial" w:hAnsi="Arial"/>
                <w:sz w:val="15"/>
              </w:rPr>
              <w:t xml:space="preserve">1,101.9</w:t>
            </w:r>
          </w:p>
        </w:tc>
        <w:tc>
          <w:tcPr>
            <w:tcW w:w="1007" w:type="dxa"/>
          </w:tcPr>
          <w:p>
            <w:pPr>
              <w:pStyle w:val="Compact"/>
              <w:spacing w:before="0" w:after="0" w:line="240" w:lineRule="auto"/>
              <w:jc w:val="left"/>
            </w:pPr>
            <w:r>
              <w:rPr>
                <w:rFonts w:ascii="Arial" w:hAnsi="Arial"/>
                <w:sz w:val="15"/>
              </w:rPr>
              <w:t xml:space="preserve">1,298.2 [d]</w:t>
            </w:r>
          </w:p>
        </w:tc>
        <w:tc>
          <w:tcPr>
            <w:tcW w:w="863" w:type="dxa"/>
          </w:tcPr>
          <w:p>
            <w:pPr>
              <w:pStyle w:val="Compact"/>
              <w:spacing w:before="0" w:after="0" w:line="240" w:lineRule="auto"/>
              <w:jc w:val="left"/>
            </w:pPr>
            <w:r>
              <w:rPr>
                <w:rFonts w:ascii="Arial" w:hAnsi="Arial"/>
                <w:sz w:val="15"/>
              </w:rPr>
              <w:t xml:space="preserve">~546 [d]</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tcPr>
          <w:p>
            <w:pPr>
              <w:pStyle w:val="Compact"/>
              <w:spacing w:before="0" w:after="0" w:line="240" w:lineRule="auto"/>
              <w:jc w:val="left"/>
            </w:pPr>
            <w:r>
              <w:rPr>
                <w:rFonts w:ascii="Arial" w:hAnsi="Arial"/>
                <w:sz w:val="15"/>
              </w:rPr>
              <w:t xml:space="preserve">Income tax</w:t>
            </w:r>
          </w:p>
        </w:tc>
        <w:tc>
          <w:tcPr>
            <w:tcW w:w="1140" w:type="dxa"/>
          </w:tcPr>
          <w:p>
            <w:pPr>
              <w:pStyle w:val="Compact"/>
              <w:spacing w:before="0" w:after="0" w:line="240" w:lineRule="auto"/>
              <w:jc w:val="left"/>
            </w:pPr>
            <w:r>
              <w:rPr>
                <w:rFonts w:ascii="Arial" w:hAnsi="Arial"/>
                <w:sz w:val="15"/>
              </w:rPr>
              <w:t xml:space="preserve">62.2</w:t>
            </w:r>
          </w:p>
        </w:tc>
        <w:tc>
          <w:tcPr>
            <w:tcW w:w="1140" w:type="dxa"/>
          </w:tcPr>
          <w:p>
            <w:pPr>
              <w:pStyle w:val="Compact"/>
              <w:spacing w:before="0" w:after="0" w:line="240" w:lineRule="auto"/>
              <w:jc w:val="left"/>
            </w:pPr>
            <w:r>
              <w:rPr>
                <w:rFonts w:ascii="Arial" w:hAnsi="Arial"/>
                <w:sz w:val="15"/>
              </w:rPr>
              <w:t xml:space="preserve">105.1</w:t>
            </w:r>
          </w:p>
        </w:tc>
        <w:tc>
          <w:tcPr>
            <w:tcW w:w="935" w:type="dxa"/>
          </w:tcPr>
          <w:p>
            <w:pPr>
              <w:pStyle w:val="Compact"/>
              <w:spacing w:before="0" w:after="0" w:line="240" w:lineRule="auto"/>
              <w:jc w:val="left"/>
            </w:pPr>
            <w:r>
              <w:rPr>
                <w:rFonts w:ascii="Arial" w:hAnsi="Arial"/>
                <w:sz w:val="15"/>
              </w:rPr>
              <w:t xml:space="preserve">121.3</w:t>
            </w:r>
          </w:p>
        </w:tc>
        <w:tc>
          <w:tcPr>
            <w:tcW w:w="1007" w:type="dxa"/>
          </w:tcPr>
          <w:p>
            <w:pPr>
              <w:pStyle w:val="Compact"/>
              <w:spacing w:before="0" w:after="0" w:line="240" w:lineRule="auto"/>
              <w:jc w:val="left"/>
            </w:pPr>
            <w:r>
              <w:rPr>
                <w:rFonts w:ascii="Arial" w:hAnsi="Arial"/>
                <w:sz w:val="15"/>
              </w:rPr>
              <w:t xml:space="preserve">180.9</w:t>
            </w:r>
          </w:p>
        </w:tc>
        <w:tc>
          <w:tcPr>
            <w:tcW w:w="1007" w:type="dxa"/>
          </w:tcPr>
          <w:p>
            <w:pPr>
              <w:pStyle w:val="Compact"/>
              <w:spacing w:before="0" w:after="0" w:line="240" w:lineRule="auto"/>
              <w:jc w:val="left"/>
            </w:pPr>
            <w:r>
              <w:rPr>
                <w:rFonts w:ascii="Arial" w:hAnsi="Arial"/>
                <w:sz w:val="15"/>
              </w:rPr>
              <w:t xml:space="preserve">239.8 [d]</w:t>
            </w:r>
          </w:p>
        </w:tc>
        <w:tc>
          <w:tcPr>
            <w:tcW w:w="863" w:type="dxa"/>
          </w:tcPr>
          <w:p>
            <w:pPr>
              <w:pStyle w:val="Compact"/>
              <w:spacing w:before="0" w:after="0" w:line="240" w:lineRule="auto"/>
              <w:jc w:val="left"/>
            </w:pPr>
            <w:r>
              <w:rPr>
                <w:rFonts w:ascii="Arial" w:hAnsi="Arial"/>
                <w:sz w:val="15"/>
              </w:rPr>
              <w:t xml:space="preserve">~99 [d]</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tcPr>
          <w:p>
            <w:pPr>
              <w:pStyle w:val="Compact"/>
              <w:spacing w:before="0" w:after="0" w:line="240" w:lineRule="auto"/>
              <w:jc w:val="left"/>
            </w:pPr>
            <w:r>
              <w:rPr>
                <w:rFonts w:ascii="Arial" w:hAnsi="Arial"/>
                <w:sz w:val="15"/>
              </w:rPr>
              <w:t xml:space="preserve">Effective tax rate</w:t>
            </w:r>
          </w:p>
        </w:tc>
        <w:tc>
          <w:tcPr>
            <w:tcW w:w="1140" w:type="dxa"/>
          </w:tcPr>
          <w:p>
            <w:pPr>
              <w:pStyle w:val="Compact"/>
              <w:spacing w:before="0" w:after="0" w:line="240" w:lineRule="auto"/>
              <w:jc w:val="left"/>
            </w:pPr>
            <w:r>
              <w:rPr>
                <w:rFonts w:ascii="Arial" w:hAnsi="Arial"/>
                <w:sz w:val="15"/>
              </w:rPr>
              <w:t xml:space="preserve">11.9%</w:t>
            </w:r>
          </w:p>
        </w:tc>
        <w:tc>
          <w:tcPr>
            <w:tcW w:w="1140" w:type="dxa"/>
          </w:tcPr>
          <w:p>
            <w:pPr>
              <w:pStyle w:val="Compact"/>
              <w:spacing w:before="0" w:after="0" w:line="240" w:lineRule="auto"/>
              <w:jc w:val="left"/>
            </w:pPr>
            <w:r>
              <w:rPr>
                <w:rFonts w:ascii="Arial" w:hAnsi="Arial"/>
                <w:sz w:val="15"/>
              </w:rPr>
              <w:t xml:space="preserve">15.9%</w:t>
            </w:r>
          </w:p>
        </w:tc>
        <w:tc>
          <w:tcPr>
            <w:tcW w:w="935" w:type="dxa"/>
          </w:tcPr>
          <w:p>
            <w:pPr>
              <w:pStyle w:val="Compact"/>
              <w:spacing w:before="0" w:after="0" w:line="240" w:lineRule="auto"/>
              <w:jc w:val="left"/>
            </w:pPr>
            <w:r>
              <w:rPr>
                <w:rFonts w:ascii="Arial" w:hAnsi="Arial"/>
                <w:sz w:val="15"/>
              </w:rPr>
              <w:t xml:space="preserve">14.9%</w:t>
            </w:r>
          </w:p>
        </w:tc>
        <w:tc>
          <w:tcPr>
            <w:tcW w:w="1007" w:type="dxa"/>
          </w:tcPr>
          <w:p>
            <w:pPr>
              <w:pStyle w:val="Compact"/>
              <w:spacing w:before="0" w:after="0" w:line="240" w:lineRule="auto"/>
              <w:jc w:val="left"/>
            </w:pPr>
            <w:r>
              <w:rPr>
                <w:rFonts w:ascii="Arial" w:hAnsi="Arial"/>
                <w:sz w:val="15"/>
              </w:rPr>
              <w:t xml:space="preserve">16.4%</w:t>
            </w:r>
          </w:p>
        </w:tc>
        <w:tc>
          <w:tcPr>
            <w:tcW w:w="1007" w:type="dxa"/>
          </w:tcPr>
          <w:p>
            <w:pPr>
              <w:pStyle w:val="Compact"/>
              <w:spacing w:before="0" w:after="0" w:line="240" w:lineRule="auto"/>
              <w:jc w:val="left"/>
            </w:pPr>
            <w:r>
              <w:rPr>
                <w:rFonts w:ascii="Arial" w:hAnsi="Arial"/>
                <w:sz w:val="15"/>
              </w:rPr>
              <w:t xml:space="preserve">18.5%</w:t>
            </w:r>
          </w:p>
        </w:tc>
        <w:tc>
          <w:tcPr>
            <w:tcW w:w="863" w:type="dxa"/>
          </w:tcPr>
          <w:p>
            <w:pPr>
              <w:pStyle w:val="Compact"/>
              <w:spacing w:before="0" w:after="0" w:line="240" w:lineRule="auto"/>
              <w:jc w:val="left"/>
            </w:pPr>
            <w:r>
              <w:rPr>
                <w:rFonts w:ascii="Arial" w:hAnsi="Arial"/>
                <w:sz w:val="15"/>
              </w:rPr>
              <w:t xml:space="preserve">~18% [d]</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shd w:val="clear" w:color="auto" w:fill="F2F4F8"/>
          </w:tcPr>
          <w:p>
            <w:pPr>
              <w:pStyle w:val="Compact"/>
              <w:spacing w:before="0" w:after="0" w:line="240" w:lineRule="auto"/>
              <w:jc w:val="left"/>
            </w:pPr>
            <w:r>
              <w:rPr>
                <w:bCs/>
                <w:rFonts w:ascii="Arial" w:hAnsi="Arial"/>
                <w:b/>
                <w:sz w:val="15"/>
              </w:rPr>
              <w:t xml:space="preserve">Net income (to shareholders)</w:t>
            </w:r>
          </w:p>
        </w:tc>
        <w:tc>
          <w:tcPr>
            <w:tcW w:w="1140" w:type="dxa"/>
            <w:shd w:val="clear" w:color="auto" w:fill="F2F4F8"/>
          </w:tcPr>
          <w:p>
            <w:pPr>
              <w:pStyle w:val="Compact"/>
              <w:spacing w:before="0" w:after="0" w:line="240" w:lineRule="auto"/>
              <w:jc w:val="left"/>
            </w:pPr>
            <w:r>
              <w:rPr>
                <w:bCs/>
                <w:rFonts w:ascii="Arial" w:hAnsi="Arial"/>
                <w:b/>
                <w:sz w:val="15"/>
              </w:rPr>
              <w:t xml:space="preserve">462.4</w:t>
            </w:r>
          </w:p>
        </w:tc>
        <w:tc>
          <w:tcPr>
            <w:tcW w:w="1140" w:type="dxa"/>
            <w:shd w:val="clear" w:color="auto" w:fill="F2F4F8"/>
          </w:tcPr>
          <w:p>
            <w:pPr>
              <w:pStyle w:val="Compact"/>
              <w:spacing w:before="0" w:after="0" w:line="240" w:lineRule="auto"/>
              <w:jc w:val="left"/>
            </w:pPr>
            <w:r>
              <w:rPr>
                <w:bCs/>
                <w:rFonts w:ascii="Arial" w:hAnsi="Arial"/>
                <w:b/>
                <w:sz w:val="15"/>
              </w:rPr>
              <w:t xml:space="preserve">553.8</w:t>
            </w:r>
          </w:p>
        </w:tc>
        <w:tc>
          <w:tcPr>
            <w:tcW w:w="935" w:type="dxa"/>
            <w:shd w:val="clear" w:color="auto" w:fill="F2F4F8"/>
          </w:tcPr>
          <w:p>
            <w:pPr>
              <w:pStyle w:val="Compact"/>
              <w:spacing w:before="0" w:after="0" w:line="240" w:lineRule="auto"/>
              <w:jc w:val="left"/>
            </w:pPr>
            <w:r>
              <w:rPr>
                <w:bCs/>
                <w:rFonts w:ascii="Arial" w:hAnsi="Arial"/>
                <w:b/>
                <w:sz w:val="15"/>
              </w:rPr>
              <w:t xml:space="preserve">693.4</w:t>
            </w:r>
          </w:p>
        </w:tc>
        <w:tc>
          <w:tcPr>
            <w:tcW w:w="1007" w:type="dxa"/>
            <w:shd w:val="clear" w:color="auto" w:fill="F2F4F8"/>
          </w:tcPr>
          <w:p>
            <w:pPr>
              <w:pStyle w:val="Compact"/>
              <w:spacing w:before="0" w:after="0" w:line="240" w:lineRule="auto"/>
              <w:jc w:val="left"/>
            </w:pPr>
            <w:r>
              <w:rPr>
                <w:bCs/>
                <w:rFonts w:ascii="Arial" w:hAnsi="Arial"/>
                <w:b/>
                <w:sz w:val="15"/>
              </w:rPr>
              <w:t xml:space="preserve">921.0</w:t>
            </w:r>
          </w:p>
        </w:tc>
        <w:tc>
          <w:tcPr>
            <w:tcW w:w="1007" w:type="dxa"/>
            <w:shd w:val="clear" w:color="auto" w:fill="F2F4F8"/>
          </w:tcPr>
          <w:p>
            <w:pPr>
              <w:pStyle w:val="Compact"/>
              <w:spacing w:before="0" w:after="0" w:line="240" w:lineRule="auto"/>
              <w:jc w:val="left"/>
            </w:pPr>
            <w:r>
              <w:rPr>
                <w:bCs/>
                <w:rFonts w:ascii="Arial" w:hAnsi="Arial"/>
                <w:b/>
                <w:sz w:val="15"/>
              </w:rPr>
              <w:t xml:space="preserve">1,058.4</w:t>
            </w:r>
          </w:p>
        </w:tc>
        <w:tc>
          <w:tcPr>
            <w:tcW w:w="863" w:type="dxa"/>
            <w:shd w:val="clear" w:color="auto" w:fill="F2F4F8"/>
          </w:tcPr>
          <w:p>
            <w:pPr>
              <w:pStyle w:val="Compact"/>
              <w:spacing w:before="0" w:after="0" w:line="240" w:lineRule="auto"/>
              <w:jc w:val="left"/>
            </w:pPr>
            <w:r>
              <w:rPr>
                <w:bCs/>
                <w:rFonts w:ascii="Arial" w:hAnsi="Arial"/>
                <w:b/>
                <w:sz w:val="15"/>
              </w:rPr>
              <w:t xml:space="preserve">447.6</w:t>
            </w:r>
          </w:p>
        </w:tc>
        <w:tc>
          <w:tcPr>
            <w:tcW w:w="935" w:type="dxa"/>
            <w:shd w:val="clear" w:color="auto" w:fill="F2F4F8"/>
          </w:tcPr>
          <w:p>
            <w:pPr>
              <w:pStyle w:val="Compact"/>
              <w:spacing w:before="0" w:after="0" w:line="240" w:lineRule="auto"/>
              <w:jc w:val="left"/>
            </w:pPr>
            <w:r>
              <w:rPr>
                <w:bCs/>
                <w:rFonts w:ascii="Arial" w:hAnsi="Arial"/>
                <w:b/>
                <w:sz w:val="15"/>
              </w:rPr>
              <w:t xml:space="preserve">−15.3%</w:t>
            </w:r>
          </w:p>
        </w:tc>
      </w:tr>
      <w:tr>
        <w:trPr>
          <w:cantSplit/>
        </w:trPr>
        <w:tc>
          <w:tcPr>
            <w:tcW w:w="2948" w:type="dxa"/>
          </w:tcPr>
          <w:p>
            <w:pPr>
              <w:pStyle w:val="Compact"/>
              <w:spacing w:before="0" w:after="0" w:line="240" w:lineRule="auto"/>
              <w:jc w:val="left"/>
            </w:pPr>
            <w:r>
              <w:rPr>
                <w:rFonts w:ascii="Arial" w:hAnsi="Arial"/>
                <w:sz w:val="15"/>
              </w:rPr>
              <w:t xml:space="preserve">PPOP margin</w:t>
            </w:r>
          </w:p>
        </w:tc>
        <w:tc>
          <w:tcPr>
            <w:tcW w:w="1140" w:type="dxa"/>
          </w:tcPr>
          <w:p>
            <w:pPr>
              <w:pStyle w:val="Compact"/>
              <w:spacing w:before="0" w:after="0" w:line="240" w:lineRule="auto"/>
              <w:jc w:val="left"/>
            </w:pPr>
            <w:r>
              <w:rPr>
                <w:rFonts w:ascii="Arial" w:hAnsi="Arial"/>
                <w:sz w:val="15"/>
              </w:rPr>
              <w:t xml:space="preserve">~76% [e]</w:t>
            </w:r>
          </w:p>
        </w:tc>
        <w:tc>
          <w:tcPr>
            <w:tcW w:w="1140" w:type="dxa"/>
          </w:tcPr>
          <w:p>
            <w:pPr>
              <w:pStyle w:val="Compact"/>
              <w:spacing w:before="0" w:after="0" w:line="240" w:lineRule="auto"/>
              <w:jc w:val="left"/>
            </w:pPr>
            <w:r>
              <w:rPr>
                <w:rFonts w:ascii="Arial" w:hAnsi="Arial"/>
                <w:sz w:val="15"/>
              </w:rPr>
              <w:t xml:space="preserve">~81% [e]</w:t>
            </w:r>
          </w:p>
        </w:tc>
        <w:tc>
          <w:tcPr>
            <w:tcW w:w="935" w:type="dxa"/>
          </w:tcPr>
          <w:p>
            <w:pPr>
              <w:pStyle w:val="Compact"/>
              <w:spacing w:before="0" w:after="0" w:line="240" w:lineRule="auto"/>
              <w:jc w:val="left"/>
            </w:pPr>
            <w:r>
              <w:rPr>
                <w:rFonts w:ascii="Arial" w:hAnsi="Arial"/>
                <w:sz w:val="15"/>
              </w:rPr>
              <w:t xml:space="preserve">80.8%</w:t>
            </w:r>
          </w:p>
        </w:tc>
        <w:tc>
          <w:tcPr>
            <w:tcW w:w="1007" w:type="dxa"/>
          </w:tcPr>
          <w:p>
            <w:pPr>
              <w:pStyle w:val="Compact"/>
              <w:spacing w:before="0" w:after="0" w:line="240" w:lineRule="auto"/>
              <w:jc w:val="left"/>
            </w:pPr>
            <w:r>
              <w:rPr>
                <w:rFonts w:ascii="Arial" w:hAnsi="Arial"/>
                <w:sz w:val="15"/>
              </w:rPr>
              <w:t xml:space="preserve">82.4%</w:t>
            </w:r>
          </w:p>
        </w:tc>
        <w:tc>
          <w:tcPr>
            <w:tcW w:w="1007" w:type="dxa"/>
          </w:tcPr>
          <w:p>
            <w:pPr>
              <w:pStyle w:val="Compact"/>
              <w:spacing w:before="0" w:after="0" w:line="240" w:lineRule="auto"/>
              <w:jc w:val="left"/>
            </w:pPr>
            <w:r>
              <w:rPr>
                <w:rFonts w:ascii="Arial" w:hAnsi="Arial"/>
                <w:sz w:val="15"/>
              </w:rPr>
              <w:t xml:space="preserve">82.5%</w:t>
            </w:r>
          </w:p>
        </w:tc>
        <w:tc>
          <w:tcPr>
            <w:tcW w:w="863" w:type="dxa"/>
          </w:tcPr>
          <w:p>
            <w:pPr>
              <w:pStyle w:val="Compact"/>
              <w:spacing w:before="0" w:after="0" w:line="240" w:lineRule="auto"/>
              <w:jc w:val="left"/>
            </w:pPr>
            <w:r>
              <w:rPr>
                <w:rFonts w:ascii="Arial" w:hAnsi="Arial"/>
                <w:sz w:val="15"/>
              </w:rPr>
              <w:t xml:space="preserve">~81%</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tcPr>
          <w:p>
            <w:pPr>
              <w:pStyle w:val="Compact"/>
              <w:spacing w:before="0" w:after="0" w:line="240" w:lineRule="auto"/>
              <w:jc w:val="left"/>
            </w:pPr>
            <w:r>
              <w:rPr>
                <w:rFonts w:ascii="Arial" w:hAnsi="Arial"/>
                <w:sz w:val="15"/>
              </w:rPr>
              <w:t xml:space="preserve">PBT margin (</w:t>
            </w:r>
            <w:r>
              <w:rPr>
                <w:rFonts w:ascii="Arial" w:hAnsi="Arial"/>
                <w:sz w:val="15"/>
              </w:rPr>
              <w:t xml:space="preserve">“</w:t>
            </w:r>
            <w:r>
              <w:rPr>
                <w:rFonts w:ascii="Arial" w:hAnsi="Arial"/>
                <w:sz w:val="15"/>
              </w:rPr>
              <w:t xml:space="preserve">EBIT margin</w:t>
            </w:r>
            <w:r>
              <w:rPr>
                <w:rFonts w:ascii="Arial" w:hAnsi="Arial"/>
                <w:sz w:val="15"/>
              </w:rPr>
              <w:t xml:space="preserve">”</w:t>
            </w:r>
            <w:r>
              <w:rPr>
                <w:rFonts w:ascii="Arial" w:hAnsi="Arial"/>
                <w:sz w:val="15"/>
              </w:rPr>
              <w:t xml:space="preserve">)</w:t>
            </w:r>
          </w:p>
        </w:tc>
        <w:tc>
          <w:tcPr>
            <w:tcW w:w="1140" w:type="dxa"/>
          </w:tcPr>
          <w:p>
            <w:pPr>
              <w:pStyle w:val="Compact"/>
              <w:spacing w:before="0" w:after="0" w:line="240" w:lineRule="auto"/>
              <w:jc w:val="left"/>
            </w:pPr>
            <w:r>
              <w:rPr>
                <w:rFonts w:ascii="Arial" w:hAnsi="Arial"/>
                <w:sz w:val="15"/>
              </w:rPr>
              <w:t xml:space="preserve">~74% [e]</w:t>
            </w:r>
          </w:p>
        </w:tc>
        <w:tc>
          <w:tcPr>
            <w:tcW w:w="1140" w:type="dxa"/>
          </w:tcPr>
          <w:p>
            <w:pPr>
              <w:pStyle w:val="Compact"/>
              <w:spacing w:before="0" w:after="0" w:line="240" w:lineRule="auto"/>
              <w:jc w:val="left"/>
            </w:pPr>
            <w:r>
              <w:rPr>
                <w:rFonts w:ascii="Arial" w:hAnsi="Arial"/>
                <w:sz w:val="15"/>
              </w:rPr>
              <w:t xml:space="preserve">~63% [e]</w:t>
            </w:r>
          </w:p>
        </w:tc>
        <w:tc>
          <w:tcPr>
            <w:tcW w:w="935" w:type="dxa"/>
          </w:tcPr>
          <w:p>
            <w:pPr>
              <w:pStyle w:val="Compact"/>
              <w:spacing w:before="0" w:after="0" w:line="240" w:lineRule="auto"/>
              <w:jc w:val="left"/>
            </w:pPr>
            <w:r>
              <w:rPr>
                <w:rFonts w:ascii="Arial" w:hAnsi="Arial"/>
                <w:sz w:val="15"/>
              </w:rPr>
              <w:t xml:space="preserve">72.3%</w:t>
            </w:r>
          </w:p>
        </w:tc>
        <w:tc>
          <w:tcPr>
            <w:tcW w:w="1007" w:type="dxa"/>
          </w:tcPr>
          <w:p>
            <w:pPr>
              <w:pStyle w:val="Compact"/>
              <w:spacing w:before="0" w:after="0" w:line="240" w:lineRule="auto"/>
              <w:jc w:val="left"/>
            </w:pPr>
            <w:r>
              <w:rPr>
                <w:rFonts w:ascii="Arial" w:hAnsi="Arial"/>
                <w:sz w:val="15"/>
              </w:rPr>
              <w:t xml:space="preserve">73.6%</w:t>
            </w:r>
          </w:p>
        </w:tc>
        <w:tc>
          <w:tcPr>
            <w:tcW w:w="1007" w:type="dxa"/>
          </w:tcPr>
          <w:p>
            <w:pPr>
              <w:pStyle w:val="Compact"/>
              <w:spacing w:before="0" w:after="0" w:line="240" w:lineRule="auto"/>
              <w:jc w:val="left"/>
            </w:pPr>
            <w:r>
              <w:rPr>
                <w:rFonts w:ascii="Arial" w:hAnsi="Arial"/>
                <w:sz w:val="15"/>
              </w:rPr>
              <w:t xml:space="preserve">73.8%</w:t>
            </w:r>
          </w:p>
        </w:tc>
        <w:tc>
          <w:tcPr>
            <w:tcW w:w="863" w:type="dxa"/>
          </w:tcPr>
          <w:p>
            <w:pPr>
              <w:pStyle w:val="Compact"/>
              <w:spacing w:before="0" w:after="0" w:line="240" w:lineRule="auto"/>
              <w:jc w:val="left"/>
            </w:pPr>
            <w:r>
              <w:rPr>
                <w:rFonts w:ascii="Arial" w:hAnsi="Arial"/>
                <w:sz w:val="15"/>
              </w:rPr>
              <w:t xml:space="preserve">~68%</w:t>
            </w:r>
          </w:p>
        </w:tc>
        <w:tc>
          <w:tcPr>
            <w:tcW w:w="935" w:type="dxa"/>
          </w:tcPr>
          <w:p>
            <w:pPr>
              <w:pStyle w:val="Compact"/>
              <w:spacing w:before="0" w:after="0" w:line="240" w:lineRule="auto"/>
              <w:jc w:val="left"/>
            </w:pPr>
            <w:r>
              <w:rPr>
                <w:rFonts w:ascii="Arial" w:hAnsi="Arial"/>
                <w:sz w:val="15"/>
              </w:rPr>
              <w:t xml:space="preserve">n/a</w:t>
            </w:r>
          </w:p>
        </w:tc>
      </w:tr>
      <w:tr>
        <w:trPr>
          <w:cantSplit/>
        </w:trPr>
        <w:tc>
          <w:tcPr>
            <w:tcW w:w="2948" w:type="dxa"/>
          </w:tcPr>
          <w:p>
            <w:pPr>
              <w:pStyle w:val="Compact"/>
              <w:spacing w:before="0" w:after="0" w:line="240" w:lineRule="auto"/>
              <w:jc w:val="left"/>
            </w:pPr>
            <w:r>
              <w:rPr>
                <w:rFonts w:ascii="Arial" w:hAnsi="Arial"/>
                <w:sz w:val="15"/>
              </w:rPr>
              <w:t xml:space="preserve">Cost / income</w:t>
            </w:r>
          </w:p>
        </w:tc>
        <w:tc>
          <w:tcPr>
            <w:tcW w:w="1140" w:type="dxa"/>
          </w:tcPr>
          <w:p>
            <w:pPr>
              <w:pStyle w:val="Compact"/>
              <w:spacing w:before="0" w:after="0" w:line="240" w:lineRule="auto"/>
              <w:jc w:val="left"/>
            </w:pPr>
            <w:r>
              <w:rPr>
                <w:rFonts w:ascii="Arial" w:hAnsi="Arial"/>
                <w:sz w:val="15"/>
              </w:rPr>
              <w:t xml:space="preserve">24.1%</w:t>
            </w:r>
          </w:p>
        </w:tc>
        <w:tc>
          <w:tcPr>
            <w:tcW w:w="1140" w:type="dxa"/>
          </w:tcPr>
          <w:p>
            <w:pPr>
              <w:pStyle w:val="Compact"/>
              <w:spacing w:before="0" w:after="0" w:line="240" w:lineRule="auto"/>
              <w:jc w:val="left"/>
            </w:pPr>
            <w:r>
              <w:rPr>
                <w:rFonts w:ascii="Arial" w:hAnsi="Arial"/>
                <w:sz w:val="15"/>
              </w:rPr>
              <w:t xml:space="preserve">19.0%</w:t>
            </w:r>
          </w:p>
        </w:tc>
        <w:tc>
          <w:tcPr>
            <w:tcW w:w="935" w:type="dxa"/>
          </w:tcPr>
          <w:p>
            <w:pPr>
              <w:pStyle w:val="Compact"/>
              <w:spacing w:before="0" w:after="0" w:line="240" w:lineRule="auto"/>
              <w:jc w:val="left"/>
            </w:pPr>
            <w:r>
              <w:rPr>
                <w:rFonts w:ascii="Arial" w:hAnsi="Arial"/>
                <w:sz w:val="15"/>
              </w:rPr>
              <w:t xml:space="preserve">19.2%</w:t>
            </w:r>
          </w:p>
        </w:tc>
        <w:tc>
          <w:tcPr>
            <w:tcW w:w="1007" w:type="dxa"/>
          </w:tcPr>
          <w:p>
            <w:pPr>
              <w:pStyle w:val="Compact"/>
              <w:spacing w:before="0" w:after="0" w:line="240" w:lineRule="auto"/>
              <w:jc w:val="left"/>
            </w:pPr>
            <w:r>
              <w:rPr>
                <w:rFonts w:ascii="Arial" w:hAnsi="Arial"/>
                <w:sz w:val="15"/>
              </w:rPr>
              <w:t xml:space="preserve">17.6%</w:t>
            </w:r>
          </w:p>
        </w:tc>
        <w:tc>
          <w:tcPr>
            <w:tcW w:w="1007" w:type="dxa"/>
          </w:tcPr>
          <w:p>
            <w:pPr>
              <w:pStyle w:val="Compact"/>
              <w:spacing w:before="0" w:after="0" w:line="240" w:lineRule="auto"/>
              <w:jc w:val="left"/>
            </w:pPr>
            <w:r>
              <w:rPr>
                <w:rFonts w:ascii="Arial" w:hAnsi="Arial"/>
                <w:sz w:val="15"/>
              </w:rPr>
              <w:t xml:space="preserve">17.5%</w:t>
            </w:r>
          </w:p>
        </w:tc>
        <w:tc>
          <w:tcPr>
            <w:tcW w:w="863" w:type="dxa"/>
          </w:tcPr>
          <w:p>
            <w:pPr>
              <w:pStyle w:val="Compact"/>
              <w:spacing w:before="0" w:after="0" w:line="240" w:lineRule="auto"/>
              <w:jc w:val="left"/>
            </w:pPr>
            <w:r>
              <w:rPr>
                <w:rFonts w:ascii="Arial" w:hAnsi="Arial"/>
                <w:sz w:val="15"/>
              </w:rPr>
              <w:t xml:space="preserve">19.2%</w:t>
            </w:r>
          </w:p>
        </w:tc>
        <w:tc>
          <w:tcPr>
            <w:tcW w:w="935" w:type="dxa"/>
          </w:tcPr>
          <w:p>
            <w:pPr>
              <w:pStyle w:val="Compact"/>
              <w:spacing w:before="0" w:after="0" w:line="240" w:lineRule="auto"/>
              <w:jc w:val="left"/>
            </w:pPr>
            <w:r>
              <w:rPr>
                <w:rFonts w:ascii="Arial" w:hAnsi="Arial"/>
                <w:sz w:val="15"/>
              </w:rPr>
              <w:t xml:space="preserve">+2.0pp</w:t>
            </w:r>
          </w:p>
        </w:tc>
      </w:tr>
      <w:tr>
        <w:trPr>
          <w:cantSplit/>
        </w:trPr>
        <w:tc>
          <w:tcPr>
            <w:tcW w:w="2948" w:type="dxa"/>
          </w:tcPr>
          <w:p>
            <w:pPr>
              <w:pStyle w:val="Compact"/>
              <w:spacing w:before="0" w:after="0" w:line="240" w:lineRule="auto"/>
              <w:jc w:val="left"/>
            </w:pPr>
            <w:r>
              <w:rPr>
                <w:rFonts w:ascii="Arial" w:hAnsi="Arial"/>
                <w:sz w:val="15"/>
              </w:rPr>
              <w:t xml:space="preserve">NIM</w:t>
            </w:r>
          </w:p>
        </w:tc>
        <w:tc>
          <w:tcPr>
            <w:tcW w:w="1140" w:type="dxa"/>
          </w:tcPr>
          <w:p>
            <w:pPr>
              <w:pStyle w:val="Compact"/>
              <w:spacing w:before="0" w:after="0" w:line="240" w:lineRule="auto"/>
              <w:jc w:val="left"/>
            </w:pPr>
            <w:r>
              <w:rPr>
                <w:rFonts w:ascii="Arial" w:hAnsi="Arial"/>
                <w:sz w:val="15"/>
              </w:rPr>
              <w:t xml:space="preserve">5.2%</w:t>
            </w:r>
          </w:p>
        </w:tc>
        <w:tc>
          <w:tcPr>
            <w:tcW w:w="1140" w:type="dxa"/>
          </w:tcPr>
          <w:p>
            <w:pPr>
              <w:pStyle w:val="Compact"/>
              <w:spacing w:before="0" w:after="0" w:line="240" w:lineRule="auto"/>
              <w:jc w:val="left"/>
            </w:pPr>
            <w:r>
              <w:rPr>
                <w:rFonts w:ascii="Arial" w:hAnsi="Arial"/>
                <w:sz w:val="15"/>
              </w:rPr>
              <w:t xml:space="preserve">5.6%</w:t>
            </w:r>
          </w:p>
        </w:tc>
        <w:tc>
          <w:tcPr>
            <w:tcW w:w="935" w:type="dxa"/>
          </w:tcPr>
          <w:p>
            <w:pPr>
              <w:pStyle w:val="Compact"/>
              <w:spacing w:before="0" w:after="0" w:line="240" w:lineRule="auto"/>
              <w:jc w:val="left"/>
            </w:pPr>
            <w:r>
              <w:rPr>
                <w:rFonts w:ascii="Arial" w:hAnsi="Arial"/>
                <w:sz w:val="15"/>
              </w:rPr>
              <w:t xml:space="preserve">6.2%</w:t>
            </w:r>
          </w:p>
        </w:tc>
        <w:tc>
          <w:tcPr>
            <w:tcW w:w="1007" w:type="dxa"/>
          </w:tcPr>
          <w:p>
            <w:pPr>
              <w:pStyle w:val="Compact"/>
              <w:spacing w:before="0" w:after="0" w:line="240" w:lineRule="auto"/>
              <w:jc w:val="left"/>
            </w:pPr>
            <w:r>
              <w:rPr>
                <w:rFonts w:ascii="Arial" w:hAnsi="Arial"/>
                <w:sz w:val="15"/>
              </w:rPr>
              <w:t xml:space="preserve">7.2%</w:t>
            </w:r>
          </w:p>
        </w:tc>
        <w:tc>
          <w:tcPr>
            <w:tcW w:w="1007" w:type="dxa"/>
          </w:tcPr>
          <w:p>
            <w:pPr>
              <w:pStyle w:val="Compact"/>
              <w:spacing w:before="0" w:after="0" w:line="240" w:lineRule="auto"/>
              <w:jc w:val="left"/>
            </w:pPr>
            <w:r>
              <w:rPr>
                <w:rFonts w:ascii="Arial" w:hAnsi="Arial"/>
                <w:sz w:val="15"/>
              </w:rPr>
              <w:t xml:space="preserve">7.1%</w:t>
            </w:r>
          </w:p>
        </w:tc>
        <w:tc>
          <w:tcPr>
            <w:tcW w:w="863" w:type="dxa"/>
          </w:tcPr>
          <w:p>
            <w:pPr>
              <w:pStyle w:val="Compact"/>
              <w:spacing w:before="0" w:after="0" w:line="240" w:lineRule="auto"/>
              <w:jc w:val="left"/>
            </w:pPr>
            <w:r>
              <w:rPr>
                <w:rFonts w:ascii="Arial" w:hAnsi="Arial"/>
                <w:sz w:val="15"/>
              </w:rPr>
              <w:t xml:space="preserve">6.8%</w:t>
            </w:r>
          </w:p>
        </w:tc>
        <w:tc>
          <w:tcPr>
            <w:tcW w:w="935" w:type="dxa"/>
          </w:tcPr>
          <w:p>
            <w:pPr>
              <w:pStyle w:val="Compact"/>
              <w:spacing w:before="0" w:after="0" w:line="240" w:lineRule="auto"/>
              <w:jc w:val="left"/>
            </w:pPr>
            <w:r>
              <w:rPr>
                <w:rFonts w:ascii="Arial" w:hAnsi="Arial"/>
                <w:sz w:val="15"/>
              </w:rPr>
              <w:t xml:space="preserve">−0.5pp</w:t>
            </w:r>
          </w:p>
        </w:tc>
      </w:tr>
      <w:tr>
        <w:trPr>
          <w:cantSplit/>
        </w:trPr>
        <w:tc>
          <w:tcPr>
            <w:tcW w:w="2948" w:type="dxa"/>
          </w:tcPr>
          <w:p>
            <w:pPr>
              <w:pStyle w:val="Compact"/>
              <w:spacing w:before="0" w:after="0" w:line="240" w:lineRule="auto"/>
              <w:jc w:val="left"/>
            </w:pPr>
            <w:r>
              <w:rPr>
                <w:rFonts w:ascii="Arial" w:hAnsi="Arial"/>
                <w:sz w:val="15"/>
              </w:rPr>
              <w:t xml:space="preserve">Cost of risk</w:t>
            </w:r>
          </w:p>
        </w:tc>
        <w:tc>
          <w:tcPr>
            <w:tcW w:w="1140" w:type="dxa"/>
          </w:tcPr>
          <w:p>
            <w:pPr>
              <w:pStyle w:val="Compact"/>
              <w:spacing w:before="0" w:after="0" w:line="240" w:lineRule="auto"/>
              <w:jc w:val="left"/>
            </w:pPr>
            <w:r>
              <w:rPr>
                <w:rFonts w:ascii="Arial" w:hAnsi="Arial"/>
                <w:sz w:val="15"/>
              </w:rPr>
              <w:t xml:space="preserve">n/a</w:t>
            </w:r>
          </w:p>
        </w:tc>
        <w:tc>
          <w:tcPr>
            <w:tcW w:w="1140" w:type="dxa"/>
          </w:tcPr>
          <w:p>
            <w:pPr>
              <w:pStyle w:val="Compact"/>
              <w:spacing w:before="0" w:after="0" w:line="240" w:lineRule="auto"/>
              <w:jc w:val="left"/>
            </w:pPr>
            <w:r>
              <w:rPr>
                <w:rFonts w:ascii="Arial" w:hAnsi="Arial"/>
                <w:sz w:val="15"/>
              </w:rPr>
              <w:t xml:space="preserve">1.2%</w:t>
            </w:r>
          </w:p>
        </w:tc>
        <w:tc>
          <w:tcPr>
            <w:tcW w:w="935" w:type="dxa"/>
          </w:tcPr>
          <w:p>
            <w:pPr>
              <w:pStyle w:val="Compact"/>
              <w:spacing w:before="0" w:after="0" w:line="240" w:lineRule="auto"/>
              <w:jc w:val="left"/>
            </w:pPr>
            <w:r>
              <w:rPr>
                <w:rFonts w:ascii="Arial" w:hAnsi="Arial"/>
                <w:sz w:val="15"/>
              </w:rPr>
              <w:t xml:space="preserve">1.0%</w:t>
            </w:r>
          </w:p>
        </w:tc>
        <w:tc>
          <w:tcPr>
            <w:tcW w:w="1007" w:type="dxa"/>
          </w:tcPr>
          <w:p>
            <w:pPr>
              <w:pStyle w:val="Compact"/>
              <w:spacing w:before="0" w:after="0" w:line="240" w:lineRule="auto"/>
              <w:jc w:val="left"/>
            </w:pPr>
            <w:r>
              <w:rPr>
                <w:rFonts w:ascii="Arial" w:hAnsi="Arial"/>
                <w:sz w:val="15"/>
              </w:rPr>
              <w:t xml:space="preserve">1.2%</w:t>
            </w:r>
          </w:p>
        </w:tc>
        <w:tc>
          <w:tcPr>
            <w:tcW w:w="1007" w:type="dxa"/>
          </w:tcPr>
          <w:p>
            <w:pPr>
              <w:pStyle w:val="Compact"/>
              <w:spacing w:before="0" w:after="0" w:line="240" w:lineRule="auto"/>
              <w:jc w:val="left"/>
            </w:pPr>
            <w:r>
              <w:rPr>
                <w:rFonts w:ascii="Arial" w:hAnsi="Arial"/>
                <w:sz w:val="15"/>
              </w:rPr>
              <w:t xml:space="preserve">1.4%</w:t>
            </w:r>
          </w:p>
        </w:tc>
        <w:tc>
          <w:tcPr>
            <w:tcW w:w="863" w:type="dxa"/>
          </w:tcPr>
          <w:p>
            <w:pPr>
              <w:pStyle w:val="Compact"/>
              <w:spacing w:before="0" w:after="0" w:line="240" w:lineRule="auto"/>
              <w:jc w:val="left"/>
            </w:pPr>
            <w:r>
              <w:rPr>
                <w:rFonts w:ascii="Arial" w:hAnsi="Arial"/>
                <w:sz w:val="15"/>
              </w:rPr>
              <w:t xml:space="preserve">1.4%</w:t>
            </w:r>
          </w:p>
        </w:tc>
        <w:tc>
          <w:tcPr>
            <w:tcW w:w="935" w:type="dxa"/>
          </w:tcPr>
          <w:p>
            <w:pPr>
              <w:pStyle w:val="Compact"/>
              <w:spacing w:before="0" w:after="0" w:line="240" w:lineRule="auto"/>
              <w:jc w:val="left"/>
            </w:pPr>
            <w:r>
              <w:rPr>
                <w:rFonts w:ascii="Arial" w:hAnsi="Arial"/>
                <w:sz w:val="15"/>
              </w:rPr>
              <w:t xml:space="preserve">flat</w:t>
            </w:r>
          </w:p>
        </w:tc>
      </w:tr>
      <w:tr>
        <w:trPr>
          <w:cantSplit/>
        </w:trPr>
        <w:tc>
          <w:tcPr>
            <w:tcW w:w="2948" w:type="dxa"/>
          </w:tcPr>
          <w:p>
            <w:pPr>
              <w:pStyle w:val="Compact"/>
              <w:spacing w:before="0" w:after="0" w:line="240" w:lineRule="auto"/>
              <w:jc w:val="left"/>
            </w:pPr>
            <w:r>
              <w:rPr>
                <w:rFonts w:ascii="Arial" w:hAnsi="Arial"/>
                <w:sz w:val="15"/>
              </w:rPr>
              <w:t xml:space="preserve">ROAE</w:t>
            </w:r>
          </w:p>
        </w:tc>
        <w:tc>
          <w:tcPr>
            <w:tcW w:w="1140" w:type="dxa"/>
          </w:tcPr>
          <w:p>
            <w:pPr>
              <w:pStyle w:val="Compact"/>
              <w:spacing w:before="0" w:after="0" w:line="240" w:lineRule="auto"/>
              <w:jc w:val="left"/>
            </w:pPr>
            <w:r>
              <w:rPr>
                <w:rFonts w:ascii="Arial" w:hAnsi="Arial"/>
                <w:sz w:val="15"/>
              </w:rPr>
              <w:t xml:space="preserve">29.7%</w:t>
            </w:r>
          </w:p>
        </w:tc>
        <w:tc>
          <w:tcPr>
            <w:tcW w:w="1140" w:type="dxa"/>
          </w:tcPr>
          <w:p>
            <w:pPr>
              <w:pStyle w:val="Compact"/>
              <w:spacing w:before="0" w:after="0" w:line="240" w:lineRule="auto"/>
              <w:jc w:val="left"/>
            </w:pPr>
            <w:r>
              <w:rPr>
                <w:rFonts w:ascii="Arial" w:hAnsi="Arial"/>
                <w:sz w:val="15"/>
              </w:rPr>
              <w:t xml:space="preserve">31.7%</w:t>
            </w:r>
          </w:p>
        </w:tc>
        <w:tc>
          <w:tcPr>
            <w:tcW w:w="935" w:type="dxa"/>
          </w:tcPr>
          <w:p>
            <w:pPr>
              <w:pStyle w:val="Compact"/>
              <w:spacing w:before="0" w:after="0" w:line="240" w:lineRule="auto"/>
              <w:jc w:val="left"/>
            </w:pPr>
            <w:r>
              <w:rPr>
                <w:rFonts w:ascii="Arial" w:hAnsi="Arial"/>
                <w:sz w:val="15"/>
              </w:rPr>
              <w:t xml:space="preserve">32.5%</w:t>
            </w:r>
          </w:p>
        </w:tc>
        <w:tc>
          <w:tcPr>
            <w:tcW w:w="1007" w:type="dxa"/>
          </w:tcPr>
          <w:p>
            <w:pPr>
              <w:pStyle w:val="Compact"/>
              <w:spacing w:before="0" w:after="0" w:line="240" w:lineRule="auto"/>
              <w:jc w:val="left"/>
            </w:pPr>
            <w:r>
              <w:rPr>
                <w:rFonts w:ascii="Arial" w:hAnsi="Arial"/>
                <w:sz w:val="15"/>
              </w:rPr>
              <w:t xml:space="preserve">34.0%</w:t>
            </w:r>
          </w:p>
        </w:tc>
        <w:tc>
          <w:tcPr>
            <w:tcW w:w="1007" w:type="dxa"/>
          </w:tcPr>
          <w:p>
            <w:pPr>
              <w:pStyle w:val="Compact"/>
              <w:spacing w:before="0" w:after="0" w:line="240" w:lineRule="auto"/>
              <w:jc w:val="left"/>
            </w:pPr>
            <w:r>
              <w:rPr>
                <w:rFonts w:ascii="Arial" w:hAnsi="Arial"/>
                <w:sz w:val="15"/>
              </w:rPr>
              <w:t xml:space="preserve">32.6%</w:t>
            </w:r>
          </w:p>
        </w:tc>
        <w:tc>
          <w:tcPr>
            <w:tcW w:w="863" w:type="dxa"/>
          </w:tcPr>
          <w:p>
            <w:pPr>
              <w:pStyle w:val="Compact"/>
              <w:spacing w:before="0" w:after="0" w:line="240" w:lineRule="auto"/>
              <w:jc w:val="left"/>
            </w:pPr>
            <w:r>
              <w:rPr>
                <w:rFonts w:ascii="Arial" w:hAnsi="Arial"/>
                <w:sz w:val="15"/>
              </w:rPr>
              <w:t xml:space="preserve">~25% [d]</w:t>
            </w:r>
          </w:p>
        </w:tc>
        <w:tc>
          <w:tcPr>
            <w:tcW w:w="935" w:type="dxa"/>
          </w:tcPr>
          <w:p>
            <w:pPr>
              <w:pStyle w:val="Compact"/>
              <w:spacing w:before="0" w:after="0" w:line="240" w:lineRule="auto"/>
              <w:jc w:val="left"/>
            </w:pPr>
            <w:r>
              <w:rPr>
                <w:rFonts w:ascii="Arial" w:hAnsi="Arial"/>
                <w:sz w:val="15"/>
              </w:rPr>
              <w:t xml:space="preserve">−8pp</w:t>
            </w:r>
          </w:p>
        </w:tc>
      </w:tr>
    </w:tbl>
    <w:p>
      <w:pPr>
        <w:pStyle w:val="BodyText"/>
      </w:pPr>
      <w:r>
        <w:rPr>
          <w:bCs/>
          <w:b/>
        </w:rPr>
        <w:t xml:space="preserve">Notes on the table:</w:t>
      </w:r>
    </w:p>
    <w:p>
      <w:pPr>
        <w:numPr>
          <w:ilvl w:val="0"/>
          <w:numId w:val="1036"/>
        </w:numPr>
        <w:pStyle w:val="Compact"/>
      </w:pPr>
      <w:r>
        <w:rPr>
          <w:bCs/>
          <w:b/>
        </w:rPr>
        <w:t xml:space="preserve">Sources and vintages.</w:t>
      </w:r>
      <w:r>
        <w:t xml:space="preserve"> </w:t>
      </w:r>
      <w:r>
        <w:t xml:space="preserve">Figures come from Halyk results releases. 2022 is shown as originally reported (restated to 569.5 under IFRS 17); 2023 NII is the restated 797.1 (810.5 originally reported). PBT and tax for 2021–24 are aggregator figures that reconcile to reported net income.</w:t>
      </w:r>
    </w:p>
    <w:p>
      <w:pPr>
        <w:numPr>
          <w:ilvl w:val="0"/>
          <w:numId w:val="1036"/>
        </w:numPr>
        <w:pStyle w:val="Compact"/>
      </w:pPr>
      <w:r>
        <w:rPr>
          <w:bCs/>
          <w:b/>
        </w:rPr>
        <w:t xml:space="preserve">2025 PBT</w:t>
      </w:r>
      <w:r>
        <w:t xml:space="preserve"> </w:t>
      </w:r>
      <w:r>
        <w:t xml:space="preserve">is derived from the 18.5% effective tax rate [d].</w:t>
      </w:r>
    </w:p>
    <w:p>
      <w:pPr>
        <w:numPr>
          <w:ilvl w:val="0"/>
          <w:numId w:val="1036"/>
        </w:numPr>
        <w:pStyle w:val="Compact"/>
      </w:pPr>
      <w:r>
        <w:rPr>
          <w:bCs/>
          <w:b/>
        </w:rPr>
        <w:t xml:space="preserve">Total operating income for 2023–25 and 1H26</w:t>
      </w:r>
      <w:r>
        <w:t xml:space="preserve"> </w:t>
      </w:r>
      <w:r>
        <w:t xml:space="preserve">= opex ÷ reported CIR [d]. For 2021–22 we extrapolate FY opex from the reported 9M figures (9M21 KZT121.4bn, 9M22 KZT146.2bn), then divide by the reported CIR (24.1%, 19.0%) [e].</w:t>
      </w:r>
    </w:p>
    <w:p>
      <w:pPr>
        <w:numPr>
          <w:ilvl w:val="0"/>
          <w:numId w:val="1036"/>
        </w:numPr>
        <w:pStyle w:val="Compact"/>
      </w:pPr>
      <w:r>
        <w:rPr>
          <w:bCs/>
          <w:b/>
        </w:rPr>
        <w:t xml:space="preserve">One-offs.</w:t>
      </w:r>
      <w:r>
        <w:t xml:space="preserve"> </w:t>
      </w:r>
      <w:r>
        <w:t xml:space="preserve">2024 includes the one-off loss on early repayment of the Kazakhstan Sustainability Fund deposit (KZT66.1bn pre-tax in 1Q24; KZT79.3bn in 1H24). 1Q25 included a one-off gain from the stressed-asset SPV workout.</w:t>
      </w:r>
    </w:p>
    <w:p>
      <w:pPr>
        <w:pStyle w:val="CaptionedFigure"/>
      </w:pPr>
      <w:r>
        <w:drawing>
          <wp:inline>
            <wp:extent cx="6008370" cy="3092129"/>
            <wp:effectExtent b="0" l="0" r="0" t="0"/>
            <wp:docPr descr="Net income and ROAE, 2020–2028E" title="" id="41" name="Picture"/>
            <a:graphic>
              <a:graphicData uri="http://schemas.openxmlformats.org/drawingml/2006/picture">
                <pic:pic>
                  <pic:nvPicPr>
                    <pic:cNvPr descr="HSBK_charts/earnings_roe.png" id="42" name="Picture"/>
                    <pic:cNvPicPr>
                      <a:picLocks noChangeArrowheads="1" noChangeAspect="1"/>
                    </pic:cNvPicPr>
                  </pic:nvPicPr>
                  <pic:blipFill>
                    <a:blip r:embed="rId40"/>
                    <a:stretch>
                      <a:fillRect/>
                    </a:stretch>
                  </pic:blipFill>
                  <pic:spPr bwMode="auto">
                    <a:xfrm>
                      <a:off x="0" y="0"/>
                      <a:ext cx="6008370" cy="3092129"/>
                    </a:xfrm>
                    <a:prstGeom prst="rect">
                      <a:avLst/>
                    </a:prstGeom>
                    <a:noFill/>
                    <a:ln w="9525">
                      <a:noFill/>
                      <a:headEnd/>
                      <a:tailEnd/>
                    </a:ln>
                  </pic:spPr>
                </pic:pic>
              </a:graphicData>
            </a:graphic>
          </wp:inline>
        </w:drawing>
      </w:r>
    </w:p>
    <w:p>
      <w:pPr>
        <w:pStyle w:val="ImageCaption"/>
      </w:pPr>
      <w:r>
        <w:t xml:space="preserve">Net income and ROAE, 2020–2028E</w:t>
      </w:r>
    </w:p>
    <w:p>
      <w:pPr>
        <w:pStyle w:val="BodyText"/>
      </w:pPr>
      <w:r>
        <w:rPr>
          <w:bCs/>
          <w:b/>
        </w:rPr>
        <w:t xml:space="preserve">Trends and why.</w:t>
      </w:r>
    </w:p>
    <w:p>
      <w:pPr>
        <w:numPr>
          <w:ilvl w:val="0"/>
          <w:numId w:val="1037"/>
        </w:numPr>
        <w:pStyle w:val="Compact"/>
      </w:pPr>
      <w:r>
        <w:rPr>
          <w:bCs/>
          <w:b/>
        </w:rPr>
        <w:t xml:space="preserve">2021–24: compounding.</w:t>
      </w:r>
    </w:p>
    <w:p>
      <w:pPr>
        <w:numPr>
          <w:ilvl w:val="1"/>
          <w:numId w:val="1038"/>
        </w:numPr>
        <w:pStyle w:val="Compact"/>
      </w:pPr>
      <w:r>
        <w:t xml:space="preserve">Net income doubled (+99%) as NIM widened from 5.2% to 7.2%. The base rate rose from 9.75% to 16.75% and stayed high, while the deposit base repriced slowly.</w:t>
      </w:r>
    </w:p>
    <w:p>
      <w:pPr>
        <w:numPr>
          <w:ilvl w:val="1"/>
          <w:numId w:val="1038"/>
        </w:numPr>
        <w:pStyle w:val="Compact"/>
      </w:pPr>
      <w:r>
        <w:t xml:space="preserve">Loans grew at mid-teens, and cost/income fell by 6.5pp as Kazkom synergies and digitisation ran through.</w:t>
      </w:r>
    </w:p>
    <w:p>
      <w:pPr>
        <w:numPr>
          <w:ilvl w:val="0"/>
          <w:numId w:val="1037"/>
        </w:numPr>
        <w:pStyle w:val="Compact"/>
      </w:pPr>
      <w:r>
        <w:rPr>
          <w:bCs/>
          <w:b/>
        </w:rPr>
        <w:t xml:space="preserve">2025: still a record (+14.9%), but the slowdown began.</w:t>
      </w:r>
    </w:p>
    <w:p>
      <w:pPr>
        <w:numPr>
          <w:ilvl w:val="1"/>
          <w:numId w:val="1039"/>
        </w:numPr>
        <w:pStyle w:val="Compact"/>
      </w:pPr>
      <w:r>
        <w:t xml:space="preserve">NIM slipped to 7.1% (6.9% in 4Q25) as deposit rates rose (average customer rate 9.6% → 9.9% in 4Q25) and the first MRR step arrived (Sep-25).</w:t>
      </w:r>
    </w:p>
    <w:p>
      <w:pPr>
        <w:numPr>
          <w:ilvl w:val="1"/>
          <w:numId w:val="1039"/>
        </w:numPr>
        <w:pStyle w:val="Compact"/>
      </w:pPr>
      <w:r>
        <w:t xml:space="preserve">The 10% excess-profit tax lifted the ETR to 18.5%.</w:t>
      </w:r>
    </w:p>
    <w:p>
      <w:pPr>
        <w:numPr>
          <w:ilvl w:val="1"/>
          <w:numId w:val="1039"/>
        </w:numPr>
        <w:pStyle w:val="Compact"/>
      </w:pPr>
      <w:r>
        <w:t xml:space="preserve">Loan growth was +13.9% but retail slowed; guidance was cut at 3Q25.</w:t>
      </w:r>
    </w:p>
    <w:p>
      <w:pPr>
        <w:numPr>
          <w:ilvl w:val="0"/>
          <w:numId w:val="1037"/>
        </w:numPr>
        <w:pStyle w:val="Compact"/>
      </w:pPr>
      <w:r>
        <w:rPr>
          <w:bCs/>
          <w:b/>
        </w:rPr>
        <w:t xml:space="preserve">2026: the step-down.</w:t>
      </w:r>
    </w:p>
    <w:p>
      <w:pPr>
        <w:numPr>
          <w:ilvl w:val="1"/>
          <w:numId w:val="1040"/>
        </w:numPr>
        <w:pStyle w:val="Compact"/>
      </w:pPr>
      <w:r>
        <w:t xml:space="preserve">Margin: MRR (−40bp), rate cuts and deposit-cost stickiness took NIM to 6.8%.</w:t>
      </w:r>
    </w:p>
    <w:p>
      <w:pPr>
        <w:numPr>
          <w:ilvl w:val="1"/>
          <w:numId w:val="1040"/>
        </w:numPr>
        <w:pStyle w:val="Compact"/>
      </w:pPr>
      <w:r>
        <w:t xml:space="preserve">Fees fell 19.6% (BNPL rules, VAT on fees).</w:t>
      </w:r>
    </w:p>
    <w:p>
      <w:pPr>
        <w:numPr>
          <w:ilvl w:val="1"/>
          <w:numId w:val="1040"/>
        </w:numPr>
        <w:pStyle w:val="Compact"/>
      </w:pPr>
      <w:r>
        <w:t xml:space="preserve">Insurance swung to a loss in 2Q.</w:t>
      </w:r>
    </w:p>
    <w:p>
      <w:pPr>
        <w:numPr>
          <w:ilvl w:val="1"/>
          <w:numId w:val="1040"/>
        </w:numPr>
        <w:pStyle w:val="Compact"/>
      </w:pPr>
      <w:r>
        <w:t xml:space="preserve">Credit costs normalised (ECL +69%).</w:t>
      </w:r>
    </w:p>
    <w:p>
      <w:pPr>
        <w:numPr>
          <w:ilvl w:val="1"/>
          <w:numId w:val="1040"/>
        </w:numPr>
        <w:pStyle w:val="Compact"/>
      </w:pPr>
      <w:r>
        <w:t xml:space="preserve">Cost/income rose 2pp despite opex growth of only 5.5%.</w:t>
      </w:r>
    </w:p>
    <w:bookmarkEnd w:id="43"/>
    <w:bookmarkStart w:id="44" w:name="segment-division-view"/>
    <w:p>
      <w:pPr>
        <w:pStyle w:val="Heading2"/>
      </w:pPr>
      <w:r>
        <w:t xml:space="preserve">Segment (division) view</w:t>
      </w:r>
    </w:p>
    <w:p>
      <w:pPr>
        <w:pStyle w:val="FirstParagraph"/>
      </w:pPr>
      <w:r>
        <w:t xml:space="preserve">Halyk’s press releases do not carry segment P&amp;L, and the IFRS 8 note could not be retrieved in this session. The table below combines disclosed volumes with our estimated profit split.</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166"/>
        <w:gridCol w:w="774"/>
        <w:gridCol w:w="647"/>
        <w:gridCol w:w="719"/>
        <w:gridCol w:w="935"/>
        <w:gridCol w:w="1889"/>
        <w:gridCol w:w="791"/>
        <w:gridCol w:w="647"/>
        <w:gridCol w:w="2408"/>
      </w:tblGrid>
      <w:tr>
        <w:trPr>
          <w:tblHeader w:val="true"/>
          <w:cantSplit/>
          <w:tblHeader w:val="true"/>
        </w:trPr>
        <w:tc>
          <w:tcPr>
            <w:tcW w:w="1166" w:type="dxa"/>
            <w:shd w:val="clear" w:color="auto" w:fill="13213F"/>
          </w:tcPr>
          <w:p>
            <w:pPr>
              <w:pStyle w:val="Compact"/>
              <w:spacing w:before="0" w:after="0" w:line="240" w:lineRule="auto"/>
              <w:jc w:val="left"/>
            </w:pPr>
            <w:r>
              <w:rPr>
                <w:rFonts w:ascii="Arial" w:hAnsi="Arial"/>
                <w:b/>
                <w:color w:val="FFFFFF"/>
                <w:sz w:val="15"/>
              </w:rPr>
              <w:t xml:space="preserve">Segment</w:t>
            </w:r>
          </w:p>
        </w:tc>
        <w:tc>
          <w:tcPr>
            <w:tcW w:w="774" w:type="dxa"/>
            <w:shd w:val="clear" w:color="auto" w:fill="13213F"/>
          </w:tcPr>
          <w:p>
            <w:pPr>
              <w:pStyle w:val="Compact"/>
              <w:spacing w:before="0" w:after="0" w:line="240" w:lineRule="auto"/>
              <w:jc w:val="left"/>
            </w:pPr>
            <w:r>
              <w:rPr>
                <w:rFonts w:ascii="Arial" w:hAnsi="Arial"/>
                <w:b/>
                <w:color w:val="FFFFFF"/>
                <w:sz w:val="15"/>
              </w:rPr>
              <w:t xml:space="preserve">Gross loans 1H26 (KZT trn)</w:t>
            </w:r>
          </w:p>
        </w:tc>
        <w:tc>
          <w:tcPr>
            <w:tcW w:w="647" w:type="dxa"/>
            <w:shd w:val="clear" w:color="auto" w:fill="13213F"/>
          </w:tcPr>
          <w:p>
            <w:pPr>
              <w:pStyle w:val="Compact"/>
              <w:spacing w:before="0" w:after="0" w:line="240" w:lineRule="auto"/>
              <w:jc w:val="left"/>
            </w:pPr>
            <w:r>
              <w:rPr>
                <w:rFonts w:ascii="Arial" w:hAnsi="Arial"/>
                <w:b/>
                <w:color w:val="FFFFFF"/>
                <w:sz w:val="15"/>
              </w:rPr>
              <w:t xml:space="preserve">Share</w:t>
            </w:r>
          </w:p>
        </w:tc>
        <w:tc>
          <w:tcPr>
            <w:tcW w:w="719" w:type="dxa"/>
            <w:shd w:val="clear" w:color="auto" w:fill="13213F"/>
          </w:tcPr>
          <w:p>
            <w:pPr>
              <w:pStyle w:val="Compact"/>
              <w:spacing w:before="0" w:after="0" w:line="240" w:lineRule="auto"/>
              <w:jc w:val="left"/>
            </w:pPr>
            <w:r>
              <w:rPr>
                <w:rFonts w:ascii="Arial" w:hAnsi="Arial"/>
                <w:b/>
                <w:color w:val="FFFFFF"/>
                <w:sz w:val="15"/>
              </w:rPr>
              <w:t xml:space="preserve">Loan growth y/y</w:t>
            </w:r>
          </w:p>
        </w:tc>
        <w:tc>
          <w:tcPr>
            <w:tcW w:w="935" w:type="dxa"/>
            <w:shd w:val="clear" w:color="auto" w:fill="13213F"/>
          </w:tcPr>
          <w:p>
            <w:pPr>
              <w:pStyle w:val="Compact"/>
              <w:spacing w:before="0" w:after="0" w:line="240" w:lineRule="auto"/>
              <w:jc w:val="left"/>
            </w:pPr>
            <w:r>
              <w:rPr>
                <w:rFonts w:ascii="Arial" w:hAnsi="Arial"/>
                <w:b/>
                <w:color w:val="FFFFFF"/>
                <w:sz w:val="15"/>
              </w:rPr>
              <w:t xml:space="preserve">NPL 90+ (1H26)</w:t>
            </w:r>
          </w:p>
        </w:tc>
        <w:tc>
          <w:tcPr>
            <w:tcW w:w="1889" w:type="dxa"/>
            <w:shd w:val="clear" w:color="auto" w:fill="13213F"/>
          </w:tcPr>
          <w:p>
            <w:pPr>
              <w:pStyle w:val="Compact"/>
              <w:spacing w:before="0" w:after="0" w:line="240" w:lineRule="auto"/>
              <w:jc w:val="left"/>
            </w:pPr>
            <w:r>
              <w:rPr>
                <w:rFonts w:ascii="Arial" w:hAnsi="Arial"/>
                <w:b/>
                <w:color w:val="FFFFFF"/>
                <w:sz w:val="15"/>
              </w:rPr>
              <w:t xml:space="preserve">Funding</w:t>
            </w:r>
          </w:p>
        </w:tc>
        <w:tc>
          <w:tcPr>
            <w:tcW w:w="791" w:type="dxa"/>
            <w:shd w:val="clear" w:color="auto" w:fill="13213F"/>
          </w:tcPr>
          <w:p>
            <w:pPr>
              <w:pStyle w:val="Compact"/>
              <w:spacing w:before="0" w:after="0" w:line="240" w:lineRule="auto"/>
              <w:jc w:val="left"/>
            </w:pPr>
            <w:r>
              <w:rPr>
                <w:rFonts w:ascii="Arial" w:hAnsi="Arial"/>
                <w:b/>
                <w:color w:val="FFFFFF"/>
                <w:sz w:val="15"/>
              </w:rPr>
              <w:t xml:space="preserve">Est. FY25 revenue share [e]</w:t>
            </w:r>
          </w:p>
        </w:tc>
        <w:tc>
          <w:tcPr>
            <w:tcW w:w="647" w:type="dxa"/>
            <w:shd w:val="clear" w:color="auto" w:fill="13213F"/>
          </w:tcPr>
          <w:p>
            <w:pPr>
              <w:pStyle w:val="Compact"/>
              <w:spacing w:before="0" w:after="0" w:line="240" w:lineRule="auto"/>
              <w:jc w:val="left"/>
            </w:pPr>
            <w:r>
              <w:rPr>
                <w:rFonts w:ascii="Arial" w:hAnsi="Arial"/>
                <w:b/>
                <w:color w:val="FFFFFF"/>
                <w:sz w:val="15"/>
              </w:rPr>
              <w:t xml:space="preserve">Est. FY25 PBT share [e]</w:t>
            </w:r>
          </w:p>
        </w:tc>
        <w:tc>
          <w:tcPr>
            <w:tcW w:w="2408" w:type="dxa"/>
            <w:shd w:val="clear" w:color="auto" w:fill="13213F"/>
          </w:tcPr>
          <w:p>
            <w:pPr>
              <w:pStyle w:val="Compact"/>
              <w:spacing w:before="0" w:after="0" w:line="240" w:lineRule="auto"/>
              <w:jc w:val="left"/>
            </w:pPr>
            <w:r>
              <w:rPr>
                <w:rFonts w:ascii="Arial" w:hAnsi="Arial"/>
                <w:b/>
                <w:color w:val="FFFFFF"/>
                <w:sz w:val="15"/>
              </w:rPr>
              <w:t xml:space="preserve">Trend</w:t>
            </w:r>
          </w:p>
        </w:tc>
      </w:tr>
      <w:tr>
        <w:trPr>
          <w:cantSplit/>
        </w:trPr>
        <w:tc>
          <w:tcPr>
            <w:tcW w:w="1166" w:type="dxa"/>
          </w:tcPr>
          <w:p>
            <w:pPr>
              <w:pStyle w:val="Compact"/>
              <w:spacing w:before="0" w:after="0" w:line="240" w:lineRule="auto"/>
              <w:jc w:val="left"/>
            </w:pPr>
            <w:r>
              <w:rPr>
                <w:rFonts w:ascii="Arial" w:hAnsi="Arial"/>
                <w:sz w:val="15"/>
              </w:rPr>
              <w:t xml:space="preserve">Corporate</w:t>
            </w:r>
          </w:p>
        </w:tc>
        <w:tc>
          <w:tcPr>
            <w:tcW w:w="774" w:type="dxa"/>
          </w:tcPr>
          <w:p>
            <w:pPr>
              <w:pStyle w:val="Compact"/>
              <w:spacing w:before="0" w:after="0" w:line="240" w:lineRule="auto"/>
              <w:jc w:val="left"/>
            </w:pPr>
            <w:r>
              <w:rPr>
                <w:rFonts w:ascii="Arial" w:hAnsi="Arial"/>
                <w:sz w:val="15"/>
              </w:rPr>
              <w:t xml:space="preserve">~6.8 [u]</w:t>
            </w:r>
          </w:p>
        </w:tc>
        <w:tc>
          <w:tcPr>
            <w:tcW w:w="647" w:type="dxa"/>
          </w:tcPr>
          <w:p>
            <w:pPr>
              <w:pStyle w:val="Compact"/>
              <w:spacing w:before="0" w:after="0" w:line="240" w:lineRule="auto"/>
              <w:jc w:val="left"/>
            </w:pPr>
            <w:r>
              <w:rPr>
                <w:rFonts w:ascii="Arial" w:hAnsi="Arial"/>
                <w:sz w:val="15"/>
              </w:rPr>
              <w:t xml:space="preserve">~49%</w:t>
            </w:r>
          </w:p>
        </w:tc>
        <w:tc>
          <w:tcPr>
            <w:tcW w:w="719" w:type="dxa"/>
          </w:tcPr>
          <w:p>
            <w:pPr>
              <w:pStyle w:val="Compact"/>
              <w:spacing w:before="0" w:after="0" w:line="240" w:lineRule="auto"/>
              <w:jc w:val="left"/>
            </w:pPr>
            <w:r>
              <w:rPr>
                <w:rFonts w:ascii="Arial" w:hAnsi="Arial"/>
                <w:sz w:val="15"/>
              </w:rPr>
              <w:t xml:space="preserve">+11%</w:t>
            </w:r>
          </w:p>
        </w:tc>
        <w:tc>
          <w:tcPr>
            <w:tcW w:w="935" w:type="dxa"/>
          </w:tcPr>
          <w:p>
            <w:pPr>
              <w:pStyle w:val="Compact"/>
              <w:spacing w:before="0" w:after="0" w:line="240" w:lineRule="auto"/>
              <w:jc w:val="left"/>
            </w:pPr>
            <w:r>
              <w:rPr>
                <w:rFonts w:ascii="Arial" w:hAnsi="Arial"/>
                <w:sz w:val="15"/>
              </w:rPr>
              <w:t xml:space="preserve">2.6% (coverage 123%)</w:t>
            </w:r>
          </w:p>
        </w:tc>
        <w:tc>
          <w:tcPr>
            <w:tcW w:w="1889" w:type="dxa"/>
          </w:tcPr>
          <w:p>
            <w:pPr>
              <w:pStyle w:val="Compact"/>
              <w:spacing w:before="0" w:after="0" w:line="240" w:lineRule="auto"/>
              <w:jc w:val="left"/>
            </w:pPr>
            <w:r>
              <w:rPr>
                <w:rFonts w:ascii="Arial" w:hAnsi="Arial"/>
                <w:sz w:val="15"/>
              </w:rPr>
              <w:t xml:space="preserve">Business deposits KZT6.4trn (FY25)</w:t>
            </w:r>
          </w:p>
        </w:tc>
        <w:tc>
          <w:tcPr>
            <w:tcW w:w="791" w:type="dxa"/>
          </w:tcPr>
          <w:p>
            <w:pPr>
              <w:pStyle w:val="Compact"/>
              <w:spacing w:before="0" w:after="0" w:line="240" w:lineRule="auto"/>
              <w:jc w:val="left"/>
            </w:pPr>
            <w:r>
              <w:rPr>
                <w:rFonts w:ascii="Arial" w:hAnsi="Arial"/>
                <w:sz w:val="15"/>
              </w:rPr>
              <w:t xml:space="preserve">~35%</w:t>
            </w:r>
          </w:p>
        </w:tc>
        <w:tc>
          <w:tcPr>
            <w:tcW w:w="647" w:type="dxa"/>
          </w:tcPr>
          <w:p>
            <w:pPr>
              <w:pStyle w:val="Compact"/>
              <w:spacing w:before="0" w:after="0" w:line="240" w:lineRule="auto"/>
              <w:jc w:val="left"/>
            </w:pPr>
            <w:r>
              <w:rPr>
                <w:rFonts w:ascii="Arial" w:hAnsi="Arial"/>
                <w:sz w:val="15"/>
              </w:rPr>
              <w:t xml:space="preserve">~40%</w:t>
            </w:r>
          </w:p>
        </w:tc>
        <w:tc>
          <w:tcPr>
            <w:tcW w:w="2408" w:type="dxa"/>
          </w:tcPr>
          <w:p>
            <w:pPr>
              <w:pStyle w:val="Compact"/>
              <w:spacing w:before="0" w:after="0" w:line="240" w:lineRule="auto"/>
              <w:jc w:val="left"/>
            </w:pPr>
            <w:r>
              <w:rPr>
                <w:rFonts w:ascii="Arial" w:hAnsi="Arial"/>
                <w:sz w:val="15"/>
              </w:rPr>
              <w:t xml:space="preserve">Steady; infrastructure and energy demand</w:t>
            </w:r>
          </w:p>
        </w:tc>
      </w:tr>
      <w:tr>
        <w:trPr>
          <w:cantSplit/>
        </w:trPr>
        <w:tc>
          <w:tcPr>
            <w:tcW w:w="1166" w:type="dxa"/>
          </w:tcPr>
          <w:p>
            <w:pPr>
              <w:pStyle w:val="Compact"/>
              <w:spacing w:before="0" w:after="0" w:line="240" w:lineRule="auto"/>
              <w:jc w:val="left"/>
            </w:pPr>
            <w:r>
              <w:rPr>
                <w:rFonts w:ascii="Arial" w:hAnsi="Arial"/>
                <w:sz w:val="15"/>
              </w:rPr>
              <w:t xml:space="preserve">SME</w:t>
            </w:r>
          </w:p>
        </w:tc>
        <w:tc>
          <w:tcPr>
            <w:tcW w:w="774" w:type="dxa"/>
          </w:tcPr>
          <w:p>
            <w:pPr>
              <w:pStyle w:val="Compact"/>
              <w:spacing w:before="0" w:after="0" w:line="240" w:lineRule="auto"/>
              <w:jc w:val="left"/>
            </w:pPr>
            <w:r>
              <w:rPr>
                <w:rFonts w:ascii="Arial" w:hAnsi="Arial"/>
                <w:sz w:val="15"/>
              </w:rPr>
              <w:t xml:space="preserve">~2.4 [u]</w:t>
            </w:r>
          </w:p>
        </w:tc>
        <w:tc>
          <w:tcPr>
            <w:tcW w:w="647" w:type="dxa"/>
          </w:tcPr>
          <w:p>
            <w:pPr>
              <w:pStyle w:val="Compact"/>
              <w:spacing w:before="0" w:after="0" w:line="240" w:lineRule="auto"/>
              <w:jc w:val="left"/>
            </w:pPr>
            <w:r>
              <w:rPr>
                <w:rFonts w:ascii="Arial" w:hAnsi="Arial"/>
                <w:sz w:val="15"/>
              </w:rPr>
              <w:t xml:space="preserve">~17%</w:t>
            </w:r>
          </w:p>
        </w:tc>
        <w:tc>
          <w:tcPr>
            <w:tcW w:w="719" w:type="dxa"/>
          </w:tcPr>
          <w:p>
            <w:pPr>
              <w:pStyle w:val="Compact"/>
              <w:spacing w:before="0" w:after="0" w:line="240" w:lineRule="auto"/>
              <w:jc w:val="left"/>
            </w:pPr>
            <w:r>
              <w:rPr>
                <w:rFonts w:ascii="Arial" w:hAnsi="Arial"/>
                <w:sz w:val="15"/>
              </w:rPr>
              <w:t xml:space="preserve">+25%</w:t>
            </w:r>
          </w:p>
        </w:tc>
        <w:tc>
          <w:tcPr>
            <w:tcW w:w="935" w:type="dxa"/>
          </w:tcPr>
          <w:p>
            <w:pPr>
              <w:pStyle w:val="Compact"/>
              <w:spacing w:before="0" w:after="0" w:line="240" w:lineRule="auto"/>
              <w:jc w:val="left"/>
            </w:pPr>
            <w:r>
              <w:rPr>
                <w:rFonts w:ascii="Arial" w:hAnsi="Arial"/>
                <w:sz w:val="15"/>
              </w:rPr>
              <w:t xml:space="preserve">~5%</w:t>
            </w:r>
          </w:p>
        </w:tc>
        <w:tc>
          <w:tcPr>
            <w:tcW w:w="1889" w:type="dxa"/>
          </w:tcPr>
          <w:p>
            <w:pPr>
              <w:pStyle w:val="Compact"/>
              <w:spacing w:before="0" w:after="0" w:line="240" w:lineRule="auto"/>
              <w:jc w:val="left"/>
            </w:pPr>
            <w:r>
              <w:rPr>
                <w:rFonts w:ascii="Arial" w:hAnsi="Arial"/>
                <w:sz w:val="15"/>
              </w:rPr>
              <w:t xml:space="preserve">(in business deposits)</w:t>
            </w:r>
          </w:p>
        </w:tc>
        <w:tc>
          <w:tcPr>
            <w:tcW w:w="791" w:type="dxa"/>
          </w:tcPr>
          <w:p>
            <w:pPr>
              <w:pStyle w:val="Compact"/>
              <w:spacing w:before="0" w:after="0" w:line="240" w:lineRule="auto"/>
              <w:jc w:val="left"/>
            </w:pPr>
            <w:r>
              <w:rPr>
                <w:rFonts w:ascii="Arial" w:hAnsi="Arial"/>
                <w:sz w:val="15"/>
              </w:rPr>
              <w:t xml:space="preserve">~15%</w:t>
            </w:r>
          </w:p>
        </w:tc>
        <w:tc>
          <w:tcPr>
            <w:tcW w:w="647" w:type="dxa"/>
          </w:tcPr>
          <w:p>
            <w:pPr>
              <w:pStyle w:val="Compact"/>
              <w:spacing w:before="0" w:after="0" w:line="240" w:lineRule="auto"/>
              <w:jc w:val="left"/>
            </w:pPr>
            <w:r>
              <w:rPr>
                <w:rFonts w:ascii="Arial" w:hAnsi="Arial"/>
                <w:sz w:val="15"/>
              </w:rPr>
              <w:t xml:space="preserve">~15%</w:t>
            </w:r>
          </w:p>
        </w:tc>
        <w:tc>
          <w:tcPr>
            <w:tcW w:w="2408" w:type="dxa"/>
          </w:tcPr>
          <w:p>
            <w:pPr>
              <w:pStyle w:val="Compact"/>
              <w:spacing w:before="0" w:after="0" w:line="240" w:lineRule="auto"/>
              <w:jc w:val="left"/>
            </w:pPr>
            <w:r>
              <w:rPr>
                <w:rFonts w:ascii="Arial" w:hAnsi="Arial"/>
                <w:sz w:val="15"/>
              </w:rPr>
              <w:t xml:space="preserve">Fastest growth; digital SME book +40%</w:t>
            </w:r>
          </w:p>
        </w:tc>
      </w:tr>
      <w:tr>
        <w:trPr>
          <w:cantSplit/>
        </w:trPr>
        <w:tc>
          <w:tcPr>
            <w:tcW w:w="1166" w:type="dxa"/>
          </w:tcPr>
          <w:p>
            <w:pPr>
              <w:pStyle w:val="Compact"/>
              <w:spacing w:before="0" w:after="0" w:line="240" w:lineRule="auto"/>
              <w:jc w:val="left"/>
            </w:pPr>
            <w:r>
              <w:rPr>
                <w:rFonts w:ascii="Arial" w:hAnsi="Arial"/>
                <w:sz w:val="15"/>
              </w:rPr>
              <w:t xml:space="preserve">Retail</w:t>
            </w:r>
          </w:p>
        </w:tc>
        <w:tc>
          <w:tcPr>
            <w:tcW w:w="774" w:type="dxa"/>
          </w:tcPr>
          <w:p>
            <w:pPr>
              <w:pStyle w:val="Compact"/>
              <w:spacing w:before="0" w:after="0" w:line="240" w:lineRule="auto"/>
              <w:jc w:val="left"/>
            </w:pPr>
            <w:r>
              <w:rPr>
                <w:rFonts w:ascii="Arial" w:hAnsi="Arial"/>
                <w:sz w:val="15"/>
              </w:rPr>
              <w:t xml:space="preserve">4.79</w:t>
            </w:r>
          </w:p>
        </w:tc>
        <w:tc>
          <w:tcPr>
            <w:tcW w:w="647" w:type="dxa"/>
          </w:tcPr>
          <w:p>
            <w:pPr>
              <w:pStyle w:val="Compact"/>
              <w:spacing w:before="0" w:after="0" w:line="240" w:lineRule="auto"/>
              <w:jc w:val="left"/>
            </w:pPr>
            <w:r>
              <w:rPr>
                <w:rFonts w:ascii="Arial" w:hAnsi="Arial"/>
                <w:sz w:val="15"/>
              </w:rPr>
              <w:t xml:space="preserve">~34%</w:t>
            </w:r>
          </w:p>
        </w:tc>
        <w:tc>
          <w:tcPr>
            <w:tcW w:w="719" w:type="dxa"/>
          </w:tcPr>
          <w:p>
            <w:pPr>
              <w:pStyle w:val="Compact"/>
              <w:spacing w:before="0" w:after="0" w:line="240" w:lineRule="auto"/>
              <w:jc w:val="left"/>
            </w:pPr>
            <w:r>
              <w:rPr>
                <w:rFonts w:ascii="Arial" w:hAnsi="Arial"/>
                <w:sz w:val="15"/>
              </w:rPr>
              <w:t xml:space="preserve">+10.7%</w:t>
            </w:r>
          </w:p>
        </w:tc>
        <w:tc>
          <w:tcPr>
            <w:tcW w:w="935" w:type="dxa"/>
          </w:tcPr>
          <w:p>
            <w:pPr>
              <w:pStyle w:val="Compact"/>
              <w:spacing w:before="0" w:after="0" w:line="240" w:lineRule="auto"/>
              <w:jc w:val="left"/>
            </w:pPr>
            <w:r>
              <w:rPr>
                <w:rFonts w:ascii="Arial" w:hAnsi="Arial"/>
                <w:sz w:val="15"/>
              </w:rPr>
              <w:t xml:space="preserve">9.2%</w:t>
            </w:r>
          </w:p>
        </w:tc>
        <w:tc>
          <w:tcPr>
            <w:tcW w:w="1889" w:type="dxa"/>
          </w:tcPr>
          <w:p>
            <w:pPr>
              <w:pStyle w:val="Compact"/>
              <w:spacing w:before="0" w:after="0" w:line="240" w:lineRule="auto"/>
              <w:jc w:val="left"/>
            </w:pPr>
            <w:r>
              <w:rPr>
                <w:rFonts w:ascii="Arial" w:hAnsi="Arial"/>
                <w:sz w:val="15"/>
              </w:rPr>
              <w:t xml:space="preserve">Retail deposits KZT8.3trn (+10.5%)</w:t>
            </w:r>
          </w:p>
        </w:tc>
        <w:tc>
          <w:tcPr>
            <w:tcW w:w="791" w:type="dxa"/>
          </w:tcPr>
          <w:p>
            <w:pPr>
              <w:pStyle w:val="Compact"/>
              <w:spacing w:before="0" w:after="0" w:line="240" w:lineRule="auto"/>
              <w:jc w:val="left"/>
            </w:pPr>
            <w:r>
              <w:rPr>
                <w:rFonts w:ascii="Arial" w:hAnsi="Arial"/>
                <w:sz w:val="15"/>
              </w:rPr>
              <w:t xml:space="preserve">~40%</w:t>
            </w:r>
          </w:p>
        </w:tc>
        <w:tc>
          <w:tcPr>
            <w:tcW w:w="647" w:type="dxa"/>
          </w:tcPr>
          <w:p>
            <w:pPr>
              <w:pStyle w:val="Compact"/>
              <w:spacing w:before="0" w:after="0" w:line="240" w:lineRule="auto"/>
              <w:jc w:val="left"/>
            </w:pPr>
            <w:r>
              <w:rPr>
                <w:rFonts w:ascii="Arial" w:hAnsi="Arial"/>
                <w:sz w:val="15"/>
              </w:rPr>
              <w:t xml:space="preserve">~35%</w:t>
            </w:r>
          </w:p>
        </w:tc>
        <w:tc>
          <w:tcPr>
            <w:tcW w:w="2408" w:type="dxa"/>
          </w:tcPr>
          <w:p>
            <w:pPr>
              <w:pStyle w:val="Compact"/>
              <w:spacing w:before="0" w:after="0" w:line="240" w:lineRule="auto"/>
              <w:jc w:val="left"/>
            </w:pPr>
            <w:r>
              <w:rPr>
                <w:rFonts w:ascii="Arial" w:hAnsi="Arial"/>
                <w:sz w:val="15"/>
              </w:rPr>
              <w:t xml:space="preserve">Issuance −18% in 1Q26; pivot to secured</w:t>
            </w:r>
          </w:p>
        </w:tc>
      </w:tr>
      <w:tr>
        <w:trPr>
          <w:cantSplit/>
        </w:trPr>
        <w:tc>
          <w:tcPr>
            <w:tcW w:w="1166" w:type="dxa"/>
          </w:tcPr>
          <w:p>
            <w:pPr>
              <w:pStyle w:val="Compact"/>
              <w:spacing w:before="0" w:after="0" w:line="240" w:lineRule="auto"/>
              <w:jc w:val="left"/>
            </w:pPr>
            <w:r>
              <w:rPr>
                <w:rFonts w:ascii="Arial" w:hAnsi="Arial"/>
                <w:sz w:val="15"/>
              </w:rPr>
              <w:t xml:space="preserve">Investment banking, insurance, other</w:t>
            </w:r>
          </w:p>
        </w:tc>
        <w:tc>
          <w:tcPr>
            <w:tcW w:w="774" w:type="dxa"/>
          </w:tcPr>
          <w:p>
            <w:pPr>
              <w:pStyle w:val="Compact"/>
              <w:spacing w:before="0" w:after="0" w:line="240" w:lineRule="auto"/>
              <w:jc w:val="left"/>
            </w:pPr>
            <w:r>
              <w:rPr>
                <w:rFonts w:ascii="Arial" w:hAnsi="Arial"/>
                <w:sz w:val="15"/>
              </w:rPr>
              <w:t xml:space="preserve">n/a</w:t>
            </w:r>
          </w:p>
        </w:tc>
        <w:tc>
          <w:tcPr>
            <w:tcW w:w="647" w:type="dxa"/>
          </w:tcPr>
          <w:p>
            <w:pPr>
              <w:pStyle w:val="Compact"/>
              <w:spacing w:before="0" w:after="0" w:line="240" w:lineRule="auto"/>
              <w:jc w:val="left"/>
            </w:pPr>
            <w:r>
              <w:rPr>
                <w:rFonts w:ascii="Arial" w:hAnsi="Arial"/>
                <w:sz w:val="15"/>
              </w:rPr>
              <w:t xml:space="preserve">n/a</w:t>
            </w:r>
          </w:p>
        </w:tc>
        <w:tc>
          <w:tcPr>
            <w:tcW w:w="719" w:type="dxa"/>
          </w:tcPr>
          <w:p>
            <w:pPr>
              <w:pStyle w:val="Compact"/>
              <w:spacing w:before="0" w:after="0" w:line="240" w:lineRule="auto"/>
              <w:jc w:val="left"/>
            </w:pPr>
            <w:r>
              <w:rPr>
                <w:rFonts w:ascii="Arial" w:hAnsi="Arial"/>
                <w:sz w:val="15"/>
              </w:rPr>
              <w:t xml:space="preserve">n/a</w:t>
            </w:r>
          </w:p>
        </w:tc>
        <w:tc>
          <w:tcPr>
            <w:tcW w:w="935" w:type="dxa"/>
          </w:tcPr>
          <w:p>
            <w:pPr>
              <w:pStyle w:val="Compact"/>
              <w:spacing w:before="0" w:after="0" w:line="240" w:lineRule="auto"/>
              <w:jc w:val="left"/>
            </w:pPr>
            <w:r>
              <w:rPr>
                <w:rFonts w:ascii="Arial" w:hAnsi="Arial"/>
                <w:sz w:val="15"/>
              </w:rPr>
              <w:t xml:space="preserve">n/a</w:t>
            </w:r>
          </w:p>
        </w:tc>
        <w:tc>
          <w:tcPr>
            <w:tcW w:w="1889" w:type="dxa"/>
          </w:tcPr>
          <w:p>
            <w:pPr>
              <w:pStyle w:val="Compact"/>
              <w:spacing w:before="0" w:after="0" w:line="240" w:lineRule="auto"/>
              <w:jc w:val="left"/>
            </w:pPr>
            <w:r>
              <w:rPr>
                <w:rFonts w:ascii="Arial" w:hAnsi="Arial"/>
                <w:sz w:val="15"/>
              </w:rPr>
              <w:t xml:space="preserve">n/a</w:t>
            </w:r>
          </w:p>
        </w:tc>
        <w:tc>
          <w:tcPr>
            <w:tcW w:w="791" w:type="dxa"/>
          </w:tcPr>
          <w:p>
            <w:pPr>
              <w:pStyle w:val="Compact"/>
              <w:spacing w:before="0" w:after="0" w:line="240" w:lineRule="auto"/>
              <w:jc w:val="left"/>
            </w:pPr>
            <w:r>
              <w:rPr>
                <w:rFonts w:ascii="Arial" w:hAnsi="Arial"/>
                <w:sz w:val="15"/>
              </w:rPr>
              <w:t xml:space="preserve">~10%</w:t>
            </w:r>
          </w:p>
        </w:tc>
        <w:tc>
          <w:tcPr>
            <w:tcW w:w="647" w:type="dxa"/>
          </w:tcPr>
          <w:p>
            <w:pPr>
              <w:pStyle w:val="Compact"/>
              <w:spacing w:before="0" w:after="0" w:line="240" w:lineRule="auto"/>
              <w:jc w:val="left"/>
            </w:pPr>
            <w:r>
              <w:rPr>
                <w:rFonts w:ascii="Arial" w:hAnsi="Arial"/>
                <w:sz w:val="15"/>
              </w:rPr>
              <w:t xml:space="preserve">~10%</w:t>
            </w:r>
          </w:p>
        </w:tc>
        <w:tc>
          <w:tcPr>
            <w:tcW w:w="2408" w:type="dxa"/>
          </w:tcPr>
          <w:p>
            <w:pPr>
              <w:pStyle w:val="Compact"/>
              <w:spacing w:before="0" w:after="0" w:line="240" w:lineRule="auto"/>
              <w:jc w:val="left"/>
            </w:pPr>
            <w:r>
              <w:rPr>
                <w:rFonts w:ascii="Arial" w:hAnsi="Arial"/>
                <w:sz w:val="15"/>
              </w:rPr>
              <w:t xml:space="preserve">Insurance loss in 2Q26</w:t>
            </w:r>
          </w:p>
        </w:tc>
      </w:tr>
    </w:tbl>
    <w:p>
      <w:pPr>
        <w:numPr>
          <w:ilvl w:val="0"/>
          <w:numId w:val="1041"/>
        </w:numPr>
        <w:pStyle w:val="Compact"/>
      </w:pPr>
      <w:r>
        <w:rPr>
          <w:bCs/>
          <w:b/>
        </w:rPr>
        <w:t xml:space="preserve">Segment mix over time.</w:t>
      </w:r>
    </w:p>
    <w:p>
      <w:pPr>
        <w:numPr>
          <w:ilvl w:val="1"/>
          <w:numId w:val="1042"/>
        </w:numPr>
        <w:pStyle w:val="Compact"/>
      </w:pPr>
      <w:r>
        <w:t xml:space="preserve">Retail grew faster than corporate in 2021–24 (to ~35% of loans in 9M25), helped by BNPL and digital cash loans.</w:t>
      </w:r>
    </w:p>
    <w:p>
      <w:pPr>
        <w:numPr>
          <w:ilvl w:val="1"/>
          <w:numId w:val="1042"/>
        </w:numPr>
        <w:pStyle w:val="Compact"/>
      </w:pPr>
      <w:r>
        <w:t xml:space="preserve">In 2026 that reversed: SME is the growth engine and retail is re-mixing to secured loans.</w:t>
      </w:r>
    </w:p>
    <w:p>
      <w:pPr>
        <w:numPr>
          <w:ilvl w:val="0"/>
          <w:numId w:val="1041"/>
        </w:numPr>
        <w:pStyle w:val="Compact"/>
      </w:pPr>
      <w:r>
        <w:rPr>
          <w:bCs/>
          <w:b/>
        </w:rPr>
        <w:t xml:space="preserve">Margin implication.</w:t>
      </w:r>
      <w:r>
        <w:t xml:space="preserve"> </w:t>
      </w:r>
      <w:r>
        <w:t xml:space="preserve">The retail-to-SME shift lowers NIM but should lower credit cost from 2027.</w:t>
      </w:r>
    </w:p>
    <w:bookmarkEnd w:id="44"/>
    <w:bookmarkStart w:id="45" w:name="geographic-view"/>
    <w:p>
      <w:pPr>
        <w:pStyle w:val="Heading2"/>
      </w:pPr>
      <w:r>
        <w:t xml:space="preserve">Geographic view</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622"/>
        <w:gridCol w:w="5696"/>
        <w:gridCol w:w="2658"/>
      </w:tblGrid>
      <w:tr>
        <w:trPr>
          <w:tblHeader w:val="true"/>
          <w:cantSplit/>
          <w:tblHeader w:val="true"/>
        </w:trPr>
        <w:tc>
          <w:tcPr>
            <w:tcW w:w="1622" w:type="dxa"/>
            <w:shd w:val="clear" w:color="auto" w:fill="13213F"/>
          </w:tcPr>
          <w:p>
            <w:pPr>
              <w:pStyle w:val="Compact"/>
              <w:spacing w:before="0" w:after="0" w:line="240" w:lineRule="auto"/>
              <w:jc w:val="left"/>
            </w:pPr>
            <w:r>
              <w:rPr>
                <w:rFonts w:ascii="Arial" w:hAnsi="Arial"/>
                <w:b/>
                <w:color w:val="FFFFFF"/>
                <w:sz w:val="15"/>
              </w:rPr>
              <w:t xml:space="preserve">Geography</w:t>
            </w:r>
          </w:p>
        </w:tc>
        <w:tc>
          <w:tcPr>
            <w:tcW w:w="5696" w:type="dxa"/>
            <w:shd w:val="clear" w:color="auto" w:fill="13213F"/>
          </w:tcPr>
          <w:p>
            <w:pPr>
              <w:pStyle w:val="Compact"/>
              <w:spacing w:before="0" w:after="0" w:line="240" w:lineRule="auto"/>
              <w:jc w:val="left"/>
            </w:pPr>
            <w:r>
              <w:rPr>
                <w:rFonts w:ascii="Arial" w:hAnsi="Arial"/>
                <w:b/>
                <w:color w:val="FFFFFF"/>
                <w:sz w:val="15"/>
              </w:rPr>
              <w:t xml:space="preserve">Status</w:t>
            </w:r>
          </w:p>
        </w:tc>
        <w:tc>
          <w:tcPr>
            <w:tcW w:w="2658" w:type="dxa"/>
            <w:shd w:val="clear" w:color="auto" w:fill="13213F"/>
          </w:tcPr>
          <w:p>
            <w:pPr>
              <w:pStyle w:val="Compact"/>
              <w:spacing w:before="0" w:after="0" w:line="240" w:lineRule="auto"/>
              <w:jc w:val="left"/>
            </w:pPr>
            <w:r>
              <w:rPr>
                <w:rFonts w:ascii="Arial" w:hAnsi="Arial"/>
                <w:b/>
                <w:color w:val="FFFFFF"/>
                <w:sz w:val="15"/>
              </w:rPr>
              <w:t xml:space="preserve">Contribution</w:t>
            </w:r>
          </w:p>
        </w:tc>
      </w:tr>
      <w:tr>
        <w:trPr>
          <w:cantSplit/>
        </w:trPr>
        <w:tc>
          <w:tcPr>
            <w:tcW w:w="1622" w:type="dxa"/>
          </w:tcPr>
          <w:p>
            <w:pPr>
              <w:pStyle w:val="Compact"/>
              <w:spacing w:before="0" w:after="0" w:line="240" w:lineRule="auto"/>
              <w:jc w:val="left"/>
            </w:pPr>
            <w:r>
              <w:rPr>
                <w:rFonts w:ascii="Arial" w:hAnsi="Arial"/>
                <w:sz w:val="15"/>
              </w:rPr>
              <w:t xml:space="preserve">Kazakhstan</w:t>
            </w:r>
          </w:p>
        </w:tc>
        <w:tc>
          <w:tcPr>
            <w:tcW w:w="5696" w:type="dxa"/>
          </w:tcPr>
          <w:p>
            <w:pPr>
              <w:pStyle w:val="Compact"/>
              <w:spacing w:before="0" w:after="0" w:line="240" w:lineRule="auto"/>
              <w:jc w:val="left"/>
            </w:pPr>
            <w:r>
              <w:rPr>
                <w:rFonts w:ascii="Arial" w:hAnsi="Arial"/>
                <w:sz w:val="15"/>
              </w:rPr>
              <w:t xml:space="preserve">Core (parent bank plus domestic subsidiaries)</w:t>
            </w:r>
          </w:p>
        </w:tc>
        <w:tc>
          <w:tcPr>
            <w:tcW w:w="2658" w:type="dxa"/>
          </w:tcPr>
          <w:p>
            <w:pPr>
              <w:pStyle w:val="Compact"/>
              <w:spacing w:before="0" w:after="0" w:line="240" w:lineRule="auto"/>
              <w:jc w:val="left"/>
            </w:pPr>
            <w:r>
              <w:rPr>
                <w:rFonts w:ascii="Arial" w:hAnsi="Arial"/>
                <w:sz w:val="15"/>
              </w:rPr>
              <w:t xml:space="preserve">~98% of net income [e]</w:t>
            </w:r>
          </w:p>
        </w:tc>
      </w:tr>
      <w:tr>
        <w:trPr>
          <w:cantSplit/>
        </w:trPr>
        <w:tc>
          <w:tcPr>
            <w:tcW w:w="1622" w:type="dxa"/>
          </w:tcPr>
          <w:p>
            <w:pPr>
              <w:pStyle w:val="Compact"/>
              <w:spacing w:before="0" w:after="0" w:line="240" w:lineRule="auto"/>
              <w:jc w:val="left"/>
            </w:pPr>
            <w:r>
              <w:rPr>
                <w:rFonts w:ascii="Arial" w:hAnsi="Arial"/>
                <w:sz w:val="15"/>
              </w:rPr>
              <w:t xml:space="preserve">Georgia</w:t>
            </w:r>
          </w:p>
        </w:tc>
        <w:tc>
          <w:tcPr>
            <w:tcW w:w="5696" w:type="dxa"/>
          </w:tcPr>
          <w:p>
            <w:pPr>
              <w:pStyle w:val="Compact"/>
              <w:spacing w:before="0" w:after="0" w:line="240" w:lineRule="auto"/>
              <w:jc w:val="left"/>
            </w:pPr>
            <w:r>
              <w:rPr>
                <w:rFonts w:ascii="Arial" w:hAnsi="Arial"/>
                <w:sz w:val="15"/>
              </w:rPr>
              <w:t xml:space="preserve">Halyk Bank Georgia (100%)</w:t>
            </w:r>
          </w:p>
        </w:tc>
        <w:tc>
          <w:tcPr>
            <w:tcW w:w="2658" w:type="dxa"/>
          </w:tcPr>
          <w:p>
            <w:pPr>
              <w:pStyle w:val="Compact"/>
              <w:spacing w:before="0" w:after="0" w:line="240" w:lineRule="auto"/>
              <w:jc w:val="left"/>
            </w:pPr>
            <w:r>
              <w:rPr>
                <w:rFonts w:ascii="Arial" w:hAnsi="Arial"/>
                <w:sz w:val="15"/>
              </w:rPr>
              <w:t xml:space="preserve">Small (&lt;1%) [e]</w:t>
            </w:r>
          </w:p>
        </w:tc>
      </w:tr>
      <w:tr>
        <w:trPr>
          <w:cantSplit/>
        </w:trPr>
        <w:tc>
          <w:tcPr>
            <w:tcW w:w="1622" w:type="dxa"/>
          </w:tcPr>
          <w:p>
            <w:pPr>
              <w:pStyle w:val="Compact"/>
              <w:spacing w:before="0" w:after="0" w:line="240" w:lineRule="auto"/>
              <w:jc w:val="left"/>
            </w:pPr>
            <w:r>
              <w:rPr>
                <w:rFonts w:ascii="Arial" w:hAnsi="Arial"/>
                <w:sz w:val="15"/>
              </w:rPr>
              <w:t xml:space="preserve">Uzbekistan</w:t>
            </w:r>
          </w:p>
        </w:tc>
        <w:tc>
          <w:tcPr>
            <w:tcW w:w="5696" w:type="dxa"/>
          </w:tcPr>
          <w:p>
            <w:pPr>
              <w:pStyle w:val="Compact"/>
              <w:spacing w:before="0" w:after="0" w:line="240" w:lineRule="auto"/>
              <w:jc w:val="left"/>
            </w:pPr>
            <w:r>
              <w:rPr>
                <w:rFonts w:ascii="Arial" w:hAnsi="Arial"/>
                <w:sz w:val="15"/>
              </w:rPr>
              <w:t xml:space="preserve">Tenge Bank (100%); 49% sale and Click purchase lapsed Dec-25</w:t>
            </w:r>
          </w:p>
        </w:tc>
        <w:tc>
          <w:tcPr>
            <w:tcW w:w="2658" w:type="dxa"/>
          </w:tcPr>
          <w:p>
            <w:pPr>
              <w:pStyle w:val="Compact"/>
              <w:spacing w:before="0" w:after="0" w:line="240" w:lineRule="auto"/>
              <w:jc w:val="left"/>
            </w:pPr>
            <w:r>
              <w:rPr>
                <w:rFonts w:ascii="Arial" w:hAnsi="Arial"/>
                <w:sz w:val="15"/>
              </w:rPr>
              <w:t xml:space="preserve">Tenge Bank 2023 NI UZS146.5bn (~KZT5.7bn)</w:t>
            </w:r>
          </w:p>
        </w:tc>
      </w:tr>
      <w:tr>
        <w:trPr>
          <w:cantSplit/>
        </w:trPr>
        <w:tc>
          <w:tcPr>
            <w:tcW w:w="1622" w:type="dxa"/>
          </w:tcPr>
          <w:p>
            <w:pPr>
              <w:pStyle w:val="Compact"/>
              <w:spacing w:before="0" w:after="0" w:line="240" w:lineRule="auto"/>
              <w:jc w:val="left"/>
            </w:pPr>
            <w:r>
              <w:rPr>
                <w:rFonts w:ascii="Arial" w:hAnsi="Arial"/>
                <w:sz w:val="15"/>
              </w:rPr>
              <w:t xml:space="preserve">Russia</w:t>
            </w:r>
          </w:p>
        </w:tc>
        <w:tc>
          <w:tcPr>
            <w:tcW w:w="5696" w:type="dxa"/>
          </w:tcPr>
          <w:p>
            <w:pPr>
              <w:pStyle w:val="Compact"/>
              <w:spacing w:before="0" w:after="0" w:line="240" w:lineRule="auto"/>
              <w:jc w:val="left"/>
            </w:pPr>
            <w:r>
              <w:rPr>
                <w:rFonts w:ascii="Arial" w:hAnsi="Arial"/>
                <w:sz w:val="15"/>
              </w:rPr>
              <w:t xml:space="preserve">Moskommertsbank sold Dec-22 (~2% of group business; ~RUB1.1bn [u])</w:t>
            </w:r>
          </w:p>
        </w:tc>
        <w:tc>
          <w:tcPr>
            <w:tcW w:w="2658" w:type="dxa"/>
          </w:tcPr>
          <w:p>
            <w:pPr>
              <w:pStyle w:val="Compact"/>
              <w:spacing w:before="0" w:after="0" w:line="240" w:lineRule="auto"/>
              <w:jc w:val="left"/>
            </w:pPr>
            <w:r>
              <w:rPr>
                <w:rFonts w:ascii="Arial" w:hAnsi="Arial"/>
                <w:sz w:val="15"/>
              </w:rPr>
              <w:t xml:space="preserve">Exited</w:t>
            </w:r>
          </w:p>
        </w:tc>
      </w:tr>
      <w:tr>
        <w:trPr>
          <w:cantSplit/>
        </w:trPr>
        <w:tc>
          <w:tcPr>
            <w:tcW w:w="1622" w:type="dxa"/>
          </w:tcPr>
          <w:p>
            <w:pPr>
              <w:pStyle w:val="Compact"/>
              <w:spacing w:before="0" w:after="0" w:line="240" w:lineRule="auto"/>
              <w:jc w:val="left"/>
            </w:pPr>
            <w:r>
              <w:rPr>
                <w:rFonts w:ascii="Arial" w:hAnsi="Arial"/>
                <w:sz w:val="15"/>
              </w:rPr>
              <w:t xml:space="preserve">Tajikistan</w:t>
            </w:r>
          </w:p>
        </w:tc>
        <w:tc>
          <w:tcPr>
            <w:tcW w:w="5696" w:type="dxa"/>
          </w:tcPr>
          <w:p>
            <w:pPr>
              <w:pStyle w:val="Compact"/>
              <w:spacing w:before="0" w:after="0" w:line="240" w:lineRule="auto"/>
              <w:jc w:val="left"/>
            </w:pPr>
            <w:r>
              <w:rPr>
                <w:rFonts w:ascii="Arial" w:hAnsi="Arial"/>
                <w:sz w:val="15"/>
              </w:rPr>
              <w:t xml:space="preserve">Halyk Bank Tajikistan sold Dec-22</w:t>
            </w:r>
          </w:p>
        </w:tc>
        <w:tc>
          <w:tcPr>
            <w:tcW w:w="2658" w:type="dxa"/>
          </w:tcPr>
          <w:p>
            <w:pPr>
              <w:pStyle w:val="Compact"/>
              <w:spacing w:before="0" w:after="0" w:line="240" w:lineRule="auto"/>
              <w:jc w:val="left"/>
            </w:pPr>
            <w:r>
              <w:rPr>
                <w:rFonts w:ascii="Arial" w:hAnsi="Arial"/>
                <w:sz w:val="15"/>
              </w:rPr>
              <w:t xml:space="preserve">Exited</w:t>
            </w:r>
          </w:p>
        </w:tc>
      </w:tr>
      <w:tr>
        <w:trPr>
          <w:cantSplit/>
        </w:trPr>
        <w:tc>
          <w:tcPr>
            <w:tcW w:w="1622" w:type="dxa"/>
          </w:tcPr>
          <w:p>
            <w:pPr>
              <w:pStyle w:val="Compact"/>
              <w:spacing w:before="0" w:after="0" w:line="240" w:lineRule="auto"/>
              <w:jc w:val="left"/>
            </w:pPr>
            <w:r>
              <w:rPr>
                <w:rFonts w:ascii="Arial" w:hAnsi="Arial"/>
                <w:sz w:val="15"/>
              </w:rPr>
              <w:t xml:space="preserve">Kyrgyzstan</w:t>
            </w:r>
          </w:p>
        </w:tc>
        <w:tc>
          <w:tcPr>
            <w:tcW w:w="5696" w:type="dxa"/>
          </w:tcPr>
          <w:p>
            <w:pPr>
              <w:pStyle w:val="Compact"/>
              <w:spacing w:before="0" w:after="0" w:line="240" w:lineRule="auto"/>
              <w:jc w:val="left"/>
            </w:pPr>
            <w:r>
              <w:rPr>
                <w:rFonts w:ascii="Arial" w:hAnsi="Arial"/>
                <w:sz w:val="15"/>
              </w:rPr>
              <w:t xml:space="preserve">Halyk Bank Kyrgyzstan sold Apr-24 (Visor consortium)</w:t>
            </w:r>
          </w:p>
        </w:tc>
        <w:tc>
          <w:tcPr>
            <w:tcW w:w="2658" w:type="dxa"/>
          </w:tcPr>
          <w:p>
            <w:pPr>
              <w:pStyle w:val="Compact"/>
              <w:spacing w:before="0" w:after="0" w:line="240" w:lineRule="auto"/>
              <w:jc w:val="left"/>
            </w:pPr>
            <w:r>
              <w:rPr>
                <w:rFonts w:ascii="Arial" w:hAnsi="Arial"/>
                <w:sz w:val="15"/>
              </w:rPr>
              <w:t xml:space="preserve">Exited</w:t>
            </w:r>
          </w:p>
        </w:tc>
      </w:tr>
    </w:tbl>
    <w:p>
      <w:pPr>
        <w:numPr>
          <w:ilvl w:val="0"/>
          <w:numId w:val="1043"/>
        </w:numPr>
        <w:pStyle w:val="Compact"/>
      </w:pPr>
      <w:r>
        <w:t xml:space="preserve">Foreign subsidiaries earned KZT11.2bn in 2023 (~1.6% of group). Halyk’s geographic risk is essentially Kazakhstan.</w:t>
      </w:r>
    </w:p>
    <w:p>
      <w:pPr>
        <w:numPr>
          <w:ilvl w:val="0"/>
          <w:numId w:val="1043"/>
        </w:numPr>
        <w:pStyle w:val="Compact"/>
      </w:pPr>
      <w:r>
        <w:t xml:space="preserve">The deliberate exits from Russia, Tajikistan and Kyrgyzstan cut sanctions and governance exposure. Uzbekistan is the only active foreign growth option.</w:t>
      </w:r>
    </w:p>
    <w:bookmarkEnd w:id="45"/>
    <w:bookmarkStart w:id="58" w:name="operating-kpis"/>
    <w:p>
      <w:pPr>
        <w:pStyle w:val="Heading2"/>
      </w:pPr>
      <w:r>
        <w:t xml:space="preserve">Operating KPIs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536"/>
        <w:gridCol w:w="808"/>
        <w:gridCol w:w="808"/>
        <w:gridCol w:w="862"/>
        <w:gridCol w:w="1690"/>
        <w:gridCol w:w="3274"/>
      </w:tblGrid>
      <w:tr>
        <w:trPr>
          <w:tblHeader w:val="true"/>
          <w:cantSplit/>
          <w:tblHeader w:val="true"/>
        </w:trPr>
        <w:tc>
          <w:tcPr>
            <w:tcW w:w="2536" w:type="dxa"/>
            <w:shd w:val="clear" w:color="auto" w:fill="13213F"/>
          </w:tcPr>
          <w:p>
            <w:pPr>
              <w:pStyle w:val="Compact"/>
              <w:spacing w:before="0" w:after="0" w:line="240" w:lineRule="auto"/>
              <w:jc w:val="left"/>
            </w:pPr>
            <w:r>
              <w:rPr>
                <w:rFonts w:ascii="Arial" w:hAnsi="Arial"/>
                <w:b/>
                <w:color w:val="FFFFFF"/>
                <w:sz w:val="15"/>
              </w:rPr>
              <w:t xml:space="preserve">KPI</w:t>
            </w:r>
          </w:p>
        </w:tc>
        <w:tc>
          <w:tcPr>
            <w:tcW w:w="808" w:type="dxa"/>
            <w:shd w:val="clear" w:color="auto" w:fill="13213F"/>
          </w:tcPr>
          <w:p>
            <w:pPr>
              <w:pStyle w:val="Compact"/>
              <w:spacing w:before="0" w:after="0" w:line="240" w:lineRule="auto"/>
              <w:jc w:val="left"/>
            </w:pPr>
            <w:r>
              <w:rPr>
                <w:rFonts w:ascii="Arial" w:hAnsi="Arial"/>
                <w:b/>
                <w:color w:val="FFFFFF"/>
                <w:sz w:val="15"/>
              </w:rPr>
              <w:t xml:space="preserve">FY2023</w:t>
            </w:r>
          </w:p>
        </w:tc>
        <w:tc>
          <w:tcPr>
            <w:tcW w:w="808" w:type="dxa"/>
            <w:shd w:val="clear" w:color="auto" w:fill="13213F"/>
          </w:tcPr>
          <w:p>
            <w:pPr>
              <w:pStyle w:val="Compact"/>
              <w:spacing w:before="0" w:after="0" w:line="240" w:lineRule="auto"/>
              <w:jc w:val="left"/>
            </w:pPr>
            <w:r>
              <w:rPr>
                <w:rFonts w:ascii="Arial" w:hAnsi="Arial"/>
                <w:b/>
                <w:color w:val="FFFFFF"/>
                <w:sz w:val="15"/>
              </w:rPr>
              <w:t xml:space="preserve">FY2024</w:t>
            </w:r>
          </w:p>
        </w:tc>
        <w:tc>
          <w:tcPr>
            <w:tcW w:w="862" w:type="dxa"/>
            <w:shd w:val="clear" w:color="auto" w:fill="13213F"/>
          </w:tcPr>
          <w:p>
            <w:pPr>
              <w:pStyle w:val="Compact"/>
              <w:spacing w:before="0" w:after="0" w:line="240" w:lineRule="auto"/>
              <w:jc w:val="left"/>
            </w:pPr>
            <w:r>
              <w:rPr>
                <w:rFonts w:ascii="Arial" w:hAnsi="Arial"/>
                <w:b/>
                <w:color w:val="FFFFFF"/>
                <w:sz w:val="15"/>
              </w:rPr>
              <w:t xml:space="preserve">FY2025</w:t>
            </w:r>
          </w:p>
        </w:tc>
        <w:tc>
          <w:tcPr>
            <w:tcW w:w="1690" w:type="dxa"/>
            <w:shd w:val="clear" w:color="auto" w:fill="13213F"/>
          </w:tcPr>
          <w:p>
            <w:pPr>
              <w:pStyle w:val="Compact"/>
              <w:spacing w:before="0" w:after="0" w:line="240" w:lineRule="auto"/>
              <w:jc w:val="left"/>
            </w:pPr>
            <w:r>
              <w:rPr>
                <w:rFonts w:ascii="Arial" w:hAnsi="Arial"/>
                <w:b/>
                <w:color w:val="FFFFFF"/>
                <w:sz w:val="15"/>
              </w:rPr>
              <w:t xml:space="preserve">1H26</w:t>
            </w:r>
          </w:p>
        </w:tc>
        <w:tc>
          <w:tcPr>
            <w:tcW w:w="3274" w:type="dxa"/>
            <w:shd w:val="clear" w:color="auto" w:fill="13213F"/>
          </w:tcPr>
          <w:p>
            <w:pPr>
              <w:pStyle w:val="Compact"/>
              <w:spacing w:before="0" w:after="0" w:line="240" w:lineRule="auto"/>
              <w:jc w:val="left"/>
            </w:pPr>
            <w:r>
              <w:rPr>
                <w:rFonts w:ascii="Arial" w:hAnsi="Arial"/>
                <w:b/>
                <w:color w:val="FFFFFF"/>
                <w:sz w:val="15"/>
              </w:rPr>
              <w:t xml:space="preserve">Trend / comment</w:t>
            </w:r>
          </w:p>
        </w:tc>
      </w:tr>
      <w:tr>
        <w:trPr>
          <w:cantSplit/>
        </w:trPr>
        <w:tc>
          <w:tcPr>
            <w:tcW w:w="2536" w:type="dxa"/>
            <w:shd w:val="clear" w:color="auto" w:fill="F2F4F8"/>
          </w:tcPr>
          <w:p>
            <w:pPr>
              <w:pStyle w:val="Compact"/>
              <w:spacing w:before="0" w:after="0" w:line="240" w:lineRule="auto"/>
              <w:jc w:val="left"/>
            </w:pPr>
            <w:r>
              <w:rPr>
                <w:rFonts w:ascii="Arial" w:hAnsi="Arial"/>
                <w:sz w:val="15"/>
              </w:rPr>
              <w:t xml:space="preserve">Total assets (KZT trn)</w:t>
            </w:r>
          </w:p>
        </w:tc>
        <w:tc>
          <w:tcPr>
            <w:tcW w:w="808" w:type="dxa"/>
            <w:shd w:val="clear" w:color="auto" w:fill="F2F4F8"/>
          </w:tcPr>
          <w:p>
            <w:pPr>
              <w:pStyle w:val="Compact"/>
              <w:spacing w:before="0" w:after="0" w:line="240" w:lineRule="auto"/>
              <w:jc w:val="left"/>
            </w:pPr>
            <w:r>
              <w:rPr>
                <w:rFonts w:ascii="Arial" w:hAnsi="Arial"/>
                <w:sz w:val="15"/>
              </w:rPr>
              <w:t xml:space="preserve">15.49</w:t>
            </w:r>
          </w:p>
        </w:tc>
        <w:tc>
          <w:tcPr>
            <w:tcW w:w="808" w:type="dxa"/>
            <w:shd w:val="clear" w:color="auto" w:fill="F2F4F8"/>
          </w:tcPr>
          <w:p>
            <w:pPr>
              <w:pStyle w:val="Compact"/>
              <w:spacing w:before="0" w:after="0" w:line="240" w:lineRule="auto"/>
              <w:jc w:val="left"/>
            </w:pPr>
            <w:r>
              <w:rPr>
                <w:rFonts w:ascii="Arial" w:hAnsi="Arial"/>
                <w:sz w:val="15"/>
              </w:rPr>
              <w:t xml:space="preserve">18.55</w:t>
            </w:r>
          </w:p>
        </w:tc>
        <w:tc>
          <w:tcPr>
            <w:tcW w:w="862" w:type="dxa"/>
            <w:shd w:val="clear" w:color="auto" w:fill="F2F4F8"/>
          </w:tcPr>
          <w:p>
            <w:pPr>
              <w:pStyle w:val="Compact"/>
              <w:spacing w:before="0" w:after="0" w:line="240" w:lineRule="auto"/>
              <w:jc w:val="left"/>
            </w:pPr>
            <w:r>
              <w:rPr>
                <w:rFonts w:ascii="Arial" w:hAnsi="Arial"/>
                <w:sz w:val="15"/>
              </w:rPr>
              <w:t xml:space="preserve">20.91</w:t>
            </w:r>
          </w:p>
        </w:tc>
        <w:tc>
          <w:tcPr>
            <w:tcW w:w="1690" w:type="dxa"/>
            <w:shd w:val="clear" w:color="auto" w:fill="F2F4F8"/>
          </w:tcPr>
          <w:p>
            <w:pPr>
              <w:pStyle w:val="Compact"/>
              <w:spacing w:before="0" w:after="0" w:line="240" w:lineRule="auto"/>
              <w:jc w:val="left"/>
            </w:pPr>
            <w:r>
              <w:rPr>
                <w:rFonts w:ascii="Arial" w:hAnsi="Arial"/>
                <w:sz w:val="15"/>
              </w:rPr>
              <w:t xml:space="preserve">22.04</w:t>
            </w:r>
          </w:p>
        </w:tc>
        <w:tc>
          <w:tcPr>
            <w:tcW w:w="3274" w:type="dxa"/>
            <w:shd w:val="clear" w:color="auto" w:fill="F2F4F8"/>
          </w:tcPr>
          <w:p>
            <w:pPr>
              <w:pStyle w:val="Compact"/>
              <w:spacing w:before="0" w:after="0" w:line="240" w:lineRule="auto"/>
              <w:jc w:val="left"/>
            </w:pPr>
            <w:r>
              <w:rPr>
                <w:rFonts w:ascii="Arial" w:hAnsi="Arial"/>
                <w:sz w:val="15"/>
              </w:rPr>
              <w:t xml:space="preserve">+12% y/y</w:t>
            </w:r>
          </w:p>
        </w:tc>
      </w:tr>
      <w:tr>
        <w:trPr>
          <w:cantSplit/>
        </w:trPr>
        <w:tc>
          <w:tcPr>
            <w:tcW w:w="2536" w:type="dxa"/>
          </w:tcPr>
          <w:p>
            <w:pPr>
              <w:pStyle w:val="Compact"/>
              <w:spacing w:before="0" w:after="0" w:line="240" w:lineRule="auto"/>
              <w:jc w:val="left"/>
            </w:pPr>
            <w:r>
              <w:rPr>
                <w:rFonts w:ascii="Arial" w:hAnsi="Arial"/>
                <w:sz w:val="15"/>
              </w:rPr>
              <w:t xml:space="preserve">Gross loans (KZT trn)</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~12.04 [d]</w:t>
            </w:r>
          </w:p>
        </w:tc>
        <w:tc>
          <w:tcPr>
            <w:tcW w:w="862" w:type="dxa"/>
          </w:tcPr>
          <w:p>
            <w:pPr>
              <w:pStyle w:val="Compact"/>
              <w:spacing w:before="0" w:after="0" w:line="240" w:lineRule="auto"/>
              <w:jc w:val="left"/>
            </w:pPr>
            <w:r>
              <w:rPr>
                <w:rFonts w:ascii="Arial" w:hAnsi="Arial"/>
                <w:sz w:val="15"/>
              </w:rPr>
              <w:t xml:space="preserve">13.71</w:t>
            </w:r>
          </w:p>
        </w:tc>
        <w:tc>
          <w:tcPr>
            <w:tcW w:w="1690" w:type="dxa"/>
          </w:tcPr>
          <w:p>
            <w:pPr>
              <w:pStyle w:val="Compact"/>
              <w:spacing w:before="0" w:after="0" w:line="240" w:lineRule="auto"/>
              <w:jc w:val="left"/>
            </w:pPr>
            <w:r>
              <w:rPr>
                <w:rFonts w:ascii="Arial" w:hAnsi="Arial"/>
                <w:sz w:val="15"/>
              </w:rPr>
              <w:t xml:space="preserve">13.96</w:t>
            </w:r>
          </w:p>
        </w:tc>
        <w:tc>
          <w:tcPr>
            <w:tcW w:w="3274" w:type="dxa"/>
          </w:tcPr>
          <w:p>
            <w:pPr>
              <w:pStyle w:val="Compact"/>
              <w:spacing w:before="0" w:after="0" w:line="240" w:lineRule="auto"/>
              <w:jc w:val="left"/>
            </w:pPr>
            <w:r>
              <w:rPr>
                <w:rFonts w:ascii="Arial" w:hAnsi="Arial"/>
                <w:sz w:val="15"/>
              </w:rPr>
              <w:t xml:space="preserve">+1.8% YTD; guidance +9–12%</w:t>
            </w:r>
          </w:p>
        </w:tc>
      </w:tr>
      <w:tr>
        <w:trPr>
          <w:cantSplit/>
        </w:trPr>
        <w:tc>
          <w:tcPr>
            <w:tcW w:w="2536" w:type="dxa"/>
          </w:tcPr>
          <w:p>
            <w:pPr>
              <w:pStyle w:val="Compact"/>
              <w:spacing w:before="0" w:after="0" w:line="240" w:lineRule="auto"/>
              <w:jc w:val="left"/>
            </w:pPr>
            <w:r>
              <w:rPr>
                <w:rFonts w:ascii="Arial" w:hAnsi="Arial"/>
                <w:sz w:val="15"/>
              </w:rPr>
              <w:t xml:space="preserve">Customer deposits (KZT trn)</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14.34</w:t>
            </w:r>
          </w:p>
        </w:tc>
        <w:tc>
          <w:tcPr>
            <w:tcW w:w="1690" w:type="dxa"/>
          </w:tcPr>
          <w:p>
            <w:pPr>
              <w:pStyle w:val="Compact"/>
              <w:spacing w:before="0" w:after="0" w:line="240" w:lineRule="auto"/>
              <w:jc w:val="left"/>
            </w:pPr>
            <w:r>
              <w:rPr>
                <w:rFonts w:ascii="Arial" w:hAnsi="Arial"/>
                <w:sz w:val="15"/>
              </w:rPr>
              <w:t xml:space="preserve">~14.87</w:t>
            </w:r>
          </w:p>
        </w:tc>
        <w:tc>
          <w:tcPr>
            <w:tcW w:w="3274" w:type="dxa"/>
          </w:tcPr>
          <w:p>
            <w:pPr>
              <w:pStyle w:val="Compact"/>
              <w:spacing w:before="0" w:after="0" w:line="240" w:lineRule="auto"/>
              <w:jc w:val="left"/>
            </w:pPr>
            <w:r>
              <w:rPr>
                <w:rFonts w:ascii="Arial" w:hAnsi="Arial"/>
                <w:sz w:val="15"/>
              </w:rPr>
              <w:t xml:space="preserve">+8.2% y/y; deposits ~81% of liabilities</w:t>
            </w:r>
          </w:p>
        </w:tc>
      </w:tr>
      <w:tr>
        <w:trPr>
          <w:cantSplit/>
        </w:trPr>
        <w:tc>
          <w:tcPr>
            <w:tcW w:w="2536" w:type="dxa"/>
          </w:tcPr>
          <w:p>
            <w:pPr>
              <w:pStyle w:val="Compact"/>
              <w:spacing w:before="0" w:after="0" w:line="240" w:lineRule="auto"/>
              <w:jc w:val="left"/>
            </w:pPr>
            <w:r>
              <w:rPr>
                <w:rFonts w:ascii="Arial" w:hAnsi="Arial"/>
                <w:sz w:val="15"/>
              </w:rPr>
              <w:t xml:space="preserve">Loans / deposits</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96%</w:t>
            </w:r>
          </w:p>
        </w:tc>
        <w:tc>
          <w:tcPr>
            <w:tcW w:w="1690" w:type="dxa"/>
          </w:tcPr>
          <w:p>
            <w:pPr>
              <w:pStyle w:val="Compact"/>
              <w:spacing w:before="0" w:after="0" w:line="240" w:lineRule="auto"/>
              <w:jc w:val="left"/>
            </w:pPr>
            <w:r>
              <w:rPr>
                <w:rFonts w:ascii="Arial" w:hAnsi="Arial"/>
                <w:sz w:val="15"/>
              </w:rPr>
              <w:t xml:space="preserve">94%</w:t>
            </w:r>
          </w:p>
        </w:tc>
        <w:tc>
          <w:tcPr>
            <w:tcW w:w="3274" w:type="dxa"/>
          </w:tcPr>
          <w:p>
            <w:pPr>
              <w:pStyle w:val="Compact"/>
              <w:spacing w:before="0" w:after="0" w:line="240" w:lineRule="auto"/>
              <w:jc w:val="left"/>
            </w:pPr>
            <w:r>
              <w:rPr>
                <w:rFonts w:ascii="Arial" w:hAnsi="Arial"/>
                <w:sz w:val="15"/>
              </w:rPr>
              <w:t xml:space="preserve">Comfortable</w:t>
            </w:r>
          </w:p>
        </w:tc>
      </w:tr>
      <w:tr>
        <w:trPr>
          <w:cantSplit/>
        </w:trPr>
        <w:tc>
          <w:tcPr>
            <w:tcW w:w="2536" w:type="dxa"/>
          </w:tcPr>
          <w:p>
            <w:pPr>
              <w:pStyle w:val="Compact"/>
              <w:spacing w:before="0" w:after="0" w:line="240" w:lineRule="auto"/>
              <w:jc w:val="left"/>
            </w:pPr>
            <w:r>
              <w:rPr>
                <w:rFonts w:ascii="Arial" w:hAnsi="Arial"/>
                <w:sz w:val="15"/>
              </w:rPr>
              <w:t xml:space="preserve">NIM</w:t>
            </w:r>
          </w:p>
        </w:tc>
        <w:tc>
          <w:tcPr>
            <w:tcW w:w="808" w:type="dxa"/>
          </w:tcPr>
          <w:p>
            <w:pPr>
              <w:pStyle w:val="Compact"/>
              <w:spacing w:before="0" w:after="0" w:line="240" w:lineRule="auto"/>
              <w:jc w:val="left"/>
            </w:pPr>
            <w:r>
              <w:rPr>
                <w:rFonts w:ascii="Arial" w:hAnsi="Arial"/>
                <w:sz w:val="15"/>
              </w:rPr>
              <w:t xml:space="preserve">6.2%</w:t>
            </w:r>
          </w:p>
        </w:tc>
        <w:tc>
          <w:tcPr>
            <w:tcW w:w="808" w:type="dxa"/>
          </w:tcPr>
          <w:p>
            <w:pPr>
              <w:pStyle w:val="Compact"/>
              <w:spacing w:before="0" w:after="0" w:line="240" w:lineRule="auto"/>
              <w:jc w:val="left"/>
            </w:pPr>
            <w:r>
              <w:rPr>
                <w:rFonts w:ascii="Arial" w:hAnsi="Arial"/>
                <w:sz w:val="15"/>
              </w:rPr>
              <w:t xml:space="preserve">7.2%</w:t>
            </w:r>
          </w:p>
        </w:tc>
        <w:tc>
          <w:tcPr>
            <w:tcW w:w="862" w:type="dxa"/>
          </w:tcPr>
          <w:p>
            <w:pPr>
              <w:pStyle w:val="Compact"/>
              <w:spacing w:before="0" w:after="0" w:line="240" w:lineRule="auto"/>
              <w:jc w:val="left"/>
            </w:pPr>
            <w:r>
              <w:rPr>
                <w:rFonts w:ascii="Arial" w:hAnsi="Arial"/>
                <w:sz w:val="15"/>
              </w:rPr>
              <w:t xml:space="preserve">7.1%</w:t>
            </w:r>
          </w:p>
        </w:tc>
        <w:tc>
          <w:tcPr>
            <w:tcW w:w="1690" w:type="dxa"/>
          </w:tcPr>
          <w:p>
            <w:pPr>
              <w:pStyle w:val="Compact"/>
              <w:spacing w:before="0" w:after="0" w:line="240" w:lineRule="auto"/>
              <w:jc w:val="left"/>
            </w:pPr>
            <w:r>
              <w:rPr>
                <w:rFonts w:ascii="Arial" w:hAnsi="Arial"/>
                <w:sz w:val="15"/>
              </w:rPr>
              <w:t xml:space="preserve">6.8% (2Q 6.7%)</w:t>
            </w:r>
          </w:p>
        </w:tc>
        <w:tc>
          <w:tcPr>
            <w:tcW w:w="3274" w:type="dxa"/>
          </w:tcPr>
          <w:p>
            <w:pPr>
              <w:pStyle w:val="Compact"/>
              <w:spacing w:before="0" w:after="0" w:line="240" w:lineRule="auto"/>
              <w:jc w:val="left"/>
            </w:pPr>
            <w:r>
              <w:rPr>
                <w:rFonts w:ascii="Arial" w:hAnsi="Arial"/>
                <w:sz w:val="15"/>
              </w:rPr>
              <w:t xml:space="preserve">Peak behind us</w:t>
            </w:r>
          </w:p>
        </w:tc>
      </w:tr>
      <w:tr>
        <w:trPr>
          <w:cantSplit/>
        </w:trPr>
        <w:tc>
          <w:tcPr>
            <w:tcW w:w="2536" w:type="dxa"/>
          </w:tcPr>
          <w:p>
            <w:pPr>
              <w:pStyle w:val="Compact"/>
              <w:spacing w:before="0" w:after="0" w:line="240" w:lineRule="auto"/>
              <w:jc w:val="left"/>
            </w:pPr>
            <w:r>
              <w:rPr>
                <w:rFonts w:ascii="Arial" w:hAnsi="Arial"/>
                <w:sz w:val="15"/>
              </w:rPr>
              <w:t xml:space="preserve">Cost / income</w:t>
            </w:r>
          </w:p>
        </w:tc>
        <w:tc>
          <w:tcPr>
            <w:tcW w:w="808" w:type="dxa"/>
          </w:tcPr>
          <w:p>
            <w:pPr>
              <w:pStyle w:val="Compact"/>
              <w:spacing w:before="0" w:after="0" w:line="240" w:lineRule="auto"/>
              <w:jc w:val="left"/>
            </w:pPr>
            <w:r>
              <w:rPr>
                <w:rFonts w:ascii="Arial" w:hAnsi="Arial"/>
                <w:sz w:val="15"/>
              </w:rPr>
              <w:t xml:space="preserve">19.2%</w:t>
            </w:r>
          </w:p>
        </w:tc>
        <w:tc>
          <w:tcPr>
            <w:tcW w:w="808" w:type="dxa"/>
          </w:tcPr>
          <w:p>
            <w:pPr>
              <w:pStyle w:val="Compact"/>
              <w:spacing w:before="0" w:after="0" w:line="240" w:lineRule="auto"/>
              <w:jc w:val="left"/>
            </w:pPr>
            <w:r>
              <w:rPr>
                <w:rFonts w:ascii="Arial" w:hAnsi="Arial"/>
                <w:sz w:val="15"/>
              </w:rPr>
              <w:t xml:space="preserve">17.6%</w:t>
            </w:r>
          </w:p>
        </w:tc>
        <w:tc>
          <w:tcPr>
            <w:tcW w:w="862" w:type="dxa"/>
          </w:tcPr>
          <w:p>
            <w:pPr>
              <w:pStyle w:val="Compact"/>
              <w:spacing w:before="0" w:after="0" w:line="240" w:lineRule="auto"/>
              <w:jc w:val="left"/>
            </w:pPr>
            <w:r>
              <w:rPr>
                <w:rFonts w:ascii="Arial" w:hAnsi="Arial"/>
                <w:sz w:val="15"/>
              </w:rPr>
              <w:t xml:space="preserve">17.5%</w:t>
            </w:r>
          </w:p>
        </w:tc>
        <w:tc>
          <w:tcPr>
            <w:tcW w:w="1690" w:type="dxa"/>
          </w:tcPr>
          <w:p>
            <w:pPr>
              <w:pStyle w:val="Compact"/>
              <w:spacing w:before="0" w:after="0" w:line="240" w:lineRule="auto"/>
              <w:jc w:val="left"/>
            </w:pPr>
            <w:r>
              <w:rPr>
                <w:rFonts w:ascii="Arial" w:hAnsi="Arial"/>
                <w:sz w:val="15"/>
              </w:rPr>
              <w:t xml:space="preserve">19.2%</w:t>
            </w:r>
          </w:p>
        </w:tc>
        <w:tc>
          <w:tcPr>
            <w:tcW w:w="3274" w:type="dxa"/>
          </w:tcPr>
          <w:p>
            <w:pPr>
              <w:pStyle w:val="Compact"/>
              <w:spacing w:before="0" w:after="0" w:line="240" w:lineRule="auto"/>
              <w:jc w:val="left"/>
            </w:pPr>
            <w:r>
              <w:rPr>
                <w:rFonts w:ascii="Arial" w:hAnsi="Arial"/>
                <w:sz w:val="15"/>
              </w:rPr>
              <w:t xml:space="preserve">Guidance 18–20%</w:t>
            </w:r>
          </w:p>
        </w:tc>
      </w:tr>
      <w:tr>
        <w:trPr>
          <w:cantSplit/>
        </w:trPr>
        <w:tc>
          <w:tcPr>
            <w:tcW w:w="2536" w:type="dxa"/>
          </w:tcPr>
          <w:p>
            <w:pPr>
              <w:pStyle w:val="Compact"/>
              <w:spacing w:before="0" w:after="0" w:line="240" w:lineRule="auto"/>
              <w:jc w:val="left"/>
            </w:pPr>
            <w:r>
              <w:rPr>
                <w:rFonts w:ascii="Arial" w:hAnsi="Arial"/>
                <w:sz w:val="15"/>
              </w:rPr>
              <w:t xml:space="preserve">Cost of risk</w:t>
            </w:r>
          </w:p>
        </w:tc>
        <w:tc>
          <w:tcPr>
            <w:tcW w:w="808" w:type="dxa"/>
          </w:tcPr>
          <w:p>
            <w:pPr>
              <w:pStyle w:val="Compact"/>
              <w:spacing w:before="0" w:after="0" w:line="240" w:lineRule="auto"/>
              <w:jc w:val="left"/>
            </w:pPr>
            <w:r>
              <w:rPr>
                <w:rFonts w:ascii="Arial" w:hAnsi="Arial"/>
                <w:sz w:val="15"/>
              </w:rPr>
              <w:t xml:space="preserve">1.0%</w:t>
            </w:r>
          </w:p>
        </w:tc>
        <w:tc>
          <w:tcPr>
            <w:tcW w:w="808" w:type="dxa"/>
          </w:tcPr>
          <w:p>
            <w:pPr>
              <w:pStyle w:val="Compact"/>
              <w:spacing w:before="0" w:after="0" w:line="240" w:lineRule="auto"/>
              <w:jc w:val="left"/>
            </w:pPr>
            <w:r>
              <w:rPr>
                <w:rFonts w:ascii="Arial" w:hAnsi="Arial"/>
                <w:sz w:val="15"/>
              </w:rPr>
              <w:t xml:space="preserve">1.2%</w:t>
            </w:r>
          </w:p>
        </w:tc>
        <w:tc>
          <w:tcPr>
            <w:tcW w:w="862" w:type="dxa"/>
          </w:tcPr>
          <w:p>
            <w:pPr>
              <w:pStyle w:val="Compact"/>
              <w:spacing w:before="0" w:after="0" w:line="240" w:lineRule="auto"/>
              <w:jc w:val="left"/>
            </w:pPr>
            <w:r>
              <w:rPr>
                <w:rFonts w:ascii="Arial" w:hAnsi="Arial"/>
                <w:sz w:val="15"/>
              </w:rPr>
              <w:t xml:space="preserve">1.4%</w:t>
            </w:r>
          </w:p>
        </w:tc>
        <w:tc>
          <w:tcPr>
            <w:tcW w:w="1690" w:type="dxa"/>
          </w:tcPr>
          <w:p>
            <w:pPr>
              <w:pStyle w:val="Compact"/>
              <w:spacing w:before="0" w:after="0" w:line="240" w:lineRule="auto"/>
              <w:jc w:val="left"/>
            </w:pPr>
            <w:r>
              <w:rPr>
                <w:rFonts w:ascii="Arial" w:hAnsi="Arial"/>
                <w:sz w:val="15"/>
              </w:rPr>
              <w:t xml:space="preserve">1.4%</w:t>
            </w:r>
          </w:p>
        </w:tc>
        <w:tc>
          <w:tcPr>
            <w:tcW w:w="3274" w:type="dxa"/>
          </w:tcPr>
          <w:p>
            <w:pPr>
              <w:pStyle w:val="Compact"/>
              <w:spacing w:before="0" w:after="0" w:line="240" w:lineRule="auto"/>
              <w:jc w:val="left"/>
            </w:pPr>
            <w:r>
              <w:rPr>
                <w:rFonts w:ascii="Arial" w:hAnsi="Arial"/>
                <w:sz w:val="15"/>
              </w:rPr>
              <w:t xml:space="preserve">Guidance 1.4–1.5%</w:t>
            </w:r>
          </w:p>
        </w:tc>
      </w:tr>
      <w:tr>
        <w:trPr>
          <w:cantSplit/>
        </w:trPr>
        <w:tc>
          <w:tcPr>
            <w:tcW w:w="2536" w:type="dxa"/>
          </w:tcPr>
          <w:p>
            <w:pPr>
              <w:pStyle w:val="Compact"/>
              <w:spacing w:before="0" w:after="0" w:line="240" w:lineRule="auto"/>
              <w:jc w:val="left"/>
            </w:pPr>
            <w:r>
              <w:rPr>
                <w:rFonts w:ascii="Arial" w:hAnsi="Arial"/>
                <w:sz w:val="15"/>
              </w:rPr>
              <w:t xml:space="preserve">NPL 90+</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2.6%</w:t>
            </w:r>
          </w:p>
        </w:tc>
        <w:tc>
          <w:tcPr>
            <w:tcW w:w="862" w:type="dxa"/>
          </w:tcPr>
          <w:p>
            <w:pPr>
              <w:pStyle w:val="Compact"/>
              <w:spacing w:before="0" w:after="0" w:line="240" w:lineRule="auto"/>
              <w:jc w:val="left"/>
            </w:pPr>
            <w:r>
              <w:rPr>
                <w:rFonts w:ascii="Arial" w:hAnsi="Arial"/>
                <w:sz w:val="15"/>
              </w:rPr>
              <w:t xml:space="preserve">4.3%</w:t>
            </w:r>
          </w:p>
        </w:tc>
        <w:tc>
          <w:tcPr>
            <w:tcW w:w="1690" w:type="dxa"/>
          </w:tcPr>
          <w:p>
            <w:pPr>
              <w:pStyle w:val="Compact"/>
              <w:spacing w:before="0" w:after="0" w:line="240" w:lineRule="auto"/>
              <w:jc w:val="left"/>
            </w:pPr>
            <w:r>
              <w:rPr>
                <w:rFonts w:ascii="Arial" w:hAnsi="Arial"/>
                <w:sz w:val="15"/>
              </w:rPr>
              <w:t xml:space="preserve">5.3% (retail 9.2%)</w:t>
            </w:r>
          </w:p>
        </w:tc>
        <w:tc>
          <w:tcPr>
            <w:tcW w:w="3274" w:type="dxa"/>
          </w:tcPr>
          <w:p>
            <w:pPr>
              <w:pStyle w:val="Compact"/>
              <w:spacing w:before="0" w:after="0" w:line="240" w:lineRule="auto"/>
              <w:jc w:val="left"/>
            </w:pPr>
            <w:r>
              <w:rPr>
                <w:rFonts w:ascii="Arial" w:hAnsi="Arial"/>
                <w:sz w:val="15"/>
              </w:rPr>
              <w:t xml:space="preserve">Rising; partly the collector-sale pause</w:t>
            </w:r>
          </w:p>
        </w:tc>
      </w:tr>
      <w:tr>
        <w:trPr>
          <w:cantSplit/>
        </w:trPr>
        <w:tc>
          <w:tcPr>
            <w:tcW w:w="2536" w:type="dxa"/>
          </w:tcPr>
          <w:p>
            <w:pPr>
              <w:pStyle w:val="Compact"/>
              <w:spacing w:before="0" w:after="0" w:line="240" w:lineRule="auto"/>
              <w:jc w:val="left"/>
            </w:pPr>
            <w:r>
              <w:rPr>
                <w:rFonts w:ascii="Arial" w:hAnsi="Arial"/>
                <w:sz w:val="15"/>
              </w:rPr>
              <w:t xml:space="preserve">Stage 3 ratio / coverage</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n/a</w:t>
            </w:r>
          </w:p>
        </w:tc>
        <w:tc>
          <w:tcPr>
            <w:tcW w:w="1690" w:type="dxa"/>
          </w:tcPr>
          <w:p>
            <w:pPr>
              <w:pStyle w:val="Compact"/>
              <w:spacing w:before="0" w:after="0" w:line="240" w:lineRule="auto"/>
              <w:jc w:val="left"/>
            </w:pPr>
            <w:r>
              <w:rPr>
                <w:rFonts w:ascii="Arial" w:hAnsi="Arial"/>
                <w:sz w:val="15"/>
              </w:rPr>
              <w:t xml:space="preserve">8.6% / 58% [u]</w:t>
            </w:r>
          </w:p>
        </w:tc>
        <w:tc>
          <w:tcPr>
            <w:tcW w:w="3274" w:type="dxa"/>
          </w:tcPr>
          <w:p>
            <w:pPr>
              <w:pStyle w:val="Compact"/>
              <w:spacing w:before="0" w:after="0" w:line="240" w:lineRule="auto"/>
              <w:jc w:val="left"/>
            </w:pPr>
            <w:r>
              <w:rPr>
                <w:rFonts w:ascii="Arial" w:hAnsi="Arial"/>
                <w:sz w:val="15"/>
              </w:rPr>
              <w:t xml:space="preserve">Moody’s sees 8–9%</w:t>
            </w:r>
          </w:p>
        </w:tc>
      </w:tr>
      <w:tr>
        <w:trPr>
          <w:cantSplit/>
        </w:trPr>
        <w:tc>
          <w:tcPr>
            <w:tcW w:w="2536" w:type="dxa"/>
          </w:tcPr>
          <w:p>
            <w:pPr>
              <w:pStyle w:val="Compact"/>
              <w:spacing w:before="0" w:after="0" w:line="240" w:lineRule="auto"/>
              <w:jc w:val="left"/>
            </w:pPr>
            <w:r>
              <w:rPr>
                <w:rFonts w:ascii="Arial" w:hAnsi="Arial"/>
                <w:sz w:val="15"/>
              </w:rPr>
              <w:t xml:space="preserve">Capital (k2, unconsolidated)</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18.9%</w:t>
            </w:r>
          </w:p>
        </w:tc>
        <w:tc>
          <w:tcPr>
            <w:tcW w:w="1690" w:type="dxa"/>
          </w:tcPr>
          <w:p>
            <w:pPr>
              <w:pStyle w:val="Compact"/>
              <w:spacing w:before="0" w:after="0" w:line="240" w:lineRule="auto"/>
              <w:jc w:val="left"/>
            </w:pPr>
            <w:r>
              <w:rPr>
                <w:rFonts w:ascii="Arial" w:hAnsi="Arial"/>
                <w:sz w:val="15"/>
              </w:rPr>
              <w:t xml:space="preserve">19.0%</w:t>
            </w:r>
          </w:p>
        </w:tc>
        <w:tc>
          <w:tcPr>
            <w:tcW w:w="3274" w:type="dxa"/>
          </w:tcPr>
          <w:p>
            <w:pPr>
              <w:pStyle w:val="Compact"/>
              <w:spacing w:before="0" w:after="0" w:line="240" w:lineRule="auto"/>
              <w:jc w:val="left"/>
            </w:pPr>
            <w:r>
              <w:rPr>
                <w:rFonts w:ascii="Arial" w:hAnsi="Arial"/>
                <w:sz w:val="15"/>
              </w:rPr>
              <w:t xml:space="preserve">700bp over minimum</w:t>
            </w:r>
          </w:p>
        </w:tc>
      </w:tr>
      <w:tr>
        <w:trPr>
          <w:cantSplit/>
        </w:trPr>
        <w:tc>
          <w:tcPr>
            <w:tcW w:w="2536" w:type="dxa"/>
          </w:tcPr>
          <w:p>
            <w:pPr>
              <w:pStyle w:val="Compact"/>
              <w:spacing w:before="0" w:after="0" w:line="240" w:lineRule="auto"/>
              <w:jc w:val="left"/>
            </w:pPr>
            <w:r>
              <w:rPr>
                <w:rFonts w:ascii="Arial" w:hAnsi="Arial"/>
                <w:sz w:val="15"/>
              </w:rPr>
              <w:t xml:space="preserve">Super App MAU / DAU</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~8.5m (1Q26)</w:t>
            </w:r>
          </w:p>
        </w:tc>
        <w:tc>
          <w:tcPr>
            <w:tcW w:w="1690" w:type="dxa"/>
          </w:tcPr>
          <w:p>
            <w:pPr>
              <w:pStyle w:val="Compact"/>
              <w:spacing w:before="0" w:after="0" w:line="240" w:lineRule="auto"/>
              <w:jc w:val="left"/>
            </w:pPr>
            <w:r>
              <w:rPr>
                <w:rFonts w:ascii="Arial" w:hAnsi="Arial"/>
                <w:sz w:val="15"/>
              </w:rPr>
              <w:t xml:space="preserve">8.6m / 2.8m</w:t>
            </w:r>
          </w:p>
        </w:tc>
        <w:tc>
          <w:tcPr>
            <w:tcW w:w="3274" w:type="dxa"/>
          </w:tcPr>
          <w:p>
            <w:pPr>
              <w:pStyle w:val="Compact"/>
              <w:spacing w:before="0" w:after="0" w:line="240" w:lineRule="auto"/>
              <w:jc w:val="left"/>
            </w:pPr>
            <w:r>
              <w:rPr>
                <w:rFonts w:ascii="Arial" w:hAnsi="Arial"/>
                <w:sz w:val="15"/>
              </w:rPr>
              <w:t xml:space="preserve">Engagement rising (DAU +22–26% y/y in 2025)</w:t>
            </w:r>
          </w:p>
        </w:tc>
      </w:tr>
      <w:tr>
        <w:trPr>
          <w:cantSplit/>
        </w:trPr>
        <w:tc>
          <w:tcPr>
            <w:tcW w:w="2536" w:type="dxa"/>
          </w:tcPr>
          <w:p>
            <w:pPr>
              <w:pStyle w:val="Compact"/>
              <w:spacing w:before="0" w:after="0" w:line="240" w:lineRule="auto"/>
              <w:jc w:val="left"/>
            </w:pPr>
            <w:r>
              <w:rPr>
                <w:rFonts w:ascii="Arial" w:hAnsi="Arial"/>
                <w:sz w:val="15"/>
              </w:rPr>
              <w:t xml:space="preserve">Payments volume</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n/a</w:t>
            </w:r>
          </w:p>
        </w:tc>
        <w:tc>
          <w:tcPr>
            <w:tcW w:w="1690" w:type="dxa"/>
          </w:tcPr>
          <w:p>
            <w:pPr>
              <w:pStyle w:val="Compact"/>
              <w:spacing w:before="0" w:after="0" w:line="240" w:lineRule="auto"/>
              <w:jc w:val="left"/>
            </w:pPr>
            <w:r>
              <w:rPr>
                <w:rFonts w:ascii="Arial" w:hAnsi="Arial"/>
                <w:sz w:val="15"/>
              </w:rPr>
              <w:t xml:space="preserve">KZT10.5trn (+14% y/y)</w:t>
            </w:r>
          </w:p>
        </w:tc>
        <w:tc>
          <w:tcPr>
            <w:tcW w:w="3274" w:type="dxa"/>
          </w:tcPr>
          <w:p>
            <w:pPr>
              <w:pStyle w:val="Compact"/>
              <w:spacing w:before="0" w:after="0" w:line="240" w:lineRule="auto"/>
              <w:jc w:val="left"/>
            </w:pPr>
            <w:r>
              <w:rPr>
                <w:rFonts w:ascii="Arial" w:hAnsi="Arial"/>
                <w:sz w:val="15"/>
              </w:rPr>
              <w:t xml:space="preserve">234.7m transactions (+8%)</w:t>
            </w:r>
          </w:p>
        </w:tc>
      </w:tr>
      <w:tr>
        <w:trPr>
          <w:cantSplit/>
        </w:trPr>
        <w:tc>
          <w:tcPr>
            <w:tcW w:w="2536" w:type="dxa"/>
          </w:tcPr>
          <w:p>
            <w:pPr>
              <w:pStyle w:val="Compact"/>
              <w:spacing w:before="0" w:after="0" w:line="240" w:lineRule="auto"/>
              <w:jc w:val="left"/>
            </w:pPr>
            <w:r>
              <w:rPr>
                <w:rFonts w:ascii="Arial" w:hAnsi="Arial"/>
                <w:sz w:val="15"/>
              </w:rPr>
              <w:t xml:space="preserve">Salary-card penetration</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n/a</w:t>
            </w:r>
          </w:p>
        </w:tc>
        <w:tc>
          <w:tcPr>
            <w:tcW w:w="1690" w:type="dxa"/>
          </w:tcPr>
          <w:p>
            <w:pPr>
              <w:pStyle w:val="Compact"/>
              <w:spacing w:before="0" w:after="0" w:line="240" w:lineRule="auto"/>
              <w:jc w:val="left"/>
            </w:pPr>
            <w:r>
              <w:rPr>
                <w:rFonts w:ascii="Arial" w:hAnsi="Arial"/>
                <w:sz w:val="15"/>
              </w:rPr>
              <w:t xml:space="preserve">39% of employed</w:t>
            </w:r>
          </w:p>
        </w:tc>
        <w:tc>
          <w:tcPr>
            <w:tcW w:w="3274" w:type="dxa"/>
          </w:tcPr>
          <w:p>
            <w:pPr>
              <w:pStyle w:val="Compact"/>
              <w:spacing w:before="0" w:after="0" w:line="240" w:lineRule="auto"/>
              <w:jc w:val="left"/>
            </w:pPr>
            <w:r>
              <w:rPr>
                <w:rFonts w:ascii="Arial" w:hAnsi="Arial"/>
                <w:sz w:val="15"/>
              </w:rPr>
              <w:t xml:space="preserve">Payroll moat</w:t>
            </w:r>
          </w:p>
        </w:tc>
      </w:tr>
      <w:tr>
        <w:trPr>
          <w:cantSplit/>
        </w:trPr>
        <w:tc>
          <w:tcPr>
            <w:tcW w:w="2536" w:type="dxa"/>
          </w:tcPr>
          <w:p>
            <w:pPr>
              <w:pStyle w:val="Compact"/>
              <w:spacing w:before="0" w:after="0" w:line="240" w:lineRule="auto"/>
              <w:jc w:val="left"/>
            </w:pPr>
            <w:r>
              <w:rPr>
                <w:rFonts w:ascii="Arial" w:hAnsi="Arial"/>
                <w:sz w:val="15"/>
              </w:rPr>
              <w:t xml:space="preserve">Market share: assets / corporate loans / retail loans / retail deposits</w:t>
            </w:r>
          </w:p>
        </w:tc>
        <w:tc>
          <w:tcPr>
            <w:tcW w:w="808" w:type="dxa"/>
          </w:tcPr>
          <w:p>
            <w:pPr>
              <w:pStyle w:val="Compact"/>
              <w:spacing w:before="0" w:after="0" w:line="240" w:lineRule="auto"/>
              <w:jc w:val="left"/>
            </w:pPr>
            <w:r>
              <w:rPr>
                <w:rFonts w:ascii="Arial" w:hAnsi="Arial"/>
                <w:sz w:val="15"/>
              </w:rPr>
              <w:t xml:space="preserve">~30% / n/a / n/a / 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28.6% / ~48% / n/a / 27.5%</w:t>
            </w:r>
          </w:p>
        </w:tc>
        <w:tc>
          <w:tcPr>
            <w:tcW w:w="1690" w:type="dxa"/>
          </w:tcPr>
          <w:p>
            <w:pPr>
              <w:pStyle w:val="Compact"/>
              <w:spacing w:before="0" w:after="0" w:line="240" w:lineRule="auto"/>
              <w:jc w:val="left"/>
            </w:pPr>
            <w:r>
              <w:rPr>
                <w:rFonts w:ascii="Arial" w:hAnsi="Arial"/>
                <w:sz w:val="15"/>
              </w:rPr>
              <w:t xml:space="preserve">28.5% / ~48% / 17.8% / 27.4%</w:t>
            </w:r>
          </w:p>
        </w:tc>
        <w:tc>
          <w:tcPr>
            <w:tcW w:w="3274" w:type="dxa"/>
          </w:tcPr>
          <w:p>
            <w:pPr>
              <w:pStyle w:val="Compact"/>
              <w:spacing w:before="0" w:after="0" w:line="240" w:lineRule="auto"/>
              <w:jc w:val="left"/>
            </w:pPr>
            <w:r>
              <w:rPr>
                <w:rFonts w:ascii="Arial" w:hAnsi="Arial"/>
                <w:sz w:val="15"/>
              </w:rPr>
              <w:t xml:space="preserve">Stable; retail-loan share well below asset share</w:t>
            </w:r>
          </w:p>
        </w:tc>
      </w:tr>
      <w:tr>
        <w:trPr>
          <w:cantSplit/>
        </w:trPr>
        <w:tc>
          <w:tcPr>
            <w:tcW w:w="2536" w:type="dxa"/>
          </w:tcPr>
          <w:p>
            <w:pPr>
              <w:pStyle w:val="Compact"/>
              <w:spacing w:before="0" w:after="0" w:line="240" w:lineRule="auto"/>
              <w:jc w:val="left"/>
            </w:pPr>
            <w:r>
              <w:rPr>
                <w:rFonts w:ascii="Arial" w:hAnsi="Arial"/>
                <w:sz w:val="15"/>
              </w:rPr>
              <w:t xml:space="preserve">Branches / employees</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531 / ~16.7k</w:t>
            </w:r>
          </w:p>
        </w:tc>
        <w:tc>
          <w:tcPr>
            <w:tcW w:w="1690" w:type="dxa"/>
          </w:tcPr>
          <w:p>
            <w:pPr>
              <w:pStyle w:val="Compact"/>
              <w:spacing w:before="0" w:after="0" w:line="240" w:lineRule="auto"/>
              <w:jc w:val="left"/>
            </w:pPr>
            <w:r>
              <w:rPr>
                <w:rFonts w:ascii="Arial" w:hAnsi="Arial"/>
                <w:sz w:val="15"/>
              </w:rPr>
              <w:t xml:space="preserve">n/a</w:t>
            </w:r>
          </w:p>
        </w:tc>
        <w:tc>
          <w:tcPr>
            <w:tcW w:w="3274" w:type="dxa"/>
          </w:tcPr>
          <w:p>
            <w:pPr>
              <w:pStyle w:val="Compact"/>
              <w:spacing w:before="0" w:after="0" w:line="240" w:lineRule="auto"/>
              <w:jc w:val="left"/>
            </w:pPr>
            <w:r>
              <w:rPr>
                <w:rFonts w:ascii="Arial" w:hAnsi="Arial"/>
                <w:sz w:val="15"/>
              </w:rPr>
              <w:t xml:space="preserve">Flat</w:t>
            </w:r>
          </w:p>
        </w:tc>
      </w:tr>
      <w:tr>
        <w:trPr>
          <w:cantSplit/>
        </w:trPr>
        <w:tc>
          <w:tcPr>
            <w:tcW w:w="2536" w:type="dxa"/>
          </w:tcPr>
          <w:p>
            <w:pPr>
              <w:pStyle w:val="Compact"/>
              <w:spacing w:before="0" w:after="0" w:line="240" w:lineRule="auto"/>
              <w:jc w:val="left"/>
            </w:pPr>
            <w:r>
              <w:rPr>
                <w:rFonts w:ascii="Arial" w:hAnsi="Arial"/>
                <w:sz w:val="15"/>
              </w:rPr>
              <w:t xml:space="preserve">Capex intensity</w:t>
            </w:r>
          </w:p>
        </w:tc>
        <w:tc>
          <w:tcPr>
            <w:tcW w:w="808" w:type="dxa"/>
          </w:tcPr>
          <w:p>
            <w:pPr>
              <w:pStyle w:val="Compact"/>
              <w:spacing w:before="0" w:after="0" w:line="240" w:lineRule="auto"/>
              <w:jc w:val="left"/>
            </w:pPr>
            <w:r>
              <w:rPr>
                <w:rFonts w:ascii="Arial" w:hAnsi="Arial"/>
                <w:sz w:val="15"/>
              </w:rPr>
              <w:t xml:space="preserve">n/a</w:t>
            </w:r>
          </w:p>
        </w:tc>
        <w:tc>
          <w:tcPr>
            <w:tcW w:w="808" w:type="dxa"/>
          </w:tcPr>
          <w:p>
            <w:pPr>
              <w:pStyle w:val="Compact"/>
              <w:spacing w:before="0" w:after="0" w:line="240" w:lineRule="auto"/>
              <w:jc w:val="left"/>
            </w:pPr>
            <w:r>
              <w:rPr>
                <w:rFonts w:ascii="Arial" w:hAnsi="Arial"/>
                <w:sz w:val="15"/>
              </w:rPr>
              <w:t xml:space="preserve">n/a</w:t>
            </w:r>
          </w:p>
        </w:tc>
        <w:tc>
          <w:tcPr>
            <w:tcW w:w="862" w:type="dxa"/>
          </w:tcPr>
          <w:p>
            <w:pPr>
              <w:pStyle w:val="Compact"/>
              <w:spacing w:before="0" w:after="0" w:line="240" w:lineRule="auto"/>
              <w:jc w:val="left"/>
            </w:pPr>
            <w:r>
              <w:rPr>
                <w:rFonts w:ascii="Arial" w:hAnsi="Arial"/>
                <w:sz w:val="15"/>
              </w:rPr>
              <w:t xml:space="preserve">n/a</w:t>
            </w:r>
          </w:p>
        </w:tc>
        <w:tc>
          <w:tcPr>
            <w:tcW w:w="1690" w:type="dxa"/>
          </w:tcPr>
          <w:p>
            <w:pPr>
              <w:pStyle w:val="Compact"/>
              <w:spacing w:before="0" w:after="0" w:line="240" w:lineRule="auto"/>
              <w:jc w:val="left"/>
            </w:pPr>
            <w:r>
              <w:rPr>
                <w:rFonts w:ascii="Arial" w:hAnsi="Arial"/>
                <w:sz w:val="15"/>
              </w:rPr>
              <w:t xml:space="preserve">n/a</w:t>
            </w:r>
          </w:p>
        </w:tc>
        <w:tc>
          <w:tcPr>
            <w:tcW w:w="3274" w:type="dxa"/>
          </w:tcPr>
          <w:p>
            <w:pPr>
              <w:pStyle w:val="Compact"/>
              <w:spacing w:before="0" w:after="0" w:line="240" w:lineRule="auto"/>
              <w:jc w:val="left"/>
            </w:pPr>
            <w:r>
              <w:rPr>
                <w:rFonts w:ascii="Arial" w:hAnsi="Arial"/>
                <w:sz w:val="15"/>
              </w:rPr>
              <w:t xml:space="preserve">IT spend is the main driver of opex growth; not separately disclosed</w:t>
            </w:r>
          </w:p>
        </w:tc>
      </w:tr>
    </w:tbl>
    <w:p>
      <w:pPr>
        <w:pStyle w:val="CaptionedFigure"/>
      </w:pPr>
      <w:r>
        <w:drawing>
          <wp:inline>
            <wp:extent cx="6324600" cy="2170933"/>
            <wp:effectExtent b="0" l="0" r="0" t="0"/>
            <wp:docPr descr="Quarterly net income and NIM" title="" id="47" name="Picture"/>
            <a:graphic>
              <a:graphicData uri="http://schemas.openxmlformats.org/drawingml/2006/picture">
                <pic:pic>
                  <pic:nvPicPr>
                    <pic:cNvPr descr="HSBK_charts/quarterly_ni_nim.png" id="48" name="Picture"/>
                    <pic:cNvPicPr>
                      <a:picLocks noChangeArrowheads="1" noChangeAspect="1"/>
                    </pic:cNvPicPr>
                  </pic:nvPicPr>
                  <pic:blipFill>
                    <a:blip r:embed="rId46"/>
                    <a:stretch>
                      <a:fillRect/>
                    </a:stretch>
                  </pic:blipFill>
                  <pic:spPr bwMode="auto">
                    <a:xfrm>
                      <a:off x="0" y="0"/>
                      <a:ext cx="6324600" cy="2170933"/>
                    </a:xfrm>
                    <a:prstGeom prst="rect">
                      <a:avLst/>
                    </a:prstGeom>
                    <a:noFill/>
                    <a:ln w="9525">
                      <a:noFill/>
                      <a:headEnd/>
                      <a:tailEnd/>
                    </a:ln>
                  </pic:spPr>
                </pic:pic>
              </a:graphicData>
            </a:graphic>
          </wp:inline>
        </w:drawing>
      </w:r>
    </w:p>
    <w:p>
      <w:pPr>
        <w:pStyle w:val="ImageCaption"/>
      </w:pPr>
      <w:r>
        <w:t xml:space="preserve">Quarterly net income and NIM</w:t>
      </w:r>
    </w:p>
    <w:p>
      <w:pPr>
        <w:pStyle w:val="CaptionedFigure"/>
      </w:pPr>
      <w:r>
        <w:drawing>
          <wp:inline>
            <wp:extent cx="5692140" cy="2822631"/>
            <wp:effectExtent b="0" l="0" r="0" t="0"/>
            <wp:docPr descr="NIM vs NBK base rate" title="" id="50" name="Picture"/>
            <a:graphic>
              <a:graphicData uri="http://schemas.openxmlformats.org/drawingml/2006/picture">
                <pic:pic>
                  <pic:nvPicPr>
                    <pic:cNvPr descr="HSBK_charts/nim_baserate.png" id="51" name="Picture"/>
                    <pic:cNvPicPr>
                      <a:picLocks noChangeArrowheads="1" noChangeAspect="1"/>
                    </pic:cNvPicPr>
                  </pic:nvPicPr>
                  <pic:blipFill>
                    <a:blip r:embed="rId49"/>
                    <a:stretch>
                      <a:fillRect/>
                    </a:stretch>
                  </pic:blipFill>
                  <pic:spPr bwMode="auto">
                    <a:xfrm>
                      <a:off x="0" y="0"/>
                      <a:ext cx="5692140" cy="2822631"/>
                    </a:xfrm>
                    <a:prstGeom prst="rect">
                      <a:avLst/>
                    </a:prstGeom>
                    <a:noFill/>
                    <a:ln w="9525">
                      <a:noFill/>
                      <a:headEnd/>
                      <a:tailEnd/>
                    </a:ln>
                  </pic:spPr>
                </pic:pic>
              </a:graphicData>
            </a:graphic>
          </wp:inline>
        </w:drawing>
      </w:r>
    </w:p>
    <w:p>
      <w:pPr>
        <w:pStyle w:val="ImageCaption"/>
      </w:pPr>
      <w:r>
        <w:t xml:space="preserve">NIM vs NBK base rate</w:t>
      </w:r>
    </w:p>
    <w:p>
      <w:pPr>
        <w:pStyle w:val="CaptionedFigure"/>
      </w:pPr>
      <w:r>
        <w:drawing>
          <wp:inline>
            <wp:extent cx="6008370" cy="2390353"/>
            <wp:effectExtent b="0" l="0" r="0" t="0"/>
            <wp:docPr descr="Loan and deposit mix" title="" id="53" name="Picture"/>
            <a:graphic>
              <a:graphicData uri="http://schemas.openxmlformats.org/drawingml/2006/picture">
                <pic:pic>
                  <pic:nvPicPr>
                    <pic:cNvPr descr="HSBK_charts/loan_deposit_mix.png" id="54" name="Picture"/>
                    <pic:cNvPicPr>
                      <a:picLocks noChangeArrowheads="1" noChangeAspect="1"/>
                    </pic:cNvPicPr>
                  </pic:nvPicPr>
                  <pic:blipFill>
                    <a:blip r:embed="rId52"/>
                    <a:stretch>
                      <a:fillRect/>
                    </a:stretch>
                  </pic:blipFill>
                  <pic:spPr bwMode="auto">
                    <a:xfrm>
                      <a:off x="0" y="0"/>
                      <a:ext cx="6008370" cy="2390353"/>
                    </a:xfrm>
                    <a:prstGeom prst="rect">
                      <a:avLst/>
                    </a:prstGeom>
                    <a:noFill/>
                    <a:ln w="9525">
                      <a:noFill/>
                      <a:headEnd/>
                      <a:tailEnd/>
                    </a:ln>
                  </pic:spPr>
                </pic:pic>
              </a:graphicData>
            </a:graphic>
          </wp:inline>
        </w:drawing>
      </w:r>
    </w:p>
    <w:p>
      <w:pPr>
        <w:pStyle w:val="ImageCaption"/>
      </w:pPr>
      <w:r>
        <w:t xml:space="preserve">Loan and deposit mix</w:t>
      </w:r>
    </w:p>
    <w:p>
      <w:pPr>
        <w:pStyle w:val="CaptionedFigure"/>
      </w:pPr>
      <w:r>
        <w:drawing>
          <wp:inline>
            <wp:extent cx="6008370" cy="2038702"/>
            <wp:effectExtent b="0" l="0" r="0" t="0"/>
            <wp:docPr descr="Asset quality" title="" id="56" name="Picture"/>
            <a:graphic>
              <a:graphicData uri="http://schemas.openxmlformats.org/drawingml/2006/picture">
                <pic:pic>
                  <pic:nvPicPr>
                    <pic:cNvPr descr="HSBK_charts/asset_quality.png" id="57" name="Picture"/>
                    <pic:cNvPicPr>
                      <a:picLocks noChangeArrowheads="1" noChangeAspect="1"/>
                    </pic:cNvPicPr>
                  </pic:nvPicPr>
                  <pic:blipFill>
                    <a:blip r:embed="rId55"/>
                    <a:stretch>
                      <a:fillRect/>
                    </a:stretch>
                  </pic:blipFill>
                  <pic:spPr bwMode="auto">
                    <a:xfrm>
                      <a:off x="0" y="0"/>
                      <a:ext cx="6008370" cy="2038702"/>
                    </a:xfrm>
                    <a:prstGeom prst="rect">
                      <a:avLst/>
                    </a:prstGeom>
                    <a:noFill/>
                    <a:ln w="9525">
                      <a:noFill/>
                      <a:headEnd/>
                      <a:tailEnd/>
                    </a:ln>
                  </pic:spPr>
                </pic:pic>
              </a:graphicData>
            </a:graphic>
          </wp:inline>
        </w:drawing>
      </w:r>
    </w:p>
    <w:p>
      <w:pPr>
        <w:pStyle w:val="ImageCaption"/>
      </w:pPr>
      <w:r>
        <w:t xml:space="preserve">Asset quality</w:t>
      </w:r>
    </w:p>
    <w:bookmarkEnd w:id="58"/>
    <w:bookmarkEnd w:id="59"/>
    <w:bookmarkStart w:id="63" w:name="Xafdc14e309a772c09889e1e56cc9df2a69ad55c"/>
    <w:p>
      <w:pPr>
        <w:pStyle w:val="Heading1"/>
      </w:pPr>
      <w:r>
        <w:t xml:space="preserve">Historical catalysts: moves of more than 10% over the last five years</w:t>
      </w:r>
    </w:p>
    <w:p>
      <w:pPr>
        <w:pStyle w:val="CaptionedFigure"/>
      </w:pPr>
      <w:r>
        <w:drawing>
          <wp:inline>
            <wp:extent cx="6324600" cy="3155813"/>
            <wp:effectExtent b="0" l="0" r="0" t="0"/>
            <wp:docPr descr="Halyk GDR price points and catalysts" title="" id="61" name="Picture"/>
            <a:graphic>
              <a:graphicData uri="http://schemas.openxmlformats.org/drawingml/2006/picture">
                <pic:pic>
                  <pic:nvPicPr>
                    <pic:cNvPr descr="HSBK_charts/price_5y.png" id="62" name="Picture"/>
                    <pic:cNvPicPr>
                      <a:picLocks noChangeArrowheads="1" noChangeAspect="1"/>
                    </pic:cNvPicPr>
                  </pic:nvPicPr>
                  <pic:blipFill>
                    <a:blip r:embed="rId60"/>
                    <a:stretch>
                      <a:fillRect/>
                    </a:stretch>
                  </pic:blipFill>
                  <pic:spPr bwMode="auto">
                    <a:xfrm>
                      <a:off x="0" y="0"/>
                      <a:ext cx="6324600" cy="3155813"/>
                    </a:xfrm>
                    <a:prstGeom prst="rect">
                      <a:avLst/>
                    </a:prstGeom>
                    <a:noFill/>
                    <a:ln w="9525">
                      <a:noFill/>
                      <a:headEnd/>
                      <a:tailEnd/>
                    </a:ln>
                  </pic:spPr>
                </pic:pic>
              </a:graphicData>
            </a:graphic>
          </wp:inline>
        </w:drawing>
      </w:r>
    </w:p>
    <w:p>
      <w:pPr>
        <w:pStyle w:val="ImageCaption"/>
      </w:pPr>
      <w:r>
        <w:t xml:space="preserve">Halyk GDR price points and catalysts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450"/>
        <w:gridCol w:w="1828"/>
        <w:gridCol w:w="2025"/>
        <w:gridCol w:w="1440"/>
        <w:gridCol w:w="4233"/>
      </w:tblGrid>
      <w:tr>
        <w:trPr>
          <w:tblHeader w:val="true"/>
          <w:cantSplit/>
          <w:tblHeader w:val="true"/>
        </w:trPr>
        <w:tc>
          <w:tcPr>
            <w:tcW w:w="450" w:type="dxa"/>
            <w:shd w:val="clear" w:color="auto" w:fill="13213F"/>
          </w:tcPr>
          <w:p>
            <w:pPr>
              <w:pStyle w:val="Compact"/>
              <w:spacing w:before="0" w:after="0" w:line="240" w:lineRule="auto"/>
              <w:jc w:val="left"/>
            </w:pPr>
            <w:r>
              <w:rPr>
                <w:rFonts w:ascii="Arial" w:hAnsi="Arial"/>
                <w:b/>
                <w:color w:val="FFFFFF"/>
                <w:sz w:val="15"/>
              </w:rPr>
              <w:t xml:space="preserve">#</w:t>
            </w:r>
          </w:p>
        </w:tc>
        <w:tc>
          <w:tcPr>
            <w:tcW w:w="1828" w:type="dxa"/>
            <w:shd w:val="clear" w:color="auto" w:fill="13213F"/>
          </w:tcPr>
          <w:p>
            <w:pPr>
              <w:pStyle w:val="Compact"/>
              <w:spacing w:before="0" w:after="0" w:line="240" w:lineRule="auto"/>
              <w:jc w:val="left"/>
            </w:pPr>
            <w:r>
              <w:rPr>
                <w:rFonts w:ascii="Arial" w:hAnsi="Arial"/>
                <w:b/>
                <w:color w:val="FFFFFF"/>
                <w:sz w:val="15"/>
              </w:rPr>
              <w:t xml:space="preserve">Date / window</w:t>
            </w:r>
          </w:p>
        </w:tc>
        <w:tc>
          <w:tcPr>
            <w:tcW w:w="2025" w:type="dxa"/>
            <w:shd w:val="clear" w:color="auto" w:fill="13213F"/>
          </w:tcPr>
          <w:p>
            <w:pPr>
              <w:pStyle w:val="Compact"/>
              <w:spacing w:before="0" w:after="0" w:line="240" w:lineRule="auto"/>
              <w:jc w:val="left"/>
            </w:pPr>
            <w:r>
              <w:rPr>
                <w:rFonts w:ascii="Arial" w:hAnsi="Arial"/>
                <w:b/>
                <w:color w:val="FFFFFF"/>
                <w:sz w:val="15"/>
              </w:rPr>
              <w:t xml:space="preserve">Move</w:t>
            </w:r>
          </w:p>
        </w:tc>
        <w:tc>
          <w:tcPr>
            <w:tcW w:w="1440" w:type="dxa"/>
            <w:shd w:val="clear" w:color="auto" w:fill="13213F"/>
          </w:tcPr>
          <w:p>
            <w:pPr>
              <w:pStyle w:val="Compact"/>
              <w:spacing w:before="0" w:after="0" w:line="240" w:lineRule="auto"/>
              <w:jc w:val="left"/>
            </w:pPr>
            <w:r>
              <w:rPr>
                <w:rFonts w:ascii="Arial" w:hAnsi="Arial"/>
                <w:b/>
                <w:color w:val="FFFFFF"/>
                <w:sz w:val="15"/>
              </w:rPr>
              <w:t xml:space="preserve">Price (US$/GDR)</w:t>
            </w:r>
          </w:p>
        </w:tc>
        <w:tc>
          <w:tcPr>
            <w:tcW w:w="4233" w:type="dxa"/>
            <w:shd w:val="clear" w:color="auto" w:fill="13213F"/>
          </w:tcPr>
          <w:p>
            <w:pPr>
              <w:pStyle w:val="Compact"/>
              <w:spacing w:before="0" w:after="0" w:line="240" w:lineRule="auto"/>
              <w:jc w:val="left"/>
            </w:pPr>
            <w:r>
              <w:rPr>
                <w:rFonts w:ascii="Arial" w:hAnsi="Arial"/>
                <w:b/>
                <w:color w:val="FFFFFF"/>
                <w:sz w:val="15"/>
              </w:rPr>
              <w:t xml:space="preserve">Cause</w:t>
            </w:r>
          </w:p>
        </w:tc>
      </w:tr>
      <w:tr>
        <w:trPr>
          <w:cantSplit/>
        </w:trPr>
        <w:tc>
          <w:tcPr>
            <w:tcW w:w="450" w:type="dxa"/>
          </w:tcPr>
          <w:p>
            <w:pPr>
              <w:pStyle w:val="Compact"/>
              <w:spacing w:before="0" w:after="0" w:line="240" w:lineRule="auto"/>
              <w:jc w:val="left"/>
            </w:pPr>
            <w:r>
              <w:rPr>
                <w:rFonts w:ascii="Arial" w:hAnsi="Arial"/>
                <w:sz w:val="15"/>
              </w:rPr>
              <w:t xml:space="preserve">1</w:t>
            </w:r>
          </w:p>
        </w:tc>
        <w:tc>
          <w:tcPr>
            <w:tcW w:w="1828" w:type="dxa"/>
          </w:tcPr>
          <w:p>
            <w:pPr>
              <w:pStyle w:val="Compact"/>
              <w:spacing w:before="0" w:after="0" w:line="240" w:lineRule="auto"/>
              <w:jc w:val="left"/>
            </w:pPr>
            <w:r>
              <w:rPr>
                <w:rFonts w:ascii="Arial" w:hAnsi="Arial"/>
                <w:sz w:val="15"/>
              </w:rPr>
              <w:t xml:space="preserve">4–6 Jan 2022</w:t>
            </w:r>
          </w:p>
        </w:tc>
        <w:tc>
          <w:tcPr>
            <w:tcW w:w="2025" w:type="dxa"/>
          </w:tcPr>
          <w:p>
            <w:pPr>
              <w:pStyle w:val="Compact"/>
              <w:spacing w:before="0" w:after="0" w:line="240" w:lineRule="auto"/>
              <w:jc w:val="left"/>
            </w:pPr>
            <w:r>
              <w:rPr>
                <w:bCs/>
                <w:rFonts w:ascii="Arial" w:hAnsi="Arial"/>
                <w:b/>
                <w:sz w:val="15"/>
              </w:rPr>
              <w:t xml:space="preserve">−16% to −20%</w:t>
            </w:r>
          </w:p>
        </w:tc>
        <w:tc>
          <w:tcPr>
            <w:tcW w:w="1440" w:type="dxa"/>
          </w:tcPr>
          <w:p>
            <w:pPr>
              <w:pStyle w:val="Compact"/>
              <w:spacing w:before="0" w:after="0" w:line="240" w:lineRule="auto"/>
              <w:jc w:val="left"/>
            </w:pPr>
            <w:r>
              <w:rPr>
                <w:rFonts w:ascii="Arial" w:hAnsi="Arial"/>
                <w:sz w:val="15"/>
              </w:rPr>
              <w:t xml:space="preserve">~15.9 → ~12.9 (end-Jan)</w:t>
            </w:r>
          </w:p>
        </w:tc>
        <w:tc>
          <w:tcPr>
            <w:tcW w:w="4233" w:type="dxa"/>
          </w:tcPr>
          <w:p>
            <w:pPr>
              <w:pStyle w:val="Compact"/>
              <w:spacing w:before="0" w:after="0" w:line="240" w:lineRule="auto"/>
              <w:jc w:val="left"/>
            </w:pPr>
            <w:r>
              <w:rPr>
                <w:rFonts w:ascii="Arial" w:hAnsi="Arial"/>
                <w:sz w:val="15"/>
              </w:rPr>
              <w:t xml:space="preserve">“</w:t>
            </w:r>
            <w:r>
              <w:rPr>
                <w:rFonts w:ascii="Arial" w:hAnsi="Arial"/>
                <w:sz w:val="15"/>
              </w:rPr>
              <w:t xml:space="preserve">Bloody January</w:t>
            </w:r>
            <w:r>
              <w:rPr>
                <w:rFonts w:ascii="Arial" w:hAnsi="Arial"/>
                <w:sz w:val="15"/>
              </w:rPr>
              <w:t xml:space="preserve">”</w:t>
            </w:r>
            <w:r>
              <w:rPr>
                <w:rFonts w:ascii="Arial" w:hAnsi="Arial"/>
                <w:sz w:val="15"/>
              </w:rPr>
              <w:t xml:space="preserve"> </w:t>
            </w:r>
            <w:r>
              <w:rPr>
                <w:rFonts w:ascii="Arial" w:hAnsi="Arial"/>
                <w:sz w:val="15"/>
              </w:rPr>
              <w:t xml:space="preserve">unrest: state of emergency, internet blackout, CSTO deployment. A political shock for the Nazarbayev family, which owns the controlling stake via ALMEX.</w:t>
            </w:r>
          </w:p>
        </w:tc>
      </w:tr>
      <w:tr>
        <w:trPr>
          <w:cantSplit/>
        </w:trPr>
        <w:tc>
          <w:tcPr>
            <w:tcW w:w="450" w:type="dxa"/>
          </w:tcPr>
          <w:p>
            <w:pPr>
              <w:pStyle w:val="Compact"/>
              <w:spacing w:before="0" w:after="0" w:line="240" w:lineRule="auto"/>
              <w:jc w:val="left"/>
            </w:pPr>
            <w:r>
              <w:rPr>
                <w:rFonts w:ascii="Arial" w:hAnsi="Arial"/>
                <w:sz w:val="15"/>
              </w:rPr>
              <w:t xml:space="preserve">2</w:t>
            </w:r>
          </w:p>
        </w:tc>
        <w:tc>
          <w:tcPr>
            <w:tcW w:w="1828" w:type="dxa"/>
          </w:tcPr>
          <w:p>
            <w:pPr>
              <w:pStyle w:val="Compact"/>
              <w:spacing w:before="0" w:after="0" w:line="240" w:lineRule="auto"/>
              <w:jc w:val="left"/>
            </w:pPr>
            <w:r>
              <w:rPr>
                <w:rFonts w:ascii="Arial" w:hAnsi="Arial"/>
                <w:sz w:val="15"/>
              </w:rPr>
              <w:t xml:space="preserve">24 Feb 2022</w:t>
            </w:r>
          </w:p>
        </w:tc>
        <w:tc>
          <w:tcPr>
            <w:tcW w:w="2025" w:type="dxa"/>
          </w:tcPr>
          <w:p>
            <w:pPr>
              <w:pStyle w:val="Compact"/>
              <w:spacing w:before="0" w:after="0" w:line="240" w:lineRule="auto"/>
              <w:jc w:val="left"/>
            </w:pPr>
            <w:r>
              <w:rPr>
                <w:bCs/>
                <w:rFonts w:ascii="Arial" w:hAnsi="Arial"/>
                <w:b/>
                <w:sz w:val="15"/>
              </w:rPr>
              <w:t xml:space="preserve">−15.3% in one day</w:t>
            </w:r>
            <w:r>
              <w:rPr>
                <w:rFonts w:ascii="Arial" w:hAnsi="Arial"/>
                <w:sz w:val="15"/>
              </w:rPr>
              <w:t xml:space="preserve"> </w:t>
            </w:r>
            <w:r>
              <w:rPr>
                <w:rFonts w:ascii="Arial" w:hAnsi="Arial"/>
                <w:sz w:val="15"/>
              </w:rPr>
              <w:t xml:space="preserve">(KASE −13%)</w:t>
            </w:r>
          </w:p>
        </w:tc>
        <w:tc>
          <w:tcPr>
            <w:tcW w:w="1440" w:type="dxa"/>
          </w:tcPr>
          <w:p>
            <w:pPr>
              <w:pStyle w:val="Compact"/>
              <w:spacing w:before="0" w:after="0" w:line="240" w:lineRule="auto"/>
              <w:jc w:val="left"/>
            </w:pPr>
            <w:r>
              <w:rPr>
                <w:rFonts w:ascii="Arial" w:hAnsi="Arial"/>
                <w:sz w:val="15"/>
              </w:rPr>
              <w:t xml:space="preserve">12.50 → 10.59</w:t>
            </w:r>
          </w:p>
        </w:tc>
        <w:tc>
          <w:tcPr>
            <w:tcW w:w="4233" w:type="dxa"/>
          </w:tcPr>
          <w:p>
            <w:pPr>
              <w:pStyle w:val="Compact"/>
              <w:spacing w:before="0" w:after="0" w:line="240" w:lineRule="auto"/>
              <w:jc w:val="left"/>
            </w:pPr>
            <w:r>
              <w:rPr>
                <w:rFonts w:ascii="Arial" w:hAnsi="Arial"/>
                <w:sz w:val="15"/>
              </w:rPr>
              <w:t xml:space="preserve">Russia’s invasion of Ukraine: sanctions-contagion fears, rouble/tenge contagion, and Halyk’s Russian subsidiary.</w:t>
            </w:r>
          </w:p>
        </w:tc>
      </w:tr>
      <w:tr>
        <w:trPr>
          <w:cantSplit/>
        </w:trPr>
        <w:tc>
          <w:tcPr>
            <w:tcW w:w="450" w:type="dxa"/>
          </w:tcPr>
          <w:p>
            <w:pPr>
              <w:pStyle w:val="Compact"/>
              <w:spacing w:before="0" w:after="0" w:line="240" w:lineRule="auto"/>
              <w:jc w:val="left"/>
            </w:pPr>
            <w:r>
              <w:rPr>
                <w:rFonts w:ascii="Arial" w:hAnsi="Arial"/>
                <w:sz w:val="15"/>
              </w:rPr>
              <w:t xml:space="preserve">3</w:t>
            </w:r>
          </w:p>
        </w:tc>
        <w:tc>
          <w:tcPr>
            <w:tcW w:w="1828" w:type="dxa"/>
          </w:tcPr>
          <w:p>
            <w:pPr>
              <w:pStyle w:val="Compact"/>
              <w:spacing w:before="0" w:after="0" w:line="240" w:lineRule="auto"/>
              <w:jc w:val="left"/>
            </w:pPr>
            <w:r>
              <w:rPr>
                <w:rFonts w:ascii="Arial" w:hAnsi="Arial"/>
                <w:sz w:val="15"/>
              </w:rPr>
              <w:t xml:space="preserve">1–4 Mar 2022</w:t>
            </w:r>
          </w:p>
        </w:tc>
        <w:tc>
          <w:tcPr>
            <w:tcW w:w="2025" w:type="dxa"/>
          </w:tcPr>
          <w:p>
            <w:pPr>
              <w:pStyle w:val="Compact"/>
              <w:spacing w:before="0" w:after="0" w:line="240" w:lineRule="auto"/>
              <w:jc w:val="left"/>
            </w:pPr>
            <w:r>
              <w:rPr>
                <w:bCs/>
                <w:rFonts w:ascii="Arial" w:hAnsi="Arial"/>
                <w:b/>
                <w:sz w:val="15"/>
              </w:rPr>
              <w:t xml:space="preserve">−15.7%</w:t>
            </w:r>
            <w:r>
              <w:rPr>
                <w:rFonts w:ascii="Arial" w:hAnsi="Arial"/>
                <w:sz w:val="15"/>
              </w:rPr>
              <w:t xml:space="preserve"> </w:t>
            </w:r>
            <w:r>
              <w:rPr>
                <w:rFonts w:ascii="Arial" w:hAnsi="Arial"/>
                <w:sz w:val="15"/>
              </w:rPr>
              <w:t xml:space="preserve">(−45% from end-2021)</w:t>
            </w:r>
          </w:p>
        </w:tc>
        <w:tc>
          <w:tcPr>
            <w:tcW w:w="1440" w:type="dxa"/>
          </w:tcPr>
          <w:p>
            <w:pPr>
              <w:pStyle w:val="Compact"/>
              <w:spacing w:before="0" w:after="0" w:line="240" w:lineRule="auto"/>
              <w:jc w:val="left"/>
            </w:pPr>
            <w:r>
              <w:rPr>
                <w:rFonts w:ascii="Arial" w:hAnsi="Arial"/>
                <w:sz w:val="15"/>
              </w:rPr>
              <w:t xml:space="preserve">10.20 → ~8.60</w:t>
            </w:r>
          </w:p>
        </w:tc>
        <w:tc>
          <w:tcPr>
            <w:tcW w:w="4233" w:type="dxa"/>
          </w:tcPr>
          <w:p>
            <w:pPr>
              <w:pStyle w:val="Compact"/>
              <w:spacing w:before="0" w:after="0" w:line="240" w:lineRule="auto"/>
              <w:jc w:val="left"/>
            </w:pPr>
            <w:r>
              <w:rPr>
                <w:rFonts w:ascii="Arial" w:hAnsi="Arial"/>
                <w:sz w:val="15"/>
              </w:rPr>
              <w:t xml:space="preserve">Escalating sanctions; CIS-wide sell-off; the AGM later proposed no FY21 dividend.</w:t>
            </w:r>
          </w:p>
        </w:tc>
      </w:tr>
      <w:tr>
        <w:trPr>
          <w:cantSplit/>
        </w:trPr>
        <w:tc>
          <w:tcPr>
            <w:tcW w:w="450" w:type="dxa"/>
          </w:tcPr>
          <w:p>
            <w:pPr>
              <w:pStyle w:val="Compact"/>
              <w:spacing w:before="0" w:after="0" w:line="240" w:lineRule="auto"/>
              <w:jc w:val="left"/>
            </w:pPr>
            <w:r>
              <w:rPr>
                <w:rFonts w:ascii="Arial" w:hAnsi="Arial"/>
                <w:sz w:val="15"/>
              </w:rPr>
              <w:t xml:space="preserve">4</w:t>
            </w:r>
          </w:p>
        </w:tc>
        <w:tc>
          <w:tcPr>
            <w:tcW w:w="1828" w:type="dxa"/>
          </w:tcPr>
          <w:p>
            <w:pPr>
              <w:pStyle w:val="Compact"/>
              <w:spacing w:before="0" w:after="0" w:line="240" w:lineRule="auto"/>
              <w:jc w:val="left"/>
            </w:pPr>
            <w:r>
              <w:rPr>
                <w:rFonts w:ascii="Arial" w:hAnsi="Arial"/>
                <w:sz w:val="15"/>
              </w:rPr>
              <w:t xml:space="preserve">Mar–Dec 2022</w:t>
            </w:r>
          </w:p>
        </w:tc>
        <w:tc>
          <w:tcPr>
            <w:tcW w:w="2025" w:type="dxa"/>
          </w:tcPr>
          <w:p>
            <w:pPr>
              <w:pStyle w:val="Compact"/>
              <w:spacing w:before="0" w:after="0" w:line="240" w:lineRule="auto"/>
              <w:jc w:val="left"/>
            </w:pPr>
            <w:r>
              <w:rPr>
                <w:bCs/>
                <w:rFonts w:ascii="Arial" w:hAnsi="Arial"/>
                <w:b/>
                <w:sz w:val="15"/>
              </w:rPr>
              <w:t xml:space="preserve">+21%</w:t>
            </w:r>
            <w:r>
              <w:rPr>
                <w:rFonts w:ascii="Arial" w:hAnsi="Arial"/>
                <w:sz w:val="15"/>
              </w:rPr>
              <w:t xml:space="preserve"> </w:t>
            </w:r>
            <w:r>
              <w:rPr>
                <w:rFonts w:ascii="Arial" w:hAnsi="Arial"/>
                <w:sz w:val="15"/>
              </w:rPr>
              <w:t xml:space="preserve">from the trough</w:t>
            </w:r>
          </w:p>
        </w:tc>
        <w:tc>
          <w:tcPr>
            <w:tcW w:w="1440" w:type="dxa"/>
          </w:tcPr>
          <w:p>
            <w:pPr>
              <w:pStyle w:val="Compact"/>
              <w:spacing w:before="0" w:after="0" w:line="240" w:lineRule="auto"/>
              <w:jc w:val="left"/>
            </w:pPr>
            <w:r>
              <w:rPr>
                <w:rFonts w:ascii="Arial" w:hAnsi="Arial"/>
                <w:sz w:val="15"/>
              </w:rPr>
              <w:t xml:space="preserve">8.60 → 10.40</w:t>
            </w:r>
          </w:p>
        </w:tc>
        <w:tc>
          <w:tcPr>
            <w:tcW w:w="4233" w:type="dxa"/>
          </w:tcPr>
          <w:p>
            <w:pPr>
              <w:pStyle w:val="Compact"/>
              <w:spacing w:before="0" w:after="0" w:line="240" w:lineRule="auto"/>
              <w:jc w:val="left"/>
            </w:pPr>
            <w:r>
              <w:rPr>
                <w:rFonts w:ascii="Arial" w:hAnsi="Arial"/>
                <w:sz w:val="15"/>
              </w:rPr>
              <w:t xml:space="preserve">FY21 dividend reinstated (KZT12.71, paid Oct-22); exits from Russia and Tajikistan announced (Dec-22).</w:t>
            </w:r>
          </w:p>
        </w:tc>
      </w:tr>
      <w:tr>
        <w:trPr>
          <w:cantSplit/>
        </w:trPr>
        <w:tc>
          <w:tcPr>
            <w:tcW w:w="450" w:type="dxa"/>
          </w:tcPr>
          <w:p>
            <w:pPr>
              <w:pStyle w:val="Compact"/>
              <w:spacing w:before="0" w:after="0" w:line="240" w:lineRule="auto"/>
              <w:jc w:val="left"/>
            </w:pPr>
            <w:r>
              <w:rPr>
                <w:rFonts w:ascii="Arial" w:hAnsi="Arial"/>
                <w:sz w:val="15"/>
              </w:rPr>
              <w:t xml:space="preserve">5</w:t>
            </w:r>
          </w:p>
        </w:tc>
        <w:tc>
          <w:tcPr>
            <w:tcW w:w="1828" w:type="dxa"/>
          </w:tcPr>
          <w:p>
            <w:pPr>
              <w:pStyle w:val="Compact"/>
              <w:spacing w:before="0" w:after="0" w:line="240" w:lineRule="auto"/>
              <w:jc w:val="left"/>
            </w:pPr>
            <w:r>
              <w:rPr>
                <w:rFonts w:ascii="Arial" w:hAnsi="Arial"/>
                <w:sz w:val="15"/>
              </w:rPr>
              <w:t xml:space="preserve">Calendar 2023</w:t>
            </w:r>
          </w:p>
        </w:tc>
        <w:tc>
          <w:tcPr>
            <w:tcW w:w="2025" w:type="dxa"/>
          </w:tcPr>
          <w:p>
            <w:pPr>
              <w:pStyle w:val="Compact"/>
              <w:spacing w:before="0" w:after="0" w:line="240" w:lineRule="auto"/>
              <w:jc w:val="left"/>
            </w:pPr>
            <w:r>
              <w:rPr>
                <w:bCs/>
                <w:rFonts w:ascii="Arial" w:hAnsi="Arial"/>
                <w:b/>
                <w:sz w:val="15"/>
              </w:rPr>
              <w:t xml:space="preserve">+46%</w:t>
            </w:r>
            <w:r>
              <w:rPr>
                <w:rFonts w:ascii="Arial" w:hAnsi="Arial"/>
                <w:sz w:val="15"/>
              </w:rPr>
              <w:t xml:space="preserve"> </w:t>
            </w:r>
            <w:r>
              <w:rPr>
                <w:rFonts w:ascii="Arial" w:hAnsi="Arial"/>
                <w:sz w:val="15"/>
              </w:rPr>
              <w:t xml:space="preserve">(+66% total return)</w:t>
            </w:r>
          </w:p>
        </w:tc>
        <w:tc>
          <w:tcPr>
            <w:tcW w:w="1440" w:type="dxa"/>
          </w:tcPr>
          <w:p>
            <w:pPr>
              <w:pStyle w:val="Compact"/>
              <w:spacing w:before="0" w:after="0" w:line="240" w:lineRule="auto"/>
              <w:jc w:val="left"/>
            </w:pPr>
            <w:r>
              <w:rPr>
                <w:rFonts w:ascii="Arial" w:hAnsi="Arial"/>
                <w:sz w:val="15"/>
              </w:rPr>
              <w:t xml:space="preserve">10.40 → 15.16</w:t>
            </w:r>
          </w:p>
        </w:tc>
        <w:tc>
          <w:tcPr>
            <w:tcW w:w="4233" w:type="dxa"/>
          </w:tcPr>
          <w:p>
            <w:pPr>
              <w:pStyle w:val="Compact"/>
              <w:spacing w:before="0" w:after="0" w:line="240" w:lineRule="auto"/>
              <w:jc w:val="left"/>
            </w:pPr>
            <w:r>
              <w:rPr>
                <w:rFonts w:ascii="Arial" w:hAnsi="Arial"/>
                <w:sz w:val="15"/>
              </w:rPr>
              <w:t xml:space="preserve">Record earnings (ROE 32.5%), payout raised to 50%, high-rate NIM tailwind.</w:t>
            </w:r>
          </w:p>
        </w:tc>
      </w:tr>
      <w:tr>
        <w:trPr>
          <w:cantSplit/>
        </w:trPr>
        <w:tc>
          <w:tcPr>
            <w:tcW w:w="450" w:type="dxa"/>
          </w:tcPr>
          <w:p>
            <w:pPr>
              <w:pStyle w:val="Compact"/>
              <w:spacing w:before="0" w:after="0" w:line="240" w:lineRule="auto"/>
              <w:jc w:val="left"/>
            </w:pPr>
            <w:r>
              <w:rPr>
                <w:rFonts w:ascii="Arial" w:hAnsi="Arial"/>
                <w:sz w:val="15"/>
              </w:rPr>
              <w:t xml:space="preserve">6</w:t>
            </w:r>
          </w:p>
        </w:tc>
        <w:tc>
          <w:tcPr>
            <w:tcW w:w="1828" w:type="dxa"/>
          </w:tcPr>
          <w:p>
            <w:pPr>
              <w:pStyle w:val="Compact"/>
              <w:spacing w:before="0" w:after="0" w:line="240" w:lineRule="auto"/>
              <w:jc w:val="left"/>
            </w:pPr>
            <w:r>
              <w:rPr>
                <w:rFonts w:ascii="Arial" w:hAnsi="Arial"/>
                <w:sz w:val="15"/>
              </w:rPr>
              <w:t xml:space="preserve">Calendar 2024</w:t>
            </w:r>
          </w:p>
        </w:tc>
        <w:tc>
          <w:tcPr>
            <w:tcW w:w="2025" w:type="dxa"/>
          </w:tcPr>
          <w:p>
            <w:pPr>
              <w:pStyle w:val="Compact"/>
              <w:spacing w:before="0" w:after="0" w:line="240" w:lineRule="auto"/>
              <w:jc w:val="left"/>
            </w:pPr>
            <w:r>
              <w:rPr>
                <w:bCs/>
                <w:rFonts w:ascii="Arial" w:hAnsi="Arial"/>
                <w:b/>
                <w:sz w:val="15"/>
              </w:rPr>
              <w:t xml:space="preserve">~+29%</w:t>
            </w:r>
            <w:r>
              <w:rPr>
                <w:rFonts w:ascii="Arial" w:hAnsi="Arial"/>
                <w:sz w:val="15"/>
              </w:rPr>
              <w:t xml:space="preserve"> </w:t>
            </w:r>
            <w:r>
              <w:rPr>
                <w:rFonts w:ascii="Arial" w:hAnsi="Arial"/>
                <w:sz w:val="15"/>
              </w:rPr>
              <w:t xml:space="preserve">[e]</w:t>
            </w:r>
          </w:p>
        </w:tc>
        <w:tc>
          <w:tcPr>
            <w:tcW w:w="1440" w:type="dxa"/>
          </w:tcPr>
          <w:p>
            <w:pPr>
              <w:pStyle w:val="Compact"/>
              <w:spacing w:before="0" w:after="0" w:line="240" w:lineRule="auto"/>
              <w:jc w:val="left"/>
            </w:pPr>
            <w:r>
              <w:rPr>
                <w:rFonts w:ascii="Arial" w:hAnsi="Arial"/>
                <w:sz w:val="15"/>
              </w:rPr>
              <w:t xml:space="preserve">15.16 → ~19.5</w:t>
            </w:r>
          </w:p>
        </w:tc>
        <w:tc>
          <w:tcPr>
            <w:tcW w:w="4233" w:type="dxa"/>
          </w:tcPr>
          <w:p>
            <w:pPr>
              <w:pStyle w:val="Compact"/>
              <w:spacing w:before="0" w:after="0" w:line="240" w:lineRule="auto"/>
              <w:jc w:val="left"/>
            </w:pPr>
            <w:r>
              <w:rPr>
                <w:rFonts w:ascii="Arial" w:hAnsi="Arial"/>
                <w:sz w:val="15"/>
              </w:rPr>
              <w:t xml:space="preserve">Record +33% profit; second dividend tranche introduced (Dec-24); GDR buyback (from Sep-24).</w:t>
            </w:r>
          </w:p>
        </w:tc>
      </w:tr>
      <w:tr>
        <w:trPr>
          <w:cantSplit/>
        </w:trPr>
        <w:tc>
          <w:tcPr>
            <w:tcW w:w="450" w:type="dxa"/>
          </w:tcPr>
          <w:p>
            <w:pPr>
              <w:pStyle w:val="Compact"/>
              <w:spacing w:before="0" w:after="0" w:line="240" w:lineRule="auto"/>
              <w:jc w:val="left"/>
            </w:pPr>
            <w:r>
              <w:rPr>
                <w:rFonts w:ascii="Arial" w:hAnsi="Arial"/>
                <w:sz w:val="15"/>
              </w:rPr>
              <w:t xml:space="preserve">7</w:t>
            </w:r>
          </w:p>
        </w:tc>
        <w:tc>
          <w:tcPr>
            <w:tcW w:w="1828" w:type="dxa"/>
          </w:tcPr>
          <w:p>
            <w:pPr>
              <w:pStyle w:val="Compact"/>
              <w:spacing w:before="0" w:after="0" w:line="240" w:lineRule="auto"/>
              <w:jc w:val="left"/>
            </w:pPr>
            <w:r>
              <w:rPr>
                <w:rFonts w:ascii="Arial" w:hAnsi="Arial"/>
                <w:sz w:val="15"/>
              </w:rPr>
              <w:t xml:space="preserve">Apr–early Nov 2025</w:t>
            </w:r>
          </w:p>
        </w:tc>
        <w:tc>
          <w:tcPr>
            <w:tcW w:w="2025" w:type="dxa"/>
          </w:tcPr>
          <w:p>
            <w:pPr>
              <w:pStyle w:val="Compact"/>
              <w:spacing w:before="0" w:after="0" w:line="240" w:lineRule="auto"/>
              <w:jc w:val="left"/>
            </w:pPr>
            <w:r>
              <w:rPr>
                <w:bCs/>
                <w:rFonts w:ascii="Arial" w:hAnsi="Arial"/>
                <w:b/>
                <w:sz w:val="15"/>
              </w:rPr>
              <w:t xml:space="preserve">~+21%</w:t>
            </w:r>
          </w:p>
        </w:tc>
        <w:tc>
          <w:tcPr>
            <w:tcW w:w="1440" w:type="dxa"/>
          </w:tcPr>
          <w:p>
            <w:pPr>
              <w:pStyle w:val="Compact"/>
              <w:spacing w:before="0" w:after="0" w:line="240" w:lineRule="auto"/>
              <w:jc w:val="left"/>
            </w:pPr>
            <w:r>
              <w:rPr>
                <w:rFonts w:ascii="Arial" w:hAnsi="Arial"/>
                <w:sz w:val="15"/>
              </w:rPr>
              <w:t xml:space="preserve">21.1 → 25.7</w:t>
            </w:r>
          </w:p>
        </w:tc>
        <w:tc>
          <w:tcPr>
            <w:tcW w:w="4233" w:type="dxa"/>
          </w:tcPr>
          <w:p>
            <w:pPr>
              <w:pStyle w:val="Compact"/>
              <w:spacing w:before="0" w:after="0" w:line="240" w:lineRule="auto"/>
              <w:jc w:val="left"/>
            </w:pPr>
            <w:r>
              <w:rPr>
                <w:rFonts w:ascii="Arial" w:hAnsi="Arial"/>
                <w:sz w:val="15"/>
              </w:rPr>
              <w:t xml:space="preserve">60% payout (FY24 KZT50.64); second tranche (Sep-25); new US$50m buyback (Oct-25); 18% base rate.</w:t>
            </w:r>
          </w:p>
        </w:tc>
      </w:tr>
      <w:tr>
        <w:trPr>
          <w:cantSplit/>
        </w:trPr>
        <w:tc>
          <w:tcPr>
            <w:tcW w:w="450" w:type="dxa"/>
          </w:tcPr>
          <w:p>
            <w:pPr>
              <w:pStyle w:val="Compact"/>
              <w:spacing w:before="0" w:after="0" w:line="240" w:lineRule="auto"/>
              <w:jc w:val="left"/>
            </w:pPr>
            <w:r>
              <w:rPr>
                <w:rFonts w:ascii="Arial" w:hAnsi="Arial"/>
                <w:sz w:val="15"/>
              </w:rPr>
              <w:t xml:space="preserve">8</w:t>
            </w:r>
          </w:p>
        </w:tc>
        <w:tc>
          <w:tcPr>
            <w:tcW w:w="1828" w:type="dxa"/>
          </w:tcPr>
          <w:p>
            <w:pPr>
              <w:pStyle w:val="Compact"/>
              <w:spacing w:before="0" w:after="0" w:line="240" w:lineRule="auto"/>
              <w:jc w:val="left"/>
            </w:pPr>
            <w:r>
              <w:rPr>
                <w:rFonts w:ascii="Arial" w:hAnsi="Arial"/>
                <w:sz w:val="15"/>
              </w:rPr>
              <w:t xml:space="preserve">4–21 Nov 2025</w:t>
            </w:r>
          </w:p>
        </w:tc>
        <w:tc>
          <w:tcPr>
            <w:tcW w:w="2025" w:type="dxa"/>
          </w:tcPr>
          <w:p>
            <w:pPr>
              <w:pStyle w:val="Compact"/>
              <w:spacing w:before="0" w:after="0" w:line="240" w:lineRule="auto"/>
              <w:jc w:val="left"/>
            </w:pPr>
            <w:r>
              <w:rPr>
                <w:bCs/>
                <w:rFonts w:ascii="Arial" w:hAnsi="Arial"/>
                <w:b/>
                <w:sz w:val="15"/>
              </w:rPr>
              <w:t xml:space="preserve">~−10%</w:t>
            </w:r>
          </w:p>
        </w:tc>
        <w:tc>
          <w:tcPr>
            <w:tcW w:w="1440" w:type="dxa"/>
          </w:tcPr>
          <w:p>
            <w:pPr>
              <w:pStyle w:val="Compact"/>
              <w:spacing w:before="0" w:after="0" w:line="240" w:lineRule="auto"/>
              <w:jc w:val="left"/>
            </w:pPr>
            <w:r>
              <w:rPr>
                <w:rFonts w:ascii="Arial" w:hAnsi="Arial"/>
                <w:sz w:val="15"/>
              </w:rPr>
              <w:t xml:space="preserve">25.7 → 23.0 (low 22.90)</w:t>
            </w:r>
          </w:p>
        </w:tc>
        <w:tc>
          <w:tcPr>
            <w:tcW w:w="4233" w:type="dxa"/>
          </w:tcPr>
          <w:p>
            <w:pPr>
              <w:pStyle w:val="Compact"/>
              <w:spacing w:before="0" w:after="0" w:line="240" w:lineRule="auto"/>
              <w:jc w:val="left"/>
            </w:pPr>
            <w:r>
              <w:rPr>
                <w:rFonts w:ascii="Arial" w:hAnsi="Arial"/>
                <w:sz w:val="15"/>
              </w:rPr>
              <w:t xml:space="preserve">ALMEX launches a 4% sale, upsized to 7.6%, priced at US$23.</w:t>
            </w:r>
          </w:p>
        </w:tc>
      </w:tr>
      <w:tr>
        <w:trPr>
          <w:cantSplit/>
        </w:trPr>
        <w:tc>
          <w:tcPr>
            <w:tcW w:w="450" w:type="dxa"/>
          </w:tcPr>
          <w:p>
            <w:pPr>
              <w:pStyle w:val="Compact"/>
              <w:spacing w:before="0" w:after="0" w:line="240" w:lineRule="auto"/>
              <w:jc w:val="left"/>
            </w:pPr>
            <w:r>
              <w:rPr>
                <w:rFonts w:ascii="Arial" w:hAnsi="Arial"/>
                <w:sz w:val="15"/>
              </w:rPr>
              <w:t xml:space="preserve">9</w:t>
            </w:r>
          </w:p>
        </w:tc>
        <w:tc>
          <w:tcPr>
            <w:tcW w:w="1828" w:type="dxa"/>
          </w:tcPr>
          <w:p>
            <w:pPr>
              <w:pStyle w:val="Compact"/>
              <w:spacing w:before="0" w:after="0" w:line="240" w:lineRule="auto"/>
              <w:jc w:val="left"/>
            </w:pPr>
            <w:r>
              <w:rPr>
                <w:rFonts w:ascii="Arial" w:hAnsi="Arial"/>
                <w:sz w:val="15"/>
              </w:rPr>
              <w:t xml:space="preserve">21 Nov–31 Dec 2025</w:t>
            </w:r>
          </w:p>
        </w:tc>
        <w:tc>
          <w:tcPr>
            <w:tcW w:w="2025" w:type="dxa"/>
          </w:tcPr>
          <w:p>
            <w:pPr>
              <w:pStyle w:val="Compact"/>
              <w:spacing w:before="0" w:after="0" w:line="240" w:lineRule="auto"/>
              <w:jc w:val="left"/>
            </w:pPr>
            <w:r>
              <w:rPr>
                <w:bCs/>
                <w:rFonts w:ascii="Arial" w:hAnsi="Arial"/>
                <w:b/>
                <w:sz w:val="15"/>
              </w:rPr>
              <w:t xml:space="preserve">+31%</w:t>
            </w:r>
          </w:p>
        </w:tc>
        <w:tc>
          <w:tcPr>
            <w:tcW w:w="1440" w:type="dxa"/>
          </w:tcPr>
          <w:p>
            <w:pPr>
              <w:pStyle w:val="Compact"/>
              <w:spacing w:before="0" w:after="0" w:line="240" w:lineRule="auto"/>
              <w:jc w:val="left"/>
            </w:pPr>
            <w:r>
              <w:rPr>
                <w:rFonts w:ascii="Arial" w:hAnsi="Arial"/>
                <w:sz w:val="15"/>
              </w:rPr>
              <w:t xml:space="preserve">23.0 → ~30.1</w:t>
            </w:r>
          </w:p>
        </w:tc>
        <w:tc>
          <w:tcPr>
            <w:tcW w:w="4233" w:type="dxa"/>
          </w:tcPr>
          <w:p>
            <w:pPr>
              <w:pStyle w:val="Compact"/>
              <w:spacing w:before="0" w:after="0" w:line="240" w:lineRule="auto"/>
              <w:jc w:val="left"/>
            </w:pPr>
            <w:r>
              <w:rPr>
                <w:rFonts w:ascii="Arial" w:hAnsi="Arial"/>
                <w:sz w:val="15"/>
              </w:rPr>
              <w:t xml:space="preserve">Overhang cleared; strong book (17.4m GDRs to non-Kazakh institutions); higher free float; one-year lock-up.</w:t>
            </w:r>
          </w:p>
        </w:tc>
      </w:tr>
      <w:tr>
        <w:trPr>
          <w:cantSplit/>
        </w:trPr>
        <w:tc>
          <w:tcPr>
            <w:tcW w:w="450" w:type="dxa"/>
          </w:tcPr>
          <w:p>
            <w:pPr>
              <w:pStyle w:val="Compact"/>
              <w:spacing w:before="0" w:after="0" w:line="240" w:lineRule="auto"/>
              <w:jc w:val="left"/>
            </w:pPr>
            <w:r>
              <w:rPr>
                <w:rFonts w:ascii="Arial" w:hAnsi="Arial"/>
                <w:sz w:val="15"/>
              </w:rPr>
              <w:t xml:space="preserve">10</w:t>
            </w:r>
          </w:p>
        </w:tc>
        <w:tc>
          <w:tcPr>
            <w:tcW w:w="1828" w:type="dxa"/>
          </w:tcPr>
          <w:p>
            <w:pPr>
              <w:pStyle w:val="Compact"/>
              <w:spacing w:before="0" w:after="0" w:line="240" w:lineRule="auto"/>
              <w:jc w:val="left"/>
            </w:pPr>
            <w:r>
              <w:rPr>
                <w:rFonts w:ascii="Arial" w:hAnsi="Arial"/>
                <w:sz w:val="15"/>
              </w:rPr>
              <w:t xml:space="preserve">Jan–Apr 2026</w:t>
            </w:r>
          </w:p>
        </w:tc>
        <w:tc>
          <w:tcPr>
            <w:tcW w:w="2025" w:type="dxa"/>
          </w:tcPr>
          <w:p>
            <w:pPr>
              <w:pStyle w:val="Compact"/>
              <w:spacing w:before="0" w:after="0" w:line="240" w:lineRule="auto"/>
              <w:jc w:val="left"/>
            </w:pPr>
            <w:r>
              <w:rPr>
                <w:bCs/>
                <w:rFonts w:ascii="Arial" w:hAnsi="Arial"/>
                <w:b/>
                <w:sz w:val="15"/>
              </w:rPr>
              <w:t xml:space="preserve">+23%</w:t>
            </w:r>
            <w:r>
              <w:rPr>
                <w:rFonts w:ascii="Arial" w:hAnsi="Arial"/>
                <w:sz w:val="15"/>
              </w:rPr>
              <w:t xml:space="preserve"> </w:t>
            </w:r>
            <w:r>
              <w:rPr>
                <w:rFonts w:ascii="Arial" w:hAnsi="Arial"/>
                <w:sz w:val="15"/>
              </w:rPr>
              <w:t xml:space="preserve">from the January low</w:t>
            </w:r>
          </w:p>
        </w:tc>
        <w:tc>
          <w:tcPr>
            <w:tcW w:w="1440" w:type="dxa"/>
          </w:tcPr>
          <w:p>
            <w:pPr>
              <w:pStyle w:val="Compact"/>
              <w:spacing w:before="0" w:after="0" w:line="240" w:lineRule="auto"/>
              <w:jc w:val="left"/>
            </w:pPr>
            <w:r>
              <w:rPr>
                <w:rFonts w:ascii="Arial" w:hAnsi="Arial"/>
                <w:sz w:val="15"/>
              </w:rPr>
              <w:t xml:space="preserve">28.4 → 34.9</w:t>
            </w:r>
          </w:p>
        </w:tc>
        <w:tc>
          <w:tcPr>
            <w:tcW w:w="4233" w:type="dxa"/>
          </w:tcPr>
          <w:p>
            <w:pPr>
              <w:pStyle w:val="Compact"/>
              <w:spacing w:before="0" w:after="0" w:line="240" w:lineRule="auto"/>
              <w:jc w:val="left"/>
            </w:pPr>
            <w:r>
              <w:rPr>
                <w:rFonts w:ascii="Arial" w:hAnsi="Arial"/>
                <w:sz w:val="15"/>
              </w:rPr>
              <w:t xml:space="preserve">FY25 record (NI +15%); 58.19 DPS signalled; oil windfall. The first-ever guided profit decline (19-Mar) was shrugged off.</w:t>
            </w:r>
          </w:p>
        </w:tc>
      </w:tr>
      <w:tr>
        <w:trPr>
          <w:cantSplit/>
        </w:trPr>
        <w:tc>
          <w:tcPr>
            <w:tcW w:w="450" w:type="dxa"/>
          </w:tcPr>
          <w:p>
            <w:pPr>
              <w:pStyle w:val="Compact"/>
              <w:spacing w:before="0" w:after="0" w:line="240" w:lineRule="auto"/>
              <w:jc w:val="left"/>
            </w:pPr>
            <w:r>
              <w:rPr>
                <w:rFonts w:ascii="Arial" w:hAnsi="Arial"/>
                <w:sz w:val="15"/>
              </w:rPr>
              <w:t xml:space="preserve">11</w:t>
            </w:r>
          </w:p>
        </w:tc>
        <w:tc>
          <w:tcPr>
            <w:tcW w:w="1828" w:type="dxa"/>
          </w:tcPr>
          <w:p>
            <w:pPr>
              <w:pStyle w:val="Compact"/>
              <w:spacing w:before="0" w:after="0" w:line="240" w:lineRule="auto"/>
              <w:jc w:val="left"/>
            </w:pPr>
            <w:r>
              <w:rPr>
                <w:rFonts w:ascii="Arial" w:hAnsi="Arial"/>
                <w:sz w:val="15"/>
              </w:rPr>
              <w:t xml:space="preserve">late Apr–mid-Jul 2026</w:t>
            </w:r>
          </w:p>
        </w:tc>
        <w:tc>
          <w:tcPr>
            <w:tcW w:w="2025" w:type="dxa"/>
          </w:tcPr>
          <w:p>
            <w:pPr>
              <w:pStyle w:val="Compact"/>
              <w:spacing w:before="0" w:after="0" w:line="240" w:lineRule="auto"/>
              <w:jc w:val="left"/>
            </w:pPr>
            <w:r>
              <w:rPr>
                <w:bCs/>
                <w:rFonts w:ascii="Arial" w:hAnsi="Arial"/>
                <w:b/>
                <w:sz w:val="15"/>
              </w:rPr>
              <w:t xml:space="preserve">−12%</w:t>
            </w:r>
          </w:p>
        </w:tc>
        <w:tc>
          <w:tcPr>
            <w:tcW w:w="1440" w:type="dxa"/>
          </w:tcPr>
          <w:p>
            <w:pPr>
              <w:pStyle w:val="Compact"/>
              <w:spacing w:before="0" w:after="0" w:line="240" w:lineRule="auto"/>
              <w:jc w:val="left"/>
            </w:pPr>
            <w:r>
              <w:rPr>
                <w:rFonts w:ascii="Arial" w:hAnsi="Arial"/>
                <w:sz w:val="15"/>
              </w:rPr>
              <w:t xml:space="preserve">34.9 → 30.7</w:t>
            </w:r>
          </w:p>
        </w:tc>
        <w:tc>
          <w:tcPr>
            <w:tcW w:w="4233" w:type="dxa"/>
          </w:tcPr>
          <w:p>
            <w:pPr>
              <w:pStyle w:val="Compact"/>
              <w:spacing w:before="0" w:after="0" w:line="240" w:lineRule="auto"/>
              <w:jc w:val="left"/>
            </w:pPr>
            <w:r>
              <w:rPr>
                <w:rFonts w:ascii="Arial" w:hAnsi="Arial"/>
                <w:sz w:val="15"/>
              </w:rPr>
              <w:t xml:space="preserve">1Q26 NI −14.6%; ex-dividend (KZT30.10 ≈ US$2.6/GDR); MRR step-up.</w:t>
            </w:r>
          </w:p>
        </w:tc>
      </w:tr>
      <w:tr>
        <w:trPr>
          <w:cantSplit/>
        </w:trPr>
        <w:tc>
          <w:tcPr>
            <w:tcW w:w="450" w:type="dxa"/>
          </w:tcPr>
          <w:p>
            <w:pPr>
              <w:pStyle w:val="Compact"/>
              <w:spacing w:before="0" w:after="0" w:line="240" w:lineRule="auto"/>
              <w:jc w:val="left"/>
            </w:pPr>
            <w:r>
              <w:rPr>
                <w:rFonts w:ascii="Arial" w:hAnsi="Arial"/>
                <w:sz w:val="15"/>
              </w:rPr>
              <w:t xml:space="preserve">12</w:t>
            </w:r>
          </w:p>
        </w:tc>
        <w:tc>
          <w:tcPr>
            <w:tcW w:w="1828" w:type="dxa"/>
          </w:tcPr>
          <w:p>
            <w:pPr>
              <w:pStyle w:val="Compact"/>
              <w:spacing w:before="0" w:after="0" w:line="240" w:lineRule="auto"/>
              <w:jc w:val="left"/>
            </w:pPr>
            <w:r>
              <w:rPr>
                <w:rFonts w:ascii="Arial" w:hAnsi="Arial"/>
                <w:sz w:val="15"/>
              </w:rPr>
              <w:t xml:space="preserve">mid-Jul–Aug 2026</w:t>
            </w:r>
          </w:p>
        </w:tc>
        <w:tc>
          <w:tcPr>
            <w:tcW w:w="2025" w:type="dxa"/>
          </w:tcPr>
          <w:p>
            <w:pPr>
              <w:pStyle w:val="Compact"/>
              <w:spacing w:before="0" w:after="0" w:line="240" w:lineRule="auto"/>
              <w:jc w:val="left"/>
            </w:pPr>
            <w:r>
              <w:rPr>
                <w:bCs/>
                <w:rFonts w:ascii="Arial" w:hAnsi="Arial"/>
                <w:b/>
                <w:sz w:val="15"/>
              </w:rPr>
              <w:t xml:space="preserve">+14%</w:t>
            </w:r>
            <w:r>
              <w:rPr>
                <w:rFonts w:ascii="Arial" w:hAnsi="Arial"/>
                <w:sz w:val="15"/>
              </w:rPr>
              <w:t xml:space="preserve">, then to a high of 36.45</w:t>
            </w:r>
          </w:p>
        </w:tc>
        <w:tc>
          <w:tcPr>
            <w:tcW w:w="1440" w:type="dxa"/>
          </w:tcPr>
          <w:p>
            <w:pPr>
              <w:pStyle w:val="Compact"/>
              <w:spacing w:before="0" w:after="0" w:line="240" w:lineRule="auto"/>
              <w:jc w:val="left"/>
            </w:pPr>
            <w:r>
              <w:rPr>
                <w:rFonts w:ascii="Arial" w:hAnsi="Arial"/>
                <w:sz w:val="15"/>
              </w:rPr>
              <w:t xml:space="preserve">30.7 → 35.1</w:t>
            </w:r>
          </w:p>
        </w:tc>
        <w:tc>
          <w:tcPr>
            <w:tcW w:w="4233" w:type="dxa"/>
          </w:tcPr>
          <w:p>
            <w:pPr>
              <w:pStyle w:val="Compact"/>
              <w:spacing w:before="0" w:after="0" w:line="240" w:lineRule="auto"/>
              <w:jc w:val="left"/>
            </w:pPr>
            <w:r>
              <w:rPr>
                <w:rFonts w:ascii="Arial" w:hAnsi="Arial"/>
                <w:sz w:val="15"/>
              </w:rPr>
              <w:t xml:space="preserve">NBK cutting cycle (from 5-Jun); S&amp;P sovereign upgrade (21-Aug); second dividend pulled forward.</w:t>
            </w:r>
          </w:p>
        </w:tc>
      </w:tr>
      <w:tr>
        <w:trPr>
          <w:cantSplit/>
        </w:trPr>
        <w:tc>
          <w:tcPr>
            <w:tcW w:w="450" w:type="dxa"/>
          </w:tcPr>
          <w:p>
            <w:pPr>
              <w:pStyle w:val="Compact"/>
              <w:spacing w:before="0" w:after="0" w:line="240" w:lineRule="auto"/>
              <w:jc w:val="left"/>
            </w:pPr>
            <w:r>
              <w:rPr>
                <w:rFonts w:ascii="Arial" w:hAnsi="Arial"/>
                <w:sz w:val="15"/>
              </w:rPr>
              <w:t xml:space="preserve">13</w:t>
            </w:r>
          </w:p>
        </w:tc>
        <w:tc>
          <w:tcPr>
            <w:tcW w:w="1828" w:type="dxa"/>
          </w:tcPr>
          <w:p>
            <w:pPr>
              <w:pStyle w:val="Compact"/>
              <w:spacing w:before="0" w:after="0" w:line="240" w:lineRule="auto"/>
              <w:jc w:val="left"/>
            </w:pPr>
            <w:r>
              <w:rPr>
                <w:rFonts w:ascii="Arial" w:hAnsi="Arial"/>
                <w:sz w:val="15"/>
              </w:rPr>
              <w:t xml:space="preserve">high → mid-Oct 2026</w:t>
            </w:r>
          </w:p>
        </w:tc>
        <w:tc>
          <w:tcPr>
            <w:tcW w:w="2025" w:type="dxa"/>
          </w:tcPr>
          <w:p>
            <w:pPr>
              <w:pStyle w:val="Compact"/>
              <w:spacing w:before="0" w:after="0" w:line="240" w:lineRule="auto"/>
              <w:jc w:val="left"/>
            </w:pPr>
            <w:r>
              <w:rPr>
                <w:bCs/>
                <w:rFonts w:ascii="Arial" w:hAnsi="Arial"/>
                <w:b/>
                <w:sz w:val="15"/>
              </w:rPr>
              <w:t xml:space="preserve">−10%</w:t>
            </w:r>
          </w:p>
        </w:tc>
        <w:tc>
          <w:tcPr>
            <w:tcW w:w="1440" w:type="dxa"/>
          </w:tcPr>
          <w:p>
            <w:pPr>
              <w:pStyle w:val="Compact"/>
              <w:spacing w:before="0" w:after="0" w:line="240" w:lineRule="auto"/>
              <w:jc w:val="left"/>
            </w:pPr>
            <w:r>
              <w:rPr>
                <w:rFonts w:ascii="Arial" w:hAnsi="Arial"/>
                <w:sz w:val="15"/>
              </w:rPr>
              <w:t xml:space="preserve">36.45 → 32.75</w:t>
            </w:r>
          </w:p>
        </w:tc>
        <w:tc>
          <w:tcPr>
            <w:tcW w:w="4233" w:type="dxa"/>
          </w:tcPr>
          <w:p>
            <w:pPr>
              <w:pStyle w:val="Compact"/>
              <w:spacing w:before="0" w:after="0" w:line="240" w:lineRule="auto"/>
              <w:jc w:val="left"/>
            </w:pPr>
            <w:r>
              <w:rPr>
                <w:rFonts w:ascii="Arial" w:hAnsi="Arial"/>
                <w:sz w:val="15"/>
              </w:rPr>
              <w:t xml:space="preserve">1H26 miss (2Q NI −14% vs consensus); ex-dividend 25-Aug (KZT28.09 ≈ US$2.4); NPL rise.</w:t>
            </w:r>
          </w:p>
        </w:tc>
      </w:tr>
    </w:tbl>
    <w:p>
      <w:pPr>
        <w:numPr>
          <w:ilvl w:val="0"/>
          <w:numId w:val="1044"/>
        </w:numPr>
        <w:pStyle w:val="Compact"/>
      </w:pPr>
      <w:r>
        <w:rPr>
          <w:bCs/>
          <w:b/>
        </w:rPr>
        <w:t xml:space="preserve">Data caveat.</w:t>
      </w:r>
      <w:r>
        <w:t xml:space="preserve"> </w:t>
      </w:r>
      <w:r>
        <w:t xml:space="preserve">Daily price files could not be downloaded, so these moves are measured between observed prices in RNS filings, broker notes and exchange pages. Rows 6–7 use year-end estimates from aggregator market caps.</w:t>
      </w:r>
    </w:p>
    <w:p>
      <w:pPr>
        <w:numPr>
          <w:ilvl w:val="0"/>
          <w:numId w:val="1044"/>
        </w:numPr>
        <w:pStyle w:val="Compact"/>
      </w:pPr>
      <w:r>
        <w:rPr>
          <w:bCs/>
          <w:b/>
        </w:rPr>
        <w:t xml:space="preserve">The pattern.</w:t>
      </w:r>
      <w:r>
        <w:t xml:space="preserve"> </w:t>
      </w:r>
      <w:r>
        <w:t xml:space="preserve">Big negative moves have been political and geopolitical (2022) or supply-driven (the ALMEX sale). Big positive moves have been about earnings and capital return. Over three years the GDR has returned ~314% (Yahoo Finance, 17-Oct-26).</w:t>
      </w:r>
    </w:p>
    <w:bookmarkEnd w:id="63"/>
    <w:bookmarkStart w:id="70" w:name="Xe6e5cd6656a5ffd1fe61dd3f109da72e431eeff"/>
    <w:p>
      <w:pPr>
        <w:pStyle w:val="Heading1"/>
      </w:pPr>
      <w:r>
        <w:t xml:space="preserve">Earnings calls, management focus and sentiment</w:t>
      </w:r>
    </w:p>
    <w:bookmarkStart w:id="64" w:name="X09bd5f6d1b848077e793728ac1715958d1e8ea2"/>
    <w:p>
      <w:pPr>
        <w:pStyle w:val="Heading2"/>
      </w:pPr>
      <w:r>
        <w:t xml:space="preserve">What management has been focused on (3Q25 to 1H26 calls)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251"/>
        <w:gridCol w:w="2073"/>
        <w:gridCol w:w="2433"/>
        <w:gridCol w:w="2217"/>
        <w:gridCol w:w="2001"/>
      </w:tblGrid>
      <w:tr>
        <w:trPr>
          <w:tblHeader w:val="true"/>
          <w:cantSplit/>
          <w:tblHeader w:val="true"/>
        </w:trPr>
        <w:tc>
          <w:tcPr>
            <w:tcW w:w="1251" w:type="dxa"/>
            <w:shd w:val="clear" w:color="auto" w:fill="13213F"/>
          </w:tcPr>
          <w:p>
            <w:pPr>
              <w:pStyle w:val="Compact"/>
              <w:spacing w:before="0" w:after="0" w:line="240" w:lineRule="auto"/>
              <w:jc w:val="left"/>
            </w:pPr>
            <w:r>
              <w:rPr>
                <w:rFonts w:ascii="Arial" w:hAnsi="Arial"/>
                <w:b/>
                <w:color w:val="FFFFFF"/>
                <w:sz w:val="15"/>
              </w:rPr>
              <w:t xml:space="preserve">Call (date)</w:t>
            </w:r>
          </w:p>
        </w:tc>
        <w:tc>
          <w:tcPr>
            <w:tcW w:w="2073" w:type="dxa"/>
            <w:shd w:val="clear" w:color="auto" w:fill="13213F"/>
          </w:tcPr>
          <w:p>
            <w:pPr>
              <w:pStyle w:val="Compact"/>
              <w:spacing w:before="0" w:after="0" w:line="240" w:lineRule="auto"/>
              <w:jc w:val="left"/>
            </w:pPr>
            <w:r>
              <w:rPr>
                <w:rFonts w:ascii="Arial" w:hAnsi="Arial"/>
                <w:b/>
                <w:color w:val="FFFFFF"/>
                <w:sz w:val="15"/>
              </w:rPr>
              <w:t xml:space="preserve">Headline</w:t>
            </w:r>
          </w:p>
        </w:tc>
        <w:tc>
          <w:tcPr>
            <w:tcW w:w="2433" w:type="dxa"/>
            <w:shd w:val="clear" w:color="auto" w:fill="13213F"/>
          </w:tcPr>
          <w:p>
            <w:pPr>
              <w:pStyle w:val="Compact"/>
              <w:spacing w:before="0" w:after="0" w:line="240" w:lineRule="auto"/>
              <w:jc w:val="left"/>
            </w:pPr>
            <w:r>
              <w:rPr>
                <w:rFonts w:ascii="Arial" w:hAnsi="Arial"/>
                <w:b/>
                <w:color w:val="FFFFFF"/>
                <w:sz w:val="15"/>
              </w:rPr>
              <w:t xml:space="preserve">What management stressed</w:t>
            </w:r>
          </w:p>
        </w:tc>
        <w:tc>
          <w:tcPr>
            <w:tcW w:w="2217" w:type="dxa"/>
            <w:shd w:val="clear" w:color="auto" w:fill="13213F"/>
          </w:tcPr>
          <w:p>
            <w:pPr>
              <w:pStyle w:val="Compact"/>
              <w:spacing w:before="0" w:after="0" w:line="240" w:lineRule="auto"/>
              <w:jc w:val="left"/>
            </w:pPr>
            <w:r>
              <w:rPr>
                <w:rFonts w:ascii="Arial" w:hAnsi="Arial"/>
                <w:b/>
                <w:color w:val="FFFFFF"/>
                <w:sz w:val="15"/>
              </w:rPr>
              <w:t xml:space="preserve">Guidance</w:t>
            </w:r>
          </w:p>
        </w:tc>
        <w:tc>
          <w:tcPr>
            <w:tcW w:w="2001" w:type="dxa"/>
            <w:shd w:val="clear" w:color="auto" w:fill="13213F"/>
          </w:tcPr>
          <w:p>
            <w:pPr>
              <w:pStyle w:val="Compact"/>
              <w:spacing w:before="0" w:after="0" w:line="240" w:lineRule="auto"/>
              <w:jc w:val="left"/>
            </w:pPr>
            <w:r>
              <w:rPr>
                <w:rFonts w:ascii="Arial" w:hAnsi="Arial"/>
                <w:b/>
                <w:color w:val="FFFFFF"/>
                <w:sz w:val="15"/>
              </w:rPr>
              <w:t xml:space="preserve">Analyst concerns in Q&amp;A</w:t>
            </w:r>
          </w:p>
        </w:tc>
      </w:tr>
      <w:tr>
        <w:trPr>
          <w:cantSplit/>
        </w:trPr>
        <w:tc>
          <w:tcPr>
            <w:tcW w:w="1251" w:type="dxa"/>
          </w:tcPr>
          <w:p>
            <w:pPr>
              <w:pStyle w:val="Compact"/>
              <w:spacing w:before="0" w:after="0" w:line="240" w:lineRule="auto"/>
              <w:jc w:val="left"/>
            </w:pPr>
            <w:r>
              <w:rPr>
                <w:bCs/>
                <w:rFonts w:ascii="Arial" w:hAnsi="Arial"/>
                <w:b/>
                <w:sz w:val="15"/>
              </w:rPr>
              <w:t xml:space="preserve">3Q25</w:t>
            </w:r>
            <w:r>
              <w:rPr>
                <w:rFonts w:ascii="Arial" w:hAnsi="Arial"/>
                <w:sz w:val="15"/>
              </w:rPr>
              <w:t xml:space="preserve"> </w:t>
            </w:r>
            <w:r>
              <w:rPr>
                <w:rFonts w:ascii="Arial" w:hAnsi="Arial"/>
                <w:sz w:val="15"/>
              </w:rPr>
              <w:t xml:space="preserve">(13-Nov-25)</w:t>
            </w:r>
          </w:p>
        </w:tc>
        <w:tc>
          <w:tcPr>
            <w:tcW w:w="2073" w:type="dxa"/>
          </w:tcPr>
          <w:p>
            <w:pPr>
              <w:pStyle w:val="Compact"/>
              <w:spacing w:before="0" w:after="0" w:line="240" w:lineRule="auto"/>
              <w:jc w:val="left"/>
            </w:pPr>
            <w:r>
              <w:rPr>
                <w:rFonts w:ascii="Arial" w:hAnsi="Arial"/>
                <w:sz w:val="15"/>
              </w:rPr>
              <w:t xml:space="preserve">9M NI +26.8% (+20.6% ex one-offs); 3Q ROE 34.3%; NIM 7.1%; C/I 16.9%</w:t>
            </w:r>
          </w:p>
        </w:tc>
        <w:tc>
          <w:tcPr>
            <w:tcW w:w="2433" w:type="dxa"/>
          </w:tcPr>
          <w:p>
            <w:pPr>
              <w:pStyle w:val="Compact"/>
              <w:spacing w:before="0" w:after="0" w:line="240" w:lineRule="auto"/>
              <w:jc w:val="left"/>
            </w:pPr>
            <w:r>
              <w:rPr>
                <w:rFonts w:ascii="Arial" w:hAnsi="Arial"/>
                <w:sz w:val="15"/>
              </w:rPr>
              <w:t xml:space="preserve">“</w:t>
            </w:r>
            <w:r>
              <w:rPr>
                <w:rFonts w:ascii="Arial" w:hAnsi="Arial"/>
                <w:sz w:val="15"/>
              </w:rPr>
              <w:t xml:space="preserve">Strong</w:t>
            </w:r>
            <w:r>
              <w:rPr>
                <w:rFonts w:ascii="Arial" w:hAnsi="Arial"/>
                <w:sz w:val="15"/>
              </w:rPr>
              <w:t xml:space="preserve">”</w:t>
            </w:r>
            <w:r>
              <w:rPr>
                <w:rFonts w:ascii="Arial" w:hAnsi="Arial"/>
                <w:sz w:val="15"/>
              </w:rPr>
              <w:t xml:space="preserve"> </w:t>
            </w:r>
            <w:r>
              <w:rPr>
                <w:rFonts w:ascii="Arial" w:hAnsi="Arial"/>
                <w:sz w:val="15"/>
              </w:rPr>
              <w:t xml:space="preserve">profitability. Loan-growth cut blamed on the base rate and consumer-lending rules but</w:t>
            </w:r>
            <w:r>
              <w:rPr>
                <w:rFonts w:ascii="Arial" w:hAnsi="Arial"/>
                <w:sz w:val="15"/>
              </w:rPr>
              <w:t xml:space="preserve"> </w:t>
            </w:r>
            <w:r>
              <w:rPr>
                <w:rFonts w:ascii="Arial" w:hAnsi="Arial"/>
                <w:sz w:val="15"/>
              </w:rPr>
              <w:t xml:space="preserve">“</w:t>
            </w:r>
            <w:r>
              <w:rPr>
                <w:rFonts w:ascii="Arial" w:hAnsi="Arial"/>
                <w:sz w:val="15"/>
              </w:rPr>
              <w:t xml:space="preserve">didn’t affect profitability</w:t>
            </w:r>
            <w:r>
              <w:rPr>
                <w:rFonts w:ascii="Arial" w:hAnsi="Arial"/>
                <w:sz w:val="15"/>
              </w:rPr>
              <w:t xml:space="preserve">”</w:t>
            </w:r>
            <w:r>
              <w:rPr>
                <w:rFonts w:ascii="Arial" w:hAnsi="Arial"/>
                <w:sz w:val="15"/>
              </w:rPr>
              <w:t xml:space="preserve">. Tax: 2026 CIT 25% offset by the end of the 2025 excess-profit tax (</w:t>
            </w:r>
            <w:r>
              <w:rPr>
                <w:rFonts w:ascii="Arial" w:hAnsi="Arial"/>
                <w:sz w:val="15"/>
              </w:rPr>
              <w:t xml:space="preserve">“</w:t>
            </w:r>
            <w:r>
              <w:rPr>
                <w:rFonts w:ascii="Arial" w:hAnsi="Arial"/>
                <w:sz w:val="15"/>
              </w:rPr>
              <w:t xml:space="preserve">not materially different</w:t>
            </w:r>
            <w:r>
              <w:rPr>
                <w:rFonts w:ascii="Arial" w:hAnsi="Arial"/>
                <w:sz w:val="15"/>
              </w:rPr>
              <w:t xml:space="preserve">”</w:t>
            </w:r>
            <w:r>
              <w:rPr>
                <w:rFonts w:ascii="Arial" w:hAnsi="Arial"/>
                <w:sz w:val="15"/>
              </w:rPr>
              <w:t xml:space="preserve">).</w:t>
            </w:r>
          </w:p>
        </w:tc>
        <w:tc>
          <w:tcPr>
            <w:tcW w:w="2217" w:type="dxa"/>
          </w:tcPr>
          <w:p>
            <w:pPr>
              <w:pStyle w:val="Compact"/>
              <w:spacing w:before="0" w:after="0" w:line="240" w:lineRule="auto"/>
              <w:jc w:val="left"/>
            </w:pPr>
            <w:r>
              <w:rPr>
                <w:rFonts w:ascii="Arial" w:hAnsi="Arial"/>
                <w:sz w:val="15"/>
              </w:rPr>
              <w:t xml:space="preserve">FY25 NI &gt;KZT1trn, ROE &gt;30%, CoR 1.4%. Indicative FY26: ROE ~30%, NIM ~7%, CoR 1.5%</w:t>
            </w:r>
          </w:p>
        </w:tc>
        <w:tc>
          <w:tcPr>
            <w:tcW w:w="2001" w:type="dxa"/>
          </w:tcPr>
          <w:p>
            <w:pPr>
              <w:pStyle w:val="Compact"/>
              <w:spacing w:before="0" w:after="0" w:line="240" w:lineRule="auto"/>
              <w:jc w:val="left"/>
            </w:pPr>
            <w:r>
              <w:rPr>
                <w:rFonts w:ascii="Arial" w:hAnsi="Arial"/>
                <w:sz w:val="15"/>
              </w:rPr>
              <w:t xml:space="preserve">Loan growth, MRR, tax</w:t>
            </w:r>
          </w:p>
        </w:tc>
      </w:tr>
      <w:tr>
        <w:trPr>
          <w:cantSplit/>
        </w:trPr>
        <w:tc>
          <w:tcPr>
            <w:tcW w:w="1251" w:type="dxa"/>
          </w:tcPr>
          <w:p>
            <w:pPr>
              <w:pStyle w:val="Compact"/>
              <w:spacing w:before="0" w:after="0" w:line="240" w:lineRule="auto"/>
              <w:jc w:val="left"/>
            </w:pPr>
            <w:r>
              <w:rPr>
                <w:bCs/>
                <w:rFonts w:ascii="Arial" w:hAnsi="Arial"/>
                <w:b/>
                <w:sz w:val="15"/>
              </w:rPr>
              <w:t xml:space="preserve">FY25</w:t>
            </w:r>
            <w:r>
              <w:rPr>
                <w:rFonts w:ascii="Arial" w:hAnsi="Arial"/>
                <w:sz w:val="15"/>
              </w:rPr>
              <w:t xml:space="preserve"> </w:t>
            </w:r>
            <w:r>
              <w:rPr>
                <w:rFonts w:ascii="Arial" w:hAnsi="Arial"/>
                <w:sz w:val="15"/>
              </w:rPr>
              <w:t xml:space="preserve">(19-Mar-26)</w:t>
            </w:r>
          </w:p>
        </w:tc>
        <w:tc>
          <w:tcPr>
            <w:tcW w:w="2073" w:type="dxa"/>
          </w:tcPr>
          <w:p>
            <w:pPr>
              <w:pStyle w:val="Compact"/>
              <w:spacing w:before="0" w:after="0" w:line="240" w:lineRule="auto"/>
              <w:jc w:val="left"/>
            </w:pPr>
            <w:r>
              <w:rPr>
                <w:rFonts w:ascii="Arial" w:hAnsi="Arial"/>
                <w:sz w:val="15"/>
              </w:rPr>
              <w:t xml:space="preserve">FY NI +14.9% to KZT1,058bn; ROE 32.6%; 4Q NI −12% y/y and q/q</w:t>
            </w:r>
          </w:p>
        </w:tc>
        <w:tc>
          <w:tcPr>
            <w:tcW w:w="2433" w:type="dxa"/>
          </w:tcPr>
          <w:p>
            <w:pPr>
              <w:pStyle w:val="Compact"/>
              <w:spacing w:before="0" w:after="0" w:line="240" w:lineRule="auto"/>
              <w:jc w:val="left"/>
            </w:pPr>
            <w:r>
              <w:rPr>
                <w:rFonts w:ascii="Arial" w:hAnsi="Arial"/>
                <w:sz w:val="15"/>
              </w:rPr>
              <w:t xml:space="preserve">All FY25 targets met. Blamed</w:t>
            </w:r>
            <w:r>
              <w:rPr>
                <w:rFonts w:ascii="Arial" w:hAnsi="Arial"/>
                <w:sz w:val="15"/>
              </w:rPr>
              <w:t xml:space="preserve"> </w:t>
            </w:r>
            <w:r>
              <w:rPr>
                <w:rFonts w:ascii="Arial" w:hAnsi="Arial"/>
                <w:sz w:val="15"/>
              </w:rPr>
              <w:t xml:space="preserve">“</w:t>
            </w:r>
            <w:r>
              <w:rPr>
                <w:rFonts w:ascii="Arial" w:hAnsi="Arial"/>
                <w:sz w:val="15"/>
              </w:rPr>
              <w:t xml:space="preserve">persistent high rates, regulatory tightening and a slower economic start</w:t>
            </w:r>
            <w:r>
              <w:rPr>
                <w:rFonts w:ascii="Arial" w:hAnsi="Arial"/>
                <w:sz w:val="15"/>
              </w:rPr>
              <w:t xml:space="preserve">”</w:t>
            </w:r>
            <w:r>
              <w:rPr>
                <w:rFonts w:ascii="Arial" w:hAnsi="Arial"/>
                <w:sz w:val="15"/>
              </w:rPr>
              <w:t xml:space="preserve"> </w:t>
            </w:r>
            <w:r>
              <w:rPr>
                <w:rFonts w:ascii="Arial" w:hAnsi="Arial"/>
                <w:sz w:val="15"/>
              </w:rPr>
              <w:t xml:space="preserve">for 2026.</w:t>
            </w:r>
          </w:p>
        </w:tc>
        <w:tc>
          <w:tcPr>
            <w:tcW w:w="2217" w:type="dxa"/>
          </w:tcPr>
          <w:p>
            <w:pPr>
              <w:pStyle w:val="Compact"/>
              <w:spacing w:before="0" w:after="0" w:line="240" w:lineRule="auto"/>
              <w:jc w:val="left"/>
            </w:pPr>
            <w:r>
              <w:rPr>
                <w:bCs/>
                <w:rFonts w:ascii="Arial" w:hAnsi="Arial"/>
                <w:b/>
                <w:sz w:val="15"/>
              </w:rPr>
              <w:t xml:space="preserve">First guided profit decline:</w:t>
            </w:r>
            <w:r>
              <w:rPr>
                <w:rFonts w:ascii="Arial" w:hAnsi="Arial"/>
                <w:sz w:val="15"/>
              </w:rPr>
              <w:t xml:space="preserve"> </w:t>
            </w:r>
            <w:r>
              <w:rPr>
                <w:rFonts w:ascii="Arial" w:hAnsi="Arial"/>
                <w:sz w:val="15"/>
              </w:rPr>
              <w:t xml:space="preserve">NI ~KZT1trn, NIM 6.8%, ROAE 29%, CoR 1.4–1.5%, C/I 18–20%, loans +10–13%</w:t>
            </w:r>
          </w:p>
        </w:tc>
        <w:tc>
          <w:tcPr>
            <w:tcW w:w="2001" w:type="dxa"/>
          </w:tcPr>
          <w:p>
            <w:pPr>
              <w:pStyle w:val="Compact"/>
              <w:spacing w:before="0" w:after="0" w:line="240" w:lineRule="auto"/>
              <w:jc w:val="left"/>
            </w:pPr>
            <w:r>
              <w:rPr>
                <w:rFonts w:ascii="Arial" w:hAnsi="Arial"/>
                <w:sz w:val="15"/>
              </w:rPr>
              <w:t xml:space="preserve">NPL 90+ up from 2.6% to 4.3%; dividend (~60% payout)</w:t>
            </w:r>
          </w:p>
        </w:tc>
      </w:tr>
      <w:tr>
        <w:trPr>
          <w:cantSplit/>
        </w:trPr>
        <w:tc>
          <w:tcPr>
            <w:tcW w:w="1251" w:type="dxa"/>
          </w:tcPr>
          <w:p>
            <w:pPr>
              <w:pStyle w:val="Compact"/>
              <w:spacing w:before="0" w:after="0" w:line="240" w:lineRule="auto"/>
              <w:jc w:val="left"/>
            </w:pPr>
            <w:r>
              <w:rPr>
                <w:bCs/>
                <w:rFonts w:ascii="Arial" w:hAnsi="Arial"/>
                <w:b/>
                <w:sz w:val="15"/>
              </w:rPr>
              <w:t xml:space="preserve">1Q26</w:t>
            </w:r>
            <w:r>
              <w:rPr>
                <w:rFonts w:ascii="Arial" w:hAnsi="Arial"/>
                <w:sz w:val="15"/>
              </w:rPr>
              <w:t xml:space="preserve"> </w:t>
            </w:r>
            <w:r>
              <w:rPr>
                <w:rFonts w:ascii="Arial" w:hAnsi="Arial"/>
                <w:sz w:val="15"/>
              </w:rPr>
              <w:t xml:space="preserve">(18-May-26)</w:t>
            </w:r>
          </w:p>
        </w:tc>
        <w:tc>
          <w:tcPr>
            <w:tcW w:w="2073" w:type="dxa"/>
          </w:tcPr>
          <w:p>
            <w:pPr>
              <w:pStyle w:val="Compact"/>
              <w:spacing w:before="0" w:after="0" w:line="240" w:lineRule="auto"/>
              <w:jc w:val="left"/>
            </w:pPr>
            <w:r>
              <w:rPr>
                <w:rFonts w:ascii="Arial" w:hAnsi="Arial"/>
                <w:sz w:val="15"/>
              </w:rPr>
              <w:t xml:space="preserve">NI −14.6% to KZT234.8bn; NIM 7.0% (7.3% ex-MRR); fees −26%</w:t>
            </w:r>
          </w:p>
        </w:tc>
        <w:tc>
          <w:tcPr>
            <w:tcW w:w="2433" w:type="dxa"/>
          </w:tcPr>
          <w:p>
            <w:pPr>
              <w:pStyle w:val="Compact"/>
              <w:spacing w:before="0" w:after="0" w:line="240" w:lineRule="auto"/>
              <w:jc w:val="left"/>
            </w:pPr>
            <w:r>
              <w:rPr>
                <w:rFonts w:ascii="Arial" w:hAnsi="Arial"/>
                <w:sz w:val="15"/>
              </w:rPr>
              <w:t xml:space="preserve">“</w:t>
            </w:r>
            <w:r>
              <w:rPr>
                <w:rFonts w:ascii="Arial" w:hAnsi="Arial"/>
                <w:sz w:val="15"/>
              </w:rPr>
              <w:t xml:space="preserve">In line with our expectations and supports the full-year guidance</w:t>
            </w:r>
            <w:r>
              <w:rPr>
                <w:rFonts w:ascii="Arial" w:hAnsi="Arial"/>
                <w:sz w:val="15"/>
              </w:rPr>
              <w:t xml:space="preserve">”</w:t>
            </w:r>
            <w:r>
              <w:rPr>
                <w:rFonts w:ascii="Arial" w:hAnsi="Arial"/>
                <w:sz w:val="15"/>
              </w:rPr>
              <w:t xml:space="preserve">. Flagged a further MRR step from April affecting NIM</w:t>
            </w:r>
            <w:r>
              <w:rPr>
                <w:rFonts w:ascii="Arial" w:hAnsi="Arial"/>
                <w:sz w:val="15"/>
              </w:rPr>
              <w:t xml:space="preserve"> </w:t>
            </w:r>
            <w:r>
              <w:rPr>
                <w:rFonts w:ascii="Arial" w:hAnsi="Arial"/>
                <w:sz w:val="15"/>
              </w:rPr>
              <w:t xml:space="preserve">“</w:t>
            </w:r>
            <w:r>
              <w:rPr>
                <w:rFonts w:ascii="Arial" w:hAnsi="Arial"/>
                <w:sz w:val="15"/>
              </w:rPr>
              <w:t xml:space="preserve">starting from the second quarter</w:t>
            </w:r>
            <w:r>
              <w:rPr>
                <w:rFonts w:ascii="Arial" w:hAnsi="Arial"/>
                <w:sz w:val="15"/>
              </w:rPr>
              <w:t xml:space="preserve">”</w:t>
            </w:r>
            <w:r>
              <w:rPr>
                <w:rFonts w:ascii="Arial" w:hAnsi="Arial"/>
                <w:sz w:val="15"/>
              </w:rPr>
              <w:t xml:space="preserve">.</w:t>
            </w:r>
          </w:p>
        </w:tc>
        <w:tc>
          <w:tcPr>
            <w:tcW w:w="2217" w:type="dxa"/>
          </w:tcPr>
          <w:p>
            <w:pPr>
              <w:pStyle w:val="Compact"/>
              <w:spacing w:before="0" w:after="0" w:line="240" w:lineRule="auto"/>
              <w:jc w:val="left"/>
            </w:pPr>
            <w:r>
              <w:rPr>
                <w:rFonts w:ascii="Arial" w:hAnsi="Arial"/>
                <w:sz w:val="15"/>
              </w:rPr>
              <w:t xml:space="preserve">Unchanged</w:t>
            </w:r>
          </w:p>
        </w:tc>
        <w:tc>
          <w:tcPr>
            <w:tcW w:w="2001" w:type="dxa"/>
          </w:tcPr>
          <w:p>
            <w:pPr>
              <w:pStyle w:val="Compact"/>
              <w:spacing w:before="0" w:after="0" w:line="240" w:lineRule="auto"/>
              <w:jc w:val="left"/>
            </w:pPr>
            <w:r>
              <w:rPr>
                <w:rFonts w:ascii="Arial" w:hAnsi="Arial"/>
                <w:sz w:val="15"/>
              </w:rPr>
              <w:t xml:space="preserve">Prior-year one-off (SPV workout); retail slowdown (issuance −18%); fees</w:t>
            </w:r>
          </w:p>
        </w:tc>
      </w:tr>
      <w:tr>
        <w:trPr>
          <w:cantSplit/>
        </w:trPr>
        <w:tc>
          <w:tcPr>
            <w:tcW w:w="1251" w:type="dxa"/>
          </w:tcPr>
          <w:p>
            <w:pPr>
              <w:pStyle w:val="Compact"/>
              <w:spacing w:before="0" w:after="0" w:line="240" w:lineRule="auto"/>
              <w:jc w:val="left"/>
            </w:pPr>
            <w:r>
              <w:rPr>
                <w:bCs/>
                <w:rFonts w:ascii="Arial" w:hAnsi="Arial"/>
                <w:b/>
                <w:sz w:val="15"/>
              </w:rPr>
              <w:t xml:space="preserve">1H26</w:t>
            </w:r>
            <w:r>
              <w:rPr>
                <w:rFonts w:ascii="Arial" w:hAnsi="Arial"/>
                <w:sz w:val="15"/>
              </w:rPr>
              <w:t xml:space="preserve"> </w:t>
            </w:r>
            <w:r>
              <w:rPr>
                <w:rFonts w:ascii="Arial" w:hAnsi="Arial"/>
                <w:sz w:val="15"/>
              </w:rPr>
              <w:t xml:space="preserve">(18-Aug-26)</w:t>
            </w:r>
          </w:p>
        </w:tc>
        <w:tc>
          <w:tcPr>
            <w:tcW w:w="2073" w:type="dxa"/>
          </w:tcPr>
          <w:p>
            <w:pPr>
              <w:pStyle w:val="Compact"/>
              <w:spacing w:before="0" w:after="0" w:line="240" w:lineRule="auto"/>
              <w:jc w:val="left"/>
            </w:pPr>
            <w:r>
              <w:rPr>
                <w:rFonts w:ascii="Arial" w:hAnsi="Arial"/>
                <w:sz w:val="15"/>
              </w:rPr>
              <w:t xml:space="preserve">2Q NI −16.1% y/y to KZT212.8bn; 1H −15.3%; NIM 6.8%</w:t>
            </w:r>
          </w:p>
        </w:tc>
        <w:tc>
          <w:tcPr>
            <w:tcW w:w="2433" w:type="dxa"/>
          </w:tcPr>
          <w:p>
            <w:pPr>
              <w:pStyle w:val="Compact"/>
              <w:spacing w:before="0" w:after="0" w:line="240" w:lineRule="auto"/>
              <w:jc w:val="left"/>
            </w:pPr>
            <w:r>
              <w:rPr>
                <w:rFonts w:ascii="Arial" w:hAnsi="Arial"/>
                <w:sz w:val="15"/>
              </w:rPr>
              <w:t xml:space="preserve">MRR effect</w:t>
            </w:r>
            <w:r>
              <w:rPr>
                <w:rFonts w:ascii="Arial" w:hAnsi="Arial"/>
                <w:sz w:val="15"/>
              </w:rPr>
              <w:t xml:space="preserve"> </w:t>
            </w:r>
            <w:r>
              <w:rPr>
                <w:rFonts w:ascii="Arial" w:hAnsi="Arial"/>
                <w:sz w:val="15"/>
              </w:rPr>
              <w:t xml:space="preserve">“</w:t>
            </w:r>
            <w:r>
              <w:rPr>
                <w:rFonts w:ascii="Arial" w:hAnsi="Arial"/>
                <w:sz w:val="15"/>
              </w:rPr>
              <w:t xml:space="preserve">measurable and temporary</w:t>
            </w:r>
            <w:r>
              <w:rPr>
                <w:rFonts w:ascii="Arial" w:hAnsi="Arial"/>
                <w:sz w:val="15"/>
              </w:rPr>
              <w:t xml:space="preserve">”</w:t>
            </w:r>
            <w:r>
              <w:rPr>
                <w:rFonts w:ascii="Arial" w:hAnsi="Arial"/>
                <w:sz w:val="15"/>
              </w:rPr>
              <w:t xml:space="preserve">; CoR</w:t>
            </w:r>
            <w:r>
              <w:rPr>
                <w:rFonts w:ascii="Arial" w:hAnsi="Arial"/>
                <w:sz w:val="15"/>
              </w:rPr>
              <w:t xml:space="preserve"> </w:t>
            </w:r>
            <w:r>
              <w:rPr>
                <w:rFonts w:ascii="Arial" w:hAnsi="Arial"/>
                <w:sz w:val="15"/>
              </w:rPr>
              <w:t xml:space="preserve">“</w:t>
            </w:r>
            <w:r>
              <w:rPr>
                <w:rFonts w:ascii="Arial" w:hAnsi="Arial"/>
                <w:sz w:val="15"/>
              </w:rPr>
              <w:t xml:space="preserve">normalised</w:t>
            </w:r>
            <w:r>
              <w:rPr>
                <w:rFonts w:ascii="Arial" w:hAnsi="Arial"/>
                <w:sz w:val="15"/>
              </w:rPr>
              <w:t xml:space="preserve">”</w:t>
            </w:r>
            <w:r>
              <w:rPr>
                <w:rFonts w:ascii="Arial" w:hAnsi="Arial"/>
                <w:sz w:val="15"/>
              </w:rPr>
              <w:t xml:space="preserve">. NPL rise</w:t>
            </w:r>
            <w:r>
              <w:rPr>
                <w:rFonts w:ascii="Arial" w:hAnsi="Arial"/>
                <w:sz w:val="15"/>
              </w:rPr>
              <w:t xml:space="preserve"> </w:t>
            </w:r>
            <w:r>
              <w:rPr>
                <w:rFonts w:ascii="Arial" w:hAnsi="Arial"/>
                <w:sz w:val="15"/>
              </w:rPr>
              <w:t xml:space="preserve">“</w:t>
            </w:r>
            <w:r>
              <w:rPr>
                <w:rFonts w:ascii="Arial" w:hAnsi="Arial"/>
                <w:sz w:val="15"/>
              </w:rPr>
              <w:t xml:space="preserve">partly mechanical</w:t>
            </w:r>
            <w:r>
              <w:rPr>
                <w:rFonts w:ascii="Arial" w:hAnsi="Arial"/>
                <w:sz w:val="15"/>
              </w:rPr>
              <w:t xml:space="preserve">”</w:t>
            </w:r>
            <w:r>
              <w:rPr>
                <w:rFonts w:ascii="Arial" w:hAnsi="Arial"/>
                <w:sz w:val="15"/>
              </w:rPr>
              <w:t xml:space="preserve"> </w:t>
            </w:r>
            <w:r>
              <w:rPr>
                <w:rFonts w:ascii="Arial" w:hAnsi="Arial"/>
                <w:sz w:val="15"/>
              </w:rPr>
              <w:t xml:space="preserve">(paused collector sales).</w:t>
            </w:r>
            <w:r>
              <w:rPr>
                <w:rFonts w:ascii="Arial" w:hAnsi="Arial"/>
                <w:sz w:val="15"/>
              </w:rPr>
              <w:t xml:space="preserve"> </w:t>
            </w:r>
            <w:r>
              <w:rPr>
                <w:rFonts w:ascii="Arial" w:hAnsi="Arial"/>
                <w:sz w:val="15"/>
              </w:rPr>
              <w:t xml:space="preserve">“</w:t>
            </w:r>
            <w:r>
              <w:rPr>
                <w:rFonts w:ascii="Arial" w:hAnsi="Arial"/>
                <w:sz w:val="15"/>
              </w:rPr>
              <w:t xml:space="preserve">We might see some slowdown in growth in the second half.</w:t>
            </w:r>
            <w:r>
              <w:rPr>
                <w:rFonts w:ascii="Arial" w:hAnsi="Arial"/>
                <w:sz w:val="15"/>
              </w:rPr>
              <w:t xml:space="preserve">”</w:t>
            </w:r>
            <w:r>
              <w:rPr>
                <w:rFonts w:ascii="Arial" w:hAnsi="Arial"/>
                <w:sz w:val="15"/>
              </w:rPr>
              <w:t xml:space="preserve"> </w:t>
            </w:r>
            <w:r>
              <w:rPr>
                <w:rFonts w:ascii="Arial" w:hAnsi="Arial"/>
                <w:sz w:val="15"/>
              </w:rPr>
              <w:t xml:space="preserve">Pivot to secured retail; BNPL to restart when risk-return improves. Second dividend pulled forward to show confidence.</w:t>
            </w:r>
          </w:p>
        </w:tc>
        <w:tc>
          <w:tcPr>
            <w:tcW w:w="2217" w:type="dxa"/>
          </w:tcPr>
          <w:p>
            <w:pPr>
              <w:pStyle w:val="Compact"/>
              <w:spacing w:before="0" w:after="0" w:line="240" w:lineRule="auto"/>
              <w:jc w:val="left"/>
            </w:pPr>
            <w:r>
              <w:rPr>
                <w:rFonts w:ascii="Arial" w:hAnsi="Arial"/>
                <w:sz w:val="15"/>
              </w:rPr>
              <w:t xml:space="preserve">NI ~KZT1trn and ROAE 29% kept;</w:t>
            </w:r>
            <w:r>
              <w:rPr>
                <w:rFonts w:ascii="Arial" w:hAnsi="Arial"/>
                <w:sz w:val="15"/>
              </w:rPr>
              <w:t xml:space="preserve"> </w:t>
            </w:r>
            <w:r>
              <w:rPr>
                <w:bCs/>
                <w:rFonts w:ascii="Arial" w:hAnsi="Arial"/>
                <w:b/>
                <w:sz w:val="15"/>
              </w:rPr>
              <w:t xml:space="preserve">fee growth cut to about −10%</w:t>
            </w:r>
            <w:r>
              <w:rPr>
                <w:rFonts w:ascii="Arial" w:hAnsi="Arial"/>
                <w:sz w:val="15"/>
              </w:rPr>
              <w:t xml:space="preserve">; net loans +9–12% (retail 8–10%, corporate/SME 10–13%)</w:t>
            </w:r>
          </w:p>
        </w:tc>
        <w:tc>
          <w:tcPr>
            <w:tcW w:w="2001" w:type="dxa"/>
          </w:tcPr>
          <w:p>
            <w:pPr>
              <w:pStyle w:val="Compact"/>
              <w:spacing w:before="0" w:after="0" w:line="240" w:lineRule="auto"/>
              <w:jc w:val="left"/>
            </w:pPr>
            <w:r>
              <w:rPr>
                <w:rFonts w:ascii="Arial" w:hAnsi="Arial"/>
                <w:sz w:val="15"/>
              </w:rPr>
              <w:t xml:space="preserve">Insurance loss (OSAGO, model change); NIM path; dividend payout vs growth capital; retail recovery</w:t>
            </w:r>
          </w:p>
        </w:tc>
      </w:tr>
    </w:tbl>
    <w:p>
      <w:pPr>
        <w:pStyle w:val="BodyText"/>
      </w:pPr>
      <w:r>
        <w:rPr>
          <w:bCs/>
          <w:b/>
        </w:rPr>
        <w:t xml:space="preserve">Recurring themes:</w:t>
      </w:r>
    </w:p>
    <w:p>
      <w:pPr>
        <w:numPr>
          <w:ilvl w:val="0"/>
          <w:numId w:val="1045"/>
        </w:numPr>
        <w:pStyle w:val="Compact"/>
      </w:pPr>
      <w:r>
        <w:rPr>
          <w:bCs/>
          <w:b/>
        </w:rPr>
        <w:t xml:space="preserve">Regulation, not competition.</w:t>
      </w:r>
      <w:r>
        <w:t xml:space="preserve"> </w:t>
      </w:r>
      <w:r>
        <w:t xml:space="preserve">Management explains every shortfall through the NBK and ARDFM: reserve requirements, BNPL rules, VAT on fees. Kaspi is barely mentioned on the calls.</w:t>
      </w:r>
    </w:p>
    <w:p>
      <w:pPr>
        <w:numPr>
          <w:ilvl w:val="0"/>
          <w:numId w:val="1045"/>
        </w:numPr>
        <w:pStyle w:val="Compact"/>
      </w:pPr>
      <w:r>
        <w:rPr>
          <w:bCs/>
          <w:b/>
        </w:rPr>
        <w:t xml:space="preserve">Capital return.</w:t>
      </w:r>
      <w:r>
        <w:t xml:space="preserve"> </w:t>
      </w:r>
      <w:r>
        <w:t xml:space="preserve">The dividend is the constant: a 50%+ policy and ~60% in practice, now paid in two tranches.</w:t>
      </w:r>
    </w:p>
    <w:p>
      <w:pPr>
        <w:numPr>
          <w:ilvl w:val="0"/>
          <w:numId w:val="1045"/>
        </w:numPr>
        <w:pStyle w:val="Compact"/>
      </w:pPr>
      <w:r>
        <w:rPr>
          <w:bCs/>
          <w:b/>
        </w:rPr>
        <w:t xml:space="preserve">Digital ecosystem.</w:t>
      </w:r>
      <w:r>
        <w:t xml:space="preserve"> </w:t>
      </w:r>
      <w:r>
        <w:t xml:space="preserve">Super App MAU 8.6m, B2B payments +25%, Onlinebank for SMEs.</w:t>
      </w:r>
    </w:p>
    <w:p>
      <w:pPr>
        <w:numPr>
          <w:ilvl w:val="0"/>
          <w:numId w:val="1045"/>
        </w:numPr>
        <w:pStyle w:val="Compact"/>
      </w:pPr>
      <w:r>
        <w:rPr>
          <w:bCs/>
          <w:b/>
        </w:rPr>
        <w:t xml:space="preserve">Retail re-mix</w:t>
      </w:r>
      <w:r>
        <w:t xml:space="preserve"> </w:t>
      </w:r>
      <w:r>
        <w:t xml:space="preserve">to auto and mortgages; SME growth; Islamic banking licence (EGM, 25-Sep-26).</w:t>
      </w:r>
    </w:p>
    <w:p>
      <w:pPr>
        <w:numPr>
          <w:ilvl w:val="0"/>
          <w:numId w:val="1045"/>
        </w:numPr>
        <w:pStyle w:val="Compact"/>
      </w:pPr>
      <w:r>
        <w:rPr>
          <w:bCs/>
          <w:b/>
        </w:rPr>
        <w:t xml:space="preserve">Asset quality.</w:t>
      </w:r>
      <w:r>
        <w:t xml:space="preserve"> </w:t>
      </w:r>
      <w:r>
        <w:t xml:space="preserve">NPL 90+ framed as technical. This is the area to watch.</w:t>
      </w:r>
    </w:p>
    <w:bookmarkEnd w:id="64"/>
    <w:bookmarkStart w:id="68" w:name="sentiment-analysis"/>
    <w:p>
      <w:pPr>
        <w:pStyle w:val="Heading2"/>
      </w:pPr>
      <w:r>
        <w:t xml:space="preserve">Sentiment analysis</w:t>
      </w:r>
    </w:p>
    <w:p>
      <w:pPr>
        <w:pStyle w:val="FirstParagraph"/>
      </w:pPr>
      <w:r>
        <w:t xml:space="preserve">The ProntoNLP tool was not available in this session. We therefore scored the calls ourselves on a −5 to +5 scale, from transcripts and call summaries, using four dimensions: tone, outlook, asset quality and capital. For periods before 3Q25, where no call content could be retrieved, we show a results-based proxy only.</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755"/>
        <w:gridCol w:w="678"/>
        <w:gridCol w:w="894"/>
        <w:gridCol w:w="894"/>
        <w:gridCol w:w="966"/>
        <w:gridCol w:w="5786"/>
      </w:tblGrid>
      <w:tr>
        <w:trPr>
          <w:tblHeader w:val="true"/>
          <w:cantSplit/>
          <w:tblHeader w:val="true"/>
        </w:trPr>
        <w:tc>
          <w:tcPr>
            <w:tcW w:w="755" w:type="dxa"/>
            <w:shd w:val="clear" w:color="auto" w:fill="13213F"/>
          </w:tcPr>
          <w:p>
            <w:pPr>
              <w:pStyle w:val="Compact"/>
              <w:spacing w:before="0" w:after="0" w:line="240" w:lineRule="auto"/>
              <w:jc w:val="left"/>
            </w:pPr>
            <w:r>
              <w:rPr>
                <w:rFonts w:ascii="Arial" w:hAnsi="Arial"/>
                <w:b/>
                <w:color w:val="FFFFFF"/>
                <w:sz w:val="15"/>
              </w:rPr>
              <w:t xml:space="preserve">Call</w:t>
            </w:r>
          </w:p>
        </w:tc>
        <w:tc>
          <w:tcPr>
            <w:tcW w:w="678" w:type="dxa"/>
            <w:shd w:val="clear" w:color="auto" w:fill="13213F"/>
          </w:tcPr>
          <w:p>
            <w:pPr>
              <w:pStyle w:val="Compact"/>
              <w:spacing w:before="0" w:after="0" w:line="240" w:lineRule="auto"/>
              <w:jc w:val="left"/>
            </w:pPr>
            <w:r>
              <w:rPr>
                <w:rFonts w:ascii="Arial" w:hAnsi="Arial"/>
                <w:b/>
                <w:color w:val="FFFFFF"/>
                <w:sz w:val="15"/>
              </w:rPr>
              <w:t xml:space="preserve">Tone</w:t>
            </w:r>
          </w:p>
        </w:tc>
        <w:tc>
          <w:tcPr>
            <w:tcW w:w="894" w:type="dxa"/>
            <w:shd w:val="clear" w:color="auto" w:fill="13213F"/>
          </w:tcPr>
          <w:p>
            <w:pPr>
              <w:pStyle w:val="Compact"/>
              <w:spacing w:before="0" w:after="0" w:line="240" w:lineRule="auto"/>
              <w:jc w:val="left"/>
            </w:pPr>
            <w:r>
              <w:rPr>
                <w:rFonts w:ascii="Arial" w:hAnsi="Arial"/>
                <w:b/>
                <w:color w:val="FFFFFF"/>
                <w:sz w:val="15"/>
              </w:rPr>
              <w:t xml:space="preserve">Outlook</w:t>
            </w:r>
          </w:p>
        </w:tc>
        <w:tc>
          <w:tcPr>
            <w:tcW w:w="894" w:type="dxa"/>
            <w:shd w:val="clear" w:color="auto" w:fill="13213F"/>
          </w:tcPr>
          <w:p>
            <w:pPr>
              <w:pStyle w:val="Compact"/>
              <w:spacing w:before="0" w:after="0" w:line="240" w:lineRule="auto"/>
              <w:jc w:val="left"/>
            </w:pPr>
            <w:r>
              <w:rPr>
                <w:rFonts w:ascii="Arial" w:hAnsi="Arial"/>
                <w:b/>
                <w:color w:val="FFFFFF"/>
                <w:sz w:val="15"/>
              </w:rPr>
              <w:t xml:space="preserve">Asset quality</w:t>
            </w:r>
          </w:p>
        </w:tc>
        <w:tc>
          <w:tcPr>
            <w:tcW w:w="966" w:type="dxa"/>
            <w:shd w:val="clear" w:color="auto" w:fill="13213F"/>
          </w:tcPr>
          <w:p>
            <w:pPr>
              <w:pStyle w:val="Compact"/>
              <w:spacing w:before="0" w:after="0" w:line="240" w:lineRule="auto"/>
              <w:jc w:val="left"/>
            </w:pPr>
            <w:r>
              <w:rPr>
                <w:rFonts w:ascii="Arial" w:hAnsi="Arial"/>
                <w:b/>
                <w:color w:val="FFFFFF"/>
                <w:sz w:val="15"/>
              </w:rPr>
              <w:t xml:space="preserve">Capital / dividend</w:t>
            </w:r>
          </w:p>
        </w:tc>
        <w:tc>
          <w:tcPr>
            <w:tcW w:w="5786" w:type="dxa"/>
            <w:shd w:val="clear" w:color="auto" w:fill="13213F"/>
          </w:tcPr>
          <w:p>
            <w:pPr>
              <w:pStyle w:val="Compact"/>
              <w:spacing w:before="0" w:after="0" w:line="240" w:lineRule="auto"/>
              <w:jc w:val="left"/>
            </w:pPr>
            <w:r>
              <w:rPr>
                <w:rFonts w:ascii="Arial" w:hAnsi="Arial"/>
                <w:b/>
                <w:color w:val="FFFFFF"/>
                <w:sz w:val="15"/>
              </w:rPr>
              <w:t xml:space="preserve">Key evidence</w:t>
            </w:r>
          </w:p>
        </w:tc>
      </w:tr>
      <w:tr>
        <w:trPr>
          <w:cantSplit/>
        </w:trPr>
        <w:tc>
          <w:tcPr>
            <w:tcW w:w="755" w:type="dxa"/>
          </w:tcPr>
          <w:p>
            <w:pPr>
              <w:pStyle w:val="Compact"/>
              <w:spacing w:before="0" w:after="0" w:line="240" w:lineRule="auto"/>
              <w:jc w:val="left"/>
            </w:pPr>
            <w:r>
              <w:rPr>
                <w:rFonts w:ascii="Arial" w:hAnsi="Arial"/>
                <w:sz w:val="15"/>
              </w:rPr>
              <w:t xml:space="preserve">3Q25</w:t>
            </w:r>
          </w:p>
        </w:tc>
        <w:tc>
          <w:tcPr>
            <w:tcW w:w="678" w:type="dxa"/>
          </w:tcPr>
          <w:p>
            <w:pPr>
              <w:pStyle w:val="Compact"/>
              <w:spacing w:before="0" w:after="0" w:line="240" w:lineRule="auto"/>
              <w:jc w:val="left"/>
            </w:pPr>
            <w:r>
              <w:rPr>
                <w:rFonts w:ascii="Arial" w:hAnsi="Arial"/>
                <w:sz w:val="15"/>
              </w:rPr>
              <w:t xml:space="preserve">+3</w:t>
            </w:r>
          </w:p>
        </w:tc>
        <w:tc>
          <w:tcPr>
            <w:tcW w:w="894" w:type="dxa"/>
          </w:tcPr>
          <w:p>
            <w:pPr>
              <w:pStyle w:val="Compact"/>
              <w:spacing w:before="0" w:after="0" w:line="240" w:lineRule="auto"/>
              <w:jc w:val="left"/>
            </w:pPr>
            <w:r>
              <w:rPr>
                <w:rFonts w:ascii="Arial" w:hAnsi="Arial"/>
                <w:sz w:val="15"/>
              </w:rPr>
              <w:t xml:space="preserve">+2</w:t>
            </w:r>
          </w:p>
        </w:tc>
        <w:tc>
          <w:tcPr>
            <w:tcW w:w="894" w:type="dxa"/>
          </w:tcPr>
          <w:p>
            <w:pPr>
              <w:pStyle w:val="Compact"/>
              <w:spacing w:before="0" w:after="0" w:line="240" w:lineRule="auto"/>
              <w:jc w:val="left"/>
            </w:pPr>
            <w:r>
              <w:rPr>
                <w:rFonts w:ascii="Arial" w:hAnsi="Arial"/>
                <w:sz w:val="15"/>
              </w:rPr>
              <w:t xml:space="preserve">+1</w:t>
            </w:r>
          </w:p>
        </w:tc>
        <w:tc>
          <w:tcPr>
            <w:tcW w:w="966" w:type="dxa"/>
          </w:tcPr>
          <w:p>
            <w:pPr>
              <w:pStyle w:val="Compact"/>
              <w:spacing w:before="0" w:after="0" w:line="240" w:lineRule="auto"/>
              <w:jc w:val="left"/>
            </w:pPr>
            <w:r>
              <w:rPr>
                <w:rFonts w:ascii="Arial" w:hAnsi="Arial"/>
                <w:sz w:val="15"/>
              </w:rPr>
              <w:t xml:space="preserve">+1</w:t>
            </w:r>
          </w:p>
        </w:tc>
        <w:tc>
          <w:tcPr>
            <w:tcW w:w="5786" w:type="dxa"/>
          </w:tcPr>
          <w:p>
            <w:pPr>
              <w:pStyle w:val="Compact"/>
              <w:spacing w:before="0" w:after="0" w:line="240" w:lineRule="auto"/>
              <w:jc w:val="left"/>
            </w:pPr>
            <w:r>
              <w:rPr>
                <w:rFonts w:ascii="Arial" w:hAnsi="Arial"/>
                <w:sz w:val="15"/>
              </w:rPr>
              <w:t xml:space="preserve">“</w:t>
            </w:r>
            <w:r>
              <w:rPr>
                <w:rFonts w:ascii="Arial" w:hAnsi="Arial"/>
                <w:sz w:val="15"/>
              </w:rPr>
              <w:t xml:space="preserve">Strong net income forecast</w:t>
            </w:r>
            <w:r>
              <w:rPr>
                <w:rFonts w:ascii="Arial" w:hAnsi="Arial"/>
                <w:sz w:val="15"/>
              </w:rPr>
              <w:t xml:space="preserve">”</w:t>
            </w:r>
            <w:r>
              <w:rPr>
                <w:rFonts w:ascii="Arial" w:hAnsi="Arial"/>
                <w:sz w:val="15"/>
              </w:rPr>
              <w:t xml:space="preserve">; ROE 34%; loan targets trimmed but</w:t>
            </w:r>
            <w:r>
              <w:rPr>
                <w:rFonts w:ascii="Arial" w:hAnsi="Arial"/>
                <w:sz w:val="15"/>
              </w:rPr>
              <w:t xml:space="preserve"> </w:t>
            </w:r>
            <w:r>
              <w:rPr>
                <w:rFonts w:ascii="Arial" w:hAnsi="Arial"/>
                <w:sz w:val="15"/>
              </w:rPr>
              <w:t xml:space="preserve">“</w:t>
            </w:r>
            <w:r>
              <w:rPr>
                <w:rFonts w:ascii="Arial" w:hAnsi="Arial"/>
                <w:sz w:val="15"/>
              </w:rPr>
              <w:t xml:space="preserve">didn’t affect profitability</w:t>
            </w:r>
            <w:r>
              <w:rPr>
                <w:rFonts w:ascii="Arial" w:hAnsi="Arial"/>
                <w:sz w:val="15"/>
              </w:rPr>
              <w:t xml:space="preserve">”</w:t>
            </w:r>
          </w:p>
        </w:tc>
      </w:tr>
      <w:tr>
        <w:trPr>
          <w:cantSplit/>
        </w:trPr>
        <w:tc>
          <w:tcPr>
            <w:tcW w:w="755" w:type="dxa"/>
          </w:tcPr>
          <w:p>
            <w:pPr>
              <w:pStyle w:val="Compact"/>
              <w:spacing w:before="0" w:after="0" w:line="240" w:lineRule="auto"/>
              <w:jc w:val="left"/>
            </w:pPr>
            <w:r>
              <w:rPr>
                <w:rFonts w:ascii="Arial" w:hAnsi="Arial"/>
                <w:sz w:val="15"/>
              </w:rPr>
              <w:t xml:space="preserve">FY25</w:t>
            </w:r>
          </w:p>
        </w:tc>
        <w:tc>
          <w:tcPr>
            <w:tcW w:w="678" w:type="dxa"/>
          </w:tcPr>
          <w:p>
            <w:pPr>
              <w:pStyle w:val="Compact"/>
              <w:spacing w:before="0" w:after="0" w:line="240" w:lineRule="auto"/>
              <w:jc w:val="left"/>
            </w:pPr>
            <w:r>
              <w:rPr>
                <w:rFonts w:ascii="Arial" w:hAnsi="Arial"/>
                <w:sz w:val="15"/>
              </w:rPr>
              <w:t xml:space="preserve">0</w:t>
            </w:r>
          </w:p>
        </w:tc>
        <w:tc>
          <w:tcPr>
            <w:tcW w:w="894" w:type="dxa"/>
          </w:tcPr>
          <w:p>
            <w:pPr>
              <w:pStyle w:val="Compact"/>
              <w:spacing w:before="0" w:after="0" w:line="240" w:lineRule="auto"/>
              <w:jc w:val="left"/>
            </w:pPr>
            <w:r>
              <w:rPr>
                <w:rFonts w:ascii="Arial" w:hAnsi="Arial"/>
                <w:sz w:val="15"/>
              </w:rPr>
              <w:t xml:space="preserve">−2</w:t>
            </w:r>
          </w:p>
        </w:tc>
        <w:tc>
          <w:tcPr>
            <w:tcW w:w="894" w:type="dxa"/>
          </w:tcPr>
          <w:p>
            <w:pPr>
              <w:pStyle w:val="Compact"/>
              <w:spacing w:before="0" w:after="0" w:line="240" w:lineRule="auto"/>
              <w:jc w:val="left"/>
            </w:pPr>
            <w:r>
              <w:rPr>
                <w:rFonts w:ascii="Arial" w:hAnsi="Arial"/>
                <w:sz w:val="15"/>
              </w:rPr>
              <w:t xml:space="preserve">−1</w:t>
            </w:r>
          </w:p>
        </w:tc>
        <w:tc>
          <w:tcPr>
            <w:tcW w:w="966" w:type="dxa"/>
          </w:tcPr>
          <w:p>
            <w:pPr>
              <w:pStyle w:val="Compact"/>
              <w:spacing w:before="0" w:after="0" w:line="240" w:lineRule="auto"/>
              <w:jc w:val="left"/>
            </w:pPr>
            <w:r>
              <w:rPr>
                <w:rFonts w:ascii="Arial" w:hAnsi="Arial"/>
                <w:sz w:val="15"/>
              </w:rPr>
              <w:t xml:space="preserve">+2</w:t>
            </w:r>
          </w:p>
        </w:tc>
        <w:tc>
          <w:tcPr>
            <w:tcW w:w="5786" w:type="dxa"/>
          </w:tcPr>
          <w:p>
            <w:pPr>
              <w:pStyle w:val="Compact"/>
              <w:spacing w:before="0" w:after="0" w:line="240" w:lineRule="auto"/>
              <w:jc w:val="left"/>
            </w:pPr>
            <w:r>
              <w:rPr>
                <w:rFonts w:ascii="Arial" w:hAnsi="Arial"/>
                <w:sz w:val="15"/>
              </w:rPr>
              <w:t xml:space="preserve">Record year but the first guided decline; NPL 90+ 4.3%</w:t>
            </w:r>
          </w:p>
        </w:tc>
      </w:tr>
      <w:tr>
        <w:trPr>
          <w:cantSplit/>
        </w:trPr>
        <w:tc>
          <w:tcPr>
            <w:tcW w:w="755" w:type="dxa"/>
          </w:tcPr>
          <w:p>
            <w:pPr>
              <w:pStyle w:val="Compact"/>
              <w:spacing w:before="0" w:after="0" w:line="240" w:lineRule="auto"/>
              <w:jc w:val="left"/>
            </w:pPr>
            <w:r>
              <w:rPr>
                <w:rFonts w:ascii="Arial" w:hAnsi="Arial"/>
                <w:sz w:val="15"/>
              </w:rPr>
              <w:t xml:space="preserve">1Q26</w:t>
            </w:r>
          </w:p>
        </w:tc>
        <w:tc>
          <w:tcPr>
            <w:tcW w:w="678" w:type="dxa"/>
          </w:tcPr>
          <w:p>
            <w:pPr>
              <w:pStyle w:val="Compact"/>
              <w:spacing w:before="0" w:after="0" w:line="240" w:lineRule="auto"/>
              <w:jc w:val="left"/>
            </w:pPr>
            <w:r>
              <w:rPr>
                <w:rFonts w:ascii="Arial" w:hAnsi="Arial"/>
                <w:sz w:val="15"/>
              </w:rPr>
              <w:t xml:space="preserve">−1</w:t>
            </w:r>
          </w:p>
        </w:tc>
        <w:tc>
          <w:tcPr>
            <w:tcW w:w="894" w:type="dxa"/>
          </w:tcPr>
          <w:p>
            <w:pPr>
              <w:pStyle w:val="Compact"/>
              <w:spacing w:before="0" w:after="0" w:line="240" w:lineRule="auto"/>
              <w:jc w:val="left"/>
            </w:pPr>
            <w:r>
              <w:rPr>
                <w:rFonts w:ascii="Arial" w:hAnsi="Arial"/>
                <w:sz w:val="15"/>
              </w:rPr>
              <w:t xml:space="preserve">0</w:t>
            </w:r>
          </w:p>
        </w:tc>
        <w:tc>
          <w:tcPr>
            <w:tcW w:w="894" w:type="dxa"/>
          </w:tcPr>
          <w:p>
            <w:pPr>
              <w:pStyle w:val="Compact"/>
              <w:spacing w:before="0" w:after="0" w:line="240" w:lineRule="auto"/>
              <w:jc w:val="left"/>
            </w:pPr>
            <w:r>
              <w:rPr>
                <w:rFonts w:ascii="Arial" w:hAnsi="Arial"/>
                <w:sz w:val="15"/>
              </w:rPr>
              <w:t xml:space="preserve">−1</w:t>
            </w:r>
          </w:p>
        </w:tc>
        <w:tc>
          <w:tcPr>
            <w:tcW w:w="966" w:type="dxa"/>
          </w:tcPr>
          <w:p>
            <w:pPr>
              <w:pStyle w:val="Compact"/>
              <w:spacing w:before="0" w:after="0" w:line="240" w:lineRule="auto"/>
              <w:jc w:val="left"/>
            </w:pPr>
            <w:r>
              <w:rPr>
                <w:rFonts w:ascii="Arial" w:hAnsi="Arial"/>
                <w:sz w:val="15"/>
              </w:rPr>
              <w:t xml:space="preserve">+2</w:t>
            </w:r>
          </w:p>
        </w:tc>
        <w:tc>
          <w:tcPr>
            <w:tcW w:w="5786" w:type="dxa"/>
          </w:tcPr>
          <w:p>
            <w:pPr>
              <w:pStyle w:val="Compact"/>
              <w:spacing w:before="0" w:after="0" w:line="240" w:lineRule="auto"/>
              <w:jc w:val="left"/>
            </w:pPr>
            <w:r>
              <w:rPr>
                <w:rFonts w:ascii="Arial" w:hAnsi="Arial"/>
                <w:sz w:val="15"/>
              </w:rPr>
              <w:t xml:space="preserve">“</w:t>
            </w:r>
            <w:r>
              <w:rPr>
                <w:rFonts w:ascii="Arial" w:hAnsi="Arial"/>
                <w:sz w:val="15"/>
              </w:rPr>
              <w:t xml:space="preserve">In line with expectations</w:t>
            </w:r>
            <w:r>
              <w:rPr>
                <w:rFonts w:ascii="Arial" w:hAnsi="Arial"/>
                <w:sz w:val="15"/>
              </w:rPr>
              <w:t xml:space="preserve">”</w:t>
            </w:r>
            <w:r>
              <w:rPr>
                <w:rFonts w:ascii="Arial" w:hAnsi="Arial"/>
                <w:sz w:val="15"/>
              </w:rPr>
              <w:t xml:space="preserve">; pre-flagged the April MRR step</w:t>
            </w:r>
          </w:p>
        </w:tc>
      </w:tr>
      <w:tr>
        <w:trPr>
          <w:cantSplit/>
        </w:trPr>
        <w:tc>
          <w:tcPr>
            <w:tcW w:w="755" w:type="dxa"/>
          </w:tcPr>
          <w:p>
            <w:pPr>
              <w:pStyle w:val="Compact"/>
              <w:spacing w:before="0" w:after="0" w:line="240" w:lineRule="auto"/>
              <w:jc w:val="left"/>
            </w:pPr>
            <w:r>
              <w:rPr>
                <w:rFonts w:ascii="Arial" w:hAnsi="Arial"/>
                <w:sz w:val="15"/>
              </w:rPr>
              <w:t xml:space="preserve">1H26</w:t>
            </w:r>
          </w:p>
        </w:tc>
        <w:tc>
          <w:tcPr>
            <w:tcW w:w="678" w:type="dxa"/>
          </w:tcPr>
          <w:p>
            <w:pPr>
              <w:pStyle w:val="Compact"/>
              <w:spacing w:before="0" w:after="0" w:line="240" w:lineRule="auto"/>
              <w:jc w:val="left"/>
            </w:pPr>
            <w:r>
              <w:rPr>
                <w:rFonts w:ascii="Arial" w:hAnsi="Arial"/>
                <w:sz w:val="15"/>
              </w:rPr>
              <w:t xml:space="preserve">−2</w:t>
            </w:r>
          </w:p>
        </w:tc>
        <w:tc>
          <w:tcPr>
            <w:tcW w:w="894" w:type="dxa"/>
          </w:tcPr>
          <w:p>
            <w:pPr>
              <w:pStyle w:val="Compact"/>
              <w:spacing w:before="0" w:after="0" w:line="240" w:lineRule="auto"/>
              <w:jc w:val="left"/>
            </w:pPr>
            <w:r>
              <w:rPr>
                <w:rFonts w:ascii="Arial" w:hAnsi="Arial"/>
                <w:sz w:val="15"/>
              </w:rPr>
              <w:t xml:space="preserve">−1</w:t>
            </w:r>
          </w:p>
        </w:tc>
        <w:tc>
          <w:tcPr>
            <w:tcW w:w="894" w:type="dxa"/>
          </w:tcPr>
          <w:p>
            <w:pPr>
              <w:pStyle w:val="Compact"/>
              <w:spacing w:before="0" w:after="0" w:line="240" w:lineRule="auto"/>
              <w:jc w:val="left"/>
            </w:pPr>
            <w:r>
              <w:rPr>
                <w:rFonts w:ascii="Arial" w:hAnsi="Arial"/>
                <w:sz w:val="15"/>
              </w:rPr>
              <w:t xml:space="preserve">−2</w:t>
            </w:r>
          </w:p>
        </w:tc>
        <w:tc>
          <w:tcPr>
            <w:tcW w:w="966" w:type="dxa"/>
          </w:tcPr>
          <w:p>
            <w:pPr>
              <w:pStyle w:val="Compact"/>
              <w:spacing w:before="0" w:after="0" w:line="240" w:lineRule="auto"/>
              <w:jc w:val="left"/>
            </w:pPr>
            <w:r>
              <w:rPr>
                <w:rFonts w:ascii="Arial" w:hAnsi="Arial"/>
                <w:sz w:val="15"/>
              </w:rPr>
              <w:t xml:space="preserve">+2</w:t>
            </w:r>
          </w:p>
        </w:tc>
        <w:tc>
          <w:tcPr>
            <w:tcW w:w="5786" w:type="dxa"/>
          </w:tcPr>
          <w:p>
            <w:pPr>
              <w:pStyle w:val="Compact"/>
              <w:spacing w:before="0" w:after="0" w:line="240" w:lineRule="auto"/>
              <w:jc w:val="left"/>
            </w:pPr>
            <w:r>
              <w:rPr>
                <w:rFonts w:ascii="Arial" w:hAnsi="Arial"/>
                <w:sz w:val="15"/>
              </w:rPr>
              <w:t xml:space="preserve">Qualifiers:</w:t>
            </w:r>
            <w:r>
              <w:rPr>
                <w:rFonts w:ascii="Arial" w:hAnsi="Arial"/>
                <w:sz w:val="15"/>
              </w:rPr>
              <w:t xml:space="preserve"> </w:t>
            </w:r>
            <w:r>
              <w:rPr>
                <w:rFonts w:ascii="Arial" w:hAnsi="Arial"/>
                <w:sz w:val="15"/>
              </w:rPr>
              <w:t xml:space="preserve">“</w:t>
            </w:r>
            <w:r>
              <w:rPr>
                <w:rFonts w:ascii="Arial" w:hAnsi="Arial"/>
                <w:sz w:val="15"/>
              </w:rPr>
              <w:t xml:space="preserve">measurable and temporary</w:t>
            </w:r>
            <w:r>
              <w:rPr>
                <w:rFonts w:ascii="Arial" w:hAnsi="Arial"/>
                <w:sz w:val="15"/>
              </w:rPr>
              <w:t xml:space="preserve">”</w:t>
            </w:r>
            <w:r>
              <w:rPr>
                <w:rFonts w:ascii="Arial" w:hAnsi="Arial"/>
                <w:sz w:val="15"/>
              </w:rPr>
              <w:t xml:space="preserve">,</w:t>
            </w:r>
            <w:r>
              <w:rPr>
                <w:rFonts w:ascii="Arial" w:hAnsi="Arial"/>
                <w:sz w:val="15"/>
              </w:rPr>
              <w:t xml:space="preserve"> </w:t>
            </w:r>
            <w:r>
              <w:rPr>
                <w:rFonts w:ascii="Arial" w:hAnsi="Arial"/>
                <w:sz w:val="15"/>
              </w:rPr>
              <w:t xml:space="preserve">“</w:t>
            </w:r>
            <w:r>
              <w:rPr>
                <w:rFonts w:ascii="Arial" w:hAnsi="Arial"/>
                <w:sz w:val="15"/>
              </w:rPr>
              <w:t xml:space="preserve">partly mechanical</w:t>
            </w:r>
            <w:r>
              <w:rPr>
                <w:rFonts w:ascii="Arial" w:hAnsi="Arial"/>
                <w:sz w:val="15"/>
              </w:rPr>
              <w:t xml:space="preserve">”</w:t>
            </w:r>
            <w:r>
              <w:rPr>
                <w:rFonts w:ascii="Arial" w:hAnsi="Arial"/>
                <w:sz w:val="15"/>
              </w:rPr>
              <w:t xml:space="preserve">; NPL 90+ doubled; dividend pulled forward</w:t>
            </w:r>
          </w:p>
        </w:tc>
      </w:tr>
    </w:tbl>
    <w:p>
      <w:pPr>
        <w:pStyle w:val="CaptionedFigure"/>
      </w:pPr>
      <w:r>
        <w:drawing>
          <wp:inline>
            <wp:extent cx="6324600" cy="2908694"/>
            <wp:effectExtent b="0" l="0" r="0" t="0"/>
            <wp:docPr descr="Sentiment scores" title="" id="66" name="Picture"/>
            <a:graphic>
              <a:graphicData uri="http://schemas.openxmlformats.org/drawingml/2006/picture">
                <pic:pic>
                  <pic:nvPicPr>
                    <pic:cNvPr descr="HSBK_charts/sentiment.png" id="67" name="Picture"/>
                    <pic:cNvPicPr>
                      <a:picLocks noChangeArrowheads="1" noChangeAspect="1"/>
                    </pic:cNvPicPr>
                  </pic:nvPicPr>
                  <pic:blipFill>
                    <a:blip r:embed="rId65"/>
                    <a:stretch>
                      <a:fillRect/>
                    </a:stretch>
                  </pic:blipFill>
                  <pic:spPr bwMode="auto">
                    <a:xfrm>
                      <a:off x="0" y="0"/>
                      <a:ext cx="6324600" cy="2908694"/>
                    </a:xfrm>
                    <a:prstGeom prst="rect">
                      <a:avLst/>
                    </a:prstGeom>
                    <a:noFill/>
                    <a:ln w="9525">
                      <a:noFill/>
                      <a:headEnd/>
                      <a:tailEnd/>
                    </a:ln>
                  </pic:spPr>
                </pic:pic>
              </a:graphicData>
            </a:graphic>
          </wp:inline>
        </w:drawing>
      </w:r>
    </w:p>
    <w:p>
      <w:pPr>
        <w:pStyle w:val="ImageCaption"/>
      </w:pPr>
      <w:r>
        <w:t xml:space="preserve">Sentiment scores</w:t>
      </w:r>
    </w:p>
    <w:p>
      <w:pPr>
        <w:pStyle w:val="BodyText"/>
      </w:pPr>
      <w:r>
        <w:rPr>
          <w:bCs/>
          <w:b/>
        </w:rPr>
        <w:t xml:space="preserve">How sentiment has shifted.</w:t>
      </w:r>
    </w:p>
    <w:p>
      <w:pPr>
        <w:numPr>
          <w:ilvl w:val="0"/>
          <w:numId w:val="1046"/>
        </w:numPr>
        <w:pStyle w:val="Compact"/>
      </w:pPr>
      <w:r>
        <w:rPr>
          <w:bCs/>
          <w:b/>
        </w:rPr>
        <w:t xml:space="preserve">Late 2025 was the high-water mark.</w:t>
      </w:r>
      <w:r>
        <w:t xml:space="preserve"> </w:t>
      </w:r>
      <w:r>
        <w:t xml:space="preserve">Management talked of 30%+ ROE and a 7% NIM</w:t>
      </w:r>
      <w:r>
        <w:t xml:space="preserve"> </w:t>
      </w:r>
      <w:r>
        <w:t xml:space="preserve">“</w:t>
      </w:r>
      <w:r>
        <w:t xml:space="preserve">sustained into 2026</w:t>
      </w:r>
      <w:r>
        <w:t xml:space="preserve">”</w:t>
      </w:r>
      <w:r>
        <w:t xml:space="preserve">.</w:t>
      </w:r>
    </w:p>
    <w:p>
      <w:pPr>
        <w:numPr>
          <w:ilvl w:val="0"/>
          <w:numId w:val="1046"/>
        </w:numPr>
        <w:pStyle w:val="Compact"/>
      </w:pPr>
      <w:r>
        <w:rPr>
          <w:bCs/>
          <w:b/>
        </w:rPr>
        <w:t xml:space="preserve">By March 2026 the vocabulary had moved to external causes</w:t>
      </w:r>
      <w:r>
        <w:t xml:space="preserve"> </w:t>
      </w:r>
      <w:r>
        <w:t xml:space="preserve">(rates, regulation, economy), and to defending guidance rather than raising it.</w:t>
      </w:r>
    </w:p>
    <w:p>
      <w:pPr>
        <w:numPr>
          <w:ilvl w:val="0"/>
          <w:numId w:val="1046"/>
        </w:numPr>
        <w:pStyle w:val="Compact"/>
      </w:pPr>
      <w:r>
        <w:rPr>
          <w:bCs/>
          <w:b/>
        </w:rPr>
        <w:t xml:space="preserve">By August it relied on qualifiers:</w:t>
      </w:r>
      <w:r>
        <w:t xml:space="preserve"> </w:t>
      </w:r>
      <w:r>
        <w:t xml:space="preserve">“</w:t>
      </w:r>
      <w:r>
        <w:t xml:space="preserve">temporary</w:t>
      </w:r>
      <w:r>
        <w:t xml:space="preserve">”</w:t>
      </w:r>
      <w:r>
        <w:t xml:space="preserve">,</w:t>
      </w:r>
      <w:r>
        <w:t xml:space="preserve"> </w:t>
      </w:r>
      <w:r>
        <w:t xml:space="preserve">“</w:t>
      </w:r>
      <w:r>
        <w:t xml:space="preserve">normalised</w:t>
      </w:r>
      <w:r>
        <w:t xml:space="preserve">”</w:t>
      </w:r>
      <w:r>
        <w:t xml:space="preserve">,</w:t>
      </w:r>
      <w:r>
        <w:t xml:space="preserve"> </w:t>
      </w:r>
      <w:r>
        <w:t xml:space="preserve">“</w:t>
      </w:r>
      <w:r>
        <w:t xml:space="preserve">mechanical</w:t>
      </w:r>
      <w:r>
        <w:t xml:space="preserve">”</w:t>
      </w:r>
      <w:r>
        <w:t xml:space="preserve">. The capital and dividend message became the only consistently positive pillar.</w:t>
      </w:r>
    </w:p>
    <w:p>
      <w:pPr>
        <w:numPr>
          <w:ilvl w:val="0"/>
          <w:numId w:val="1046"/>
        </w:numPr>
        <w:pStyle w:val="Compact"/>
      </w:pPr>
      <w:r>
        <w:rPr>
          <w:bCs/>
          <w:b/>
        </w:rPr>
        <w:t xml:space="preserve">The credibility test is 9M26 (mid-November).</w:t>
      </w:r>
      <w:r>
        <w:t xml:space="preserve"> </w:t>
      </w:r>
      <w:r>
        <w:t xml:space="preserve">Guidance requires 2H26 NI of ~KZT552bn, i.e. ~KZT276bn a quarter,</w:t>
      </w:r>
      <w:r>
        <w:t xml:space="preserve"> </w:t>
      </w:r>
      <w:r>
        <w:rPr>
          <w:bCs/>
          <w:b/>
        </w:rPr>
        <w:t xml:space="preserve">~30% above the 2Q26 run-rate</w:t>
      </w:r>
      <w:r>
        <w:t xml:space="preserve">. We expect the KZT1trn target to be cut or described as</w:t>
      </w:r>
      <w:r>
        <w:t xml:space="preserve"> </w:t>
      </w:r>
      <w:r>
        <w:t xml:space="preserve">“</w:t>
      </w:r>
      <w:r>
        <w:t xml:space="preserve">challenging</w:t>
      </w:r>
      <w:r>
        <w:t xml:space="preserve">”</w:t>
      </w:r>
      <w:r>
        <w:t xml:space="preserve">.</w:t>
      </w:r>
    </w:p>
    <w:bookmarkEnd w:id="68"/>
    <w:bookmarkStart w:id="69" w:name="X9ea913e6684fc2875d2ed77c3f10852ee846ae2"/>
    <w:p>
      <w:pPr>
        <w:pStyle w:val="Heading2"/>
      </w:pPr>
      <w:r>
        <w:t xml:space="preserve">Latest results (1H/2Q 2026, released 18-Aug-2026): deep dive</w:t>
      </w:r>
    </w:p>
    <w:p>
      <w:pPr>
        <w:pStyle w:val="FirstParagraph"/>
      </w:pPr>
      <w:r>
        <w:rPr>
          <w:bCs/>
          <w:b/>
        </w:rPr>
        <w:t xml:space="preserve">Revenue and profit vs expectations.</w:t>
      </w:r>
    </w:p>
    <w:p>
      <w:pPr>
        <w:numPr>
          <w:ilvl w:val="0"/>
          <w:numId w:val="1047"/>
        </w:numPr>
        <w:pStyle w:val="Compact"/>
      </w:pPr>
      <w:r>
        <w:rPr>
          <w:bCs/>
          <w:b/>
        </w:rPr>
        <w:t xml:space="preserve">Net income:</w:t>
      </w:r>
      <w:r>
        <w:t xml:space="preserve"> </w:t>
      </w:r>
      <w:r>
        <w:t xml:space="preserve">2Q26 NI of KZT212.8bn missed the company-compiled consensus average of KZT246.5bn by</w:t>
      </w:r>
      <w:r>
        <w:t xml:space="preserve"> </w:t>
      </w:r>
      <w:r>
        <w:rPr>
          <w:bCs/>
          <w:b/>
        </w:rPr>
        <w:t xml:space="preserve">13.7%</w:t>
      </w:r>
      <w:r>
        <w:t xml:space="preserve"> </w:t>
      </w:r>
      <w:r>
        <w:t xml:space="preserve">(KZT34bn). It was also ~10% below the</w:t>
      </w:r>
      <w:r>
        <w:t xml:space="preserve"> </w:t>
      </w:r>
      <w:r>
        <w:rPr>
          <w:iCs/>
          <w:i/>
        </w:rPr>
        <w:t xml:space="preserve">lowest</w:t>
      </w:r>
      <w:r>
        <w:t xml:space="preserve"> </w:t>
      </w:r>
      <w:r>
        <w:t xml:space="preserve">estimate (KZT236.1bn).</w:t>
      </w:r>
    </w:p>
    <w:p>
      <w:pPr>
        <w:numPr>
          <w:ilvl w:val="0"/>
          <w:numId w:val="1047"/>
        </w:numPr>
        <w:pStyle w:val="Compact"/>
      </w:pPr>
      <w:r>
        <w:rPr>
          <w:bCs/>
          <w:b/>
        </w:rPr>
        <w:t xml:space="preserve">Revenue:</w:t>
      </w:r>
      <w:r>
        <w:t xml:space="preserve"> </w:t>
      </w:r>
      <w:r>
        <w:t xml:space="preserve">interest income of ~KZT725bn was a smaller miss (−1.4% vs KZT735bn). The miss sat below the NII line: insurance, fees, FX and costs.</w:t>
      </w:r>
    </w:p>
    <w:p>
      <w:pPr>
        <w:pStyle w:val="FirstParagraph"/>
      </w:pPr>
      <w:r>
        <w:rPr>
          <w:bCs/>
          <w:b/>
        </w:rPr>
        <w:t xml:space="preserve">Segment drivers.</w:t>
      </w:r>
    </w:p>
    <w:p>
      <w:pPr>
        <w:numPr>
          <w:ilvl w:val="0"/>
          <w:numId w:val="1048"/>
        </w:numPr>
        <w:pStyle w:val="Compact"/>
      </w:pPr>
      <w:r>
        <w:rPr>
          <w:bCs/>
          <w:b/>
        </w:rPr>
        <w:t xml:space="preserve">Acceleration:</w:t>
      </w:r>
    </w:p>
    <w:p>
      <w:pPr>
        <w:numPr>
          <w:ilvl w:val="1"/>
          <w:numId w:val="1049"/>
        </w:numPr>
        <w:pStyle w:val="Compact"/>
      </w:pPr>
      <w:r>
        <w:t xml:space="preserve">SME loans (+25% y/y; digital SME +40%);</w:t>
      </w:r>
    </w:p>
    <w:p>
      <w:pPr>
        <w:numPr>
          <w:ilvl w:val="1"/>
          <w:numId w:val="1049"/>
        </w:numPr>
        <w:pStyle w:val="Compact"/>
      </w:pPr>
      <w:r>
        <w:t xml:space="preserve">corporate loans (+11%);</w:t>
      </w:r>
    </w:p>
    <w:p>
      <w:pPr>
        <w:numPr>
          <w:ilvl w:val="1"/>
          <w:numId w:val="1049"/>
        </w:numPr>
        <w:pStyle w:val="Compact"/>
      </w:pPr>
      <w:r>
        <w:t xml:space="preserve">B2B payments (+25%).</w:t>
      </w:r>
    </w:p>
    <w:p>
      <w:pPr>
        <w:numPr>
          <w:ilvl w:val="0"/>
          <w:numId w:val="1048"/>
        </w:numPr>
        <w:pStyle w:val="Compact"/>
      </w:pPr>
      <w:r>
        <w:rPr>
          <w:bCs/>
          <w:b/>
        </w:rPr>
        <w:t xml:space="preserve">Deceleration:</w:t>
      </w:r>
    </w:p>
    <w:p>
      <w:pPr>
        <w:numPr>
          <w:ilvl w:val="1"/>
          <w:numId w:val="1050"/>
        </w:numPr>
        <w:pStyle w:val="Compact"/>
      </w:pPr>
      <w:r>
        <w:t xml:space="preserve">retail issuance (−18% in 1Q) as BNPL and unsecured lending were curtailed;</w:t>
      </w:r>
    </w:p>
    <w:p>
      <w:pPr>
        <w:numPr>
          <w:ilvl w:val="1"/>
          <w:numId w:val="1050"/>
        </w:numPr>
        <w:pStyle w:val="Compact"/>
      </w:pPr>
      <w:r>
        <w:t xml:space="preserve">fees (−19.6% in 1H);</w:t>
      </w:r>
    </w:p>
    <w:p>
      <w:pPr>
        <w:numPr>
          <w:ilvl w:val="1"/>
          <w:numId w:val="1050"/>
        </w:numPr>
        <w:pStyle w:val="Compact"/>
      </w:pPr>
      <w:r>
        <w:t xml:space="preserve">insurance (a 2Q loss from OSAGO tariffs lagging inflation, higher loss ratios and a one-off change in the liability model);</w:t>
      </w:r>
    </w:p>
    <w:p>
      <w:pPr>
        <w:numPr>
          <w:ilvl w:val="1"/>
          <w:numId w:val="1050"/>
        </w:numPr>
        <w:pStyle w:val="Compact"/>
      </w:pPr>
      <w:r>
        <w:t xml:space="preserve">FX income (high base).</w:t>
      </w:r>
    </w:p>
    <w:p>
      <w:pPr>
        <w:pStyle w:val="FirstParagraph"/>
      </w:pPr>
      <w:r>
        <w:rPr>
          <w:bCs/>
          <w:b/>
        </w:rPr>
        <w:t xml:space="preserve">Margins.</w:t>
      </w:r>
    </w:p>
    <w:p>
      <w:pPr>
        <w:numPr>
          <w:ilvl w:val="0"/>
          <w:numId w:val="1051"/>
        </w:numPr>
        <w:pStyle w:val="Compact"/>
      </w:pPr>
      <w:r>
        <w:rPr>
          <w:bCs/>
          <w:b/>
        </w:rPr>
        <w:t xml:space="preserve">NIM:</w:t>
      </w:r>
      <w:r>
        <w:t xml:space="preserve"> </w:t>
      </w:r>
      <w:r>
        <w:t xml:space="preserve">6.8% vs 7.3% (2Q ~6.7%). About 40bp came from MRR; the rest from deposit costs (interest expense +21.6% vs interest income +12.2%).</w:t>
      </w:r>
    </w:p>
    <w:p>
      <w:pPr>
        <w:numPr>
          <w:ilvl w:val="0"/>
          <w:numId w:val="1051"/>
        </w:numPr>
        <w:pStyle w:val="Compact"/>
      </w:pPr>
      <w:r>
        <w:rPr>
          <w:bCs/>
          <w:b/>
        </w:rPr>
        <w:t xml:space="preserve">Cost/income:</w:t>
      </w:r>
      <w:r>
        <w:t xml:space="preserve"> </w:t>
      </w:r>
      <w:r>
        <w:t xml:space="preserve">19.2% vs 17.2%. Opex grew only 5.5% (salary indexation, IT, VAT) but revenue fell.</w:t>
      </w:r>
    </w:p>
    <w:p>
      <w:pPr>
        <w:pStyle w:val="FirstParagraph"/>
      </w:pPr>
      <w:r>
        <w:rPr>
          <w:bCs/>
          <w:b/>
        </w:rPr>
        <w:t xml:space="preserve">Guidance and outlook.</w:t>
      </w:r>
    </w:p>
    <w:p>
      <w:pPr>
        <w:numPr>
          <w:ilvl w:val="0"/>
          <w:numId w:val="1052"/>
        </w:numPr>
        <w:pStyle w:val="Compact"/>
      </w:pPr>
      <w:r>
        <w:t xml:space="preserve">FY26 NI ~KZT1trn and ROAE 29% were reaffirmed, as were NIM 6.8%, C/I 18–20% and CoR 1.4–1.5%.</w:t>
      </w:r>
    </w:p>
    <w:p>
      <w:pPr>
        <w:numPr>
          <w:ilvl w:val="0"/>
          <w:numId w:val="1052"/>
        </w:numPr>
        <w:pStyle w:val="Compact"/>
      </w:pPr>
      <w:r>
        <w:t xml:space="preserve">Fee guidance was cut to about −10%, and management flagged a 2H growth slowdown.</w:t>
      </w:r>
    </w:p>
    <w:p>
      <w:pPr>
        <w:numPr>
          <w:ilvl w:val="0"/>
          <w:numId w:val="1052"/>
        </w:numPr>
        <w:pStyle w:val="Compact"/>
      </w:pPr>
      <w:r>
        <w:t xml:space="preserve">The tone became more defensive: the commitment to guidance remained, but the language hedged.</w:t>
      </w:r>
    </w:p>
    <w:p>
      <w:pPr>
        <w:pStyle w:val="FirstParagraph"/>
      </w:pPr>
      <w:r>
        <w:rPr>
          <w:bCs/>
          <w:b/>
        </w:rPr>
        <w:t xml:space="preserve">Balance-sheet flags.</w:t>
      </w:r>
    </w:p>
    <w:p>
      <w:pPr>
        <w:numPr>
          <w:ilvl w:val="0"/>
          <w:numId w:val="1053"/>
        </w:numPr>
        <w:pStyle w:val="Compact"/>
      </w:pPr>
      <w:r>
        <w:rPr>
          <w:bCs/>
          <w:b/>
        </w:rPr>
        <w:t xml:space="preserve">NPL 90+ doubled y/y to KZT715bn (5.3% from 3.0%); retail 9.2%.</w:t>
      </w:r>
    </w:p>
    <w:p>
      <w:pPr>
        <w:numPr>
          <w:ilvl w:val="1"/>
          <w:numId w:val="1054"/>
        </w:numPr>
        <w:pStyle w:val="Compact"/>
      </w:pPr>
      <w:r>
        <w:t xml:space="preserve">Provisions rose to 5.0% of gross loans from 4.4% at end-2025. Stage 3 is 8.6% with 58% coverage [u].</w:t>
      </w:r>
    </w:p>
    <w:p>
      <w:pPr>
        <w:numPr>
          <w:ilvl w:val="1"/>
          <w:numId w:val="1054"/>
        </w:numPr>
        <w:pStyle w:val="Compact"/>
      </w:pPr>
      <w:r>
        <w:t xml:space="preserve">Management blames the moratorium on selling retail NPLs to collectors (to 1-May-26). If so, 2H26 should show write-offs or sales, not further growth.</w:t>
      </w:r>
    </w:p>
    <w:p>
      <w:pPr>
        <w:numPr>
          <w:ilvl w:val="0"/>
          <w:numId w:val="1053"/>
        </w:numPr>
        <w:pStyle w:val="Compact"/>
      </w:pPr>
      <w:r>
        <w:rPr>
          <w:bCs/>
          <w:b/>
        </w:rPr>
        <w:t xml:space="preserve">Capital:</w:t>
      </w:r>
      <w:r>
        <w:t xml:space="preserve"> </w:t>
      </w:r>
      <w:r>
        <w:t xml:space="preserve">k-ratios fell from 21.0% to 19.0% in one quarter after the dividend.</w:t>
      </w:r>
    </w:p>
    <w:p>
      <w:pPr>
        <w:numPr>
          <w:ilvl w:val="0"/>
          <w:numId w:val="1053"/>
        </w:numPr>
        <w:pStyle w:val="Compact"/>
      </w:pPr>
      <w:r>
        <w:rPr>
          <w:bCs/>
          <w:b/>
        </w:rPr>
        <w:t xml:space="preserve">Funding:</w:t>
      </w:r>
      <w:r>
        <w:t xml:space="preserve"> </w:t>
      </w:r>
      <w:r>
        <w:t xml:space="preserve">no stress. Retail deposits rose 10.5% y/y; the issue is cost, not availability.</w:t>
      </w:r>
    </w:p>
    <w:p>
      <w:pPr>
        <w:pStyle w:val="FirstParagraph"/>
      </w:pPr>
      <w:r>
        <w:rPr>
          <w:bCs/>
          <w:b/>
        </w:rPr>
        <w:t xml:space="preserve">Market reaction.</w:t>
      </w:r>
    </w:p>
    <w:p>
      <w:pPr>
        <w:numPr>
          <w:ilvl w:val="0"/>
          <w:numId w:val="1055"/>
        </w:numPr>
        <w:pStyle w:val="Compact"/>
      </w:pPr>
      <w:r>
        <w:rPr>
          <w:bCs/>
          <w:b/>
        </w:rPr>
        <w:t xml:space="preserve">On the day:</w:t>
      </w:r>
      <w:r>
        <w:t xml:space="preserve"> </w:t>
      </w:r>
      <w:r>
        <w:t xml:space="preserve">the GDR fell ~3% (US$35.10 → 34.05) [u].</w:t>
      </w:r>
    </w:p>
    <w:p>
      <w:pPr>
        <w:numPr>
          <w:ilvl w:val="0"/>
          <w:numId w:val="1055"/>
        </w:numPr>
        <w:pStyle w:val="Compact"/>
      </w:pPr>
      <w:r>
        <w:rPr>
          <w:bCs/>
          <w:b/>
        </w:rPr>
        <w:t xml:space="preserve">Afterwards:</w:t>
      </w:r>
      <w:r>
        <w:t xml:space="preserve"> </w:t>
      </w:r>
      <w:r>
        <w:t xml:space="preserve">within weeks it set a new 52-week high of US$36.45, then gave back ~10% by mid-October, partly through the ex-dividend on 25 August.</w:t>
      </w:r>
    </w:p>
    <w:p>
      <w:pPr>
        <w:numPr>
          <w:ilvl w:val="0"/>
          <w:numId w:val="1055"/>
        </w:numPr>
        <w:pStyle w:val="Compact"/>
      </w:pPr>
      <w:r>
        <w:rPr>
          <w:bCs/>
          <w:b/>
        </w:rPr>
        <w:t xml:space="preserve">What it signals:</w:t>
      </w:r>
      <w:r>
        <w:t xml:space="preserve"> </w:t>
      </w:r>
      <w:r>
        <w:t xml:space="preserve">investors look through 2026 to the dividend and the rate-cut cycle. A guidance cut is partly priced in; a cut to the dividend is not.</w:t>
      </w:r>
    </w:p>
    <w:p>
      <w:pPr>
        <w:pStyle w:val="FirstParagraph"/>
      </w:pPr>
      <w:r>
        <w:rPr>
          <w:bCs/>
          <w:b/>
        </w:rPr>
        <w:t xml:space="preserve">What was unusual vs recent history:</w:t>
      </w:r>
    </w:p>
    <w:p>
      <w:pPr>
        <w:numPr>
          <w:ilvl w:val="0"/>
          <w:numId w:val="1056"/>
        </w:numPr>
        <w:pStyle w:val="Compact"/>
      </w:pPr>
      <w:r>
        <w:t xml:space="preserve">The largest y/y quarterly profit decline in the series.</w:t>
      </w:r>
    </w:p>
    <w:p>
      <w:pPr>
        <w:numPr>
          <w:ilvl w:val="0"/>
          <w:numId w:val="1056"/>
        </w:numPr>
        <w:pStyle w:val="Compact"/>
      </w:pPr>
      <w:r>
        <w:t xml:space="preserve">An insurance loss.</w:t>
      </w:r>
    </w:p>
    <w:p>
      <w:pPr>
        <w:numPr>
          <w:ilvl w:val="0"/>
          <w:numId w:val="1056"/>
        </w:numPr>
        <w:pStyle w:val="Compact"/>
      </w:pPr>
      <w:r>
        <w:t xml:space="preserve">A doubling of NPL 90+.</w:t>
      </w:r>
    </w:p>
    <w:p>
      <w:pPr>
        <w:numPr>
          <w:ilvl w:val="0"/>
          <w:numId w:val="1056"/>
        </w:numPr>
        <w:pStyle w:val="Compact"/>
      </w:pPr>
      <w:r>
        <w:t xml:space="preserve">The dividend calendar brought forward.</w:t>
      </w:r>
    </w:p>
    <w:p>
      <w:pPr>
        <w:numPr>
          <w:ilvl w:val="0"/>
          <w:numId w:val="1056"/>
        </w:numPr>
        <w:pStyle w:val="Compact"/>
      </w:pPr>
      <w:r>
        <w:t xml:space="preserve">Within six weeks, a change of auditor to EY (from the 9M26 review) and an Islamic-banking licence application, both at the EGM of 25-Sep-26.</w:t>
      </w:r>
    </w:p>
    <w:p>
      <w:pPr>
        <w:pStyle w:val="FirstParagraph"/>
      </w:pPr>
      <w:r>
        <w:t xml:space="preserve">The auditor change is not necessarily a red flag (rotation and Big-4 continuity), but it should be explained.</w:t>
      </w:r>
    </w:p>
    <w:bookmarkEnd w:id="69"/>
    <w:bookmarkEnd w:id="70"/>
    <w:bookmarkStart w:id="71" w:name="earnings-forecasts-2026e2028e"/>
    <w:p>
      <w:pPr>
        <w:pStyle w:val="Heading1"/>
      </w:pPr>
      <w:r>
        <w:t xml:space="preserve">Earnings forecasts, 2026E–2028E</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588"/>
        <w:gridCol w:w="983"/>
        <w:gridCol w:w="911"/>
        <w:gridCol w:w="911"/>
        <w:gridCol w:w="911"/>
        <w:gridCol w:w="3673"/>
      </w:tblGrid>
      <w:tr>
        <w:trPr>
          <w:tblHeader w:val="true"/>
          <w:cantSplit/>
          <w:tblHeader w:val="true"/>
        </w:trPr>
        <w:tc>
          <w:tcPr>
            <w:tcW w:w="2588" w:type="dxa"/>
            <w:shd w:val="clear" w:color="auto" w:fill="13213F"/>
          </w:tcPr>
          <w:p>
            <w:pPr>
              <w:pStyle w:val="Compact"/>
              <w:spacing w:before="0" w:after="0" w:line="240" w:lineRule="auto"/>
              <w:jc w:val="left"/>
            </w:pPr>
            <w:r>
              <w:rPr>
                <w:rFonts w:ascii="Arial" w:hAnsi="Arial"/>
                <w:b/>
                <w:color w:val="FFFFFF"/>
                <w:sz w:val="15"/>
              </w:rPr>
              <w:t xml:space="preserve">KZT bn</w:t>
            </w:r>
          </w:p>
        </w:tc>
        <w:tc>
          <w:tcPr>
            <w:tcW w:w="983" w:type="dxa"/>
            <w:shd w:val="clear" w:color="auto" w:fill="13213F"/>
          </w:tcPr>
          <w:p>
            <w:pPr>
              <w:pStyle w:val="Compact"/>
              <w:spacing w:before="0" w:after="0" w:line="240" w:lineRule="auto"/>
              <w:jc w:val="left"/>
            </w:pPr>
            <w:r>
              <w:rPr>
                <w:rFonts w:ascii="Arial" w:hAnsi="Arial"/>
                <w:b/>
                <w:color w:val="FFFFFF"/>
                <w:sz w:val="15"/>
              </w:rPr>
              <w:t xml:space="preserve">2025A</w:t>
            </w:r>
          </w:p>
        </w:tc>
        <w:tc>
          <w:tcPr>
            <w:tcW w:w="911" w:type="dxa"/>
            <w:shd w:val="clear" w:color="auto" w:fill="13213F"/>
          </w:tcPr>
          <w:p>
            <w:pPr>
              <w:pStyle w:val="Compact"/>
              <w:spacing w:before="0" w:after="0" w:line="240" w:lineRule="auto"/>
              <w:jc w:val="left"/>
            </w:pPr>
            <w:r>
              <w:rPr>
                <w:rFonts w:ascii="Arial" w:hAnsi="Arial"/>
                <w:b/>
                <w:color w:val="FFFFFF"/>
                <w:sz w:val="15"/>
              </w:rPr>
              <w:t xml:space="preserve">2026E</w:t>
            </w:r>
          </w:p>
        </w:tc>
        <w:tc>
          <w:tcPr>
            <w:tcW w:w="911" w:type="dxa"/>
            <w:shd w:val="clear" w:color="auto" w:fill="13213F"/>
          </w:tcPr>
          <w:p>
            <w:pPr>
              <w:pStyle w:val="Compact"/>
              <w:spacing w:before="0" w:after="0" w:line="240" w:lineRule="auto"/>
              <w:jc w:val="left"/>
            </w:pPr>
            <w:r>
              <w:rPr>
                <w:rFonts w:ascii="Arial" w:hAnsi="Arial"/>
                <w:b/>
                <w:color w:val="FFFFFF"/>
                <w:sz w:val="15"/>
              </w:rPr>
              <w:t xml:space="preserve">2027E</w:t>
            </w:r>
          </w:p>
        </w:tc>
        <w:tc>
          <w:tcPr>
            <w:tcW w:w="911" w:type="dxa"/>
            <w:shd w:val="clear" w:color="auto" w:fill="13213F"/>
          </w:tcPr>
          <w:p>
            <w:pPr>
              <w:pStyle w:val="Compact"/>
              <w:spacing w:before="0" w:after="0" w:line="240" w:lineRule="auto"/>
              <w:jc w:val="left"/>
            </w:pPr>
            <w:r>
              <w:rPr>
                <w:rFonts w:ascii="Arial" w:hAnsi="Arial"/>
                <w:b/>
                <w:color w:val="FFFFFF"/>
                <w:sz w:val="15"/>
              </w:rPr>
              <w:t xml:space="preserve">2028E</w:t>
            </w:r>
          </w:p>
        </w:tc>
        <w:tc>
          <w:tcPr>
            <w:tcW w:w="3673" w:type="dxa"/>
            <w:shd w:val="clear" w:color="auto" w:fill="13213F"/>
          </w:tcPr>
          <w:p>
            <w:pPr>
              <w:pStyle w:val="Compact"/>
              <w:spacing w:before="0" w:after="0" w:line="240" w:lineRule="auto"/>
              <w:jc w:val="left"/>
            </w:pPr>
            <w:r>
              <w:rPr>
                <w:rFonts w:ascii="Arial" w:hAnsi="Arial"/>
                <w:b/>
                <w:color w:val="FFFFFF"/>
                <w:sz w:val="15"/>
              </w:rPr>
              <w:t xml:space="preserve">Key assumption</w:t>
            </w:r>
          </w:p>
        </w:tc>
      </w:tr>
      <w:tr>
        <w:trPr>
          <w:cantSplit/>
        </w:trPr>
        <w:tc>
          <w:tcPr>
            <w:tcW w:w="2588" w:type="dxa"/>
          </w:tcPr>
          <w:p>
            <w:pPr>
              <w:pStyle w:val="Compact"/>
              <w:spacing w:before="0" w:after="0" w:line="240" w:lineRule="auto"/>
              <w:jc w:val="left"/>
            </w:pPr>
            <w:r>
              <w:rPr>
                <w:rFonts w:ascii="Arial" w:hAnsi="Arial"/>
                <w:sz w:val="15"/>
              </w:rPr>
              <w:t xml:space="preserve">Average interest-earning assets</w:t>
            </w:r>
          </w:p>
        </w:tc>
        <w:tc>
          <w:tcPr>
            <w:tcW w:w="983" w:type="dxa"/>
          </w:tcPr>
          <w:p>
            <w:pPr>
              <w:pStyle w:val="Compact"/>
              <w:spacing w:before="0" w:after="0" w:line="240" w:lineRule="auto"/>
              <w:jc w:val="left"/>
            </w:pPr>
            <w:r>
              <w:rPr>
                <w:rFonts w:ascii="Arial" w:hAnsi="Arial"/>
                <w:sz w:val="15"/>
              </w:rPr>
              <w:t xml:space="preserve">~18,140</w:t>
            </w:r>
          </w:p>
        </w:tc>
        <w:tc>
          <w:tcPr>
            <w:tcW w:w="911" w:type="dxa"/>
          </w:tcPr>
          <w:p>
            <w:pPr>
              <w:pStyle w:val="Compact"/>
              <w:spacing w:before="0" w:after="0" w:line="240" w:lineRule="auto"/>
              <w:jc w:val="left"/>
            </w:pPr>
            <w:r>
              <w:rPr>
                <w:rFonts w:ascii="Arial" w:hAnsi="Arial"/>
                <w:sz w:val="15"/>
              </w:rPr>
              <w:t xml:space="preserve">19,590</w:t>
            </w:r>
          </w:p>
        </w:tc>
        <w:tc>
          <w:tcPr>
            <w:tcW w:w="911" w:type="dxa"/>
          </w:tcPr>
          <w:p>
            <w:pPr>
              <w:pStyle w:val="Compact"/>
              <w:spacing w:before="0" w:after="0" w:line="240" w:lineRule="auto"/>
              <w:jc w:val="left"/>
            </w:pPr>
            <w:r>
              <w:rPr>
                <w:rFonts w:ascii="Arial" w:hAnsi="Arial"/>
                <w:sz w:val="15"/>
              </w:rPr>
              <w:t xml:space="preserve">21,550</w:t>
            </w:r>
          </w:p>
        </w:tc>
        <w:tc>
          <w:tcPr>
            <w:tcW w:w="911" w:type="dxa"/>
          </w:tcPr>
          <w:p>
            <w:pPr>
              <w:pStyle w:val="Compact"/>
              <w:spacing w:before="0" w:after="0" w:line="240" w:lineRule="auto"/>
              <w:jc w:val="left"/>
            </w:pPr>
            <w:r>
              <w:rPr>
                <w:rFonts w:ascii="Arial" w:hAnsi="Arial"/>
                <w:sz w:val="15"/>
              </w:rPr>
              <w:t xml:space="preserve">23,810</w:t>
            </w:r>
          </w:p>
        </w:tc>
        <w:tc>
          <w:tcPr>
            <w:tcW w:w="3673" w:type="dxa"/>
          </w:tcPr>
          <w:p>
            <w:pPr>
              <w:pStyle w:val="Compact"/>
              <w:spacing w:before="0" w:after="0" w:line="240" w:lineRule="auto"/>
              <w:jc w:val="left"/>
            </w:pPr>
            <w:r>
              <w:rPr>
                <w:rFonts w:ascii="Arial" w:hAnsi="Arial"/>
                <w:sz w:val="15"/>
              </w:rPr>
              <w:t xml:space="preserve">+8% / +10% / +10.5%</w:t>
            </w:r>
          </w:p>
        </w:tc>
      </w:tr>
      <w:tr>
        <w:trPr>
          <w:cantSplit/>
        </w:trPr>
        <w:tc>
          <w:tcPr>
            <w:tcW w:w="2588" w:type="dxa"/>
          </w:tcPr>
          <w:p>
            <w:pPr>
              <w:pStyle w:val="Compact"/>
              <w:spacing w:before="0" w:after="0" w:line="240" w:lineRule="auto"/>
              <w:jc w:val="left"/>
            </w:pPr>
            <w:r>
              <w:rPr>
                <w:rFonts w:ascii="Arial" w:hAnsi="Arial"/>
                <w:sz w:val="15"/>
              </w:rPr>
              <w:t xml:space="preserve">NIM</w:t>
            </w:r>
          </w:p>
        </w:tc>
        <w:tc>
          <w:tcPr>
            <w:tcW w:w="983" w:type="dxa"/>
          </w:tcPr>
          <w:p>
            <w:pPr>
              <w:pStyle w:val="Compact"/>
              <w:spacing w:before="0" w:after="0" w:line="240" w:lineRule="auto"/>
              <w:jc w:val="left"/>
            </w:pPr>
            <w:r>
              <w:rPr>
                <w:rFonts w:ascii="Arial" w:hAnsi="Arial"/>
                <w:sz w:val="15"/>
              </w:rPr>
              <w:t xml:space="preserve">7.1%</w:t>
            </w:r>
          </w:p>
        </w:tc>
        <w:tc>
          <w:tcPr>
            <w:tcW w:w="911" w:type="dxa"/>
          </w:tcPr>
          <w:p>
            <w:pPr>
              <w:pStyle w:val="Compact"/>
              <w:spacing w:before="0" w:after="0" w:line="240" w:lineRule="auto"/>
              <w:jc w:val="left"/>
            </w:pPr>
            <w:r>
              <w:rPr>
                <w:rFonts w:ascii="Arial" w:hAnsi="Arial"/>
                <w:sz w:val="15"/>
              </w:rPr>
              <w:t xml:space="preserve">6.75%</w:t>
            </w:r>
          </w:p>
        </w:tc>
        <w:tc>
          <w:tcPr>
            <w:tcW w:w="911" w:type="dxa"/>
          </w:tcPr>
          <w:p>
            <w:pPr>
              <w:pStyle w:val="Compact"/>
              <w:spacing w:before="0" w:after="0" w:line="240" w:lineRule="auto"/>
              <w:jc w:val="left"/>
            </w:pPr>
            <w:r>
              <w:rPr>
                <w:rFonts w:ascii="Arial" w:hAnsi="Arial"/>
                <w:sz w:val="15"/>
              </w:rPr>
              <w:t xml:space="preserve">6.50%</w:t>
            </w:r>
          </w:p>
        </w:tc>
        <w:tc>
          <w:tcPr>
            <w:tcW w:w="911" w:type="dxa"/>
          </w:tcPr>
          <w:p>
            <w:pPr>
              <w:pStyle w:val="Compact"/>
              <w:spacing w:before="0" w:after="0" w:line="240" w:lineRule="auto"/>
              <w:jc w:val="left"/>
            </w:pPr>
            <w:r>
              <w:rPr>
                <w:rFonts w:ascii="Arial" w:hAnsi="Arial"/>
                <w:sz w:val="15"/>
              </w:rPr>
              <w:t xml:space="preserve">6.40%</w:t>
            </w:r>
          </w:p>
        </w:tc>
        <w:tc>
          <w:tcPr>
            <w:tcW w:w="3673" w:type="dxa"/>
          </w:tcPr>
          <w:p>
            <w:pPr>
              <w:pStyle w:val="Compact"/>
              <w:spacing w:before="0" w:after="0" w:line="240" w:lineRule="auto"/>
              <w:jc w:val="left"/>
            </w:pPr>
            <w:r>
              <w:rPr>
                <w:rFonts w:ascii="Arial" w:hAnsi="Arial"/>
                <w:sz w:val="15"/>
              </w:rPr>
              <w:t xml:space="preserve">Rate cuts plus full-year MRR; partial deposit repricing</w:t>
            </w:r>
          </w:p>
        </w:tc>
      </w:tr>
      <w:tr>
        <w:trPr>
          <w:cantSplit/>
        </w:trPr>
        <w:tc>
          <w:tcPr>
            <w:tcW w:w="2588" w:type="dxa"/>
          </w:tcPr>
          <w:p>
            <w:pPr>
              <w:pStyle w:val="Compact"/>
              <w:spacing w:before="0" w:after="0" w:line="240" w:lineRule="auto"/>
              <w:jc w:val="left"/>
            </w:pPr>
            <w:r>
              <w:rPr>
                <w:bCs/>
                <w:rFonts w:ascii="Arial" w:hAnsi="Arial"/>
                <w:b/>
                <w:sz w:val="15"/>
              </w:rPr>
              <w:t xml:space="preserve">Net interest income</w:t>
            </w:r>
          </w:p>
        </w:tc>
        <w:tc>
          <w:tcPr>
            <w:tcW w:w="983" w:type="dxa"/>
          </w:tcPr>
          <w:p>
            <w:pPr>
              <w:pStyle w:val="Compact"/>
              <w:spacing w:before="0" w:after="0" w:line="240" w:lineRule="auto"/>
              <w:jc w:val="left"/>
            </w:pPr>
            <w:r>
              <w:rPr>
                <w:rFonts w:ascii="Arial" w:hAnsi="Arial"/>
                <w:sz w:val="15"/>
              </w:rPr>
              <w:t xml:space="preserve">1,287.7</w:t>
            </w:r>
          </w:p>
        </w:tc>
        <w:tc>
          <w:tcPr>
            <w:tcW w:w="911" w:type="dxa"/>
          </w:tcPr>
          <w:p>
            <w:pPr>
              <w:pStyle w:val="Compact"/>
              <w:spacing w:before="0" w:after="0" w:line="240" w:lineRule="auto"/>
              <w:jc w:val="left"/>
            </w:pPr>
            <w:r>
              <w:rPr>
                <w:rFonts w:ascii="Arial" w:hAnsi="Arial"/>
                <w:sz w:val="15"/>
              </w:rPr>
              <w:t xml:space="preserve">1,322</w:t>
            </w:r>
          </w:p>
        </w:tc>
        <w:tc>
          <w:tcPr>
            <w:tcW w:w="911" w:type="dxa"/>
          </w:tcPr>
          <w:p>
            <w:pPr>
              <w:pStyle w:val="Compact"/>
              <w:spacing w:before="0" w:after="0" w:line="240" w:lineRule="auto"/>
              <w:jc w:val="left"/>
            </w:pPr>
            <w:r>
              <w:rPr>
                <w:rFonts w:ascii="Arial" w:hAnsi="Arial"/>
                <w:sz w:val="15"/>
              </w:rPr>
              <w:t xml:space="preserve">1,401</w:t>
            </w:r>
          </w:p>
        </w:tc>
        <w:tc>
          <w:tcPr>
            <w:tcW w:w="911" w:type="dxa"/>
          </w:tcPr>
          <w:p>
            <w:pPr>
              <w:pStyle w:val="Compact"/>
              <w:spacing w:before="0" w:after="0" w:line="240" w:lineRule="auto"/>
              <w:jc w:val="left"/>
            </w:pPr>
            <w:r>
              <w:rPr>
                <w:rFonts w:ascii="Arial" w:hAnsi="Arial"/>
                <w:sz w:val="15"/>
              </w:rPr>
              <w:t xml:space="preserve">1,524</w:t>
            </w:r>
          </w:p>
        </w:tc>
        <w:tc>
          <w:tcPr>
            <w:tcW w:w="3673" w:type="dxa"/>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Net fees</w:t>
            </w:r>
          </w:p>
        </w:tc>
        <w:tc>
          <w:tcPr>
            <w:tcW w:w="983" w:type="dxa"/>
          </w:tcPr>
          <w:p>
            <w:pPr>
              <w:pStyle w:val="Compact"/>
              <w:spacing w:before="0" w:after="0" w:line="240" w:lineRule="auto"/>
              <w:jc w:val="left"/>
            </w:pPr>
            <w:r>
              <w:rPr>
                <w:rFonts w:ascii="Arial" w:hAnsi="Arial"/>
                <w:sz w:val="15"/>
              </w:rPr>
              <w:t xml:space="preserve">140.1</w:t>
            </w:r>
          </w:p>
        </w:tc>
        <w:tc>
          <w:tcPr>
            <w:tcW w:w="911" w:type="dxa"/>
          </w:tcPr>
          <w:p>
            <w:pPr>
              <w:pStyle w:val="Compact"/>
              <w:spacing w:before="0" w:after="0" w:line="240" w:lineRule="auto"/>
              <w:jc w:val="left"/>
            </w:pPr>
            <w:r>
              <w:rPr>
                <w:rFonts w:ascii="Arial" w:hAnsi="Arial"/>
                <w:sz w:val="15"/>
              </w:rPr>
              <w:t xml:space="preserve">126</w:t>
            </w:r>
          </w:p>
        </w:tc>
        <w:tc>
          <w:tcPr>
            <w:tcW w:w="911" w:type="dxa"/>
          </w:tcPr>
          <w:p>
            <w:pPr>
              <w:pStyle w:val="Compact"/>
              <w:spacing w:before="0" w:after="0" w:line="240" w:lineRule="auto"/>
              <w:jc w:val="left"/>
            </w:pPr>
            <w:r>
              <w:rPr>
                <w:rFonts w:ascii="Arial" w:hAnsi="Arial"/>
                <w:sz w:val="15"/>
              </w:rPr>
              <w:t xml:space="preserve">139</w:t>
            </w:r>
          </w:p>
        </w:tc>
        <w:tc>
          <w:tcPr>
            <w:tcW w:w="911" w:type="dxa"/>
          </w:tcPr>
          <w:p>
            <w:pPr>
              <w:pStyle w:val="Compact"/>
              <w:spacing w:before="0" w:after="0" w:line="240" w:lineRule="auto"/>
              <w:jc w:val="left"/>
            </w:pPr>
            <w:r>
              <w:rPr>
                <w:rFonts w:ascii="Arial" w:hAnsi="Arial"/>
                <w:sz w:val="15"/>
              </w:rPr>
              <w:t xml:space="preserve">153</w:t>
            </w:r>
          </w:p>
        </w:tc>
        <w:tc>
          <w:tcPr>
            <w:tcW w:w="3673" w:type="dxa"/>
          </w:tcPr>
          <w:p>
            <w:pPr>
              <w:pStyle w:val="Compact"/>
              <w:spacing w:before="0" w:after="0" w:line="240" w:lineRule="auto"/>
              <w:jc w:val="left"/>
            </w:pPr>
            <w:r>
              <w:rPr>
                <w:rFonts w:ascii="Arial" w:hAnsi="Arial"/>
                <w:sz w:val="15"/>
              </w:rPr>
              <w:t xml:space="preserve">−10% (guidance), then +10%</w:t>
            </w:r>
          </w:p>
        </w:tc>
      </w:tr>
      <w:tr>
        <w:trPr>
          <w:cantSplit/>
        </w:trPr>
        <w:tc>
          <w:tcPr>
            <w:tcW w:w="2588" w:type="dxa"/>
          </w:tcPr>
          <w:p>
            <w:pPr>
              <w:pStyle w:val="Compact"/>
              <w:spacing w:before="0" w:after="0" w:line="240" w:lineRule="auto"/>
              <w:jc w:val="left"/>
            </w:pPr>
            <w:r>
              <w:rPr>
                <w:rFonts w:ascii="Arial" w:hAnsi="Arial"/>
                <w:sz w:val="15"/>
              </w:rPr>
              <w:t xml:space="preserve">Insurance, FX and other</w:t>
            </w:r>
          </w:p>
        </w:tc>
        <w:tc>
          <w:tcPr>
            <w:tcW w:w="983" w:type="dxa"/>
          </w:tcPr>
          <w:p>
            <w:pPr>
              <w:pStyle w:val="Compact"/>
              <w:spacing w:before="0" w:after="0" w:line="240" w:lineRule="auto"/>
              <w:jc w:val="left"/>
            </w:pPr>
            <w:r>
              <w:rPr>
                <w:rFonts w:ascii="Arial" w:hAnsi="Arial"/>
                <w:sz w:val="15"/>
              </w:rPr>
              <w:t xml:space="preserve">332</w:t>
            </w:r>
          </w:p>
        </w:tc>
        <w:tc>
          <w:tcPr>
            <w:tcW w:w="911" w:type="dxa"/>
          </w:tcPr>
          <w:p>
            <w:pPr>
              <w:pStyle w:val="Compact"/>
              <w:spacing w:before="0" w:after="0" w:line="240" w:lineRule="auto"/>
              <w:jc w:val="left"/>
            </w:pPr>
            <w:r>
              <w:rPr>
                <w:rFonts w:ascii="Arial" w:hAnsi="Arial"/>
                <w:sz w:val="15"/>
              </w:rPr>
              <w:t xml:space="preserve">190</w:t>
            </w:r>
          </w:p>
        </w:tc>
        <w:tc>
          <w:tcPr>
            <w:tcW w:w="911" w:type="dxa"/>
          </w:tcPr>
          <w:p>
            <w:pPr>
              <w:pStyle w:val="Compact"/>
              <w:spacing w:before="0" w:after="0" w:line="240" w:lineRule="auto"/>
              <w:jc w:val="left"/>
            </w:pPr>
            <w:r>
              <w:rPr>
                <w:rFonts w:ascii="Arial" w:hAnsi="Arial"/>
                <w:sz w:val="15"/>
              </w:rPr>
              <w:t xml:space="preserve">265</w:t>
            </w:r>
          </w:p>
        </w:tc>
        <w:tc>
          <w:tcPr>
            <w:tcW w:w="911" w:type="dxa"/>
          </w:tcPr>
          <w:p>
            <w:pPr>
              <w:pStyle w:val="Compact"/>
              <w:spacing w:before="0" w:after="0" w:line="240" w:lineRule="auto"/>
              <w:jc w:val="left"/>
            </w:pPr>
            <w:r>
              <w:rPr>
                <w:rFonts w:ascii="Arial" w:hAnsi="Arial"/>
                <w:sz w:val="15"/>
              </w:rPr>
              <w:t xml:space="preserve">287</w:t>
            </w:r>
          </w:p>
        </w:tc>
        <w:tc>
          <w:tcPr>
            <w:tcW w:w="3673" w:type="dxa"/>
          </w:tcPr>
          <w:p>
            <w:pPr>
              <w:pStyle w:val="Compact"/>
              <w:spacing w:before="0" w:after="0" w:line="240" w:lineRule="auto"/>
              <w:jc w:val="left"/>
            </w:pPr>
            <w:r>
              <w:rPr>
                <w:rFonts w:ascii="Arial" w:hAnsi="Arial"/>
                <w:sz w:val="15"/>
              </w:rPr>
              <w:t xml:space="preserve">2026 hit by insurance loss and FX base</w:t>
            </w:r>
          </w:p>
        </w:tc>
      </w:tr>
      <w:tr>
        <w:trPr>
          <w:cantSplit/>
        </w:trPr>
        <w:tc>
          <w:tcPr>
            <w:tcW w:w="2588" w:type="dxa"/>
            <w:shd w:val="clear" w:color="auto" w:fill="F2F4F8"/>
          </w:tcPr>
          <w:p>
            <w:pPr>
              <w:pStyle w:val="Compact"/>
              <w:spacing w:before="0" w:after="0" w:line="240" w:lineRule="auto"/>
              <w:jc w:val="left"/>
            </w:pPr>
            <w:r>
              <w:rPr>
                <w:bCs/>
                <w:rFonts w:ascii="Arial" w:hAnsi="Arial"/>
                <w:b/>
                <w:sz w:val="15"/>
              </w:rPr>
              <w:t xml:space="preserve">Total operating income</w:t>
            </w:r>
          </w:p>
        </w:tc>
        <w:tc>
          <w:tcPr>
            <w:tcW w:w="983" w:type="dxa"/>
            <w:shd w:val="clear" w:color="auto" w:fill="F2F4F8"/>
          </w:tcPr>
          <w:p>
            <w:pPr>
              <w:pStyle w:val="Compact"/>
              <w:spacing w:before="0" w:after="0" w:line="240" w:lineRule="auto"/>
              <w:jc w:val="left"/>
            </w:pPr>
            <w:r>
              <w:rPr>
                <w:rFonts w:ascii="Arial" w:hAnsi="Arial"/>
                <w:sz w:val="15"/>
              </w:rPr>
              <w:t xml:space="preserve">1,760</w:t>
            </w:r>
          </w:p>
        </w:tc>
        <w:tc>
          <w:tcPr>
            <w:tcW w:w="911" w:type="dxa"/>
            <w:shd w:val="clear" w:color="auto" w:fill="F2F4F8"/>
          </w:tcPr>
          <w:p>
            <w:pPr>
              <w:pStyle w:val="Compact"/>
              <w:spacing w:before="0" w:after="0" w:line="240" w:lineRule="auto"/>
              <w:jc w:val="left"/>
            </w:pPr>
            <w:r>
              <w:rPr>
                <w:rFonts w:ascii="Arial" w:hAnsi="Arial"/>
                <w:sz w:val="15"/>
              </w:rPr>
              <w:t xml:space="preserve">1,638</w:t>
            </w:r>
          </w:p>
        </w:tc>
        <w:tc>
          <w:tcPr>
            <w:tcW w:w="911" w:type="dxa"/>
            <w:shd w:val="clear" w:color="auto" w:fill="F2F4F8"/>
          </w:tcPr>
          <w:p>
            <w:pPr>
              <w:pStyle w:val="Compact"/>
              <w:spacing w:before="0" w:after="0" w:line="240" w:lineRule="auto"/>
              <w:jc w:val="left"/>
            </w:pPr>
            <w:r>
              <w:rPr>
                <w:rFonts w:ascii="Arial" w:hAnsi="Arial"/>
                <w:sz w:val="15"/>
              </w:rPr>
              <w:t xml:space="preserve">1,805</w:t>
            </w:r>
          </w:p>
        </w:tc>
        <w:tc>
          <w:tcPr>
            <w:tcW w:w="911" w:type="dxa"/>
            <w:shd w:val="clear" w:color="auto" w:fill="F2F4F8"/>
          </w:tcPr>
          <w:p>
            <w:pPr>
              <w:pStyle w:val="Compact"/>
              <w:spacing w:before="0" w:after="0" w:line="240" w:lineRule="auto"/>
              <w:jc w:val="left"/>
            </w:pPr>
            <w:r>
              <w:rPr>
                <w:rFonts w:ascii="Arial" w:hAnsi="Arial"/>
                <w:sz w:val="15"/>
              </w:rPr>
              <w:t xml:space="preserve">1,964</w:t>
            </w:r>
          </w:p>
        </w:tc>
        <w:tc>
          <w:tcPr>
            <w:tcW w:w="3673" w:type="dxa"/>
            <w:shd w:val="clear" w:color="auto" w:fill="F2F4F8"/>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Operating expenses</w:t>
            </w:r>
          </w:p>
        </w:tc>
        <w:tc>
          <w:tcPr>
            <w:tcW w:w="983" w:type="dxa"/>
          </w:tcPr>
          <w:p>
            <w:pPr>
              <w:pStyle w:val="Compact"/>
              <w:spacing w:before="0" w:after="0" w:line="240" w:lineRule="auto"/>
              <w:jc w:val="left"/>
            </w:pPr>
            <w:r>
              <w:rPr>
                <w:rFonts w:ascii="Arial" w:hAnsi="Arial"/>
                <w:sz w:val="15"/>
              </w:rPr>
              <w:t xml:space="preserve">(308)</w:t>
            </w:r>
          </w:p>
        </w:tc>
        <w:tc>
          <w:tcPr>
            <w:tcW w:w="911" w:type="dxa"/>
          </w:tcPr>
          <w:p>
            <w:pPr>
              <w:pStyle w:val="Compact"/>
              <w:spacing w:before="0" w:after="0" w:line="240" w:lineRule="auto"/>
              <w:jc w:val="left"/>
            </w:pPr>
            <w:r>
              <w:rPr>
                <w:rFonts w:ascii="Arial" w:hAnsi="Arial"/>
                <w:sz w:val="15"/>
              </w:rPr>
              <w:t xml:space="preserve">(326)</w:t>
            </w:r>
          </w:p>
        </w:tc>
        <w:tc>
          <w:tcPr>
            <w:tcW w:w="911" w:type="dxa"/>
          </w:tcPr>
          <w:p>
            <w:pPr>
              <w:pStyle w:val="Compact"/>
              <w:spacing w:before="0" w:after="0" w:line="240" w:lineRule="auto"/>
              <w:jc w:val="left"/>
            </w:pPr>
            <w:r>
              <w:rPr>
                <w:rFonts w:ascii="Arial" w:hAnsi="Arial"/>
                <w:sz w:val="15"/>
              </w:rPr>
              <w:t xml:space="preserve">(355)</w:t>
            </w:r>
          </w:p>
        </w:tc>
        <w:tc>
          <w:tcPr>
            <w:tcW w:w="911" w:type="dxa"/>
          </w:tcPr>
          <w:p>
            <w:pPr>
              <w:pStyle w:val="Compact"/>
              <w:spacing w:before="0" w:after="0" w:line="240" w:lineRule="auto"/>
              <w:jc w:val="left"/>
            </w:pPr>
            <w:r>
              <w:rPr>
                <w:rFonts w:ascii="Arial" w:hAnsi="Arial"/>
                <w:sz w:val="15"/>
              </w:rPr>
              <w:t xml:space="preserve">(387)</w:t>
            </w:r>
          </w:p>
        </w:tc>
        <w:tc>
          <w:tcPr>
            <w:tcW w:w="3673" w:type="dxa"/>
          </w:tcPr>
          <w:p>
            <w:pPr>
              <w:pStyle w:val="Compact"/>
              <w:spacing w:before="0" w:after="0" w:line="240" w:lineRule="auto"/>
              <w:jc w:val="left"/>
            </w:pPr>
            <w:r>
              <w:rPr>
                <w:rFonts w:ascii="Arial" w:hAnsi="Arial"/>
                <w:sz w:val="15"/>
              </w:rPr>
              <w:t xml:space="preserve">+6% / +9% / +9% (wage indexation, IT)</w:t>
            </w:r>
          </w:p>
        </w:tc>
      </w:tr>
      <w:tr>
        <w:trPr>
          <w:cantSplit/>
        </w:trPr>
        <w:tc>
          <w:tcPr>
            <w:tcW w:w="2588" w:type="dxa"/>
          </w:tcPr>
          <w:p>
            <w:pPr>
              <w:pStyle w:val="Compact"/>
              <w:spacing w:before="0" w:after="0" w:line="240" w:lineRule="auto"/>
              <w:jc w:val="left"/>
            </w:pPr>
            <w:r>
              <w:rPr>
                <w:bCs/>
                <w:rFonts w:ascii="Arial" w:hAnsi="Arial"/>
                <w:b/>
                <w:sz w:val="15"/>
              </w:rPr>
              <w:t xml:space="preserve">PPOP</w:t>
            </w:r>
          </w:p>
        </w:tc>
        <w:tc>
          <w:tcPr>
            <w:tcW w:w="983" w:type="dxa"/>
          </w:tcPr>
          <w:p>
            <w:pPr>
              <w:pStyle w:val="Compact"/>
              <w:spacing w:before="0" w:after="0" w:line="240" w:lineRule="auto"/>
              <w:jc w:val="left"/>
            </w:pPr>
            <w:r>
              <w:rPr>
                <w:rFonts w:ascii="Arial" w:hAnsi="Arial"/>
                <w:sz w:val="15"/>
              </w:rPr>
              <w:t xml:space="preserve">1,452</w:t>
            </w:r>
          </w:p>
        </w:tc>
        <w:tc>
          <w:tcPr>
            <w:tcW w:w="911" w:type="dxa"/>
          </w:tcPr>
          <w:p>
            <w:pPr>
              <w:pStyle w:val="Compact"/>
              <w:spacing w:before="0" w:after="0" w:line="240" w:lineRule="auto"/>
              <w:jc w:val="left"/>
            </w:pPr>
            <w:r>
              <w:rPr>
                <w:rFonts w:ascii="Arial" w:hAnsi="Arial"/>
                <w:sz w:val="15"/>
              </w:rPr>
              <w:t xml:space="preserve">1,313</w:t>
            </w:r>
          </w:p>
        </w:tc>
        <w:tc>
          <w:tcPr>
            <w:tcW w:w="911" w:type="dxa"/>
          </w:tcPr>
          <w:p>
            <w:pPr>
              <w:pStyle w:val="Compact"/>
              <w:spacing w:before="0" w:after="0" w:line="240" w:lineRule="auto"/>
              <w:jc w:val="left"/>
            </w:pPr>
            <w:r>
              <w:rPr>
                <w:rFonts w:ascii="Arial" w:hAnsi="Arial"/>
                <w:sz w:val="15"/>
              </w:rPr>
              <w:t xml:space="preserve">1,450</w:t>
            </w:r>
          </w:p>
        </w:tc>
        <w:tc>
          <w:tcPr>
            <w:tcW w:w="911" w:type="dxa"/>
          </w:tcPr>
          <w:p>
            <w:pPr>
              <w:pStyle w:val="Compact"/>
              <w:spacing w:before="0" w:after="0" w:line="240" w:lineRule="auto"/>
              <w:jc w:val="left"/>
            </w:pPr>
            <w:r>
              <w:rPr>
                <w:rFonts w:ascii="Arial" w:hAnsi="Arial"/>
                <w:sz w:val="15"/>
              </w:rPr>
              <w:t xml:space="preserve">1,577</w:t>
            </w:r>
          </w:p>
        </w:tc>
        <w:tc>
          <w:tcPr>
            <w:tcW w:w="3673" w:type="dxa"/>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Credit losses</w:t>
            </w:r>
          </w:p>
        </w:tc>
        <w:tc>
          <w:tcPr>
            <w:tcW w:w="983" w:type="dxa"/>
          </w:tcPr>
          <w:p>
            <w:pPr>
              <w:pStyle w:val="Compact"/>
              <w:spacing w:before="0" w:after="0" w:line="240" w:lineRule="auto"/>
              <w:jc w:val="left"/>
            </w:pPr>
            <w:r>
              <w:rPr>
                <w:rFonts w:ascii="Arial" w:hAnsi="Arial"/>
                <w:sz w:val="15"/>
              </w:rPr>
              <w:t xml:space="preserve">(154)</w:t>
            </w:r>
          </w:p>
        </w:tc>
        <w:tc>
          <w:tcPr>
            <w:tcW w:w="911" w:type="dxa"/>
          </w:tcPr>
          <w:p>
            <w:pPr>
              <w:pStyle w:val="Compact"/>
              <w:spacing w:before="0" w:after="0" w:line="240" w:lineRule="auto"/>
              <w:jc w:val="left"/>
            </w:pPr>
            <w:r>
              <w:rPr>
                <w:rFonts w:ascii="Arial" w:hAnsi="Arial"/>
                <w:sz w:val="15"/>
              </w:rPr>
              <w:t xml:space="preserve">(215)</w:t>
            </w:r>
          </w:p>
        </w:tc>
        <w:tc>
          <w:tcPr>
            <w:tcW w:w="911" w:type="dxa"/>
          </w:tcPr>
          <w:p>
            <w:pPr>
              <w:pStyle w:val="Compact"/>
              <w:spacing w:before="0" w:after="0" w:line="240" w:lineRule="auto"/>
              <w:jc w:val="left"/>
            </w:pPr>
            <w:r>
              <w:rPr>
                <w:rFonts w:ascii="Arial" w:hAnsi="Arial"/>
                <w:sz w:val="15"/>
              </w:rPr>
              <w:t xml:space="preserve">(234)</w:t>
            </w:r>
          </w:p>
        </w:tc>
        <w:tc>
          <w:tcPr>
            <w:tcW w:w="911" w:type="dxa"/>
          </w:tcPr>
          <w:p>
            <w:pPr>
              <w:pStyle w:val="Compact"/>
              <w:spacing w:before="0" w:after="0" w:line="240" w:lineRule="auto"/>
              <w:jc w:val="left"/>
            </w:pPr>
            <w:r>
              <w:rPr>
                <w:rFonts w:ascii="Arial" w:hAnsi="Arial"/>
                <w:sz w:val="15"/>
              </w:rPr>
              <w:t xml:space="preserve">(243)</w:t>
            </w:r>
          </w:p>
        </w:tc>
        <w:tc>
          <w:tcPr>
            <w:tcW w:w="3673" w:type="dxa"/>
          </w:tcPr>
          <w:p>
            <w:pPr>
              <w:pStyle w:val="Compact"/>
              <w:spacing w:before="0" w:after="0" w:line="240" w:lineRule="auto"/>
              <w:jc w:val="left"/>
            </w:pPr>
            <w:r>
              <w:rPr>
                <w:rFonts w:ascii="Arial" w:hAnsi="Arial"/>
                <w:sz w:val="15"/>
              </w:rPr>
              <w:t xml:space="preserve">CoR 1.51% / 1.50% / 1.40%</w:t>
            </w:r>
          </w:p>
        </w:tc>
      </w:tr>
      <w:tr>
        <w:trPr>
          <w:cantSplit/>
        </w:trPr>
        <w:tc>
          <w:tcPr>
            <w:tcW w:w="2588" w:type="dxa"/>
          </w:tcPr>
          <w:p>
            <w:pPr>
              <w:pStyle w:val="Compact"/>
              <w:spacing w:before="0" w:after="0" w:line="240" w:lineRule="auto"/>
              <w:jc w:val="left"/>
            </w:pPr>
            <w:r>
              <w:rPr>
                <w:bCs/>
                <w:rFonts w:ascii="Arial" w:hAnsi="Arial"/>
                <w:b/>
                <w:sz w:val="15"/>
              </w:rPr>
              <w:t xml:space="preserve">PBT</w:t>
            </w:r>
          </w:p>
        </w:tc>
        <w:tc>
          <w:tcPr>
            <w:tcW w:w="983" w:type="dxa"/>
          </w:tcPr>
          <w:p>
            <w:pPr>
              <w:pStyle w:val="Compact"/>
              <w:spacing w:before="0" w:after="0" w:line="240" w:lineRule="auto"/>
              <w:jc w:val="left"/>
            </w:pPr>
            <w:r>
              <w:rPr>
                <w:rFonts w:ascii="Arial" w:hAnsi="Arial"/>
                <w:sz w:val="15"/>
              </w:rPr>
              <w:t xml:space="preserve">1,298</w:t>
            </w:r>
          </w:p>
        </w:tc>
        <w:tc>
          <w:tcPr>
            <w:tcW w:w="911" w:type="dxa"/>
          </w:tcPr>
          <w:p>
            <w:pPr>
              <w:pStyle w:val="Compact"/>
              <w:spacing w:before="0" w:after="0" w:line="240" w:lineRule="auto"/>
              <w:jc w:val="left"/>
            </w:pPr>
            <w:r>
              <w:rPr>
                <w:rFonts w:ascii="Arial" w:hAnsi="Arial"/>
                <w:sz w:val="15"/>
              </w:rPr>
              <w:t xml:space="preserve">1,097</w:t>
            </w:r>
          </w:p>
        </w:tc>
        <w:tc>
          <w:tcPr>
            <w:tcW w:w="911" w:type="dxa"/>
          </w:tcPr>
          <w:p>
            <w:pPr>
              <w:pStyle w:val="Compact"/>
              <w:spacing w:before="0" w:after="0" w:line="240" w:lineRule="auto"/>
              <w:jc w:val="left"/>
            </w:pPr>
            <w:r>
              <w:rPr>
                <w:rFonts w:ascii="Arial" w:hAnsi="Arial"/>
                <w:sz w:val="15"/>
              </w:rPr>
              <w:t xml:space="preserve">1,215</w:t>
            </w:r>
          </w:p>
        </w:tc>
        <w:tc>
          <w:tcPr>
            <w:tcW w:w="911" w:type="dxa"/>
          </w:tcPr>
          <w:p>
            <w:pPr>
              <w:pStyle w:val="Compact"/>
              <w:spacing w:before="0" w:after="0" w:line="240" w:lineRule="auto"/>
              <w:jc w:val="left"/>
            </w:pPr>
            <w:r>
              <w:rPr>
                <w:rFonts w:ascii="Arial" w:hAnsi="Arial"/>
                <w:sz w:val="15"/>
              </w:rPr>
              <w:t xml:space="preserve">1,334</w:t>
            </w:r>
          </w:p>
        </w:tc>
        <w:tc>
          <w:tcPr>
            <w:tcW w:w="3673" w:type="dxa"/>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Tax rate</w:t>
            </w:r>
          </w:p>
        </w:tc>
        <w:tc>
          <w:tcPr>
            <w:tcW w:w="983" w:type="dxa"/>
          </w:tcPr>
          <w:p>
            <w:pPr>
              <w:pStyle w:val="Compact"/>
              <w:spacing w:before="0" w:after="0" w:line="240" w:lineRule="auto"/>
              <w:jc w:val="left"/>
            </w:pPr>
            <w:r>
              <w:rPr>
                <w:rFonts w:ascii="Arial" w:hAnsi="Arial"/>
                <w:sz w:val="15"/>
              </w:rPr>
              <w:t xml:space="preserve">18.5%</w:t>
            </w:r>
          </w:p>
        </w:tc>
        <w:tc>
          <w:tcPr>
            <w:tcW w:w="911" w:type="dxa"/>
          </w:tcPr>
          <w:p>
            <w:pPr>
              <w:pStyle w:val="Compact"/>
              <w:spacing w:before="0" w:after="0" w:line="240" w:lineRule="auto"/>
              <w:jc w:val="left"/>
            </w:pPr>
            <w:r>
              <w:rPr>
                <w:rFonts w:ascii="Arial" w:hAnsi="Arial"/>
                <w:sz w:val="15"/>
              </w:rPr>
              <w:t xml:space="preserve">18.0%</w:t>
            </w:r>
          </w:p>
        </w:tc>
        <w:tc>
          <w:tcPr>
            <w:tcW w:w="911" w:type="dxa"/>
          </w:tcPr>
          <w:p>
            <w:pPr>
              <w:pStyle w:val="Compact"/>
              <w:spacing w:before="0" w:after="0" w:line="240" w:lineRule="auto"/>
              <w:jc w:val="left"/>
            </w:pPr>
            <w:r>
              <w:rPr>
                <w:rFonts w:ascii="Arial" w:hAnsi="Arial"/>
                <w:sz w:val="15"/>
              </w:rPr>
              <w:t xml:space="preserve">19.0%</w:t>
            </w:r>
          </w:p>
        </w:tc>
        <w:tc>
          <w:tcPr>
            <w:tcW w:w="911" w:type="dxa"/>
          </w:tcPr>
          <w:p>
            <w:pPr>
              <w:pStyle w:val="Compact"/>
              <w:spacing w:before="0" w:after="0" w:line="240" w:lineRule="auto"/>
              <w:jc w:val="left"/>
            </w:pPr>
            <w:r>
              <w:rPr>
                <w:rFonts w:ascii="Arial" w:hAnsi="Arial"/>
                <w:sz w:val="15"/>
              </w:rPr>
              <w:t xml:space="preserve">19.0%</w:t>
            </w:r>
          </w:p>
        </w:tc>
        <w:tc>
          <w:tcPr>
            <w:tcW w:w="3673" w:type="dxa"/>
          </w:tcPr>
          <w:p>
            <w:pPr>
              <w:pStyle w:val="Compact"/>
              <w:spacing w:before="0" w:after="0" w:line="240" w:lineRule="auto"/>
              <w:jc w:val="left"/>
            </w:pPr>
            <w:r>
              <w:rPr>
                <w:rFonts w:ascii="Arial" w:hAnsi="Arial"/>
                <w:sz w:val="15"/>
              </w:rPr>
              <w:t xml:space="preserve">CIT 25% with exempt government-securities income and business-loan carve-out</w:t>
            </w:r>
          </w:p>
        </w:tc>
      </w:tr>
      <w:tr>
        <w:trPr>
          <w:cantSplit/>
        </w:trPr>
        <w:tc>
          <w:tcPr>
            <w:tcW w:w="2588" w:type="dxa"/>
            <w:shd w:val="clear" w:color="auto" w:fill="F2F4F8"/>
          </w:tcPr>
          <w:p>
            <w:pPr>
              <w:pStyle w:val="Compact"/>
              <w:spacing w:before="0" w:after="0" w:line="240" w:lineRule="auto"/>
              <w:jc w:val="left"/>
            </w:pPr>
            <w:r>
              <w:rPr>
                <w:bCs/>
                <w:rFonts w:ascii="Arial" w:hAnsi="Arial"/>
                <w:b/>
                <w:sz w:val="15"/>
              </w:rPr>
              <w:t xml:space="preserve">Net income</w:t>
            </w:r>
          </w:p>
        </w:tc>
        <w:tc>
          <w:tcPr>
            <w:tcW w:w="983" w:type="dxa"/>
            <w:shd w:val="clear" w:color="auto" w:fill="F2F4F8"/>
          </w:tcPr>
          <w:p>
            <w:pPr>
              <w:pStyle w:val="Compact"/>
              <w:spacing w:before="0" w:after="0" w:line="240" w:lineRule="auto"/>
              <w:jc w:val="left"/>
            </w:pPr>
            <w:r>
              <w:rPr>
                <w:rFonts w:ascii="Arial" w:hAnsi="Arial"/>
                <w:sz w:val="15"/>
              </w:rPr>
              <w:t xml:space="preserve">1,058.4</w:t>
            </w:r>
          </w:p>
        </w:tc>
        <w:tc>
          <w:tcPr>
            <w:tcW w:w="911" w:type="dxa"/>
            <w:shd w:val="clear" w:color="auto" w:fill="F2F4F8"/>
          </w:tcPr>
          <w:p>
            <w:pPr>
              <w:pStyle w:val="Compact"/>
              <w:spacing w:before="0" w:after="0" w:line="240" w:lineRule="auto"/>
              <w:jc w:val="left"/>
            </w:pPr>
            <w:r>
              <w:rPr>
                <w:bCs/>
                <w:rFonts w:ascii="Arial" w:hAnsi="Arial"/>
                <w:b/>
                <w:sz w:val="15"/>
              </w:rPr>
              <w:t xml:space="preserve">900</w:t>
            </w:r>
          </w:p>
        </w:tc>
        <w:tc>
          <w:tcPr>
            <w:tcW w:w="911" w:type="dxa"/>
            <w:shd w:val="clear" w:color="auto" w:fill="F2F4F8"/>
          </w:tcPr>
          <w:p>
            <w:pPr>
              <w:pStyle w:val="Compact"/>
              <w:spacing w:before="0" w:after="0" w:line="240" w:lineRule="auto"/>
              <w:jc w:val="left"/>
            </w:pPr>
            <w:r>
              <w:rPr>
                <w:bCs/>
                <w:rFonts w:ascii="Arial" w:hAnsi="Arial"/>
                <w:b/>
                <w:sz w:val="15"/>
              </w:rPr>
              <w:t xml:space="preserve">984</w:t>
            </w:r>
          </w:p>
        </w:tc>
        <w:tc>
          <w:tcPr>
            <w:tcW w:w="911" w:type="dxa"/>
            <w:shd w:val="clear" w:color="auto" w:fill="F2F4F8"/>
          </w:tcPr>
          <w:p>
            <w:pPr>
              <w:pStyle w:val="Compact"/>
              <w:spacing w:before="0" w:after="0" w:line="240" w:lineRule="auto"/>
              <w:jc w:val="left"/>
            </w:pPr>
            <w:r>
              <w:rPr>
                <w:bCs/>
                <w:rFonts w:ascii="Arial" w:hAnsi="Arial"/>
                <w:b/>
                <w:sz w:val="15"/>
              </w:rPr>
              <w:t xml:space="preserve">1,081</w:t>
            </w:r>
          </w:p>
        </w:tc>
        <w:tc>
          <w:tcPr>
            <w:tcW w:w="3673" w:type="dxa"/>
            <w:shd w:val="clear" w:color="auto" w:fill="F2F4F8"/>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Shares (m, average)</w:t>
            </w:r>
          </w:p>
        </w:tc>
        <w:tc>
          <w:tcPr>
            <w:tcW w:w="983" w:type="dxa"/>
          </w:tcPr>
          <w:p>
            <w:pPr>
              <w:pStyle w:val="Compact"/>
              <w:spacing w:before="0" w:after="0" w:line="240" w:lineRule="auto"/>
              <w:jc w:val="left"/>
            </w:pPr>
            <w:r>
              <w:rPr>
                <w:rFonts w:ascii="Arial" w:hAnsi="Arial"/>
                <w:sz w:val="15"/>
              </w:rPr>
              <w:t xml:space="preserve">10,900</w:t>
            </w:r>
          </w:p>
        </w:tc>
        <w:tc>
          <w:tcPr>
            <w:tcW w:w="911" w:type="dxa"/>
          </w:tcPr>
          <w:p>
            <w:pPr>
              <w:pStyle w:val="Compact"/>
              <w:spacing w:before="0" w:after="0" w:line="240" w:lineRule="auto"/>
              <w:jc w:val="left"/>
            </w:pPr>
            <w:r>
              <w:rPr>
                <w:rFonts w:ascii="Arial" w:hAnsi="Arial"/>
                <w:sz w:val="15"/>
              </w:rPr>
              <w:t xml:space="preserve">10,909</w:t>
            </w:r>
          </w:p>
        </w:tc>
        <w:tc>
          <w:tcPr>
            <w:tcW w:w="911" w:type="dxa"/>
          </w:tcPr>
          <w:p>
            <w:pPr>
              <w:pStyle w:val="Compact"/>
              <w:spacing w:before="0" w:after="0" w:line="240" w:lineRule="auto"/>
              <w:jc w:val="left"/>
            </w:pPr>
            <w:r>
              <w:rPr>
                <w:rFonts w:ascii="Arial" w:hAnsi="Arial"/>
                <w:sz w:val="15"/>
              </w:rPr>
              <w:t xml:space="preserve">10,909</w:t>
            </w:r>
          </w:p>
        </w:tc>
        <w:tc>
          <w:tcPr>
            <w:tcW w:w="911" w:type="dxa"/>
          </w:tcPr>
          <w:p>
            <w:pPr>
              <w:pStyle w:val="Compact"/>
              <w:spacing w:before="0" w:after="0" w:line="240" w:lineRule="auto"/>
              <w:jc w:val="left"/>
            </w:pPr>
            <w:r>
              <w:rPr>
                <w:rFonts w:ascii="Arial" w:hAnsi="Arial"/>
                <w:sz w:val="15"/>
              </w:rPr>
              <w:t xml:space="preserve">10,909</w:t>
            </w:r>
          </w:p>
        </w:tc>
        <w:tc>
          <w:tcPr>
            <w:tcW w:w="3673" w:type="dxa"/>
          </w:tcPr>
          <w:p>
            <w:pPr>
              <w:pStyle w:val="Compact"/>
              <w:spacing w:before="0" w:after="0" w:line="240" w:lineRule="auto"/>
              <w:jc w:val="left"/>
            </w:pPr>
            <w:r>
              <w:rPr>
                <w:rFonts w:ascii="Arial" w:hAnsi="Arial"/>
                <w:sz w:val="15"/>
              </w:rPr>
              <w:t xml:space="preserve">Buybacks (~US$50m/yr) offset by staff allotments (≤1%)</w:t>
            </w:r>
          </w:p>
        </w:tc>
      </w:tr>
      <w:tr>
        <w:trPr>
          <w:cantSplit/>
        </w:trPr>
        <w:tc>
          <w:tcPr>
            <w:tcW w:w="2588" w:type="dxa"/>
          </w:tcPr>
          <w:p>
            <w:pPr>
              <w:pStyle w:val="Compact"/>
              <w:spacing w:before="0" w:after="0" w:line="240" w:lineRule="auto"/>
              <w:jc w:val="left"/>
            </w:pPr>
            <w:r>
              <w:rPr>
                <w:bCs/>
                <w:rFonts w:ascii="Arial" w:hAnsi="Arial"/>
                <w:b/>
                <w:sz w:val="15"/>
              </w:rPr>
              <w:t xml:space="preserve">EPS (KZT)</w:t>
            </w:r>
          </w:p>
        </w:tc>
        <w:tc>
          <w:tcPr>
            <w:tcW w:w="983" w:type="dxa"/>
          </w:tcPr>
          <w:p>
            <w:pPr>
              <w:pStyle w:val="Compact"/>
              <w:spacing w:before="0" w:after="0" w:line="240" w:lineRule="auto"/>
              <w:jc w:val="left"/>
            </w:pPr>
            <w:r>
              <w:rPr>
                <w:rFonts w:ascii="Arial" w:hAnsi="Arial"/>
                <w:sz w:val="15"/>
              </w:rPr>
              <w:t xml:space="preserve">97.1</w:t>
            </w:r>
          </w:p>
        </w:tc>
        <w:tc>
          <w:tcPr>
            <w:tcW w:w="911" w:type="dxa"/>
          </w:tcPr>
          <w:p>
            <w:pPr>
              <w:pStyle w:val="Compact"/>
              <w:spacing w:before="0" w:after="0" w:line="240" w:lineRule="auto"/>
              <w:jc w:val="left"/>
            </w:pPr>
            <w:r>
              <w:rPr>
                <w:bCs/>
                <w:rFonts w:ascii="Arial" w:hAnsi="Arial"/>
                <w:b/>
                <w:sz w:val="15"/>
              </w:rPr>
              <w:t xml:space="preserve">82.5</w:t>
            </w:r>
          </w:p>
        </w:tc>
        <w:tc>
          <w:tcPr>
            <w:tcW w:w="911" w:type="dxa"/>
          </w:tcPr>
          <w:p>
            <w:pPr>
              <w:pStyle w:val="Compact"/>
              <w:spacing w:before="0" w:after="0" w:line="240" w:lineRule="auto"/>
              <w:jc w:val="left"/>
            </w:pPr>
            <w:r>
              <w:rPr>
                <w:bCs/>
                <w:rFonts w:ascii="Arial" w:hAnsi="Arial"/>
                <w:b/>
                <w:sz w:val="15"/>
              </w:rPr>
              <w:t xml:space="preserve">90.2</w:t>
            </w:r>
          </w:p>
        </w:tc>
        <w:tc>
          <w:tcPr>
            <w:tcW w:w="911" w:type="dxa"/>
          </w:tcPr>
          <w:p>
            <w:pPr>
              <w:pStyle w:val="Compact"/>
              <w:spacing w:before="0" w:after="0" w:line="240" w:lineRule="auto"/>
              <w:jc w:val="left"/>
            </w:pPr>
            <w:r>
              <w:rPr>
                <w:bCs/>
                <w:rFonts w:ascii="Arial" w:hAnsi="Arial"/>
                <w:b/>
                <w:sz w:val="15"/>
              </w:rPr>
              <w:t xml:space="preserve">99.0</w:t>
            </w:r>
          </w:p>
        </w:tc>
        <w:tc>
          <w:tcPr>
            <w:tcW w:w="3673" w:type="dxa"/>
          </w:tcPr>
          <w:p>
            <w:pPr>
              <w:pStyle w:val="Compact"/>
              <w:spacing w:before="0" w:after="0" w:line="240" w:lineRule="auto"/>
              <w:jc w:val="left"/>
            </w:pPr>
            <w:r>
              <w:rPr>
                <w:rFonts w:ascii="Arial" w:hAnsi="Arial"/>
                <w:sz w:val="15"/>
              </w:rPr>
              <w:t xml:space="preserve">−15% / +9% / +10%</w:t>
            </w:r>
          </w:p>
        </w:tc>
      </w:tr>
      <w:tr>
        <w:trPr>
          <w:cantSplit/>
        </w:trPr>
        <w:tc>
          <w:tcPr>
            <w:tcW w:w="2588" w:type="dxa"/>
          </w:tcPr>
          <w:p>
            <w:pPr>
              <w:pStyle w:val="Compact"/>
              <w:spacing w:before="0" w:after="0" w:line="240" w:lineRule="auto"/>
              <w:jc w:val="left"/>
            </w:pPr>
            <w:r>
              <w:rPr>
                <w:rFonts w:ascii="Arial" w:hAnsi="Arial"/>
                <w:sz w:val="15"/>
              </w:rPr>
              <w:t xml:space="preserve">EPS (US$/GDR)</w:t>
            </w:r>
          </w:p>
        </w:tc>
        <w:tc>
          <w:tcPr>
            <w:tcW w:w="983" w:type="dxa"/>
          </w:tcPr>
          <w:p>
            <w:pPr>
              <w:pStyle w:val="Compact"/>
              <w:spacing w:before="0" w:after="0" w:line="240" w:lineRule="auto"/>
              <w:jc w:val="left"/>
            </w:pPr>
            <w:r>
              <w:rPr>
                <w:rFonts w:ascii="Arial" w:hAnsi="Arial"/>
                <w:sz w:val="15"/>
              </w:rPr>
              <w:t xml:space="preserve">7.66</w:t>
            </w:r>
          </w:p>
        </w:tc>
        <w:tc>
          <w:tcPr>
            <w:tcW w:w="911" w:type="dxa"/>
          </w:tcPr>
          <w:p>
            <w:pPr>
              <w:pStyle w:val="Compact"/>
              <w:spacing w:before="0" w:after="0" w:line="240" w:lineRule="auto"/>
              <w:jc w:val="left"/>
            </w:pPr>
            <w:r>
              <w:rPr>
                <w:rFonts w:ascii="Arial" w:hAnsi="Arial"/>
                <w:sz w:val="15"/>
              </w:rPr>
              <w:t xml:space="preserve">7.17</w:t>
            </w:r>
          </w:p>
        </w:tc>
        <w:tc>
          <w:tcPr>
            <w:tcW w:w="911" w:type="dxa"/>
          </w:tcPr>
          <w:p>
            <w:pPr>
              <w:pStyle w:val="Compact"/>
              <w:spacing w:before="0" w:after="0" w:line="240" w:lineRule="auto"/>
              <w:jc w:val="left"/>
            </w:pPr>
            <w:r>
              <w:rPr>
                <w:rFonts w:ascii="Arial" w:hAnsi="Arial"/>
                <w:sz w:val="15"/>
              </w:rPr>
              <w:t xml:space="preserve">7.68</w:t>
            </w:r>
          </w:p>
        </w:tc>
        <w:tc>
          <w:tcPr>
            <w:tcW w:w="911" w:type="dxa"/>
          </w:tcPr>
          <w:p>
            <w:pPr>
              <w:pStyle w:val="Compact"/>
              <w:spacing w:before="0" w:after="0" w:line="240" w:lineRule="auto"/>
              <w:jc w:val="left"/>
            </w:pPr>
            <w:r>
              <w:rPr>
                <w:rFonts w:ascii="Arial" w:hAnsi="Arial"/>
                <w:sz w:val="15"/>
              </w:rPr>
              <w:t xml:space="preserve">8.08</w:t>
            </w:r>
          </w:p>
        </w:tc>
        <w:tc>
          <w:tcPr>
            <w:tcW w:w="3673" w:type="dxa"/>
          </w:tcPr>
          <w:p>
            <w:pPr>
              <w:pStyle w:val="Compact"/>
              <w:spacing w:before="0" w:after="0" w:line="240" w:lineRule="auto"/>
              <w:jc w:val="left"/>
            </w:pPr>
            <w:r>
              <w:rPr>
                <w:rFonts w:ascii="Arial" w:hAnsi="Arial"/>
                <w:sz w:val="15"/>
              </w:rPr>
              <w:t xml:space="preserve">KZT460 / 470 / 490 per US$</w:t>
            </w:r>
          </w:p>
        </w:tc>
      </w:tr>
      <w:tr>
        <w:trPr>
          <w:cantSplit/>
        </w:trPr>
        <w:tc>
          <w:tcPr>
            <w:tcW w:w="2588" w:type="dxa"/>
          </w:tcPr>
          <w:p>
            <w:pPr>
              <w:pStyle w:val="Compact"/>
              <w:spacing w:before="0" w:after="0" w:line="240" w:lineRule="auto"/>
              <w:jc w:val="left"/>
            </w:pPr>
            <w:r>
              <w:rPr>
                <w:rFonts w:ascii="Arial" w:hAnsi="Arial"/>
                <w:sz w:val="15"/>
              </w:rPr>
              <w:t xml:space="preserve">DPS (KZT)</w:t>
            </w:r>
          </w:p>
        </w:tc>
        <w:tc>
          <w:tcPr>
            <w:tcW w:w="983" w:type="dxa"/>
          </w:tcPr>
          <w:p>
            <w:pPr>
              <w:pStyle w:val="Compact"/>
              <w:spacing w:before="0" w:after="0" w:line="240" w:lineRule="auto"/>
              <w:jc w:val="left"/>
            </w:pPr>
            <w:r>
              <w:rPr>
                <w:rFonts w:ascii="Arial" w:hAnsi="Arial"/>
                <w:sz w:val="15"/>
              </w:rPr>
              <w:t xml:space="preserve">58.19</w:t>
            </w:r>
          </w:p>
        </w:tc>
        <w:tc>
          <w:tcPr>
            <w:tcW w:w="911" w:type="dxa"/>
          </w:tcPr>
          <w:p>
            <w:pPr>
              <w:pStyle w:val="Compact"/>
              <w:spacing w:before="0" w:after="0" w:line="240" w:lineRule="auto"/>
              <w:jc w:val="left"/>
            </w:pPr>
            <w:r>
              <w:rPr>
                <w:rFonts w:ascii="Arial" w:hAnsi="Arial"/>
                <w:sz w:val="15"/>
              </w:rPr>
              <w:t xml:space="preserve">49.5</w:t>
            </w:r>
          </w:p>
        </w:tc>
        <w:tc>
          <w:tcPr>
            <w:tcW w:w="911" w:type="dxa"/>
          </w:tcPr>
          <w:p>
            <w:pPr>
              <w:pStyle w:val="Compact"/>
              <w:spacing w:before="0" w:after="0" w:line="240" w:lineRule="auto"/>
              <w:jc w:val="left"/>
            </w:pPr>
            <w:r>
              <w:rPr>
                <w:rFonts w:ascii="Arial" w:hAnsi="Arial"/>
                <w:sz w:val="15"/>
              </w:rPr>
              <w:t xml:space="preserve">54.1</w:t>
            </w:r>
          </w:p>
        </w:tc>
        <w:tc>
          <w:tcPr>
            <w:tcW w:w="911" w:type="dxa"/>
          </w:tcPr>
          <w:p>
            <w:pPr>
              <w:pStyle w:val="Compact"/>
              <w:spacing w:before="0" w:after="0" w:line="240" w:lineRule="auto"/>
              <w:jc w:val="left"/>
            </w:pPr>
            <w:r>
              <w:rPr>
                <w:rFonts w:ascii="Arial" w:hAnsi="Arial"/>
                <w:sz w:val="15"/>
              </w:rPr>
              <w:t xml:space="preserve">59.4</w:t>
            </w:r>
          </w:p>
        </w:tc>
        <w:tc>
          <w:tcPr>
            <w:tcW w:w="3673" w:type="dxa"/>
          </w:tcPr>
          <w:p>
            <w:pPr>
              <w:pStyle w:val="Compact"/>
              <w:spacing w:before="0" w:after="0" w:line="240" w:lineRule="auto"/>
              <w:jc w:val="left"/>
            </w:pPr>
            <w:r>
              <w:rPr>
                <w:rFonts w:ascii="Arial" w:hAnsi="Arial"/>
                <w:sz w:val="15"/>
              </w:rPr>
              <w:t xml:space="preserve">60% payout</w:t>
            </w:r>
          </w:p>
        </w:tc>
      </w:tr>
      <w:tr>
        <w:trPr>
          <w:cantSplit/>
        </w:trPr>
        <w:tc>
          <w:tcPr>
            <w:tcW w:w="2588" w:type="dxa"/>
          </w:tcPr>
          <w:p>
            <w:pPr>
              <w:pStyle w:val="Compact"/>
              <w:spacing w:before="0" w:after="0" w:line="240" w:lineRule="auto"/>
              <w:jc w:val="left"/>
            </w:pPr>
            <w:r>
              <w:rPr>
                <w:rFonts w:ascii="Arial" w:hAnsi="Arial"/>
                <w:sz w:val="15"/>
              </w:rPr>
              <w:t xml:space="preserve">BVPS (KZT, year-end)</w:t>
            </w:r>
          </w:p>
        </w:tc>
        <w:tc>
          <w:tcPr>
            <w:tcW w:w="983" w:type="dxa"/>
          </w:tcPr>
          <w:p>
            <w:pPr>
              <w:pStyle w:val="Compact"/>
              <w:spacing w:before="0" w:after="0" w:line="240" w:lineRule="auto"/>
              <w:jc w:val="left"/>
            </w:pPr>
            <w:r>
              <w:rPr>
                <w:rFonts w:ascii="Arial" w:hAnsi="Arial"/>
                <w:sz w:val="15"/>
              </w:rPr>
              <w:t xml:space="preserve">321</w:t>
            </w:r>
          </w:p>
        </w:tc>
        <w:tc>
          <w:tcPr>
            <w:tcW w:w="911" w:type="dxa"/>
          </w:tcPr>
          <w:p>
            <w:pPr>
              <w:pStyle w:val="Compact"/>
              <w:spacing w:before="0" w:after="0" w:line="240" w:lineRule="auto"/>
              <w:jc w:val="left"/>
            </w:pPr>
            <w:r>
              <w:rPr>
                <w:rFonts w:ascii="Arial" w:hAnsi="Arial"/>
                <w:sz w:val="15"/>
              </w:rPr>
              <w:t xml:space="preserve">347</w:t>
            </w:r>
          </w:p>
        </w:tc>
        <w:tc>
          <w:tcPr>
            <w:tcW w:w="911" w:type="dxa"/>
          </w:tcPr>
          <w:p>
            <w:pPr>
              <w:pStyle w:val="Compact"/>
              <w:spacing w:before="0" w:after="0" w:line="240" w:lineRule="auto"/>
              <w:jc w:val="left"/>
            </w:pPr>
            <w:r>
              <w:rPr>
                <w:rFonts w:ascii="Arial" w:hAnsi="Arial"/>
                <w:sz w:val="15"/>
              </w:rPr>
              <w:t xml:space="preserve">388</w:t>
            </w:r>
          </w:p>
        </w:tc>
        <w:tc>
          <w:tcPr>
            <w:tcW w:w="911" w:type="dxa"/>
          </w:tcPr>
          <w:p>
            <w:pPr>
              <w:pStyle w:val="Compact"/>
              <w:spacing w:before="0" w:after="0" w:line="240" w:lineRule="auto"/>
              <w:jc w:val="left"/>
            </w:pPr>
            <w:r>
              <w:rPr>
                <w:rFonts w:ascii="Arial" w:hAnsi="Arial"/>
                <w:sz w:val="15"/>
              </w:rPr>
              <w:t xml:space="preserve">433</w:t>
            </w:r>
          </w:p>
        </w:tc>
        <w:tc>
          <w:tcPr>
            <w:tcW w:w="3673" w:type="dxa"/>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ROAE</w:t>
            </w:r>
          </w:p>
        </w:tc>
        <w:tc>
          <w:tcPr>
            <w:tcW w:w="983" w:type="dxa"/>
          </w:tcPr>
          <w:p>
            <w:pPr>
              <w:pStyle w:val="Compact"/>
              <w:spacing w:before="0" w:after="0" w:line="240" w:lineRule="auto"/>
              <w:jc w:val="left"/>
            </w:pPr>
            <w:r>
              <w:rPr>
                <w:rFonts w:ascii="Arial" w:hAnsi="Arial"/>
                <w:sz w:val="15"/>
              </w:rPr>
              <w:t xml:space="preserve">32.6%</w:t>
            </w:r>
          </w:p>
        </w:tc>
        <w:tc>
          <w:tcPr>
            <w:tcW w:w="911" w:type="dxa"/>
          </w:tcPr>
          <w:p>
            <w:pPr>
              <w:pStyle w:val="Compact"/>
              <w:spacing w:before="0" w:after="0" w:line="240" w:lineRule="auto"/>
              <w:jc w:val="left"/>
            </w:pPr>
            <w:r>
              <w:rPr>
                <w:rFonts w:ascii="Arial" w:hAnsi="Arial"/>
                <w:sz w:val="15"/>
              </w:rPr>
              <w:t xml:space="preserve">24.7%</w:t>
            </w:r>
          </w:p>
        </w:tc>
        <w:tc>
          <w:tcPr>
            <w:tcW w:w="911" w:type="dxa"/>
          </w:tcPr>
          <w:p>
            <w:pPr>
              <w:pStyle w:val="Compact"/>
              <w:spacing w:before="0" w:after="0" w:line="240" w:lineRule="auto"/>
              <w:jc w:val="left"/>
            </w:pPr>
            <w:r>
              <w:rPr>
                <w:rFonts w:ascii="Arial" w:hAnsi="Arial"/>
                <w:sz w:val="15"/>
              </w:rPr>
              <w:t xml:space="preserve">24.5%</w:t>
            </w:r>
          </w:p>
        </w:tc>
        <w:tc>
          <w:tcPr>
            <w:tcW w:w="911" w:type="dxa"/>
          </w:tcPr>
          <w:p>
            <w:pPr>
              <w:pStyle w:val="Compact"/>
              <w:spacing w:before="0" w:after="0" w:line="240" w:lineRule="auto"/>
              <w:jc w:val="left"/>
            </w:pPr>
            <w:r>
              <w:rPr>
                <w:rFonts w:ascii="Arial" w:hAnsi="Arial"/>
                <w:sz w:val="15"/>
              </w:rPr>
              <w:t xml:space="preserve">24.1%</w:t>
            </w:r>
          </w:p>
        </w:tc>
        <w:tc>
          <w:tcPr>
            <w:tcW w:w="3673" w:type="dxa"/>
          </w:tcPr>
          <w:p>
            <w:pPr>
              <w:pStyle w:val="Compact"/>
              <w:spacing w:before="0" w:after="0" w:line="240" w:lineRule="auto"/>
            </w:pPr>
          </w:p>
        </w:tc>
      </w:tr>
      <w:tr>
        <w:trPr>
          <w:cantSplit/>
        </w:trPr>
        <w:tc>
          <w:tcPr>
            <w:tcW w:w="2588" w:type="dxa"/>
          </w:tcPr>
          <w:p>
            <w:pPr>
              <w:pStyle w:val="Compact"/>
              <w:spacing w:before="0" w:after="0" w:line="240" w:lineRule="auto"/>
              <w:jc w:val="left"/>
            </w:pPr>
            <w:r>
              <w:rPr>
                <w:rFonts w:ascii="Arial" w:hAnsi="Arial"/>
                <w:sz w:val="15"/>
              </w:rPr>
              <w:t xml:space="preserve">Gross loans (KZT trn)</w:t>
            </w:r>
          </w:p>
        </w:tc>
        <w:tc>
          <w:tcPr>
            <w:tcW w:w="983" w:type="dxa"/>
          </w:tcPr>
          <w:p>
            <w:pPr>
              <w:pStyle w:val="Compact"/>
              <w:spacing w:before="0" w:after="0" w:line="240" w:lineRule="auto"/>
              <w:jc w:val="left"/>
            </w:pPr>
            <w:r>
              <w:rPr>
                <w:rFonts w:ascii="Arial" w:hAnsi="Arial"/>
                <w:sz w:val="15"/>
              </w:rPr>
              <w:t xml:space="preserve">13.71</w:t>
            </w:r>
          </w:p>
        </w:tc>
        <w:tc>
          <w:tcPr>
            <w:tcW w:w="911" w:type="dxa"/>
          </w:tcPr>
          <w:p>
            <w:pPr>
              <w:pStyle w:val="Compact"/>
              <w:spacing w:before="0" w:after="0" w:line="240" w:lineRule="auto"/>
              <w:jc w:val="left"/>
            </w:pPr>
            <w:r>
              <w:rPr>
                <w:rFonts w:ascii="Arial" w:hAnsi="Arial"/>
                <w:sz w:val="15"/>
              </w:rPr>
              <w:t xml:space="preserve">14.81</w:t>
            </w:r>
          </w:p>
        </w:tc>
        <w:tc>
          <w:tcPr>
            <w:tcW w:w="911" w:type="dxa"/>
          </w:tcPr>
          <w:p>
            <w:pPr>
              <w:pStyle w:val="Compact"/>
              <w:spacing w:before="0" w:after="0" w:line="240" w:lineRule="auto"/>
              <w:jc w:val="left"/>
            </w:pPr>
            <w:r>
              <w:rPr>
                <w:rFonts w:ascii="Arial" w:hAnsi="Arial"/>
                <w:sz w:val="15"/>
              </w:rPr>
              <w:t xml:space="preserve">16.44</w:t>
            </w:r>
          </w:p>
        </w:tc>
        <w:tc>
          <w:tcPr>
            <w:tcW w:w="911" w:type="dxa"/>
          </w:tcPr>
          <w:p>
            <w:pPr>
              <w:pStyle w:val="Compact"/>
              <w:spacing w:before="0" w:after="0" w:line="240" w:lineRule="auto"/>
              <w:jc w:val="left"/>
            </w:pPr>
            <w:r>
              <w:rPr>
                <w:rFonts w:ascii="Arial" w:hAnsi="Arial"/>
                <w:sz w:val="15"/>
              </w:rPr>
              <w:t xml:space="preserve">18.25</w:t>
            </w:r>
          </w:p>
        </w:tc>
        <w:tc>
          <w:tcPr>
            <w:tcW w:w="3673" w:type="dxa"/>
          </w:tcPr>
          <w:p>
            <w:pPr>
              <w:pStyle w:val="Compact"/>
              <w:spacing w:before="0" w:after="0" w:line="240" w:lineRule="auto"/>
              <w:jc w:val="left"/>
            </w:pPr>
            <w:r>
              <w:rPr>
                <w:rFonts w:ascii="Arial" w:hAnsi="Arial"/>
                <w:sz w:val="15"/>
              </w:rPr>
              <w:t xml:space="preserve">+8% / +11% / +11%</w:t>
            </w:r>
          </w:p>
        </w:tc>
      </w:tr>
    </w:tbl>
    <w:p>
      <w:pPr>
        <w:pStyle w:val="BodyText"/>
      </w:pPr>
      <w:r>
        <w:rPr>
          <w:bCs/>
          <w:b/>
        </w:rPr>
        <w:t xml:space="preserve">How we get there:</w:t>
      </w:r>
    </w:p>
    <w:p>
      <w:pPr>
        <w:numPr>
          <w:ilvl w:val="0"/>
          <w:numId w:val="1057"/>
        </w:numPr>
        <w:pStyle w:val="Compact"/>
      </w:pPr>
      <w:r>
        <w:rPr>
          <w:bCs/>
          <w:b/>
        </w:rPr>
        <w:t xml:space="preserve">Industry growth and market share.</w:t>
      </w:r>
    </w:p>
    <w:p>
      <w:pPr>
        <w:numPr>
          <w:ilvl w:val="1"/>
          <w:numId w:val="1058"/>
        </w:numPr>
        <w:pStyle w:val="Compact"/>
      </w:pPr>
      <w:r>
        <w:t xml:space="preserve">Sector loans grew 19% in 2025 and are slowing to high single digits in 2026.</w:t>
      </w:r>
    </w:p>
    <w:p>
      <w:pPr>
        <w:numPr>
          <w:ilvl w:val="1"/>
          <w:numId w:val="1058"/>
        </w:numPr>
        <w:pStyle w:val="Compact"/>
      </w:pPr>
      <w:r>
        <w:t xml:space="preserve">We assume Halyk grows roughly in line with the system in corporate and SME, and slightly below in retail. Its retail share was 17.8%, well below its 28% asset share, and stays flat.</w:t>
      </w:r>
    </w:p>
    <w:p>
      <w:pPr>
        <w:numPr>
          <w:ilvl w:val="1"/>
          <w:numId w:val="1058"/>
        </w:numPr>
        <w:pStyle w:val="Compact"/>
      </w:pPr>
      <w:r>
        <w:t xml:space="preserve">Share gains come from SME (Damu programmes, Onlinebank) and from weaker MFOs and small banks.</w:t>
      </w:r>
    </w:p>
    <w:p>
      <w:pPr>
        <w:numPr>
          <w:ilvl w:val="0"/>
          <w:numId w:val="1057"/>
        </w:numPr>
        <w:pStyle w:val="Compact"/>
      </w:pPr>
      <w:r>
        <w:rPr>
          <w:bCs/>
          <w:b/>
        </w:rPr>
        <w:t xml:space="preserve">Price.</w:t>
      </w:r>
    </w:p>
    <w:p>
      <w:pPr>
        <w:numPr>
          <w:ilvl w:val="1"/>
          <w:numId w:val="1059"/>
        </w:numPr>
        <w:pStyle w:val="Compact"/>
      </w:pPr>
      <w:r>
        <w:t xml:space="preserve">Loan yields fall with the base rate (225bp of cuts already, and we assume a further ~150bp in 2027).</w:t>
      </w:r>
    </w:p>
    <w:p>
      <w:pPr>
        <w:numPr>
          <w:ilvl w:val="1"/>
          <w:numId w:val="1059"/>
        </w:numPr>
        <w:pStyle w:val="Compact"/>
      </w:pPr>
      <w:r>
        <w:t xml:space="preserve">Deposit costs lag by 2–3 quarters, so NIM troughs in 2027 at ~6.5% before stabilising.</w:t>
      </w:r>
    </w:p>
    <w:p>
      <w:pPr>
        <w:numPr>
          <w:ilvl w:val="1"/>
          <w:numId w:val="1059"/>
        </w:numPr>
        <w:pStyle w:val="Compact"/>
      </w:pPr>
      <w:r>
        <w:t xml:space="preserve">Each 10bp of NIM is worth ~KZT20bn of pre-tax income.</w:t>
      </w:r>
    </w:p>
    <w:p>
      <w:pPr>
        <w:numPr>
          <w:ilvl w:val="0"/>
          <w:numId w:val="1057"/>
        </w:numPr>
        <w:pStyle w:val="Compact"/>
      </w:pPr>
      <w:r>
        <w:rPr>
          <w:bCs/>
          <w:b/>
        </w:rPr>
        <w:t xml:space="preserve">Cost pressures.</w:t>
      </w:r>
      <w:r>
        <w:t xml:space="preserve"> </w:t>
      </w:r>
      <w:r>
        <w:t xml:space="preserve">Wage indexation (~10%), IT and VAT on purchases keep opex growth at 6–9%. CIR stays at ~19.7%, at the top of guidance.</w:t>
      </w:r>
    </w:p>
    <w:p>
      <w:pPr>
        <w:numPr>
          <w:ilvl w:val="0"/>
          <w:numId w:val="1057"/>
        </w:numPr>
        <w:pStyle w:val="Compact"/>
      </w:pPr>
      <w:r>
        <w:rPr>
          <w:bCs/>
          <w:b/>
        </w:rPr>
        <w:t xml:space="preserve">Operating leverage.</w:t>
      </w:r>
      <w:r>
        <w:t xml:space="preserve"> </w:t>
      </w:r>
      <w:r>
        <w:t xml:space="preserve">It is limited: revenue grows 10% in 2027 vs opex 9%, so there is no repeat of the 2021–24 CIR compression.</w:t>
      </w:r>
    </w:p>
    <w:p>
      <w:pPr>
        <w:numPr>
          <w:ilvl w:val="0"/>
          <w:numId w:val="1057"/>
        </w:numPr>
        <w:pStyle w:val="Compact"/>
      </w:pPr>
      <w:r>
        <w:rPr>
          <w:bCs/>
          <w:b/>
        </w:rPr>
        <w:t xml:space="preserve">Credit cost.</w:t>
      </w:r>
      <w:r>
        <w:t xml:space="preserve"> </w:t>
      </w:r>
      <w:r>
        <w:t xml:space="preserve">It peaks at ~1.5% in 2026–27 as retail NPLs are provisioned or sold, then eases with lower rates.</w:t>
      </w:r>
    </w:p>
    <w:p>
      <w:pPr>
        <w:numPr>
          <w:ilvl w:val="0"/>
          <w:numId w:val="1057"/>
        </w:numPr>
        <w:pStyle w:val="Compact"/>
      </w:pPr>
      <w:r>
        <w:rPr>
          <w:bCs/>
          <w:b/>
        </w:rPr>
        <w:t xml:space="preserve">Financing costs.</w:t>
      </w:r>
      <w:r>
        <w:t xml:space="preserve"> </w:t>
      </w:r>
      <w:r>
        <w:t xml:space="preserve">These sit inside NIM (deposits are ~81% of liabilities). Wholesale funding is small; the KZT100bn local bond and the US$200m AIX note are immaterial to the cost of funds.</w:t>
      </w:r>
    </w:p>
    <w:p>
      <w:pPr>
        <w:numPr>
          <w:ilvl w:val="0"/>
          <w:numId w:val="1057"/>
        </w:numPr>
        <w:pStyle w:val="Compact"/>
      </w:pPr>
      <w:r>
        <w:rPr>
          <w:bCs/>
          <w:b/>
        </w:rPr>
        <w:t xml:space="preserve">Dilution.</w:t>
      </w:r>
      <w:r>
        <w:t xml:space="preserve"> </w:t>
      </w:r>
      <w:r>
        <w:t xml:space="preserve">Negligible. The December 2024 EGM authorised up to 1% of shares for staff incentives over five years. GDR buybacks (US$50m cap) offset it.</w:t>
      </w:r>
    </w:p>
    <w:p>
      <w:pPr>
        <w:pStyle w:val="FirstParagraph"/>
      </w:pPr>
      <w:r>
        <w:rPr>
          <w:bCs/>
          <w:b/>
        </w:rPr>
        <w:t xml:space="preserve">Versus consensus.</w:t>
      </w:r>
      <w:r>
        <w:t xml:space="preserve"> </w:t>
      </w:r>
      <w:r>
        <w:t xml:space="preserve">We are ~5–10% below consensus for FY26 and ~5% below for FY27. We assume guidance is missed by ~10% in 2026 and that NIM does not rebound in 2027.</w:t>
      </w:r>
    </w:p>
    <w:bookmarkEnd w:id="71"/>
    <w:bookmarkStart w:id="75" w:name="capital-structure-funding-and-liquidity"/>
    <w:p>
      <w:pPr>
        <w:pStyle w:val="Heading1"/>
      </w:pPr>
      <w:r>
        <w:t xml:space="preserve">Capital structure, funding and liquidity</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288"/>
        <w:gridCol w:w="2511"/>
        <w:gridCol w:w="5178"/>
      </w:tblGrid>
      <w:tr>
        <w:trPr>
          <w:tblHeader w:val="true"/>
          <w:cantSplit/>
          <w:tblHeader w:val="true"/>
        </w:trPr>
        <w:tc>
          <w:tcPr>
            <w:tcW w:w="2288" w:type="dxa"/>
            <w:shd w:val="clear" w:color="auto" w:fill="13213F"/>
          </w:tcPr>
          <w:p>
            <w:pPr>
              <w:pStyle w:val="Compact"/>
              <w:spacing w:before="0" w:after="0" w:line="240" w:lineRule="auto"/>
              <w:jc w:val="left"/>
            </w:pPr>
            <w:r>
              <w:rPr>
                <w:rFonts w:ascii="Arial" w:hAnsi="Arial"/>
                <w:b/>
                <w:color w:val="FFFFFF"/>
                <w:sz w:val="15"/>
              </w:rPr>
              <w:t xml:space="preserve">KZT bn (30-Jun-26 unless stated)</w:t>
            </w:r>
          </w:p>
        </w:tc>
        <w:tc>
          <w:tcPr>
            <w:tcW w:w="2511" w:type="dxa"/>
            <w:shd w:val="clear" w:color="auto" w:fill="13213F"/>
          </w:tcPr>
          <w:p>
            <w:pPr>
              <w:pStyle w:val="Compact"/>
              <w:spacing w:before="0" w:after="0" w:line="240" w:lineRule="auto"/>
              <w:jc w:val="left"/>
            </w:pPr>
            <w:r>
              <w:rPr>
                <w:rFonts w:ascii="Arial" w:hAnsi="Arial"/>
                <w:b/>
                <w:color w:val="FFFFFF"/>
                <w:sz w:val="15"/>
              </w:rPr>
              <w:t xml:space="preserve">Value</w:t>
            </w:r>
          </w:p>
        </w:tc>
        <w:tc>
          <w:tcPr>
            <w:tcW w:w="5178" w:type="dxa"/>
            <w:shd w:val="clear" w:color="auto" w:fill="13213F"/>
          </w:tcPr>
          <w:p>
            <w:pPr>
              <w:pStyle w:val="Compact"/>
              <w:spacing w:before="0" w:after="0" w:line="240" w:lineRule="auto"/>
              <w:jc w:val="left"/>
            </w:pPr>
            <w:r>
              <w:rPr>
                <w:rFonts w:ascii="Arial" w:hAnsi="Arial"/>
                <w:b/>
                <w:color w:val="FFFFFF"/>
                <w:sz w:val="15"/>
              </w:rPr>
              <w:t xml:space="preserve">Comment</w:t>
            </w:r>
          </w:p>
        </w:tc>
      </w:tr>
      <w:tr>
        <w:trPr>
          <w:cantSplit/>
        </w:trPr>
        <w:tc>
          <w:tcPr>
            <w:tcW w:w="2288" w:type="dxa"/>
            <w:shd w:val="clear" w:color="auto" w:fill="F2F4F8"/>
          </w:tcPr>
          <w:p>
            <w:pPr>
              <w:pStyle w:val="Compact"/>
              <w:spacing w:before="0" w:after="0" w:line="240" w:lineRule="auto"/>
              <w:jc w:val="left"/>
            </w:pPr>
            <w:r>
              <w:rPr>
                <w:rFonts w:ascii="Arial" w:hAnsi="Arial"/>
                <w:sz w:val="15"/>
              </w:rPr>
              <w:t xml:space="preserve">Total assets</w:t>
            </w:r>
          </w:p>
        </w:tc>
        <w:tc>
          <w:tcPr>
            <w:tcW w:w="2511" w:type="dxa"/>
            <w:shd w:val="clear" w:color="auto" w:fill="F2F4F8"/>
          </w:tcPr>
          <w:p>
            <w:pPr>
              <w:pStyle w:val="Compact"/>
              <w:spacing w:before="0" w:after="0" w:line="240" w:lineRule="auto"/>
              <w:jc w:val="left"/>
            </w:pPr>
            <w:r>
              <w:rPr>
                <w:rFonts w:ascii="Arial" w:hAnsi="Arial"/>
                <w:sz w:val="15"/>
              </w:rPr>
              <w:t xml:space="preserve">22,036</w:t>
            </w:r>
          </w:p>
        </w:tc>
        <w:tc>
          <w:tcPr>
            <w:tcW w:w="5178" w:type="dxa"/>
            <w:shd w:val="clear" w:color="auto" w:fill="F2F4F8"/>
          </w:tcPr>
          <w:p>
            <w:pPr>
              <w:pStyle w:val="Compact"/>
              <w:spacing w:before="0" w:after="0" w:line="240" w:lineRule="auto"/>
              <w:jc w:val="left"/>
            </w:pPr>
            <w:r>
              <w:rPr>
                <w:rFonts w:ascii="Arial" w:hAnsi="Arial"/>
                <w:sz w:val="15"/>
              </w:rPr>
              <w:t xml:space="preserve">+12.3% y/y</w:t>
            </w:r>
          </w:p>
        </w:tc>
      </w:tr>
      <w:tr>
        <w:trPr>
          <w:cantSplit/>
        </w:trPr>
        <w:tc>
          <w:tcPr>
            <w:tcW w:w="2288" w:type="dxa"/>
          </w:tcPr>
          <w:p>
            <w:pPr>
              <w:pStyle w:val="Compact"/>
              <w:spacing w:before="0" w:after="0" w:line="240" w:lineRule="auto"/>
              <w:jc w:val="left"/>
            </w:pPr>
            <w:r>
              <w:rPr>
                <w:rFonts w:ascii="Arial" w:hAnsi="Arial"/>
                <w:sz w:val="15"/>
              </w:rPr>
              <w:t xml:space="preserve">Customer deposits</w:t>
            </w:r>
          </w:p>
        </w:tc>
        <w:tc>
          <w:tcPr>
            <w:tcW w:w="2511" w:type="dxa"/>
          </w:tcPr>
          <w:p>
            <w:pPr>
              <w:pStyle w:val="Compact"/>
              <w:spacing w:before="0" w:after="0" w:line="240" w:lineRule="auto"/>
              <w:jc w:val="left"/>
            </w:pPr>
            <w:r>
              <w:rPr>
                <w:rFonts w:ascii="Arial" w:hAnsi="Arial"/>
                <w:sz w:val="15"/>
              </w:rPr>
              <w:t xml:space="preserve">~14,870</w:t>
            </w:r>
          </w:p>
        </w:tc>
        <w:tc>
          <w:tcPr>
            <w:tcW w:w="5178" w:type="dxa"/>
          </w:tcPr>
          <w:p>
            <w:pPr>
              <w:pStyle w:val="Compact"/>
              <w:spacing w:before="0" w:after="0" w:line="240" w:lineRule="auto"/>
              <w:jc w:val="left"/>
            </w:pPr>
            <w:r>
              <w:rPr>
                <w:rFonts w:ascii="Arial" w:hAnsi="Arial"/>
                <w:sz w:val="15"/>
              </w:rPr>
              <w:t xml:space="preserve">~81% of liabilities; retail 8,279 / business ~6,590</w:t>
            </w:r>
          </w:p>
        </w:tc>
      </w:tr>
      <w:tr>
        <w:trPr>
          <w:cantSplit/>
        </w:trPr>
        <w:tc>
          <w:tcPr>
            <w:tcW w:w="2288" w:type="dxa"/>
          </w:tcPr>
          <w:p>
            <w:pPr>
              <w:pStyle w:val="Compact"/>
              <w:spacing w:before="0" w:after="0" w:line="240" w:lineRule="auto"/>
              <w:jc w:val="left"/>
            </w:pPr>
            <w:r>
              <w:rPr>
                <w:rFonts w:ascii="Arial" w:hAnsi="Arial"/>
                <w:sz w:val="15"/>
              </w:rPr>
              <w:t xml:space="preserve">Other liabilities (interbank, repo, debt securities, insurance reserves, other)</w:t>
            </w:r>
          </w:p>
        </w:tc>
        <w:tc>
          <w:tcPr>
            <w:tcW w:w="2511" w:type="dxa"/>
          </w:tcPr>
          <w:p>
            <w:pPr>
              <w:pStyle w:val="Compact"/>
              <w:spacing w:before="0" w:after="0" w:line="240" w:lineRule="auto"/>
              <w:jc w:val="left"/>
            </w:pPr>
            <w:r>
              <w:rPr>
                <w:rFonts w:ascii="Arial" w:hAnsi="Arial"/>
                <w:sz w:val="15"/>
              </w:rPr>
              <w:t xml:space="preserve">~3,520 [d]</w:t>
            </w:r>
          </w:p>
        </w:tc>
        <w:tc>
          <w:tcPr>
            <w:tcW w:w="5178" w:type="dxa"/>
          </w:tcPr>
          <w:p>
            <w:pPr>
              <w:pStyle w:val="Compact"/>
              <w:spacing w:before="0" w:after="0" w:line="240" w:lineRule="auto"/>
              <w:jc w:val="left"/>
            </w:pPr>
            <w:r>
              <w:rPr>
                <w:rFonts w:ascii="Arial" w:hAnsi="Arial"/>
                <w:sz w:val="15"/>
              </w:rPr>
              <w:t xml:space="preserve">Includes local KZT bonds; a KZT100bn programme approved Sep-26</w:t>
            </w:r>
          </w:p>
        </w:tc>
      </w:tr>
      <w:tr>
        <w:trPr>
          <w:cantSplit/>
        </w:trPr>
        <w:tc>
          <w:tcPr>
            <w:tcW w:w="2288" w:type="dxa"/>
            <w:shd w:val="clear" w:color="auto" w:fill="F2F4F8"/>
          </w:tcPr>
          <w:p>
            <w:pPr>
              <w:pStyle w:val="Compact"/>
              <w:spacing w:before="0" w:after="0" w:line="240" w:lineRule="auto"/>
              <w:jc w:val="left"/>
            </w:pPr>
            <w:r>
              <w:rPr>
                <w:rFonts w:ascii="Arial" w:hAnsi="Arial"/>
                <w:sz w:val="15"/>
              </w:rPr>
              <w:t xml:space="preserve">Total equity</w:t>
            </w:r>
          </w:p>
        </w:tc>
        <w:tc>
          <w:tcPr>
            <w:tcW w:w="2511" w:type="dxa"/>
            <w:shd w:val="clear" w:color="auto" w:fill="F2F4F8"/>
          </w:tcPr>
          <w:p>
            <w:pPr>
              <w:pStyle w:val="Compact"/>
              <w:spacing w:before="0" w:after="0" w:line="240" w:lineRule="auto"/>
              <w:jc w:val="left"/>
            </w:pPr>
            <w:r>
              <w:rPr>
                <w:rFonts w:ascii="Arial" w:hAnsi="Arial"/>
                <w:sz w:val="15"/>
              </w:rPr>
              <w:t xml:space="preserve">3,643</w:t>
            </w:r>
          </w:p>
        </w:tc>
        <w:tc>
          <w:tcPr>
            <w:tcW w:w="5178" w:type="dxa"/>
            <w:shd w:val="clear" w:color="auto" w:fill="F2F4F8"/>
          </w:tcPr>
          <w:p>
            <w:pPr>
              <w:pStyle w:val="Compact"/>
              <w:spacing w:before="0" w:after="0" w:line="240" w:lineRule="auto"/>
              <w:jc w:val="left"/>
            </w:pPr>
            <w:r>
              <w:rPr>
                <w:rFonts w:ascii="Arial" w:hAnsi="Arial"/>
                <w:sz w:val="15"/>
              </w:rPr>
              <w:t xml:space="preserve">16.5% of assets (leverage ~6x)</w:t>
            </w:r>
          </w:p>
        </w:tc>
      </w:tr>
      <w:tr>
        <w:trPr>
          <w:cantSplit/>
        </w:trPr>
        <w:tc>
          <w:tcPr>
            <w:tcW w:w="2288" w:type="dxa"/>
          </w:tcPr>
          <w:p>
            <w:pPr>
              <w:pStyle w:val="Compact"/>
              <w:spacing w:before="0" w:after="0" w:line="240" w:lineRule="auto"/>
              <w:jc w:val="left"/>
            </w:pPr>
            <w:r>
              <w:rPr>
                <w:rFonts w:ascii="Arial" w:hAnsi="Arial"/>
                <w:sz w:val="15"/>
              </w:rPr>
              <w:t xml:space="preserve">Gross loans</w:t>
            </w:r>
          </w:p>
        </w:tc>
        <w:tc>
          <w:tcPr>
            <w:tcW w:w="2511" w:type="dxa"/>
          </w:tcPr>
          <w:p>
            <w:pPr>
              <w:pStyle w:val="Compact"/>
              <w:spacing w:before="0" w:after="0" w:line="240" w:lineRule="auto"/>
              <w:jc w:val="left"/>
            </w:pPr>
            <w:r>
              <w:rPr>
                <w:rFonts w:ascii="Arial" w:hAnsi="Arial"/>
                <w:sz w:val="15"/>
              </w:rPr>
              <w:t xml:space="preserve">~13,960</w:t>
            </w:r>
          </w:p>
        </w:tc>
        <w:tc>
          <w:tcPr>
            <w:tcW w:w="5178" w:type="dxa"/>
          </w:tcPr>
          <w:p>
            <w:pPr>
              <w:pStyle w:val="Compact"/>
              <w:spacing w:before="0" w:after="0" w:line="240" w:lineRule="auto"/>
              <w:jc w:val="left"/>
            </w:pPr>
            <w:r>
              <w:rPr>
                <w:rFonts w:ascii="Arial" w:hAnsi="Arial"/>
                <w:sz w:val="15"/>
              </w:rPr>
              <w:t xml:space="preserve">Loans / deposits ~94%</w:t>
            </w:r>
          </w:p>
        </w:tc>
      </w:tr>
      <w:tr>
        <w:trPr>
          <w:cantSplit/>
        </w:trPr>
        <w:tc>
          <w:tcPr>
            <w:tcW w:w="2288" w:type="dxa"/>
          </w:tcPr>
          <w:p>
            <w:pPr>
              <w:pStyle w:val="Compact"/>
              <w:spacing w:before="0" w:after="0" w:line="240" w:lineRule="auto"/>
              <w:jc w:val="left"/>
            </w:pPr>
            <w:r>
              <w:rPr>
                <w:rFonts w:ascii="Arial" w:hAnsi="Arial"/>
                <w:sz w:val="15"/>
              </w:rPr>
              <w:t xml:space="preserve">Liquid assets</w:t>
            </w:r>
          </w:p>
        </w:tc>
        <w:tc>
          <w:tcPr>
            <w:tcW w:w="2511" w:type="dxa"/>
          </w:tcPr>
          <w:p>
            <w:pPr>
              <w:pStyle w:val="Compact"/>
              <w:spacing w:before="0" w:after="0" w:line="240" w:lineRule="auto"/>
              <w:jc w:val="left"/>
            </w:pPr>
            <w:r>
              <w:rPr>
                <w:rFonts w:ascii="Arial" w:hAnsi="Arial"/>
                <w:sz w:val="15"/>
              </w:rPr>
              <w:t xml:space="preserve">~23% of assets [u]</w:t>
            </w:r>
          </w:p>
        </w:tc>
        <w:tc>
          <w:tcPr>
            <w:tcW w:w="5178" w:type="dxa"/>
          </w:tcPr>
          <w:p>
            <w:pPr>
              <w:pStyle w:val="Compact"/>
              <w:spacing w:before="0" w:after="0" w:line="240" w:lineRule="auto"/>
              <w:jc w:val="left"/>
            </w:pPr>
            <w:r>
              <w:rPr>
                <w:rFonts w:ascii="Arial" w:hAnsi="Arial"/>
                <w:sz w:val="15"/>
              </w:rPr>
              <w:t xml:space="preserve">Sector: highly liquid assets 30.6% of assets</w:t>
            </w:r>
          </w:p>
        </w:tc>
      </w:tr>
      <w:tr>
        <w:trPr>
          <w:cantSplit/>
        </w:trPr>
        <w:tc>
          <w:tcPr>
            <w:tcW w:w="2288" w:type="dxa"/>
          </w:tcPr>
          <w:p>
            <w:pPr>
              <w:pStyle w:val="Compact"/>
              <w:spacing w:before="0" w:after="0" w:line="240" w:lineRule="auto"/>
              <w:jc w:val="left"/>
            </w:pPr>
            <w:r>
              <w:rPr>
                <w:rFonts w:ascii="Arial" w:hAnsi="Arial"/>
                <w:sz w:val="15"/>
              </w:rPr>
              <w:t xml:space="preserve">Capital ratios (k1-1 / k1-2 / k2)</w:t>
            </w:r>
          </w:p>
        </w:tc>
        <w:tc>
          <w:tcPr>
            <w:tcW w:w="2511" w:type="dxa"/>
          </w:tcPr>
          <w:p>
            <w:pPr>
              <w:pStyle w:val="Compact"/>
              <w:spacing w:before="0" w:after="0" w:line="240" w:lineRule="auto"/>
              <w:jc w:val="left"/>
            </w:pPr>
            <w:r>
              <w:rPr>
                <w:rFonts w:ascii="Arial" w:hAnsi="Arial"/>
                <w:sz w:val="15"/>
              </w:rPr>
              <w:t xml:space="preserve">19.0% / 19.0% / 19.0%</w:t>
            </w:r>
          </w:p>
        </w:tc>
        <w:tc>
          <w:tcPr>
            <w:tcW w:w="5178" w:type="dxa"/>
          </w:tcPr>
          <w:p>
            <w:pPr>
              <w:pStyle w:val="Compact"/>
              <w:spacing w:before="0" w:after="0" w:line="240" w:lineRule="auto"/>
              <w:jc w:val="left"/>
            </w:pPr>
            <w:r>
              <w:rPr>
                <w:rFonts w:ascii="Arial" w:hAnsi="Arial"/>
                <w:sz w:val="15"/>
              </w:rPr>
              <w:t xml:space="preserve">Minimums incl. buffers 9.5% / 10.5% / 12.0%; all capital is CET1</w:t>
            </w:r>
          </w:p>
        </w:tc>
      </w:tr>
      <w:tr>
        <w:trPr>
          <w:cantSplit/>
        </w:trPr>
        <w:tc>
          <w:tcPr>
            <w:tcW w:w="2288" w:type="dxa"/>
          </w:tcPr>
          <w:p>
            <w:pPr>
              <w:pStyle w:val="Compact"/>
              <w:spacing w:before="0" w:after="0" w:line="240" w:lineRule="auto"/>
              <w:jc w:val="left"/>
            </w:pPr>
            <w:r>
              <w:rPr>
                <w:rFonts w:ascii="Arial" w:hAnsi="Arial"/>
                <w:sz w:val="15"/>
              </w:rPr>
              <w:t xml:space="preserve">Credit ratings</w:t>
            </w:r>
          </w:p>
        </w:tc>
        <w:tc>
          <w:tcPr>
            <w:tcW w:w="2511" w:type="dxa"/>
          </w:tcPr>
          <w:p>
            <w:pPr>
              <w:pStyle w:val="Compact"/>
              <w:spacing w:before="0" w:after="0" w:line="240" w:lineRule="auto"/>
              <w:jc w:val="left"/>
            </w:pPr>
            <w:r>
              <w:rPr>
                <w:rFonts w:ascii="Arial" w:hAnsi="Arial"/>
                <w:sz w:val="15"/>
              </w:rPr>
              <w:t xml:space="preserve">Moody’s Baa1/Stable (affirmed 15-Sep-26); Fitch BBB-/Stable (affirmed 14-Sep-26); S&amp;P BBB-/Positive (8-Sep-26)</w:t>
            </w:r>
          </w:p>
        </w:tc>
        <w:tc>
          <w:tcPr>
            <w:tcW w:w="5178" w:type="dxa"/>
          </w:tcPr>
          <w:p>
            <w:pPr>
              <w:pStyle w:val="Compact"/>
              <w:spacing w:before="0" w:after="0" w:line="240" w:lineRule="auto"/>
              <w:jc w:val="left"/>
            </w:pPr>
            <w:r>
              <w:rPr>
                <w:rFonts w:ascii="Arial" w:hAnsi="Arial"/>
                <w:sz w:val="15"/>
              </w:rPr>
              <w:t xml:space="preserve">Capped near the sovereign (BBB/Baa1/BBB)</w:t>
            </w:r>
          </w:p>
        </w:tc>
      </w:tr>
    </w:tbl>
    <w:p>
      <w:pPr>
        <w:numPr>
          <w:ilvl w:val="0"/>
          <w:numId w:val="1060"/>
        </w:numPr>
        <w:pStyle w:val="Compact"/>
      </w:pPr>
      <w:r>
        <w:rPr>
          <w:bCs/>
          <w:b/>
        </w:rPr>
        <w:t xml:space="preserve">Debt and maturities.</w:t>
      </w:r>
    </w:p>
    <w:p>
      <w:pPr>
        <w:numPr>
          <w:ilvl w:val="1"/>
          <w:numId w:val="1061"/>
        </w:numPr>
        <w:pStyle w:val="Compact"/>
      </w:pPr>
      <w:r>
        <w:t xml:space="preserve">Halyk is almost entirely deposit-funded. It has repaid its legacy US$ Eurobonds, including the Kazkommertsbank-era issues; the last matured around 2021 [u].</w:t>
      </w:r>
    </w:p>
    <w:p>
      <w:pPr>
        <w:numPr>
          <w:ilvl w:val="1"/>
          <w:numId w:val="1061"/>
        </w:numPr>
        <w:pStyle w:val="Compact"/>
      </w:pPr>
      <w:r>
        <w:t xml:space="preserve">The local bond HSBKb19 (KZT131.7bn principal) matured and was repaid on 21-Feb-2025.</w:t>
      </w:r>
    </w:p>
    <w:p>
      <w:pPr>
        <w:numPr>
          <w:ilvl w:val="1"/>
          <w:numId w:val="1061"/>
        </w:numPr>
        <w:pStyle w:val="Compact"/>
      </w:pPr>
      <w:r>
        <w:t xml:space="preserve">New wholesale funding is small: a KZT100bn local bond programme approved in September 2026, and a planned US$200m two-year AIX bond at 3.5% [u]. A full maturity ladder could not be retrieved; we see no material refinancing wall.</w:t>
      </w:r>
    </w:p>
    <w:p>
      <w:pPr>
        <w:numPr>
          <w:ilvl w:val="0"/>
          <w:numId w:val="1060"/>
        </w:numPr>
        <w:pStyle w:val="Compact"/>
      </w:pPr>
      <w:r>
        <w:rPr>
          <w:bCs/>
          <w:b/>
        </w:rPr>
        <w:t xml:space="preserve">Covenants.</w:t>
      </w:r>
      <w:r>
        <w:t xml:space="preserve"> </w:t>
      </w:r>
      <w:r>
        <w:t xml:space="preserve">Halyk’s material constraints are regulatory, not contractual:</w:t>
      </w:r>
    </w:p>
    <w:p>
      <w:pPr>
        <w:numPr>
          <w:ilvl w:val="1"/>
          <w:numId w:val="1062"/>
        </w:numPr>
        <w:pStyle w:val="Compact"/>
      </w:pPr>
      <w:r>
        <w:t xml:space="preserve">k-ratios;</w:t>
      </w:r>
    </w:p>
    <w:p>
      <w:pPr>
        <w:numPr>
          <w:ilvl w:val="1"/>
          <w:numId w:val="1062"/>
        </w:numPr>
        <w:pStyle w:val="Compact"/>
      </w:pPr>
      <w:r>
        <w:t xml:space="preserve">liquidity coverage and net stable funding ratios;</w:t>
      </w:r>
    </w:p>
    <w:p>
      <w:pPr>
        <w:numPr>
          <w:ilvl w:val="1"/>
          <w:numId w:val="1062"/>
        </w:numPr>
        <w:pStyle w:val="Compact"/>
      </w:pPr>
      <w:r>
        <w:t xml:space="preserve">large-exposure limits (ARDFM limited large loans further in Oct-26 [u]);</w:t>
      </w:r>
    </w:p>
    <w:p>
      <w:pPr>
        <w:numPr>
          <w:ilvl w:val="1"/>
          <w:numId w:val="1062"/>
        </w:numPr>
        <w:pStyle w:val="Compact"/>
      </w:pPr>
      <w:r>
        <w:t xml:space="preserve">the new 2% sectoral retail buffer and the Pillar 2 add-on.</w:t>
      </w:r>
    </w:p>
    <w:p>
      <w:pPr>
        <w:numPr>
          <w:ilvl w:val="0"/>
          <w:numId w:val="1060"/>
        </w:numPr>
        <w:pStyle w:val="Compact"/>
      </w:pPr>
      <w:r>
        <w:rPr>
          <w:bCs/>
          <w:b/>
        </w:rPr>
        <w:t xml:space="preserve">Interest costs.</w:t>
      </w:r>
      <w:r>
        <w:t xml:space="preserve"> </w:t>
      </w:r>
      <w:r>
        <w:t xml:space="preserve">Interest expense was KZT788.5bn in 1H26 (+21.6%), ~54.5% of interest income. The average customer deposit rate was ~9.9% in 4Q25 and should start to fall from 1H27 as term deposits reprice.</w:t>
      </w:r>
    </w:p>
    <w:p>
      <w:pPr>
        <w:numPr>
          <w:ilvl w:val="0"/>
          <w:numId w:val="1060"/>
        </w:numPr>
        <w:pStyle w:val="Compact"/>
      </w:pPr>
      <w:r>
        <w:rPr>
          <w:bCs/>
          <w:b/>
        </w:rPr>
        <w:t xml:space="preserve">Liquidity.</w:t>
      </w:r>
      <w:r>
        <w:t xml:space="preserve"> </w:t>
      </w:r>
      <w:r>
        <w:t xml:space="preserve">Strong. The loan/deposit ratio is below 100%, liquid assets are ~23% of the balance sheet, and Halyk holds a large book of NBK notes and government securities.</w:t>
      </w:r>
    </w:p>
    <w:p>
      <w:pPr>
        <w:numPr>
          <w:ilvl w:val="0"/>
          <w:numId w:val="1060"/>
        </w:numPr>
        <w:pStyle w:val="Compact"/>
      </w:pPr>
      <w:r>
        <w:rPr>
          <w:bCs/>
          <w:b/>
        </w:rPr>
        <w:t xml:space="preserve">Leverage ratio (the bank equivalent of net debt/EBITDA).</w:t>
      </w:r>
      <w:r>
        <w:t xml:space="preserve"> </w:t>
      </w:r>
      <w:r>
        <w:t xml:space="preserve">Net debt/EBITDA is not meaningful for a bank. On equity/assets (16.5%) and CET1 (19%), Halyk is one of the most conservatively capitalised large banks in emerging markets.</w:t>
      </w:r>
    </w:p>
    <w:p>
      <w:pPr>
        <w:pStyle w:val="CaptionedFigure"/>
      </w:pPr>
      <w:r>
        <w:drawing>
          <wp:inline>
            <wp:extent cx="5375910" cy="2391057"/>
            <wp:effectExtent b="0" l="0" r="0" t="0"/>
            <wp:docPr descr="Capital ratios vs minimums" title="" id="73" name="Picture"/>
            <a:graphic>
              <a:graphicData uri="http://schemas.openxmlformats.org/drawingml/2006/picture">
                <pic:pic>
                  <pic:nvPicPr>
                    <pic:cNvPr descr="HSBK_charts/capital.png" id="74" name="Picture"/>
                    <pic:cNvPicPr>
                      <a:picLocks noChangeArrowheads="1" noChangeAspect="1"/>
                    </pic:cNvPicPr>
                  </pic:nvPicPr>
                  <pic:blipFill>
                    <a:blip r:embed="rId72"/>
                    <a:stretch>
                      <a:fillRect/>
                    </a:stretch>
                  </pic:blipFill>
                  <pic:spPr bwMode="auto">
                    <a:xfrm>
                      <a:off x="0" y="0"/>
                      <a:ext cx="5375910" cy="2391057"/>
                    </a:xfrm>
                    <a:prstGeom prst="rect">
                      <a:avLst/>
                    </a:prstGeom>
                    <a:noFill/>
                    <a:ln w="9525">
                      <a:noFill/>
                      <a:headEnd/>
                      <a:tailEnd/>
                    </a:ln>
                  </pic:spPr>
                </pic:pic>
              </a:graphicData>
            </a:graphic>
          </wp:inline>
        </w:drawing>
      </w:r>
    </w:p>
    <w:p>
      <w:pPr>
        <w:pStyle w:val="ImageCaption"/>
      </w:pPr>
      <w:r>
        <w:t xml:space="preserve">Capital ratios vs minimums</w:t>
      </w:r>
    </w:p>
    <w:p>
      <w:pPr>
        <w:pStyle w:val="BodyText"/>
      </w:pPr>
      <w:r>
        <w:rPr>
          <w:bCs/>
          <w:b/>
        </w:rPr>
        <w:t xml:space="preserve">Capital generation (the bank’s</w:t>
      </w:r>
      <w:r>
        <w:rPr>
          <w:bCs/>
          <w:b/>
        </w:rPr>
        <w:t xml:space="preserve"> </w:t>
      </w:r>
      <w:r>
        <w:rPr>
          <w:bCs/>
          <w:b/>
        </w:rPr>
        <w:t xml:space="preserve">“</w:t>
      </w:r>
      <w:r>
        <w:rPr>
          <w:bCs/>
          <w:b/>
        </w:rPr>
        <w:t xml:space="preserve">free cash flow</w:t>
      </w:r>
      <w:r>
        <w:rPr>
          <w:bCs/>
          <w:b/>
        </w:rPr>
        <w:t xml:space="preserve">”</w:t>
      </w:r>
      <w:r>
        <w:rPr>
          <w:bCs/>
          <w:b/>
        </w:rPr>
        <w:t xml:space="preserve">).</w:t>
      </w:r>
    </w:p>
    <w:p>
      <w:pPr>
        <w:numPr>
          <w:ilvl w:val="0"/>
          <w:numId w:val="1063"/>
        </w:numPr>
        <w:pStyle w:val="Compact"/>
      </w:pPr>
      <w:r>
        <w:t xml:space="preserve">At a ~24.5% ROE and 60% payout, Halyk retains ~9.8% of equity a year. That funds ~10% risk-weighted asset (RWA) growth at a constant 19% ratio.</w:t>
      </w:r>
    </w:p>
    <w:p>
      <w:pPr>
        <w:numPr>
          <w:ilvl w:val="0"/>
          <w:numId w:val="1063"/>
        </w:numPr>
        <w:pStyle w:val="Compact"/>
      </w:pPr>
      <w:r>
        <w:t xml:space="preserve">Guidance of 9–12% loan growth is therefore self-funded.</w:t>
      </w:r>
    </w:p>
    <w:p>
      <w:pPr>
        <w:numPr>
          <w:ilvl w:val="0"/>
          <w:numId w:val="1063"/>
        </w:numPr>
        <w:pStyle w:val="Compact"/>
      </w:pPr>
      <w:r>
        <w:t xml:space="preserve">The 2% retail buffer (phasing in to April 2027) and any Pillar 2 add-on absorb ~50–80bp of the headroom [e].</w:t>
      </w:r>
    </w:p>
    <w:p>
      <w:pPr>
        <w:numPr>
          <w:ilvl w:val="0"/>
          <w:numId w:val="1063"/>
        </w:numPr>
        <w:pStyle w:val="Compact"/>
      </w:pPr>
      <w:r>
        <w:t xml:space="preserve">The 60% payout is safe. Going above 70% would require slower growth or a lower capital target.</w:t>
      </w:r>
    </w:p>
    <w:bookmarkEnd w:id="75"/>
    <w:bookmarkStart w:id="93" w:name="valuation-peers-history-and-regression"/>
    <w:p>
      <w:pPr>
        <w:pStyle w:val="Heading1"/>
      </w:pPr>
      <w:r>
        <w:t xml:space="preserve">Valuation: peers, history and regression</w:t>
      </w:r>
    </w:p>
    <w:bookmarkStart w:id="76" w:name="why-bank-multiples-replace-ev-based-ones"/>
    <w:p>
      <w:pPr>
        <w:pStyle w:val="Heading2"/>
      </w:pPr>
      <w:r>
        <w:t xml:space="preserve">Why bank multiples replace EV-based ones</w:t>
      </w:r>
    </w:p>
    <w:p>
      <w:pPr>
        <w:numPr>
          <w:ilvl w:val="0"/>
          <w:numId w:val="1064"/>
        </w:numPr>
        <w:pStyle w:val="Compact"/>
      </w:pPr>
      <w:r>
        <w:rPr>
          <w:bCs/>
          <w:b/>
        </w:rPr>
        <w:t xml:space="preserve">EV is not meaningful for a bank.</w:t>
      </w:r>
      <w:r>
        <w:t xml:space="preserve"> </w:t>
      </w:r>
      <w:r>
        <w:t xml:space="preserve">Debt is raw material, not financing, so EV/Sales, EV/EBITDA, EV/EBIT and net debt/EBITDA are not meaningful.</w:t>
      </w:r>
    </w:p>
    <w:p>
      <w:pPr>
        <w:numPr>
          <w:ilvl w:val="0"/>
          <w:numId w:val="1064"/>
        </w:numPr>
        <w:pStyle w:val="Compact"/>
      </w:pPr>
      <w:r>
        <w:rPr>
          <w:bCs/>
          <w:b/>
        </w:rPr>
        <w:t xml:space="preserve">Substitutes we use:</w:t>
      </w:r>
    </w:p>
    <w:p>
      <w:pPr>
        <w:numPr>
          <w:ilvl w:val="1"/>
          <w:numId w:val="1065"/>
        </w:numPr>
        <w:pStyle w:val="Compact"/>
      </w:pPr>
      <w:r>
        <w:t xml:space="preserve">P/E and P/B (P/TBV is close to P/B; goodwill is negligible);</w:t>
      </w:r>
    </w:p>
    <w:p>
      <w:pPr>
        <w:numPr>
          <w:ilvl w:val="1"/>
          <w:numId w:val="1065"/>
        </w:numPr>
        <w:pStyle w:val="Compact"/>
      </w:pPr>
      <w:r>
        <w:t xml:space="preserve">ROE, dividend yield and cost/income;</w:t>
      </w:r>
    </w:p>
    <w:p>
      <w:pPr>
        <w:numPr>
          <w:ilvl w:val="1"/>
          <w:numId w:val="1065"/>
        </w:numPr>
        <w:pStyle w:val="Compact"/>
      </w:pPr>
      <w:r>
        <w:t xml:space="preserve">market cap / total operating income (</w:t>
      </w:r>
      <w:r>
        <w:t xml:space="preserve">“</w:t>
      </w:r>
      <w:r>
        <w:t xml:space="preserve">P/Revenue</w:t>
      </w:r>
      <w:r>
        <w:t xml:space="preserve">”</w:t>
      </w:r>
      <w:r>
        <w:t xml:space="preserve">, the bank analogue of EV/Sales);</w:t>
      </w:r>
    </w:p>
    <w:p>
      <w:pPr>
        <w:numPr>
          <w:ilvl w:val="1"/>
          <w:numId w:val="1065"/>
        </w:numPr>
        <w:pStyle w:val="Compact"/>
      </w:pPr>
      <w:r>
        <w:t xml:space="preserve">pre-tax margin (the bank analogue of EBIT margin);</w:t>
      </w:r>
    </w:p>
    <w:p>
      <w:pPr>
        <w:numPr>
          <w:ilvl w:val="1"/>
          <w:numId w:val="1065"/>
        </w:numPr>
        <w:pStyle w:val="Compact"/>
      </w:pPr>
      <w:r>
        <w:t xml:space="preserve">PPOP margin (the analogue of EBITDA margin);</w:t>
      </w:r>
    </w:p>
    <w:p>
      <w:pPr>
        <w:numPr>
          <w:ilvl w:val="1"/>
          <w:numId w:val="1065"/>
        </w:numPr>
        <w:pStyle w:val="Compact"/>
      </w:pPr>
      <w:r>
        <w:t xml:space="preserve">capital generation (the analogue of free cash flow).</w:t>
      </w:r>
    </w:p>
    <w:bookmarkEnd w:id="76"/>
    <w:bookmarkStart w:id="77" w:name="listed-and-private-competitors"/>
    <w:p>
      <w:pPr>
        <w:pStyle w:val="Heading2"/>
      </w:pPr>
      <w:r>
        <w:t xml:space="preserve">Listed and private competitors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441"/>
        <w:gridCol w:w="696"/>
        <w:gridCol w:w="1280"/>
        <w:gridCol w:w="1505"/>
        <w:gridCol w:w="723"/>
        <w:gridCol w:w="681"/>
        <w:gridCol w:w="882"/>
        <w:gridCol w:w="738"/>
        <w:gridCol w:w="810"/>
        <w:gridCol w:w="579"/>
        <w:gridCol w:w="636"/>
      </w:tblGrid>
      <w:tr>
        <w:trPr>
          <w:tblHeader w:val="true"/>
          <w:cantSplit/>
          <w:tblHeader w:val="true"/>
        </w:trPr>
        <w:tc>
          <w:tcPr>
            <w:tcW w:w="1441" w:type="dxa"/>
            <w:shd w:val="clear" w:color="auto" w:fill="13213F"/>
          </w:tcPr>
          <w:p>
            <w:pPr>
              <w:pStyle w:val="Compact"/>
              <w:spacing w:before="0" w:after="0" w:line="240" w:lineRule="auto"/>
              <w:jc w:val="left"/>
            </w:pPr>
            <w:r>
              <w:rPr>
                <w:rFonts w:ascii="Arial" w:hAnsi="Arial"/>
                <w:b/>
                <w:color w:val="FFFFFF"/>
                <w:sz w:val="15"/>
              </w:rPr>
              <w:t xml:space="preserve">Company</w:t>
            </w:r>
          </w:p>
        </w:tc>
        <w:tc>
          <w:tcPr>
            <w:tcW w:w="696" w:type="dxa"/>
            <w:shd w:val="clear" w:color="auto" w:fill="13213F"/>
          </w:tcPr>
          <w:p>
            <w:pPr>
              <w:pStyle w:val="Compact"/>
              <w:spacing w:before="0" w:after="0" w:line="240" w:lineRule="auto"/>
              <w:jc w:val="left"/>
            </w:pPr>
            <w:r>
              <w:rPr>
                <w:rFonts w:ascii="Arial" w:hAnsi="Arial"/>
                <w:b/>
                <w:color w:val="FFFFFF"/>
                <w:sz w:val="15"/>
              </w:rPr>
              <w:t xml:space="preserve">Ticker</w:t>
            </w:r>
          </w:p>
        </w:tc>
        <w:tc>
          <w:tcPr>
            <w:tcW w:w="1280" w:type="dxa"/>
            <w:shd w:val="clear" w:color="auto" w:fill="13213F"/>
          </w:tcPr>
          <w:p>
            <w:pPr>
              <w:pStyle w:val="Compact"/>
              <w:spacing w:before="0" w:after="0" w:line="240" w:lineRule="auto"/>
              <w:jc w:val="left"/>
            </w:pPr>
            <w:r>
              <w:rPr>
                <w:rFonts w:ascii="Arial" w:hAnsi="Arial"/>
                <w:b/>
                <w:color w:val="FFFFFF"/>
                <w:sz w:val="15"/>
              </w:rPr>
              <w:t xml:space="preserve">Listed?</w:t>
            </w:r>
          </w:p>
        </w:tc>
        <w:tc>
          <w:tcPr>
            <w:tcW w:w="1505" w:type="dxa"/>
            <w:shd w:val="clear" w:color="auto" w:fill="13213F"/>
          </w:tcPr>
          <w:p>
            <w:pPr>
              <w:pStyle w:val="Compact"/>
              <w:spacing w:before="0" w:after="0" w:line="240" w:lineRule="auto"/>
              <w:jc w:val="left"/>
            </w:pPr>
            <w:r>
              <w:rPr>
                <w:rFonts w:ascii="Arial" w:hAnsi="Arial"/>
                <w:b/>
                <w:color w:val="FFFFFF"/>
                <w:sz w:val="15"/>
              </w:rPr>
              <w:t xml:space="preserve">Country</w:t>
            </w:r>
          </w:p>
        </w:tc>
        <w:tc>
          <w:tcPr>
            <w:tcW w:w="723" w:type="dxa"/>
            <w:shd w:val="clear" w:color="auto" w:fill="13213F"/>
          </w:tcPr>
          <w:p>
            <w:pPr>
              <w:pStyle w:val="Compact"/>
              <w:spacing w:before="0" w:after="0" w:line="240" w:lineRule="auto"/>
              <w:jc w:val="left"/>
            </w:pPr>
            <w:r>
              <w:rPr>
                <w:rFonts w:ascii="Arial" w:hAnsi="Arial"/>
                <w:b/>
                <w:color w:val="FFFFFF"/>
                <w:sz w:val="15"/>
              </w:rPr>
              <w:t xml:space="preserve">Mkt cap (US$bn)</w:t>
            </w:r>
          </w:p>
        </w:tc>
        <w:tc>
          <w:tcPr>
            <w:tcW w:w="681" w:type="dxa"/>
            <w:shd w:val="clear" w:color="auto" w:fill="13213F"/>
          </w:tcPr>
          <w:p>
            <w:pPr>
              <w:pStyle w:val="Compact"/>
              <w:spacing w:before="0" w:after="0" w:line="240" w:lineRule="auto"/>
              <w:jc w:val="left"/>
            </w:pPr>
            <w:r>
              <w:rPr>
                <w:rFonts w:ascii="Arial" w:hAnsi="Arial"/>
                <w:b/>
                <w:color w:val="FFFFFF"/>
                <w:sz w:val="15"/>
              </w:rPr>
              <w:t xml:space="preserve">P/E (LTM)</w:t>
            </w:r>
          </w:p>
        </w:tc>
        <w:tc>
          <w:tcPr>
            <w:tcW w:w="882" w:type="dxa"/>
            <w:shd w:val="clear" w:color="auto" w:fill="13213F"/>
          </w:tcPr>
          <w:p>
            <w:pPr>
              <w:pStyle w:val="Compact"/>
              <w:spacing w:before="0" w:after="0" w:line="240" w:lineRule="auto"/>
              <w:jc w:val="left"/>
            </w:pPr>
            <w:r>
              <w:rPr>
                <w:rFonts w:ascii="Arial" w:hAnsi="Arial"/>
                <w:b/>
                <w:color w:val="FFFFFF"/>
                <w:sz w:val="15"/>
              </w:rPr>
              <w:t xml:space="preserve">P/B</w:t>
            </w:r>
          </w:p>
        </w:tc>
        <w:tc>
          <w:tcPr>
            <w:tcW w:w="738" w:type="dxa"/>
            <w:shd w:val="clear" w:color="auto" w:fill="13213F"/>
          </w:tcPr>
          <w:p>
            <w:pPr>
              <w:pStyle w:val="Compact"/>
              <w:spacing w:before="0" w:after="0" w:line="240" w:lineRule="auto"/>
              <w:jc w:val="left"/>
            </w:pPr>
            <w:r>
              <w:rPr>
                <w:rFonts w:ascii="Arial" w:hAnsi="Arial"/>
                <w:b/>
                <w:color w:val="FFFFFF"/>
                <w:sz w:val="15"/>
              </w:rPr>
              <w:t xml:space="preserve">ROE</w:t>
            </w:r>
          </w:p>
        </w:tc>
        <w:tc>
          <w:tcPr>
            <w:tcW w:w="810" w:type="dxa"/>
            <w:shd w:val="clear" w:color="auto" w:fill="13213F"/>
          </w:tcPr>
          <w:p>
            <w:pPr>
              <w:pStyle w:val="Compact"/>
              <w:spacing w:before="0" w:after="0" w:line="240" w:lineRule="auto"/>
              <w:jc w:val="left"/>
            </w:pPr>
            <w:r>
              <w:rPr>
                <w:rFonts w:ascii="Arial" w:hAnsi="Arial"/>
                <w:b/>
                <w:color w:val="FFFFFF"/>
                <w:sz w:val="15"/>
              </w:rPr>
              <w:t xml:space="preserve">Div. yield</w:t>
            </w:r>
          </w:p>
        </w:tc>
        <w:tc>
          <w:tcPr>
            <w:tcW w:w="579" w:type="dxa"/>
            <w:shd w:val="clear" w:color="auto" w:fill="13213F"/>
          </w:tcPr>
          <w:p>
            <w:pPr>
              <w:pStyle w:val="Compact"/>
              <w:spacing w:before="0" w:after="0" w:line="240" w:lineRule="auto"/>
              <w:jc w:val="left"/>
            </w:pPr>
            <w:r>
              <w:rPr>
                <w:rFonts w:ascii="Arial" w:hAnsi="Arial"/>
                <w:b/>
                <w:color w:val="FFFFFF"/>
                <w:sz w:val="15"/>
              </w:rPr>
              <w:t xml:space="preserve">P/Rev (x)</w:t>
            </w:r>
          </w:p>
        </w:tc>
        <w:tc>
          <w:tcPr>
            <w:tcW w:w="636" w:type="dxa"/>
            <w:shd w:val="clear" w:color="auto" w:fill="13213F"/>
          </w:tcPr>
          <w:p>
            <w:pPr>
              <w:pStyle w:val="Compact"/>
              <w:spacing w:before="0" w:after="0" w:line="240" w:lineRule="auto"/>
              <w:jc w:val="left"/>
            </w:pPr>
            <w:r>
              <w:rPr>
                <w:rFonts w:ascii="Arial" w:hAnsi="Arial"/>
                <w:b/>
                <w:color w:val="FFFFFF"/>
                <w:sz w:val="15"/>
              </w:rPr>
              <w:t xml:space="preserve">PBT margin</w:t>
            </w:r>
          </w:p>
        </w:tc>
      </w:tr>
      <w:tr>
        <w:trPr>
          <w:cantSplit/>
        </w:trPr>
        <w:tc>
          <w:tcPr>
            <w:tcW w:w="1441" w:type="dxa"/>
          </w:tcPr>
          <w:p>
            <w:pPr>
              <w:pStyle w:val="Compact"/>
              <w:spacing w:before="0" w:after="0" w:line="240" w:lineRule="auto"/>
              <w:jc w:val="left"/>
            </w:pPr>
            <w:r>
              <w:rPr>
                <w:bCs/>
                <w:rFonts w:ascii="Arial" w:hAnsi="Arial"/>
                <w:b/>
                <w:sz w:val="15"/>
              </w:rPr>
              <w:t xml:space="preserve">Halyk Bank</w:t>
            </w:r>
          </w:p>
        </w:tc>
        <w:tc>
          <w:tcPr>
            <w:tcW w:w="696" w:type="dxa"/>
          </w:tcPr>
          <w:p>
            <w:pPr>
              <w:pStyle w:val="Compact"/>
              <w:spacing w:before="0" w:after="0" w:line="240" w:lineRule="auto"/>
              <w:jc w:val="left"/>
            </w:pPr>
            <w:r>
              <w:rPr>
                <w:rFonts w:ascii="Arial" w:hAnsi="Arial"/>
                <w:sz w:val="15"/>
              </w:rPr>
              <w:t xml:space="preserve">HSBK LI / HSBK KZ</w:t>
            </w:r>
          </w:p>
        </w:tc>
        <w:tc>
          <w:tcPr>
            <w:tcW w:w="1280" w:type="dxa"/>
          </w:tcPr>
          <w:p>
            <w:pPr>
              <w:pStyle w:val="Compact"/>
              <w:spacing w:before="0" w:after="0" w:line="240" w:lineRule="auto"/>
              <w:jc w:val="left"/>
            </w:pPr>
            <w:r>
              <w:rPr>
                <w:rFonts w:ascii="Arial" w:hAnsi="Arial"/>
                <w:sz w:val="15"/>
              </w:rPr>
              <w:t xml:space="preserve">Yes (LSE, KASE, AIX)</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9.1</w:t>
            </w:r>
          </w:p>
        </w:tc>
        <w:tc>
          <w:tcPr>
            <w:tcW w:w="681" w:type="dxa"/>
          </w:tcPr>
          <w:p>
            <w:pPr>
              <w:pStyle w:val="Compact"/>
              <w:spacing w:before="0" w:after="0" w:line="240" w:lineRule="auto"/>
              <w:jc w:val="left"/>
            </w:pPr>
            <w:r>
              <w:rPr>
                <w:rFonts w:ascii="Arial" w:hAnsi="Arial"/>
                <w:sz w:val="15"/>
              </w:rPr>
              <w:t xml:space="preserve">4.2x</w:t>
            </w:r>
          </w:p>
        </w:tc>
        <w:tc>
          <w:tcPr>
            <w:tcW w:w="882" w:type="dxa"/>
          </w:tcPr>
          <w:p>
            <w:pPr>
              <w:pStyle w:val="Compact"/>
              <w:spacing w:before="0" w:after="0" w:line="240" w:lineRule="auto"/>
              <w:jc w:val="left"/>
            </w:pPr>
            <w:r>
              <w:rPr>
                <w:rFonts w:ascii="Arial" w:hAnsi="Arial"/>
                <w:sz w:val="15"/>
              </w:rPr>
              <w:t xml:space="preserve">1.12x</w:t>
            </w:r>
          </w:p>
        </w:tc>
        <w:tc>
          <w:tcPr>
            <w:tcW w:w="738" w:type="dxa"/>
          </w:tcPr>
          <w:p>
            <w:pPr>
              <w:pStyle w:val="Compact"/>
              <w:spacing w:before="0" w:after="0" w:line="240" w:lineRule="auto"/>
              <w:jc w:val="left"/>
            </w:pPr>
            <w:r>
              <w:rPr>
                <w:rFonts w:ascii="Arial" w:hAnsi="Arial"/>
                <w:sz w:val="15"/>
              </w:rPr>
              <w:t xml:space="preserve">~27% (LTM)</w:t>
            </w:r>
          </w:p>
        </w:tc>
        <w:tc>
          <w:tcPr>
            <w:tcW w:w="810" w:type="dxa"/>
          </w:tcPr>
          <w:p>
            <w:pPr>
              <w:pStyle w:val="Compact"/>
              <w:spacing w:before="0" w:after="0" w:line="240" w:lineRule="auto"/>
              <w:jc w:val="left"/>
            </w:pPr>
            <w:r>
              <w:rPr>
                <w:rFonts w:ascii="Arial" w:hAnsi="Arial"/>
                <w:sz w:val="15"/>
              </w:rPr>
              <w:t xml:space="preserve">15.6%</w:t>
            </w:r>
          </w:p>
        </w:tc>
        <w:tc>
          <w:tcPr>
            <w:tcW w:w="579" w:type="dxa"/>
          </w:tcPr>
          <w:p>
            <w:pPr>
              <w:pStyle w:val="Compact"/>
              <w:spacing w:before="0" w:after="0" w:line="240" w:lineRule="auto"/>
              <w:jc w:val="left"/>
            </w:pPr>
            <w:r>
              <w:rPr>
                <w:rFonts w:ascii="Arial" w:hAnsi="Arial"/>
                <w:sz w:val="15"/>
              </w:rPr>
              <w:t xml:space="preserve">2.3x</w:t>
            </w:r>
          </w:p>
        </w:tc>
        <w:tc>
          <w:tcPr>
            <w:tcW w:w="636" w:type="dxa"/>
          </w:tcPr>
          <w:p>
            <w:pPr>
              <w:pStyle w:val="Compact"/>
              <w:spacing w:before="0" w:after="0" w:line="240" w:lineRule="auto"/>
              <w:jc w:val="left"/>
            </w:pPr>
            <w:r>
              <w:rPr>
                <w:rFonts w:ascii="Arial" w:hAnsi="Arial"/>
                <w:sz w:val="15"/>
              </w:rPr>
              <w:t xml:space="preserve">74%</w:t>
            </w:r>
          </w:p>
        </w:tc>
      </w:tr>
      <w:tr>
        <w:trPr>
          <w:cantSplit/>
        </w:trPr>
        <w:tc>
          <w:tcPr>
            <w:tcW w:w="1441" w:type="dxa"/>
          </w:tcPr>
          <w:p>
            <w:pPr>
              <w:pStyle w:val="Compact"/>
              <w:spacing w:before="0" w:after="0" w:line="240" w:lineRule="auto"/>
              <w:jc w:val="left"/>
            </w:pPr>
            <w:r>
              <w:rPr>
                <w:rFonts w:ascii="Arial" w:hAnsi="Arial"/>
                <w:sz w:val="15"/>
              </w:rPr>
              <w:t xml:space="preserve">Kaspi.kz</w:t>
            </w:r>
          </w:p>
        </w:tc>
        <w:tc>
          <w:tcPr>
            <w:tcW w:w="696" w:type="dxa"/>
          </w:tcPr>
          <w:p>
            <w:pPr>
              <w:pStyle w:val="Compact"/>
              <w:spacing w:before="0" w:after="0" w:line="240" w:lineRule="auto"/>
              <w:jc w:val="left"/>
            </w:pPr>
            <w:r>
              <w:rPr>
                <w:rFonts w:ascii="Arial" w:hAnsi="Arial"/>
                <w:sz w:val="15"/>
              </w:rPr>
              <w:t xml:space="preserve">KSPI US</w:t>
            </w:r>
          </w:p>
        </w:tc>
        <w:tc>
          <w:tcPr>
            <w:tcW w:w="1280" w:type="dxa"/>
          </w:tcPr>
          <w:p>
            <w:pPr>
              <w:pStyle w:val="Compact"/>
              <w:spacing w:before="0" w:after="0" w:line="240" w:lineRule="auto"/>
              <w:jc w:val="left"/>
            </w:pPr>
            <w:r>
              <w:rPr>
                <w:rFonts w:ascii="Arial" w:hAnsi="Arial"/>
                <w:sz w:val="15"/>
              </w:rPr>
              <w:t xml:space="preserve">Yes (Nasdaq, KASE)</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~18.4</w:t>
            </w:r>
          </w:p>
        </w:tc>
        <w:tc>
          <w:tcPr>
            <w:tcW w:w="681" w:type="dxa"/>
          </w:tcPr>
          <w:p>
            <w:pPr>
              <w:pStyle w:val="Compact"/>
              <w:spacing w:before="0" w:after="0" w:line="240" w:lineRule="auto"/>
              <w:jc w:val="left"/>
            </w:pPr>
            <w:r>
              <w:rPr>
                <w:rFonts w:ascii="Arial" w:hAnsi="Arial"/>
                <w:sz w:val="15"/>
              </w:rPr>
              <w:t xml:space="preserve">~7.5x (fwd 7.3x)</w:t>
            </w:r>
          </w:p>
        </w:tc>
        <w:tc>
          <w:tcPr>
            <w:tcW w:w="882" w:type="dxa"/>
          </w:tcPr>
          <w:p>
            <w:pPr>
              <w:pStyle w:val="Compact"/>
              <w:spacing w:before="0" w:after="0" w:line="240" w:lineRule="auto"/>
              <w:jc w:val="left"/>
            </w:pPr>
            <w:r>
              <w:rPr>
                <w:rFonts w:ascii="Arial" w:hAnsi="Arial"/>
                <w:sz w:val="15"/>
              </w:rPr>
              <w:t xml:space="preserve">~3.7x</w:t>
            </w:r>
          </w:p>
        </w:tc>
        <w:tc>
          <w:tcPr>
            <w:tcW w:w="738" w:type="dxa"/>
          </w:tcPr>
          <w:p>
            <w:pPr>
              <w:pStyle w:val="Compact"/>
              <w:spacing w:before="0" w:after="0" w:line="240" w:lineRule="auto"/>
              <w:jc w:val="left"/>
            </w:pPr>
            <w:r>
              <w:rPr>
                <w:rFonts w:ascii="Arial" w:hAnsi="Arial"/>
                <w:sz w:val="15"/>
              </w:rPr>
              <w:t xml:space="preserve">~55% [u]</w:t>
            </w:r>
          </w:p>
        </w:tc>
        <w:tc>
          <w:tcPr>
            <w:tcW w:w="810" w:type="dxa"/>
          </w:tcPr>
          <w:p>
            <w:pPr>
              <w:pStyle w:val="Compact"/>
              <w:spacing w:before="0" w:after="0" w:line="240" w:lineRule="auto"/>
              <w:jc w:val="left"/>
            </w:pPr>
            <w:r>
              <w:rPr>
                <w:rFonts w:ascii="Arial" w:hAnsi="Arial"/>
                <w:sz w:val="15"/>
              </w:rPr>
              <w:t xml:space="preserve">~8.5%</w:t>
            </w:r>
          </w:p>
        </w:tc>
        <w:tc>
          <w:tcPr>
            <w:tcW w:w="579" w:type="dxa"/>
          </w:tcPr>
          <w:p>
            <w:pPr>
              <w:pStyle w:val="Compact"/>
              <w:spacing w:before="0" w:after="0" w:line="240" w:lineRule="auto"/>
              <w:jc w:val="left"/>
            </w:pPr>
            <w:r>
              <w:rPr>
                <w:rFonts w:ascii="Arial" w:hAnsi="Arial"/>
                <w:sz w:val="15"/>
              </w:rPr>
              <w:t xml:space="preserve">2.7x</w:t>
            </w:r>
          </w:p>
        </w:tc>
        <w:tc>
          <w:tcPr>
            <w:tcW w:w="636" w:type="dxa"/>
          </w:tcPr>
          <w:p>
            <w:pPr>
              <w:pStyle w:val="Compact"/>
              <w:spacing w:before="0" w:after="0" w:line="240" w:lineRule="auto"/>
              <w:jc w:val="left"/>
            </w:pPr>
            <w:r>
              <w:rPr>
                <w:rFonts w:ascii="Arial" w:hAnsi="Arial"/>
                <w:sz w:val="15"/>
              </w:rPr>
              <w:t xml:space="preserve">~42% [e]</w:t>
            </w:r>
          </w:p>
        </w:tc>
      </w:tr>
      <w:tr>
        <w:trPr>
          <w:cantSplit/>
        </w:trPr>
        <w:tc>
          <w:tcPr>
            <w:tcW w:w="1441" w:type="dxa"/>
          </w:tcPr>
          <w:p>
            <w:pPr>
              <w:pStyle w:val="Compact"/>
              <w:spacing w:before="0" w:after="0" w:line="240" w:lineRule="auto"/>
              <w:jc w:val="left"/>
            </w:pPr>
            <w:r>
              <w:rPr>
                <w:rFonts w:ascii="Arial" w:hAnsi="Arial"/>
                <w:sz w:val="15"/>
              </w:rPr>
              <w:t xml:space="preserve">Bank CenterCredit</w:t>
            </w:r>
          </w:p>
        </w:tc>
        <w:tc>
          <w:tcPr>
            <w:tcW w:w="696" w:type="dxa"/>
          </w:tcPr>
          <w:p>
            <w:pPr>
              <w:pStyle w:val="Compact"/>
              <w:spacing w:before="0" w:after="0" w:line="240" w:lineRule="auto"/>
              <w:jc w:val="left"/>
            </w:pPr>
            <w:r>
              <w:rPr>
                <w:rFonts w:ascii="Arial" w:hAnsi="Arial"/>
                <w:sz w:val="15"/>
              </w:rPr>
              <w:t xml:space="preserve">CCBN KZ</w:t>
            </w:r>
          </w:p>
        </w:tc>
        <w:tc>
          <w:tcPr>
            <w:tcW w:w="1280" w:type="dxa"/>
          </w:tcPr>
          <w:p>
            <w:pPr>
              <w:pStyle w:val="Compact"/>
              <w:spacing w:before="0" w:after="0" w:line="240" w:lineRule="auto"/>
              <w:jc w:val="left"/>
            </w:pPr>
            <w:r>
              <w:rPr>
                <w:rFonts w:ascii="Arial" w:hAnsi="Arial"/>
                <w:sz w:val="15"/>
              </w:rPr>
              <w:t xml:space="preserve">Yes (KASE, AIX)</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~1.9</w:t>
            </w:r>
          </w:p>
        </w:tc>
        <w:tc>
          <w:tcPr>
            <w:tcW w:w="681" w:type="dxa"/>
          </w:tcPr>
          <w:p>
            <w:pPr>
              <w:pStyle w:val="Compact"/>
              <w:spacing w:before="0" w:after="0" w:line="240" w:lineRule="auto"/>
              <w:jc w:val="left"/>
            </w:pPr>
            <w:r>
              <w:rPr>
                <w:rFonts w:ascii="Arial" w:hAnsi="Arial"/>
                <w:sz w:val="15"/>
              </w:rPr>
              <w:t xml:space="preserve">~3.1x</w:t>
            </w:r>
          </w:p>
        </w:tc>
        <w:tc>
          <w:tcPr>
            <w:tcW w:w="882" w:type="dxa"/>
          </w:tcPr>
          <w:p>
            <w:pPr>
              <w:pStyle w:val="Compact"/>
              <w:spacing w:before="0" w:after="0" w:line="240" w:lineRule="auto"/>
              <w:jc w:val="left"/>
            </w:pPr>
            <w:r>
              <w:rPr>
                <w:rFonts w:ascii="Arial" w:hAnsi="Arial"/>
                <w:sz w:val="15"/>
              </w:rPr>
              <w:t xml:space="preserve">~1.0x</w:t>
            </w:r>
          </w:p>
        </w:tc>
        <w:tc>
          <w:tcPr>
            <w:tcW w:w="738" w:type="dxa"/>
          </w:tcPr>
          <w:p>
            <w:pPr>
              <w:pStyle w:val="Compact"/>
              <w:spacing w:before="0" w:after="0" w:line="240" w:lineRule="auto"/>
              <w:jc w:val="left"/>
            </w:pPr>
            <w:r>
              <w:rPr>
                <w:rFonts w:ascii="Arial" w:hAnsi="Arial"/>
                <w:sz w:val="15"/>
              </w:rPr>
              <w:t xml:space="preserve">~36%</w:t>
            </w:r>
          </w:p>
        </w:tc>
        <w:tc>
          <w:tcPr>
            <w:tcW w:w="810" w:type="dxa"/>
          </w:tcPr>
          <w:p>
            <w:pPr>
              <w:pStyle w:val="Compact"/>
              <w:spacing w:before="0" w:after="0" w:line="240" w:lineRule="auto"/>
              <w:jc w:val="left"/>
            </w:pPr>
            <w:r>
              <w:rPr>
                <w:rFonts w:ascii="Arial" w:hAnsi="Arial"/>
                <w:sz w:val="15"/>
              </w:rPr>
              <w:t xml:space="preserve">0% (FY25 skipped)</w:t>
            </w:r>
          </w:p>
        </w:tc>
        <w:tc>
          <w:tcPr>
            <w:tcW w:w="579" w:type="dxa"/>
          </w:tcPr>
          <w:p>
            <w:pPr>
              <w:pStyle w:val="Compact"/>
              <w:spacing w:before="0" w:after="0" w:line="240" w:lineRule="auto"/>
              <w:jc w:val="left"/>
            </w:pPr>
            <w:r>
              <w:rPr>
                <w:rFonts w:ascii="Arial" w:hAnsi="Arial"/>
                <w:sz w:val="15"/>
              </w:rPr>
              <w:t xml:space="preserve">1.6x</w:t>
            </w:r>
          </w:p>
        </w:tc>
        <w:tc>
          <w:tcPr>
            <w:tcW w:w="636" w:type="dxa"/>
          </w:tcPr>
          <w:p>
            <w:pPr>
              <w:pStyle w:val="Compact"/>
              <w:spacing w:before="0" w:after="0" w:line="240" w:lineRule="auto"/>
              <w:jc w:val="left"/>
            </w:pPr>
            <w:r>
              <w:rPr>
                <w:rFonts w:ascii="Arial" w:hAnsi="Arial"/>
                <w:sz w:val="15"/>
              </w:rPr>
              <w:t xml:space="preserve">63%</w:t>
            </w:r>
          </w:p>
        </w:tc>
      </w:tr>
      <w:tr>
        <w:trPr>
          <w:cantSplit/>
        </w:trPr>
        <w:tc>
          <w:tcPr>
            <w:tcW w:w="1441" w:type="dxa"/>
          </w:tcPr>
          <w:p>
            <w:pPr>
              <w:pStyle w:val="Compact"/>
              <w:spacing w:before="0" w:after="0" w:line="240" w:lineRule="auto"/>
              <w:jc w:val="left"/>
            </w:pPr>
            <w:r>
              <w:rPr>
                <w:rFonts w:ascii="Arial" w:hAnsi="Arial"/>
                <w:sz w:val="15"/>
              </w:rPr>
              <w:t xml:space="preserve">Freedom Holding (Freedom Bank KZ)</w:t>
            </w:r>
          </w:p>
        </w:tc>
        <w:tc>
          <w:tcPr>
            <w:tcW w:w="696" w:type="dxa"/>
          </w:tcPr>
          <w:p>
            <w:pPr>
              <w:pStyle w:val="Compact"/>
              <w:spacing w:before="0" w:after="0" w:line="240" w:lineRule="auto"/>
              <w:jc w:val="left"/>
            </w:pPr>
            <w:r>
              <w:rPr>
                <w:rFonts w:ascii="Arial" w:hAnsi="Arial"/>
                <w:sz w:val="15"/>
              </w:rPr>
              <w:t xml:space="preserve">FRHC US</w:t>
            </w:r>
          </w:p>
        </w:tc>
        <w:tc>
          <w:tcPr>
            <w:tcW w:w="1280" w:type="dxa"/>
          </w:tcPr>
          <w:p>
            <w:pPr>
              <w:pStyle w:val="Compact"/>
              <w:spacing w:before="0" w:after="0" w:line="240" w:lineRule="auto"/>
              <w:jc w:val="left"/>
            </w:pPr>
            <w:r>
              <w:rPr>
                <w:rFonts w:ascii="Arial" w:hAnsi="Arial"/>
                <w:sz w:val="15"/>
              </w:rPr>
              <w:t xml:space="preserve">Yes (Nasdaq)</w:t>
            </w:r>
          </w:p>
        </w:tc>
        <w:tc>
          <w:tcPr>
            <w:tcW w:w="1505" w:type="dxa"/>
          </w:tcPr>
          <w:p>
            <w:pPr>
              <w:pStyle w:val="Compact"/>
              <w:spacing w:before="0" w:after="0" w:line="240" w:lineRule="auto"/>
              <w:jc w:val="left"/>
            </w:pPr>
            <w:r>
              <w:rPr>
                <w:rFonts w:ascii="Arial" w:hAnsi="Arial"/>
                <w:sz w:val="15"/>
              </w:rPr>
              <w:t xml:space="preserve">Kazakhstan/US</w:t>
            </w:r>
          </w:p>
        </w:tc>
        <w:tc>
          <w:tcPr>
            <w:tcW w:w="723" w:type="dxa"/>
          </w:tcPr>
          <w:p>
            <w:pPr>
              <w:pStyle w:val="Compact"/>
              <w:spacing w:before="0" w:after="0" w:line="240" w:lineRule="auto"/>
              <w:jc w:val="left"/>
            </w:pPr>
            <w:r>
              <w:rPr>
                <w:rFonts w:ascii="Arial" w:hAnsi="Arial"/>
                <w:sz w:val="15"/>
              </w:rPr>
              <w:t xml:space="preserve">~8</w:t>
            </w:r>
          </w:p>
        </w:tc>
        <w:tc>
          <w:tcPr>
            <w:tcW w:w="681" w:type="dxa"/>
          </w:tcPr>
          <w:p>
            <w:pPr>
              <w:pStyle w:val="Compact"/>
              <w:spacing w:before="0" w:after="0" w:line="240" w:lineRule="auto"/>
              <w:jc w:val="left"/>
            </w:pPr>
            <w:r>
              <w:rPr>
                <w:rFonts w:ascii="Arial" w:hAnsi="Arial"/>
                <w:sz w:val="15"/>
              </w:rPr>
              <w:t xml:space="preserve">NM</w:t>
            </w:r>
          </w:p>
        </w:tc>
        <w:tc>
          <w:tcPr>
            <w:tcW w:w="882" w:type="dxa"/>
          </w:tcPr>
          <w:p>
            <w:pPr>
              <w:pStyle w:val="Compact"/>
              <w:spacing w:before="0" w:after="0" w:line="240" w:lineRule="auto"/>
              <w:jc w:val="left"/>
            </w:pPr>
            <w:r>
              <w:rPr>
                <w:rFonts w:ascii="Arial" w:hAnsi="Arial"/>
                <w:sz w:val="15"/>
              </w:rPr>
              <w:t xml:space="preserve">n/a</w:t>
            </w:r>
          </w:p>
        </w:tc>
        <w:tc>
          <w:tcPr>
            <w:tcW w:w="738" w:type="dxa"/>
          </w:tcPr>
          <w:p>
            <w:pPr>
              <w:pStyle w:val="Compact"/>
              <w:spacing w:before="0" w:after="0" w:line="240" w:lineRule="auto"/>
              <w:jc w:val="left"/>
            </w:pPr>
            <w:r>
              <w:rPr>
                <w:rFonts w:ascii="Arial" w:hAnsi="Arial"/>
                <w:sz w:val="15"/>
              </w:rPr>
              <w:t xml:space="preserve">low</w:t>
            </w:r>
          </w:p>
        </w:tc>
        <w:tc>
          <w:tcPr>
            <w:tcW w:w="810" w:type="dxa"/>
          </w:tcPr>
          <w:p>
            <w:pPr>
              <w:pStyle w:val="Compact"/>
              <w:spacing w:before="0" w:after="0" w:line="240" w:lineRule="auto"/>
              <w:jc w:val="left"/>
            </w:pPr>
            <w:r>
              <w:rPr>
                <w:rFonts w:ascii="Arial" w:hAnsi="Arial"/>
                <w:sz w:val="15"/>
              </w:rPr>
              <w:t xml:space="preserve">n/a</w:t>
            </w:r>
          </w:p>
        </w:tc>
        <w:tc>
          <w:tcPr>
            <w:tcW w:w="579" w:type="dxa"/>
          </w:tcPr>
          <w:p>
            <w:pPr>
              <w:pStyle w:val="Compact"/>
              <w:spacing w:before="0" w:after="0" w:line="240" w:lineRule="auto"/>
              <w:jc w:val="left"/>
            </w:pPr>
            <w:r>
              <w:rPr>
                <w:rFonts w:ascii="Arial" w:hAnsi="Arial"/>
                <w:sz w:val="15"/>
              </w:rPr>
              <w:t xml:space="preserve">n/a</w:t>
            </w:r>
          </w:p>
        </w:tc>
        <w:tc>
          <w:tcPr>
            <w:tcW w:w="636" w:type="dxa"/>
          </w:tcPr>
          <w:p>
            <w:pPr>
              <w:pStyle w:val="Compact"/>
              <w:spacing w:before="0" w:after="0" w:line="240" w:lineRule="auto"/>
              <w:jc w:val="left"/>
            </w:pPr>
            <w:r>
              <w:rPr>
                <w:rFonts w:ascii="Arial" w:hAnsi="Arial"/>
                <w:sz w:val="15"/>
              </w:rPr>
              <w:t xml:space="preserve">n/a</w:t>
            </w:r>
          </w:p>
        </w:tc>
      </w:tr>
      <w:tr>
        <w:trPr>
          <w:cantSplit/>
        </w:trPr>
        <w:tc>
          <w:tcPr>
            <w:tcW w:w="1441" w:type="dxa"/>
          </w:tcPr>
          <w:p>
            <w:pPr>
              <w:pStyle w:val="Compact"/>
              <w:spacing w:before="0" w:after="0" w:line="240" w:lineRule="auto"/>
              <w:jc w:val="left"/>
            </w:pPr>
            <w:r>
              <w:rPr>
                <w:rFonts w:ascii="Arial" w:hAnsi="Arial"/>
                <w:sz w:val="15"/>
              </w:rPr>
              <w:t xml:space="preserve">ForteBank (incl. Home Credit KZ)</w:t>
            </w:r>
          </w:p>
        </w:tc>
        <w:tc>
          <w:tcPr>
            <w:tcW w:w="696" w:type="dxa"/>
          </w:tcPr>
          <w:p>
            <w:pPr>
              <w:pStyle w:val="Compact"/>
              <w:spacing w:before="0" w:after="0" w:line="240" w:lineRule="auto"/>
              <w:jc w:val="left"/>
            </w:pPr>
            <w:r>
              <w:rPr>
                <w:rFonts w:ascii="Arial" w:hAnsi="Arial"/>
                <w:sz w:val="15"/>
              </w:rPr>
              <w:t xml:space="preserve">ASBN KZ [u]</w:t>
            </w:r>
          </w:p>
        </w:tc>
        <w:tc>
          <w:tcPr>
            <w:tcW w:w="1280" w:type="dxa"/>
          </w:tcPr>
          <w:p>
            <w:pPr>
              <w:pStyle w:val="Compact"/>
              <w:spacing w:before="0" w:after="0" w:line="240" w:lineRule="auto"/>
              <w:jc w:val="left"/>
            </w:pPr>
            <w:r>
              <w:rPr>
                <w:rFonts w:ascii="Arial" w:hAnsi="Arial"/>
                <w:sz w:val="15"/>
              </w:rPr>
              <w:t xml:space="preserve">KASE (thin float)</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n/a</w:t>
            </w:r>
          </w:p>
        </w:tc>
        <w:tc>
          <w:tcPr>
            <w:tcW w:w="681" w:type="dxa"/>
          </w:tcPr>
          <w:p>
            <w:pPr>
              <w:pStyle w:val="Compact"/>
              <w:spacing w:before="0" w:after="0" w:line="240" w:lineRule="auto"/>
              <w:jc w:val="left"/>
            </w:pPr>
            <w:r>
              <w:rPr>
                <w:rFonts w:ascii="Arial" w:hAnsi="Arial"/>
                <w:sz w:val="15"/>
              </w:rPr>
              <w:t xml:space="preserve">n/a</w:t>
            </w:r>
          </w:p>
        </w:tc>
        <w:tc>
          <w:tcPr>
            <w:tcW w:w="882" w:type="dxa"/>
          </w:tcPr>
          <w:p>
            <w:pPr>
              <w:pStyle w:val="Compact"/>
              <w:spacing w:before="0" w:after="0" w:line="240" w:lineRule="auto"/>
              <w:jc w:val="left"/>
            </w:pPr>
            <w:r>
              <w:rPr>
                <w:rFonts w:ascii="Arial" w:hAnsi="Arial"/>
                <w:sz w:val="15"/>
              </w:rPr>
              <w:t xml:space="preserve">n/a</w:t>
            </w:r>
          </w:p>
        </w:tc>
        <w:tc>
          <w:tcPr>
            <w:tcW w:w="738" w:type="dxa"/>
          </w:tcPr>
          <w:p>
            <w:pPr>
              <w:pStyle w:val="Compact"/>
              <w:spacing w:before="0" w:after="0" w:line="240" w:lineRule="auto"/>
              <w:jc w:val="left"/>
            </w:pPr>
            <w:r>
              <w:rPr>
                <w:rFonts w:ascii="Arial" w:hAnsi="Arial"/>
                <w:sz w:val="15"/>
              </w:rPr>
              <w:t xml:space="preserve">n/a</w:t>
            </w:r>
          </w:p>
        </w:tc>
        <w:tc>
          <w:tcPr>
            <w:tcW w:w="810" w:type="dxa"/>
          </w:tcPr>
          <w:p>
            <w:pPr>
              <w:pStyle w:val="Compact"/>
              <w:spacing w:before="0" w:after="0" w:line="240" w:lineRule="auto"/>
              <w:jc w:val="left"/>
            </w:pPr>
            <w:r>
              <w:rPr>
                <w:rFonts w:ascii="Arial" w:hAnsi="Arial"/>
                <w:sz w:val="15"/>
              </w:rPr>
              <w:t xml:space="preserve">n/a</w:t>
            </w:r>
          </w:p>
        </w:tc>
        <w:tc>
          <w:tcPr>
            <w:tcW w:w="579" w:type="dxa"/>
          </w:tcPr>
          <w:p>
            <w:pPr>
              <w:pStyle w:val="Compact"/>
              <w:spacing w:before="0" w:after="0" w:line="240" w:lineRule="auto"/>
              <w:jc w:val="left"/>
            </w:pPr>
            <w:r>
              <w:rPr>
                <w:rFonts w:ascii="Arial" w:hAnsi="Arial"/>
                <w:sz w:val="15"/>
              </w:rPr>
              <w:t xml:space="preserve">n/a</w:t>
            </w:r>
          </w:p>
        </w:tc>
        <w:tc>
          <w:tcPr>
            <w:tcW w:w="636" w:type="dxa"/>
          </w:tcPr>
          <w:p>
            <w:pPr>
              <w:pStyle w:val="Compact"/>
              <w:spacing w:before="0" w:after="0" w:line="240" w:lineRule="auto"/>
              <w:jc w:val="left"/>
            </w:pPr>
            <w:r>
              <w:rPr>
                <w:rFonts w:ascii="Arial" w:hAnsi="Arial"/>
                <w:sz w:val="15"/>
              </w:rPr>
              <w:t xml:space="preserve">n/a</w:t>
            </w:r>
          </w:p>
        </w:tc>
      </w:tr>
      <w:tr>
        <w:trPr>
          <w:cantSplit/>
        </w:trPr>
        <w:tc>
          <w:tcPr>
            <w:tcW w:w="1441" w:type="dxa"/>
          </w:tcPr>
          <w:p>
            <w:pPr>
              <w:pStyle w:val="Compact"/>
              <w:spacing w:before="0" w:after="0" w:line="240" w:lineRule="auto"/>
              <w:jc w:val="left"/>
            </w:pPr>
            <w:r>
              <w:rPr>
                <w:rFonts w:ascii="Arial" w:hAnsi="Arial"/>
                <w:sz w:val="15"/>
              </w:rPr>
              <w:t xml:space="preserve">Otbasy Bank</w:t>
            </w:r>
          </w:p>
        </w:tc>
        <w:tc>
          <w:tcPr>
            <w:tcW w:w="696" w:type="dxa"/>
          </w:tcPr>
          <w:p>
            <w:pPr>
              <w:pStyle w:val="Compact"/>
              <w:spacing w:before="0" w:after="0" w:line="240" w:lineRule="auto"/>
              <w:jc w:val="left"/>
            </w:pPr>
            <w:r>
              <w:rPr>
                <w:rFonts w:ascii="Arial" w:hAnsi="Arial"/>
                <w:sz w:val="15"/>
              </w:rPr>
              <w:t xml:space="preserve">—</w:t>
            </w:r>
          </w:p>
        </w:tc>
        <w:tc>
          <w:tcPr>
            <w:tcW w:w="1280" w:type="dxa"/>
          </w:tcPr>
          <w:p>
            <w:pPr>
              <w:pStyle w:val="Compact"/>
              <w:spacing w:before="0" w:after="0" w:line="240" w:lineRule="auto"/>
              <w:jc w:val="left"/>
            </w:pPr>
            <w:r>
              <w:rPr>
                <w:rFonts w:ascii="Arial" w:hAnsi="Arial"/>
                <w:sz w:val="15"/>
              </w:rPr>
              <w:t xml:space="preserve">No (state, bonds only)</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w:t>
            </w:r>
          </w:p>
        </w:tc>
        <w:tc>
          <w:tcPr>
            <w:tcW w:w="681" w:type="dxa"/>
          </w:tcPr>
          <w:p>
            <w:pPr>
              <w:pStyle w:val="Compact"/>
              <w:spacing w:before="0" w:after="0" w:line="240" w:lineRule="auto"/>
              <w:jc w:val="left"/>
            </w:pPr>
            <w:r>
              <w:rPr>
                <w:rFonts w:ascii="Arial" w:hAnsi="Arial"/>
                <w:sz w:val="15"/>
              </w:rPr>
              <w:t xml:space="preserve">—</w:t>
            </w:r>
          </w:p>
        </w:tc>
        <w:tc>
          <w:tcPr>
            <w:tcW w:w="882" w:type="dxa"/>
          </w:tcPr>
          <w:p>
            <w:pPr>
              <w:pStyle w:val="Compact"/>
              <w:spacing w:before="0" w:after="0" w:line="240" w:lineRule="auto"/>
              <w:jc w:val="left"/>
            </w:pPr>
            <w:r>
              <w:rPr>
                <w:rFonts w:ascii="Arial" w:hAnsi="Arial"/>
                <w:sz w:val="15"/>
              </w:rPr>
              <w:t xml:space="preserve">—</w:t>
            </w:r>
          </w:p>
        </w:tc>
        <w:tc>
          <w:tcPr>
            <w:tcW w:w="738" w:type="dxa"/>
          </w:tcPr>
          <w:p>
            <w:pPr>
              <w:pStyle w:val="Compact"/>
              <w:spacing w:before="0" w:after="0" w:line="240" w:lineRule="auto"/>
              <w:jc w:val="left"/>
            </w:pPr>
            <w:r>
              <w:rPr>
                <w:rFonts w:ascii="Arial" w:hAnsi="Arial"/>
                <w:sz w:val="15"/>
              </w:rPr>
              <w:t xml:space="preserve">—</w:t>
            </w:r>
          </w:p>
        </w:tc>
        <w:tc>
          <w:tcPr>
            <w:tcW w:w="810" w:type="dxa"/>
          </w:tcPr>
          <w:p>
            <w:pPr>
              <w:pStyle w:val="Compact"/>
              <w:spacing w:before="0" w:after="0" w:line="240" w:lineRule="auto"/>
              <w:jc w:val="left"/>
            </w:pPr>
            <w:r>
              <w:rPr>
                <w:rFonts w:ascii="Arial" w:hAnsi="Arial"/>
                <w:sz w:val="15"/>
              </w:rPr>
              <w:t xml:space="preserve">—</w:t>
            </w:r>
          </w:p>
        </w:tc>
        <w:tc>
          <w:tcPr>
            <w:tcW w:w="579" w:type="dxa"/>
          </w:tcPr>
          <w:p>
            <w:pPr>
              <w:pStyle w:val="Compact"/>
              <w:spacing w:before="0" w:after="0" w:line="240" w:lineRule="auto"/>
              <w:jc w:val="left"/>
            </w:pPr>
            <w:r>
              <w:rPr>
                <w:rFonts w:ascii="Arial" w:hAnsi="Arial"/>
                <w:sz w:val="15"/>
              </w:rPr>
              <w:t xml:space="preserve">—</w:t>
            </w:r>
          </w:p>
        </w:tc>
        <w:tc>
          <w:tcPr>
            <w:tcW w:w="636" w:type="dxa"/>
          </w:tcPr>
          <w:p>
            <w:pPr>
              <w:pStyle w:val="Compact"/>
              <w:spacing w:before="0" w:after="0" w:line="240" w:lineRule="auto"/>
              <w:jc w:val="left"/>
            </w:pPr>
            <w:r>
              <w:rPr>
                <w:rFonts w:ascii="Arial" w:hAnsi="Arial"/>
                <w:sz w:val="15"/>
              </w:rPr>
              <w:t xml:space="preserve">—</w:t>
            </w:r>
          </w:p>
        </w:tc>
      </w:tr>
      <w:tr>
        <w:trPr>
          <w:cantSplit/>
        </w:trPr>
        <w:tc>
          <w:tcPr>
            <w:tcW w:w="1441" w:type="dxa"/>
          </w:tcPr>
          <w:p>
            <w:pPr>
              <w:pStyle w:val="Compact"/>
              <w:spacing w:before="0" w:after="0" w:line="240" w:lineRule="auto"/>
              <w:jc w:val="left"/>
            </w:pPr>
            <w:r>
              <w:rPr>
                <w:rFonts w:ascii="Arial" w:hAnsi="Arial"/>
                <w:sz w:val="15"/>
              </w:rPr>
              <w:t xml:space="preserve">Alatau City Bank (ex-Jusan)</w:t>
            </w:r>
          </w:p>
        </w:tc>
        <w:tc>
          <w:tcPr>
            <w:tcW w:w="696" w:type="dxa"/>
          </w:tcPr>
          <w:p>
            <w:pPr>
              <w:pStyle w:val="Compact"/>
              <w:spacing w:before="0" w:after="0" w:line="240" w:lineRule="auto"/>
              <w:jc w:val="left"/>
            </w:pPr>
            <w:r>
              <w:rPr>
                <w:rFonts w:ascii="Arial" w:hAnsi="Arial"/>
                <w:sz w:val="15"/>
              </w:rPr>
              <w:t xml:space="preserve">—</w:t>
            </w:r>
          </w:p>
        </w:tc>
        <w:tc>
          <w:tcPr>
            <w:tcW w:w="1280" w:type="dxa"/>
          </w:tcPr>
          <w:p>
            <w:pPr>
              <w:pStyle w:val="Compact"/>
              <w:spacing w:before="0" w:after="0" w:line="240" w:lineRule="auto"/>
              <w:jc w:val="left"/>
            </w:pPr>
            <w:r>
              <w:rPr>
                <w:rFonts w:ascii="Arial" w:hAnsi="Arial"/>
                <w:sz w:val="15"/>
              </w:rPr>
              <w:t xml:space="preserve">No (private; bonds on KASE)</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w:t>
            </w:r>
          </w:p>
        </w:tc>
        <w:tc>
          <w:tcPr>
            <w:tcW w:w="681" w:type="dxa"/>
          </w:tcPr>
          <w:p>
            <w:pPr>
              <w:pStyle w:val="Compact"/>
              <w:spacing w:before="0" w:after="0" w:line="240" w:lineRule="auto"/>
              <w:jc w:val="left"/>
            </w:pPr>
            <w:r>
              <w:rPr>
                <w:rFonts w:ascii="Arial" w:hAnsi="Arial"/>
                <w:sz w:val="15"/>
              </w:rPr>
              <w:t xml:space="preserve">—</w:t>
            </w:r>
          </w:p>
        </w:tc>
        <w:tc>
          <w:tcPr>
            <w:tcW w:w="882" w:type="dxa"/>
          </w:tcPr>
          <w:p>
            <w:pPr>
              <w:pStyle w:val="Compact"/>
              <w:spacing w:before="0" w:after="0" w:line="240" w:lineRule="auto"/>
              <w:jc w:val="left"/>
            </w:pPr>
            <w:r>
              <w:rPr>
                <w:rFonts w:ascii="Arial" w:hAnsi="Arial"/>
                <w:sz w:val="15"/>
              </w:rPr>
              <w:t xml:space="preserve">—</w:t>
            </w:r>
          </w:p>
        </w:tc>
        <w:tc>
          <w:tcPr>
            <w:tcW w:w="738" w:type="dxa"/>
          </w:tcPr>
          <w:p>
            <w:pPr>
              <w:pStyle w:val="Compact"/>
              <w:spacing w:before="0" w:after="0" w:line="240" w:lineRule="auto"/>
              <w:jc w:val="left"/>
            </w:pPr>
            <w:r>
              <w:rPr>
                <w:rFonts w:ascii="Arial" w:hAnsi="Arial"/>
                <w:sz w:val="15"/>
              </w:rPr>
              <w:t xml:space="preserve">—</w:t>
            </w:r>
          </w:p>
        </w:tc>
        <w:tc>
          <w:tcPr>
            <w:tcW w:w="810" w:type="dxa"/>
          </w:tcPr>
          <w:p>
            <w:pPr>
              <w:pStyle w:val="Compact"/>
              <w:spacing w:before="0" w:after="0" w:line="240" w:lineRule="auto"/>
              <w:jc w:val="left"/>
            </w:pPr>
            <w:r>
              <w:rPr>
                <w:rFonts w:ascii="Arial" w:hAnsi="Arial"/>
                <w:sz w:val="15"/>
              </w:rPr>
              <w:t xml:space="preserve">—</w:t>
            </w:r>
          </w:p>
        </w:tc>
        <w:tc>
          <w:tcPr>
            <w:tcW w:w="579" w:type="dxa"/>
          </w:tcPr>
          <w:p>
            <w:pPr>
              <w:pStyle w:val="Compact"/>
              <w:spacing w:before="0" w:after="0" w:line="240" w:lineRule="auto"/>
              <w:jc w:val="left"/>
            </w:pPr>
            <w:r>
              <w:rPr>
                <w:rFonts w:ascii="Arial" w:hAnsi="Arial"/>
                <w:sz w:val="15"/>
              </w:rPr>
              <w:t xml:space="preserve">—</w:t>
            </w:r>
          </w:p>
        </w:tc>
        <w:tc>
          <w:tcPr>
            <w:tcW w:w="636" w:type="dxa"/>
          </w:tcPr>
          <w:p>
            <w:pPr>
              <w:pStyle w:val="Compact"/>
              <w:spacing w:before="0" w:after="0" w:line="240" w:lineRule="auto"/>
              <w:jc w:val="left"/>
            </w:pPr>
            <w:r>
              <w:rPr>
                <w:rFonts w:ascii="Arial" w:hAnsi="Arial"/>
                <w:sz w:val="15"/>
              </w:rPr>
              <w:t xml:space="preserve">—</w:t>
            </w:r>
          </w:p>
        </w:tc>
      </w:tr>
      <w:tr>
        <w:trPr>
          <w:cantSplit/>
        </w:trPr>
        <w:tc>
          <w:tcPr>
            <w:tcW w:w="1441" w:type="dxa"/>
          </w:tcPr>
          <w:p>
            <w:pPr>
              <w:pStyle w:val="Compact"/>
              <w:spacing w:before="0" w:after="0" w:line="240" w:lineRule="auto"/>
              <w:jc w:val="left"/>
            </w:pPr>
            <w:r>
              <w:rPr>
                <w:rFonts w:ascii="Arial" w:hAnsi="Arial"/>
                <w:sz w:val="15"/>
              </w:rPr>
              <w:t xml:space="preserve">Bereke Bank (ex-Sberbank KZ)</w:t>
            </w:r>
          </w:p>
        </w:tc>
        <w:tc>
          <w:tcPr>
            <w:tcW w:w="696" w:type="dxa"/>
          </w:tcPr>
          <w:p>
            <w:pPr>
              <w:pStyle w:val="Compact"/>
              <w:spacing w:before="0" w:after="0" w:line="240" w:lineRule="auto"/>
              <w:jc w:val="left"/>
            </w:pPr>
            <w:r>
              <w:rPr>
                <w:rFonts w:ascii="Arial" w:hAnsi="Arial"/>
                <w:sz w:val="15"/>
              </w:rPr>
              <w:t xml:space="preserve">—</w:t>
            </w:r>
          </w:p>
        </w:tc>
        <w:tc>
          <w:tcPr>
            <w:tcW w:w="1280" w:type="dxa"/>
          </w:tcPr>
          <w:p>
            <w:pPr>
              <w:pStyle w:val="Compact"/>
              <w:spacing w:before="0" w:after="0" w:line="240" w:lineRule="auto"/>
              <w:jc w:val="left"/>
            </w:pPr>
            <w:r>
              <w:rPr>
                <w:rFonts w:ascii="Arial" w:hAnsi="Arial"/>
                <w:sz w:val="15"/>
              </w:rPr>
              <w:t xml:space="preserve">No (Lesha Bank, Qatar)</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w:t>
            </w:r>
          </w:p>
        </w:tc>
        <w:tc>
          <w:tcPr>
            <w:tcW w:w="681" w:type="dxa"/>
          </w:tcPr>
          <w:p>
            <w:pPr>
              <w:pStyle w:val="Compact"/>
              <w:spacing w:before="0" w:after="0" w:line="240" w:lineRule="auto"/>
              <w:jc w:val="left"/>
            </w:pPr>
            <w:r>
              <w:rPr>
                <w:rFonts w:ascii="Arial" w:hAnsi="Arial"/>
                <w:sz w:val="15"/>
              </w:rPr>
              <w:t xml:space="preserve">—</w:t>
            </w:r>
          </w:p>
        </w:tc>
        <w:tc>
          <w:tcPr>
            <w:tcW w:w="882" w:type="dxa"/>
          </w:tcPr>
          <w:p>
            <w:pPr>
              <w:pStyle w:val="Compact"/>
              <w:spacing w:before="0" w:after="0" w:line="240" w:lineRule="auto"/>
              <w:jc w:val="left"/>
            </w:pPr>
            <w:r>
              <w:rPr>
                <w:rFonts w:ascii="Arial" w:hAnsi="Arial"/>
                <w:sz w:val="15"/>
              </w:rPr>
              <w:t xml:space="preserve">—</w:t>
            </w:r>
          </w:p>
        </w:tc>
        <w:tc>
          <w:tcPr>
            <w:tcW w:w="738" w:type="dxa"/>
          </w:tcPr>
          <w:p>
            <w:pPr>
              <w:pStyle w:val="Compact"/>
              <w:spacing w:before="0" w:after="0" w:line="240" w:lineRule="auto"/>
              <w:jc w:val="left"/>
            </w:pPr>
            <w:r>
              <w:rPr>
                <w:rFonts w:ascii="Arial" w:hAnsi="Arial"/>
                <w:sz w:val="15"/>
              </w:rPr>
              <w:t xml:space="preserve">—</w:t>
            </w:r>
          </w:p>
        </w:tc>
        <w:tc>
          <w:tcPr>
            <w:tcW w:w="810" w:type="dxa"/>
          </w:tcPr>
          <w:p>
            <w:pPr>
              <w:pStyle w:val="Compact"/>
              <w:spacing w:before="0" w:after="0" w:line="240" w:lineRule="auto"/>
              <w:jc w:val="left"/>
            </w:pPr>
            <w:r>
              <w:rPr>
                <w:rFonts w:ascii="Arial" w:hAnsi="Arial"/>
                <w:sz w:val="15"/>
              </w:rPr>
              <w:t xml:space="preserve">—</w:t>
            </w:r>
          </w:p>
        </w:tc>
        <w:tc>
          <w:tcPr>
            <w:tcW w:w="579" w:type="dxa"/>
          </w:tcPr>
          <w:p>
            <w:pPr>
              <w:pStyle w:val="Compact"/>
              <w:spacing w:before="0" w:after="0" w:line="240" w:lineRule="auto"/>
              <w:jc w:val="left"/>
            </w:pPr>
            <w:r>
              <w:rPr>
                <w:rFonts w:ascii="Arial" w:hAnsi="Arial"/>
                <w:sz w:val="15"/>
              </w:rPr>
              <w:t xml:space="preserve">—</w:t>
            </w:r>
          </w:p>
        </w:tc>
        <w:tc>
          <w:tcPr>
            <w:tcW w:w="636" w:type="dxa"/>
          </w:tcPr>
          <w:p>
            <w:pPr>
              <w:pStyle w:val="Compact"/>
              <w:spacing w:before="0" w:after="0" w:line="240" w:lineRule="auto"/>
              <w:jc w:val="left"/>
            </w:pPr>
            <w:r>
              <w:rPr>
                <w:rFonts w:ascii="Arial" w:hAnsi="Arial"/>
                <w:sz w:val="15"/>
              </w:rPr>
              <w:t xml:space="preserve">—</w:t>
            </w:r>
          </w:p>
        </w:tc>
      </w:tr>
      <w:tr>
        <w:trPr>
          <w:cantSplit/>
        </w:trPr>
        <w:tc>
          <w:tcPr>
            <w:tcW w:w="1441" w:type="dxa"/>
          </w:tcPr>
          <w:p>
            <w:pPr>
              <w:pStyle w:val="Compact"/>
              <w:spacing w:before="0" w:after="0" w:line="240" w:lineRule="auto"/>
              <w:jc w:val="left"/>
            </w:pPr>
            <w:r>
              <w:rPr>
                <w:rFonts w:ascii="Arial" w:hAnsi="Arial"/>
                <w:sz w:val="15"/>
              </w:rPr>
              <w:t xml:space="preserve">Altyn Bank (40% Halyk)</w:t>
            </w:r>
          </w:p>
        </w:tc>
        <w:tc>
          <w:tcPr>
            <w:tcW w:w="696" w:type="dxa"/>
          </w:tcPr>
          <w:p>
            <w:pPr>
              <w:pStyle w:val="Compact"/>
              <w:spacing w:before="0" w:after="0" w:line="240" w:lineRule="auto"/>
              <w:jc w:val="left"/>
            </w:pPr>
            <w:r>
              <w:rPr>
                <w:rFonts w:ascii="Arial" w:hAnsi="Arial"/>
                <w:sz w:val="15"/>
              </w:rPr>
              <w:t xml:space="preserve">—</w:t>
            </w:r>
          </w:p>
        </w:tc>
        <w:tc>
          <w:tcPr>
            <w:tcW w:w="1280" w:type="dxa"/>
          </w:tcPr>
          <w:p>
            <w:pPr>
              <w:pStyle w:val="Compact"/>
              <w:spacing w:before="0" w:after="0" w:line="240" w:lineRule="auto"/>
              <w:jc w:val="left"/>
            </w:pPr>
            <w:r>
              <w:rPr>
                <w:rFonts w:ascii="Arial" w:hAnsi="Arial"/>
                <w:sz w:val="15"/>
              </w:rPr>
              <w:t xml:space="preserve">No (China CITIC 50.1%)</w:t>
            </w:r>
          </w:p>
        </w:tc>
        <w:tc>
          <w:tcPr>
            <w:tcW w:w="1505" w:type="dxa"/>
          </w:tcPr>
          <w:p>
            <w:pPr>
              <w:pStyle w:val="Compact"/>
              <w:spacing w:before="0" w:after="0" w:line="240" w:lineRule="auto"/>
              <w:jc w:val="left"/>
            </w:pPr>
            <w:r>
              <w:rPr>
                <w:rFonts w:ascii="Arial" w:hAnsi="Arial"/>
                <w:sz w:val="15"/>
              </w:rPr>
              <w:t xml:space="preserve">Kazakhstan</w:t>
            </w:r>
          </w:p>
        </w:tc>
        <w:tc>
          <w:tcPr>
            <w:tcW w:w="723" w:type="dxa"/>
          </w:tcPr>
          <w:p>
            <w:pPr>
              <w:pStyle w:val="Compact"/>
              <w:spacing w:before="0" w:after="0" w:line="240" w:lineRule="auto"/>
              <w:jc w:val="left"/>
            </w:pPr>
            <w:r>
              <w:rPr>
                <w:rFonts w:ascii="Arial" w:hAnsi="Arial"/>
                <w:sz w:val="15"/>
              </w:rPr>
              <w:t xml:space="preserve">—</w:t>
            </w:r>
          </w:p>
        </w:tc>
        <w:tc>
          <w:tcPr>
            <w:tcW w:w="681" w:type="dxa"/>
          </w:tcPr>
          <w:p>
            <w:pPr>
              <w:pStyle w:val="Compact"/>
              <w:spacing w:before="0" w:after="0" w:line="240" w:lineRule="auto"/>
              <w:jc w:val="left"/>
            </w:pPr>
            <w:r>
              <w:rPr>
                <w:rFonts w:ascii="Arial" w:hAnsi="Arial"/>
                <w:sz w:val="15"/>
              </w:rPr>
              <w:t xml:space="preserve">—</w:t>
            </w:r>
          </w:p>
        </w:tc>
        <w:tc>
          <w:tcPr>
            <w:tcW w:w="882" w:type="dxa"/>
          </w:tcPr>
          <w:p>
            <w:pPr>
              <w:pStyle w:val="Compact"/>
              <w:spacing w:before="0" w:after="0" w:line="240" w:lineRule="auto"/>
              <w:jc w:val="left"/>
            </w:pPr>
            <w:r>
              <w:rPr>
                <w:rFonts w:ascii="Arial" w:hAnsi="Arial"/>
                <w:sz w:val="15"/>
              </w:rPr>
              <w:t xml:space="preserve">—</w:t>
            </w:r>
          </w:p>
        </w:tc>
        <w:tc>
          <w:tcPr>
            <w:tcW w:w="738" w:type="dxa"/>
          </w:tcPr>
          <w:p>
            <w:pPr>
              <w:pStyle w:val="Compact"/>
              <w:spacing w:before="0" w:after="0" w:line="240" w:lineRule="auto"/>
              <w:jc w:val="left"/>
            </w:pPr>
            <w:r>
              <w:rPr>
                <w:rFonts w:ascii="Arial" w:hAnsi="Arial"/>
                <w:sz w:val="15"/>
              </w:rPr>
              <w:t xml:space="preserve">—</w:t>
            </w:r>
          </w:p>
        </w:tc>
        <w:tc>
          <w:tcPr>
            <w:tcW w:w="810" w:type="dxa"/>
          </w:tcPr>
          <w:p>
            <w:pPr>
              <w:pStyle w:val="Compact"/>
              <w:spacing w:before="0" w:after="0" w:line="240" w:lineRule="auto"/>
              <w:jc w:val="left"/>
            </w:pPr>
            <w:r>
              <w:rPr>
                <w:rFonts w:ascii="Arial" w:hAnsi="Arial"/>
                <w:sz w:val="15"/>
              </w:rPr>
              <w:t xml:space="preserve">—</w:t>
            </w:r>
          </w:p>
        </w:tc>
        <w:tc>
          <w:tcPr>
            <w:tcW w:w="579" w:type="dxa"/>
          </w:tcPr>
          <w:p>
            <w:pPr>
              <w:pStyle w:val="Compact"/>
              <w:spacing w:before="0" w:after="0" w:line="240" w:lineRule="auto"/>
              <w:jc w:val="left"/>
            </w:pPr>
            <w:r>
              <w:rPr>
                <w:rFonts w:ascii="Arial" w:hAnsi="Arial"/>
                <w:sz w:val="15"/>
              </w:rPr>
              <w:t xml:space="preserve">—</w:t>
            </w:r>
          </w:p>
        </w:tc>
        <w:tc>
          <w:tcPr>
            <w:tcW w:w="636" w:type="dxa"/>
          </w:tcPr>
          <w:p>
            <w:pPr>
              <w:pStyle w:val="Compact"/>
              <w:spacing w:before="0" w:after="0" w:line="240" w:lineRule="auto"/>
              <w:jc w:val="left"/>
            </w:pPr>
            <w:r>
              <w:rPr>
                <w:rFonts w:ascii="Arial" w:hAnsi="Arial"/>
                <w:sz w:val="15"/>
              </w:rPr>
              <w:t xml:space="preserve">—</w:t>
            </w:r>
          </w:p>
        </w:tc>
      </w:tr>
      <w:tr>
        <w:trPr>
          <w:cantSplit/>
        </w:trPr>
        <w:tc>
          <w:tcPr>
            <w:tcW w:w="1441" w:type="dxa"/>
          </w:tcPr>
          <w:p>
            <w:pPr>
              <w:pStyle w:val="Compact"/>
              <w:spacing w:before="0" w:after="0" w:line="240" w:lineRule="auto"/>
              <w:jc w:val="left"/>
            </w:pPr>
            <w:r>
              <w:rPr>
                <w:rFonts w:ascii="Arial" w:hAnsi="Arial"/>
                <w:sz w:val="15"/>
              </w:rPr>
              <w:t xml:space="preserve">Lion Finance Group (Bank of Georgia, Ameriabank)</w:t>
            </w:r>
          </w:p>
        </w:tc>
        <w:tc>
          <w:tcPr>
            <w:tcW w:w="696" w:type="dxa"/>
          </w:tcPr>
          <w:p>
            <w:pPr>
              <w:pStyle w:val="Compact"/>
              <w:spacing w:before="0" w:after="0" w:line="240" w:lineRule="auto"/>
              <w:jc w:val="left"/>
            </w:pPr>
            <w:r>
              <w:rPr>
                <w:rFonts w:ascii="Arial" w:hAnsi="Arial"/>
                <w:sz w:val="15"/>
              </w:rPr>
              <w:t xml:space="preserve">BGEO LN</w:t>
            </w:r>
          </w:p>
        </w:tc>
        <w:tc>
          <w:tcPr>
            <w:tcW w:w="1280" w:type="dxa"/>
          </w:tcPr>
          <w:p>
            <w:pPr>
              <w:pStyle w:val="Compact"/>
              <w:spacing w:before="0" w:after="0" w:line="240" w:lineRule="auto"/>
              <w:jc w:val="left"/>
            </w:pPr>
            <w:r>
              <w:rPr>
                <w:rFonts w:ascii="Arial" w:hAnsi="Arial"/>
                <w:sz w:val="15"/>
              </w:rPr>
              <w:t xml:space="preserve">Yes (LSE)</w:t>
            </w:r>
          </w:p>
        </w:tc>
        <w:tc>
          <w:tcPr>
            <w:tcW w:w="1505" w:type="dxa"/>
          </w:tcPr>
          <w:p>
            <w:pPr>
              <w:pStyle w:val="Compact"/>
              <w:spacing w:before="0" w:after="0" w:line="240" w:lineRule="auto"/>
              <w:jc w:val="left"/>
            </w:pPr>
            <w:r>
              <w:rPr>
                <w:rFonts w:ascii="Arial" w:hAnsi="Arial"/>
                <w:sz w:val="15"/>
              </w:rPr>
              <w:t xml:space="preserve">Georgia/Armenia</w:t>
            </w:r>
          </w:p>
        </w:tc>
        <w:tc>
          <w:tcPr>
            <w:tcW w:w="723" w:type="dxa"/>
          </w:tcPr>
          <w:p>
            <w:pPr>
              <w:pStyle w:val="Compact"/>
              <w:spacing w:before="0" w:after="0" w:line="240" w:lineRule="auto"/>
              <w:jc w:val="left"/>
            </w:pPr>
            <w:r>
              <w:rPr>
                <w:rFonts w:ascii="Arial" w:hAnsi="Arial"/>
                <w:sz w:val="15"/>
              </w:rPr>
              <w:t xml:space="preserve">~6.5</w:t>
            </w:r>
          </w:p>
        </w:tc>
        <w:tc>
          <w:tcPr>
            <w:tcW w:w="681" w:type="dxa"/>
          </w:tcPr>
          <w:p>
            <w:pPr>
              <w:pStyle w:val="Compact"/>
              <w:spacing w:before="0" w:after="0" w:line="240" w:lineRule="auto"/>
              <w:jc w:val="left"/>
            </w:pPr>
            <w:r>
              <w:rPr>
                <w:rFonts w:ascii="Arial" w:hAnsi="Arial"/>
                <w:sz w:val="15"/>
              </w:rPr>
              <w:t xml:space="preserve">~8.0x</w:t>
            </w:r>
          </w:p>
        </w:tc>
        <w:tc>
          <w:tcPr>
            <w:tcW w:w="882" w:type="dxa"/>
          </w:tcPr>
          <w:p>
            <w:pPr>
              <w:pStyle w:val="Compact"/>
              <w:spacing w:before="0" w:after="0" w:line="240" w:lineRule="auto"/>
              <w:jc w:val="left"/>
            </w:pPr>
            <w:r>
              <w:rPr>
                <w:rFonts w:ascii="Arial" w:hAnsi="Arial"/>
                <w:sz w:val="15"/>
              </w:rPr>
              <w:t xml:space="preserve">~1.9x</w:t>
            </w:r>
          </w:p>
        </w:tc>
        <w:tc>
          <w:tcPr>
            <w:tcW w:w="738" w:type="dxa"/>
          </w:tcPr>
          <w:p>
            <w:pPr>
              <w:pStyle w:val="Compact"/>
              <w:spacing w:before="0" w:after="0" w:line="240" w:lineRule="auto"/>
              <w:jc w:val="left"/>
            </w:pPr>
            <w:r>
              <w:rPr>
                <w:rFonts w:ascii="Arial" w:hAnsi="Arial"/>
                <w:sz w:val="15"/>
              </w:rPr>
              <w:t xml:space="preserve">27.2%</w:t>
            </w:r>
          </w:p>
        </w:tc>
        <w:tc>
          <w:tcPr>
            <w:tcW w:w="810" w:type="dxa"/>
          </w:tcPr>
          <w:p>
            <w:pPr>
              <w:pStyle w:val="Compact"/>
              <w:spacing w:before="0" w:after="0" w:line="240" w:lineRule="auto"/>
              <w:jc w:val="left"/>
            </w:pPr>
            <w:r>
              <w:rPr>
                <w:rFonts w:ascii="Arial" w:hAnsi="Arial"/>
                <w:sz w:val="15"/>
              </w:rPr>
              <w:t xml:space="preserve">n/a</w:t>
            </w:r>
          </w:p>
        </w:tc>
        <w:tc>
          <w:tcPr>
            <w:tcW w:w="579" w:type="dxa"/>
          </w:tcPr>
          <w:p>
            <w:pPr>
              <w:pStyle w:val="Compact"/>
              <w:spacing w:before="0" w:after="0" w:line="240" w:lineRule="auto"/>
              <w:jc w:val="left"/>
            </w:pPr>
            <w:r>
              <w:rPr>
                <w:rFonts w:ascii="Arial" w:hAnsi="Arial"/>
                <w:sz w:val="15"/>
              </w:rPr>
              <w:t xml:space="preserve">4.1x</w:t>
            </w:r>
          </w:p>
        </w:tc>
        <w:tc>
          <w:tcPr>
            <w:tcW w:w="636" w:type="dxa"/>
          </w:tcPr>
          <w:p>
            <w:pPr>
              <w:pStyle w:val="Compact"/>
              <w:spacing w:before="0" w:after="0" w:line="240" w:lineRule="auto"/>
              <w:jc w:val="left"/>
            </w:pPr>
            <w:r>
              <w:rPr>
                <w:rFonts w:ascii="Arial" w:hAnsi="Arial"/>
                <w:sz w:val="15"/>
              </w:rPr>
              <w:t xml:space="preserve">60%</w:t>
            </w:r>
          </w:p>
        </w:tc>
      </w:tr>
      <w:tr>
        <w:trPr>
          <w:cantSplit/>
        </w:trPr>
        <w:tc>
          <w:tcPr>
            <w:tcW w:w="1441" w:type="dxa"/>
          </w:tcPr>
          <w:p>
            <w:pPr>
              <w:pStyle w:val="Compact"/>
              <w:spacing w:before="0" w:after="0" w:line="240" w:lineRule="auto"/>
              <w:jc w:val="left"/>
            </w:pPr>
            <w:r>
              <w:rPr>
                <w:rFonts w:ascii="Arial" w:hAnsi="Arial"/>
                <w:sz w:val="15"/>
              </w:rPr>
              <w:t xml:space="preserve">TBC Bank Group</w:t>
            </w:r>
          </w:p>
        </w:tc>
        <w:tc>
          <w:tcPr>
            <w:tcW w:w="696" w:type="dxa"/>
          </w:tcPr>
          <w:p>
            <w:pPr>
              <w:pStyle w:val="Compact"/>
              <w:spacing w:before="0" w:after="0" w:line="240" w:lineRule="auto"/>
              <w:jc w:val="left"/>
            </w:pPr>
            <w:r>
              <w:rPr>
                <w:rFonts w:ascii="Arial" w:hAnsi="Arial"/>
                <w:sz w:val="15"/>
              </w:rPr>
              <w:t xml:space="preserve">TBCG LN</w:t>
            </w:r>
          </w:p>
        </w:tc>
        <w:tc>
          <w:tcPr>
            <w:tcW w:w="1280" w:type="dxa"/>
          </w:tcPr>
          <w:p>
            <w:pPr>
              <w:pStyle w:val="Compact"/>
              <w:spacing w:before="0" w:after="0" w:line="240" w:lineRule="auto"/>
              <w:jc w:val="left"/>
            </w:pPr>
            <w:r>
              <w:rPr>
                <w:rFonts w:ascii="Arial" w:hAnsi="Arial"/>
                <w:sz w:val="15"/>
              </w:rPr>
              <w:t xml:space="preserve">Yes (LSE)</w:t>
            </w:r>
          </w:p>
        </w:tc>
        <w:tc>
          <w:tcPr>
            <w:tcW w:w="1505" w:type="dxa"/>
          </w:tcPr>
          <w:p>
            <w:pPr>
              <w:pStyle w:val="Compact"/>
              <w:spacing w:before="0" w:after="0" w:line="240" w:lineRule="auto"/>
              <w:jc w:val="left"/>
            </w:pPr>
            <w:r>
              <w:rPr>
                <w:rFonts w:ascii="Arial" w:hAnsi="Arial"/>
                <w:sz w:val="15"/>
              </w:rPr>
              <w:t xml:space="preserve">Georgia/Uzbekistan</w:t>
            </w:r>
          </w:p>
        </w:tc>
        <w:tc>
          <w:tcPr>
            <w:tcW w:w="723" w:type="dxa"/>
          </w:tcPr>
          <w:p>
            <w:pPr>
              <w:pStyle w:val="Compact"/>
              <w:spacing w:before="0" w:after="0" w:line="240" w:lineRule="auto"/>
              <w:jc w:val="left"/>
            </w:pPr>
            <w:r>
              <w:rPr>
                <w:rFonts w:ascii="Arial" w:hAnsi="Arial"/>
                <w:sz w:val="15"/>
              </w:rPr>
              <w:t xml:space="preserve">~3.3</w:t>
            </w:r>
          </w:p>
        </w:tc>
        <w:tc>
          <w:tcPr>
            <w:tcW w:w="681" w:type="dxa"/>
          </w:tcPr>
          <w:p>
            <w:pPr>
              <w:pStyle w:val="Compact"/>
              <w:spacing w:before="0" w:after="0" w:line="240" w:lineRule="auto"/>
              <w:jc w:val="left"/>
            </w:pPr>
            <w:r>
              <w:rPr>
                <w:rFonts w:ascii="Arial" w:hAnsi="Arial"/>
                <w:sz w:val="15"/>
              </w:rPr>
              <w:t xml:space="preserve">5.9x</w:t>
            </w:r>
          </w:p>
        </w:tc>
        <w:tc>
          <w:tcPr>
            <w:tcW w:w="882" w:type="dxa"/>
          </w:tcPr>
          <w:p>
            <w:pPr>
              <w:pStyle w:val="Compact"/>
              <w:spacing w:before="0" w:after="0" w:line="240" w:lineRule="auto"/>
              <w:jc w:val="left"/>
            </w:pPr>
            <w:r>
              <w:rPr>
                <w:rFonts w:ascii="Arial" w:hAnsi="Arial"/>
                <w:sz w:val="15"/>
              </w:rPr>
              <w:t xml:space="preserve">1.4x</w:t>
            </w:r>
          </w:p>
        </w:tc>
        <w:tc>
          <w:tcPr>
            <w:tcW w:w="738" w:type="dxa"/>
          </w:tcPr>
          <w:p>
            <w:pPr>
              <w:pStyle w:val="Compact"/>
              <w:spacing w:before="0" w:after="0" w:line="240" w:lineRule="auto"/>
              <w:jc w:val="left"/>
            </w:pPr>
            <w:r>
              <w:rPr>
                <w:rFonts w:ascii="Arial" w:hAnsi="Arial"/>
                <w:sz w:val="15"/>
              </w:rPr>
              <w:t xml:space="preserve">~24%</w:t>
            </w:r>
          </w:p>
        </w:tc>
        <w:tc>
          <w:tcPr>
            <w:tcW w:w="810" w:type="dxa"/>
          </w:tcPr>
          <w:p>
            <w:pPr>
              <w:pStyle w:val="Compact"/>
              <w:spacing w:before="0" w:after="0" w:line="240" w:lineRule="auto"/>
              <w:jc w:val="left"/>
            </w:pPr>
            <w:r>
              <w:rPr>
                <w:rFonts w:ascii="Arial" w:hAnsi="Arial"/>
                <w:sz w:val="15"/>
              </w:rPr>
              <w:t xml:space="preserve">~6%</w:t>
            </w:r>
          </w:p>
        </w:tc>
        <w:tc>
          <w:tcPr>
            <w:tcW w:w="579" w:type="dxa"/>
          </w:tcPr>
          <w:p>
            <w:pPr>
              <w:pStyle w:val="Compact"/>
              <w:spacing w:before="0" w:after="0" w:line="240" w:lineRule="auto"/>
              <w:jc w:val="left"/>
            </w:pPr>
            <w:r>
              <w:rPr>
                <w:rFonts w:ascii="Arial" w:hAnsi="Arial"/>
                <w:sz w:val="15"/>
              </w:rPr>
              <w:t xml:space="preserve">2.5x</w:t>
            </w:r>
          </w:p>
        </w:tc>
        <w:tc>
          <w:tcPr>
            <w:tcW w:w="636" w:type="dxa"/>
          </w:tcPr>
          <w:p>
            <w:pPr>
              <w:pStyle w:val="Compact"/>
              <w:spacing w:before="0" w:after="0" w:line="240" w:lineRule="auto"/>
              <w:jc w:val="left"/>
            </w:pPr>
            <w:r>
              <w:rPr>
                <w:rFonts w:ascii="Arial" w:hAnsi="Arial"/>
                <w:sz w:val="15"/>
              </w:rPr>
              <w:t xml:space="preserve">49%</w:t>
            </w:r>
          </w:p>
        </w:tc>
      </w:tr>
      <w:tr>
        <w:trPr>
          <w:cantSplit/>
        </w:trPr>
        <w:tc>
          <w:tcPr>
            <w:tcW w:w="1441" w:type="dxa"/>
          </w:tcPr>
          <w:p>
            <w:pPr>
              <w:pStyle w:val="Compact"/>
              <w:spacing w:before="0" w:after="0" w:line="240" w:lineRule="auto"/>
              <w:jc w:val="left"/>
            </w:pPr>
            <w:r>
              <w:rPr>
                <w:rFonts w:ascii="Arial" w:hAnsi="Arial"/>
                <w:sz w:val="15"/>
              </w:rPr>
              <w:t xml:space="preserve">OTP Bank</w:t>
            </w:r>
          </w:p>
        </w:tc>
        <w:tc>
          <w:tcPr>
            <w:tcW w:w="696" w:type="dxa"/>
          </w:tcPr>
          <w:p>
            <w:pPr>
              <w:pStyle w:val="Compact"/>
              <w:spacing w:before="0" w:after="0" w:line="240" w:lineRule="auto"/>
              <w:jc w:val="left"/>
            </w:pPr>
            <w:r>
              <w:rPr>
                <w:rFonts w:ascii="Arial" w:hAnsi="Arial"/>
                <w:sz w:val="15"/>
              </w:rPr>
              <w:t xml:space="preserve">OTP HB</w:t>
            </w:r>
          </w:p>
        </w:tc>
        <w:tc>
          <w:tcPr>
            <w:tcW w:w="1280" w:type="dxa"/>
          </w:tcPr>
          <w:p>
            <w:pPr>
              <w:pStyle w:val="Compact"/>
              <w:spacing w:before="0" w:after="0" w:line="240" w:lineRule="auto"/>
              <w:jc w:val="left"/>
            </w:pPr>
            <w:r>
              <w:rPr>
                <w:rFonts w:ascii="Arial" w:hAnsi="Arial"/>
                <w:sz w:val="15"/>
              </w:rPr>
              <w:t xml:space="preserve">Yes (Budapest)</w:t>
            </w:r>
          </w:p>
        </w:tc>
        <w:tc>
          <w:tcPr>
            <w:tcW w:w="1505" w:type="dxa"/>
          </w:tcPr>
          <w:p>
            <w:pPr>
              <w:pStyle w:val="Compact"/>
              <w:spacing w:before="0" w:after="0" w:line="240" w:lineRule="auto"/>
              <w:jc w:val="left"/>
            </w:pPr>
            <w:r>
              <w:rPr>
                <w:rFonts w:ascii="Arial" w:hAnsi="Arial"/>
                <w:sz w:val="15"/>
              </w:rPr>
              <w:t xml:space="preserve">Hungary/CEE/CIS</w:t>
            </w:r>
          </w:p>
        </w:tc>
        <w:tc>
          <w:tcPr>
            <w:tcW w:w="723" w:type="dxa"/>
          </w:tcPr>
          <w:p>
            <w:pPr>
              <w:pStyle w:val="Compact"/>
              <w:spacing w:before="0" w:after="0" w:line="240" w:lineRule="auto"/>
              <w:jc w:val="left"/>
            </w:pPr>
            <w:r>
              <w:rPr>
                <w:rFonts w:ascii="Arial" w:hAnsi="Arial"/>
                <w:sz w:val="15"/>
              </w:rPr>
              <w:t xml:space="preserve">~38</w:t>
            </w:r>
          </w:p>
        </w:tc>
        <w:tc>
          <w:tcPr>
            <w:tcW w:w="681" w:type="dxa"/>
          </w:tcPr>
          <w:p>
            <w:pPr>
              <w:pStyle w:val="Compact"/>
              <w:spacing w:before="0" w:after="0" w:line="240" w:lineRule="auto"/>
              <w:jc w:val="left"/>
            </w:pPr>
            <w:r>
              <w:rPr>
                <w:rFonts w:ascii="Arial" w:hAnsi="Arial"/>
                <w:sz w:val="15"/>
              </w:rPr>
              <w:t xml:space="preserve">~11.1x</w:t>
            </w:r>
          </w:p>
        </w:tc>
        <w:tc>
          <w:tcPr>
            <w:tcW w:w="882" w:type="dxa"/>
          </w:tcPr>
          <w:p>
            <w:pPr>
              <w:pStyle w:val="Compact"/>
              <w:spacing w:before="0" w:after="0" w:line="240" w:lineRule="auto"/>
              <w:jc w:val="left"/>
            </w:pPr>
            <w:r>
              <w:rPr>
                <w:rFonts w:ascii="Arial" w:hAnsi="Arial"/>
                <w:sz w:val="15"/>
              </w:rPr>
              <w:t xml:space="preserve">~2.3x [e]</w:t>
            </w:r>
          </w:p>
        </w:tc>
        <w:tc>
          <w:tcPr>
            <w:tcW w:w="738" w:type="dxa"/>
          </w:tcPr>
          <w:p>
            <w:pPr>
              <w:pStyle w:val="Compact"/>
              <w:spacing w:before="0" w:after="0" w:line="240" w:lineRule="auto"/>
              <w:jc w:val="left"/>
            </w:pPr>
            <w:r>
              <w:rPr>
                <w:rFonts w:ascii="Arial" w:hAnsi="Arial"/>
                <w:sz w:val="15"/>
              </w:rPr>
              <w:t xml:space="preserve">21.6%</w:t>
            </w:r>
          </w:p>
        </w:tc>
        <w:tc>
          <w:tcPr>
            <w:tcW w:w="810" w:type="dxa"/>
          </w:tcPr>
          <w:p>
            <w:pPr>
              <w:pStyle w:val="Compact"/>
              <w:spacing w:before="0" w:after="0" w:line="240" w:lineRule="auto"/>
              <w:jc w:val="left"/>
            </w:pPr>
            <w:r>
              <w:rPr>
                <w:rFonts w:ascii="Arial" w:hAnsi="Arial"/>
                <w:sz w:val="15"/>
              </w:rPr>
              <w:t xml:space="preserve">n/a</w:t>
            </w:r>
          </w:p>
        </w:tc>
        <w:tc>
          <w:tcPr>
            <w:tcW w:w="579" w:type="dxa"/>
          </w:tcPr>
          <w:p>
            <w:pPr>
              <w:pStyle w:val="Compact"/>
              <w:spacing w:before="0" w:after="0" w:line="240" w:lineRule="auto"/>
              <w:jc w:val="left"/>
            </w:pPr>
            <w:r>
              <w:rPr>
                <w:rFonts w:ascii="Arial" w:hAnsi="Arial"/>
                <w:sz w:val="15"/>
              </w:rPr>
              <w:t xml:space="preserve">4.4x</w:t>
            </w:r>
          </w:p>
        </w:tc>
        <w:tc>
          <w:tcPr>
            <w:tcW w:w="636" w:type="dxa"/>
          </w:tcPr>
          <w:p>
            <w:pPr>
              <w:pStyle w:val="Compact"/>
              <w:spacing w:before="0" w:after="0" w:line="240" w:lineRule="auto"/>
              <w:jc w:val="left"/>
            </w:pPr>
            <w:r>
              <w:rPr>
                <w:rFonts w:ascii="Arial" w:hAnsi="Arial"/>
                <w:sz w:val="15"/>
              </w:rPr>
              <w:t xml:space="preserve">52%</w:t>
            </w:r>
          </w:p>
        </w:tc>
      </w:tr>
      <w:tr>
        <w:trPr>
          <w:cantSplit/>
        </w:trPr>
        <w:tc>
          <w:tcPr>
            <w:tcW w:w="1441" w:type="dxa"/>
          </w:tcPr>
          <w:p>
            <w:pPr>
              <w:pStyle w:val="Compact"/>
              <w:spacing w:before="0" w:after="0" w:line="240" w:lineRule="auto"/>
              <w:jc w:val="left"/>
            </w:pPr>
            <w:r>
              <w:rPr>
                <w:rFonts w:ascii="Arial" w:hAnsi="Arial"/>
                <w:sz w:val="15"/>
              </w:rPr>
              <w:t xml:space="preserve">PKO Bank Polski</w:t>
            </w:r>
          </w:p>
        </w:tc>
        <w:tc>
          <w:tcPr>
            <w:tcW w:w="696" w:type="dxa"/>
          </w:tcPr>
          <w:p>
            <w:pPr>
              <w:pStyle w:val="Compact"/>
              <w:spacing w:before="0" w:after="0" w:line="240" w:lineRule="auto"/>
              <w:jc w:val="left"/>
            </w:pPr>
            <w:r>
              <w:rPr>
                <w:rFonts w:ascii="Arial" w:hAnsi="Arial"/>
                <w:sz w:val="15"/>
              </w:rPr>
              <w:t xml:space="preserve">PKO PW</w:t>
            </w:r>
          </w:p>
        </w:tc>
        <w:tc>
          <w:tcPr>
            <w:tcW w:w="1280" w:type="dxa"/>
          </w:tcPr>
          <w:p>
            <w:pPr>
              <w:pStyle w:val="Compact"/>
              <w:spacing w:before="0" w:after="0" w:line="240" w:lineRule="auto"/>
              <w:jc w:val="left"/>
            </w:pPr>
            <w:r>
              <w:rPr>
                <w:rFonts w:ascii="Arial" w:hAnsi="Arial"/>
                <w:sz w:val="15"/>
              </w:rPr>
              <w:t xml:space="preserve">Yes (Warsaw)</w:t>
            </w:r>
          </w:p>
        </w:tc>
        <w:tc>
          <w:tcPr>
            <w:tcW w:w="1505" w:type="dxa"/>
          </w:tcPr>
          <w:p>
            <w:pPr>
              <w:pStyle w:val="Compact"/>
              <w:spacing w:before="0" w:after="0" w:line="240" w:lineRule="auto"/>
              <w:jc w:val="left"/>
            </w:pPr>
            <w:r>
              <w:rPr>
                <w:rFonts w:ascii="Arial" w:hAnsi="Arial"/>
                <w:sz w:val="15"/>
              </w:rPr>
              <w:t xml:space="preserve">Poland</w:t>
            </w:r>
          </w:p>
        </w:tc>
        <w:tc>
          <w:tcPr>
            <w:tcW w:w="723" w:type="dxa"/>
          </w:tcPr>
          <w:p>
            <w:pPr>
              <w:pStyle w:val="Compact"/>
              <w:spacing w:before="0" w:after="0" w:line="240" w:lineRule="auto"/>
              <w:jc w:val="left"/>
            </w:pPr>
            <w:r>
              <w:rPr>
                <w:rFonts w:ascii="Arial" w:hAnsi="Arial"/>
                <w:sz w:val="15"/>
              </w:rPr>
              <w:t xml:space="preserve">~41</w:t>
            </w:r>
          </w:p>
        </w:tc>
        <w:tc>
          <w:tcPr>
            <w:tcW w:w="681" w:type="dxa"/>
          </w:tcPr>
          <w:p>
            <w:pPr>
              <w:pStyle w:val="Compact"/>
              <w:spacing w:before="0" w:after="0" w:line="240" w:lineRule="auto"/>
              <w:jc w:val="left"/>
            </w:pPr>
            <w:r>
              <w:rPr>
                <w:rFonts w:ascii="Arial" w:hAnsi="Arial"/>
                <w:sz w:val="15"/>
              </w:rPr>
              <w:t xml:space="preserve">~14.0x</w:t>
            </w:r>
          </w:p>
        </w:tc>
        <w:tc>
          <w:tcPr>
            <w:tcW w:w="882" w:type="dxa"/>
          </w:tcPr>
          <w:p>
            <w:pPr>
              <w:pStyle w:val="Compact"/>
              <w:spacing w:before="0" w:after="0" w:line="240" w:lineRule="auto"/>
              <w:jc w:val="left"/>
            </w:pPr>
            <w:r>
              <w:rPr>
                <w:rFonts w:ascii="Arial" w:hAnsi="Arial"/>
                <w:sz w:val="15"/>
              </w:rPr>
              <w:t xml:space="preserve">2.56x</w:t>
            </w:r>
          </w:p>
        </w:tc>
        <w:tc>
          <w:tcPr>
            <w:tcW w:w="738" w:type="dxa"/>
          </w:tcPr>
          <w:p>
            <w:pPr>
              <w:pStyle w:val="Compact"/>
              <w:spacing w:before="0" w:after="0" w:line="240" w:lineRule="auto"/>
              <w:jc w:val="left"/>
            </w:pPr>
            <w:r>
              <w:rPr>
                <w:rFonts w:ascii="Arial" w:hAnsi="Arial"/>
                <w:sz w:val="15"/>
              </w:rPr>
              <w:t xml:space="preserve">19.5%</w:t>
            </w:r>
          </w:p>
        </w:tc>
        <w:tc>
          <w:tcPr>
            <w:tcW w:w="810" w:type="dxa"/>
          </w:tcPr>
          <w:p>
            <w:pPr>
              <w:pStyle w:val="Compact"/>
              <w:spacing w:before="0" w:after="0" w:line="240" w:lineRule="auto"/>
              <w:jc w:val="left"/>
            </w:pPr>
            <w:r>
              <w:rPr>
                <w:rFonts w:ascii="Arial" w:hAnsi="Arial"/>
                <w:sz w:val="15"/>
              </w:rPr>
              <w:t xml:space="preserve">~5%</w:t>
            </w:r>
          </w:p>
        </w:tc>
        <w:tc>
          <w:tcPr>
            <w:tcW w:w="579" w:type="dxa"/>
          </w:tcPr>
          <w:p>
            <w:pPr>
              <w:pStyle w:val="Compact"/>
              <w:spacing w:before="0" w:after="0" w:line="240" w:lineRule="auto"/>
              <w:jc w:val="left"/>
            </w:pPr>
            <w:r>
              <w:rPr>
                <w:rFonts w:ascii="Arial" w:hAnsi="Arial"/>
                <w:sz w:val="15"/>
              </w:rPr>
              <w:t xml:space="preserve">4.8x</w:t>
            </w:r>
          </w:p>
        </w:tc>
        <w:tc>
          <w:tcPr>
            <w:tcW w:w="636" w:type="dxa"/>
          </w:tcPr>
          <w:p>
            <w:pPr>
              <w:pStyle w:val="Compact"/>
              <w:spacing w:before="0" w:after="0" w:line="240" w:lineRule="auto"/>
              <w:jc w:val="left"/>
            </w:pPr>
            <w:r>
              <w:rPr>
                <w:rFonts w:ascii="Arial" w:hAnsi="Arial"/>
                <w:sz w:val="15"/>
              </w:rPr>
              <w:t xml:space="preserve">45%</w:t>
            </w:r>
          </w:p>
        </w:tc>
      </w:tr>
      <w:tr>
        <w:trPr>
          <w:cantSplit/>
        </w:trPr>
        <w:tc>
          <w:tcPr>
            <w:tcW w:w="1441" w:type="dxa"/>
          </w:tcPr>
          <w:p>
            <w:pPr>
              <w:pStyle w:val="Compact"/>
              <w:spacing w:before="0" w:after="0" w:line="240" w:lineRule="auto"/>
              <w:jc w:val="left"/>
            </w:pPr>
            <w:r>
              <w:rPr>
                <w:rFonts w:ascii="Arial" w:hAnsi="Arial"/>
                <w:sz w:val="15"/>
              </w:rPr>
              <w:t xml:space="preserve">Garanti BBVA</w:t>
            </w:r>
          </w:p>
        </w:tc>
        <w:tc>
          <w:tcPr>
            <w:tcW w:w="696" w:type="dxa"/>
          </w:tcPr>
          <w:p>
            <w:pPr>
              <w:pStyle w:val="Compact"/>
              <w:spacing w:before="0" w:after="0" w:line="240" w:lineRule="auto"/>
              <w:jc w:val="left"/>
            </w:pPr>
            <w:r>
              <w:rPr>
                <w:rFonts w:ascii="Arial" w:hAnsi="Arial"/>
                <w:sz w:val="15"/>
              </w:rPr>
              <w:t xml:space="preserve">GARAN TI</w:t>
            </w:r>
          </w:p>
        </w:tc>
        <w:tc>
          <w:tcPr>
            <w:tcW w:w="1280" w:type="dxa"/>
          </w:tcPr>
          <w:p>
            <w:pPr>
              <w:pStyle w:val="Compact"/>
              <w:spacing w:before="0" w:after="0" w:line="240" w:lineRule="auto"/>
              <w:jc w:val="left"/>
            </w:pPr>
            <w:r>
              <w:rPr>
                <w:rFonts w:ascii="Arial" w:hAnsi="Arial"/>
                <w:sz w:val="15"/>
              </w:rPr>
              <w:t xml:space="preserve">Yes (Istanbul)</w:t>
            </w:r>
          </w:p>
        </w:tc>
        <w:tc>
          <w:tcPr>
            <w:tcW w:w="1505" w:type="dxa"/>
          </w:tcPr>
          <w:p>
            <w:pPr>
              <w:pStyle w:val="Compact"/>
              <w:spacing w:before="0" w:after="0" w:line="240" w:lineRule="auto"/>
              <w:jc w:val="left"/>
            </w:pPr>
            <w:r>
              <w:rPr>
                <w:rFonts w:ascii="Arial" w:hAnsi="Arial"/>
                <w:sz w:val="15"/>
              </w:rPr>
              <w:t xml:space="preserve">Turkey</w:t>
            </w:r>
          </w:p>
        </w:tc>
        <w:tc>
          <w:tcPr>
            <w:tcW w:w="723" w:type="dxa"/>
          </w:tcPr>
          <w:p>
            <w:pPr>
              <w:pStyle w:val="Compact"/>
              <w:spacing w:before="0" w:after="0" w:line="240" w:lineRule="auto"/>
              <w:jc w:val="left"/>
            </w:pPr>
            <w:r>
              <w:rPr>
                <w:rFonts w:ascii="Arial" w:hAnsi="Arial"/>
                <w:sz w:val="15"/>
              </w:rPr>
              <w:t xml:space="preserve">n/a</w:t>
            </w:r>
          </w:p>
        </w:tc>
        <w:tc>
          <w:tcPr>
            <w:tcW w:w="681" w:type="dxa"/>
          </w:tcPr>
          <w:p>
            <w:pPr>
              <w:pStyle w:val="Compact"/>
              <w:spacing w:before="0" w:after="0" w:line="240" w:lineRule="auto"/>
              <w:jc w:val="left"/>
            </w:pPr>
            <w:r>
              <w:rPr>
                <w:rFonts w:ascii="Arial" w:hAnsi="Arial"/>
                <w:sz w:val="15"/>
              </w:rPr>
              <w:t xml:space="preserve">~4.1x</w:t>
            </w:r>
          </w:p>
        </w:tc>
        <w:tc>
          <w:tcPr>
            <w:tcW w:w="882" w:type="dxa"/>
          </w:tcPr>
          <w:p>
            <w:pPr>
              <w:pStyle w:val="Compact"/>
              <w:spacing w:before="0" w:after="0" w:line="240" w:lineRule="auto"/>
              <w:jc w:val="left"/>
            </w:pPr>
            <w:r>
              <w:rPr>
                <w:rFonts w:ascii="Arial" w:hAnsi="Arial"/>
                <w:sz w:val="15"/>
              </w:rPr>
              <w:t xml:space="preserve">1.46x</w:t>
            </w:r>
          </w:p>
        </w:tc>
        <w:tc>
          <w:tcPr>
            <w:tcW w:w="738" w:type="dxa"/>
          </w:tcPr>
          <w:p>
            <w:pPr>
              <w:pStyle w:val="Compact"/>
              <w:spacing w:before="0" w:after="0" w:line="240" w:lineRule="auto"/>
              <w:jc w:val="left"/>
            </w:pPr>
            <w:r>
              <w:rPr>
                <w:rFonts w:ascii="Arial" w:hAnsi="Arial"/>
                <w:sz w:val="15"/>
              </w:rPr>
              <w:t xml:space="preserve">28.4%</w:t>
            </w:r>
          </w:p>
        </w:tc>
        <w:tc>
          <w:tcPr>
            <w:tcW w:w="810" w:type="dxa"/>
          </w:tcPr>
          <w:p>
            <w:pPr>
              <w:pStyle w:val="Compact"/>
              <w:spacing w:before="0" w:after="0" w:line="240" w:lineRule="auto"/>
              <w:jc w:val="left"/>
            </w:pPr>
            <w:r>
              <w:rPr>
                <w:rFonts w:ascii="Arial" w:hAnsi="Arial"/>
                <w:sz w:val="15"/>
              </w:rPr>
              <w:t xml:space="preserve">n/a</w:t>
            </w:r>
          </w:p>
        </w:tc>
        <w:tc>
          <w:tcPr>
            <w:tcW w:w="579" w:type="dxa"/>
          </w:tcPr>
          <w:p>
            <w:pPr>
              <w:pStyle w:val="Compact"/>
              <w:spacing w:before="0" w:after="0" w:line="240" w:lineRule="auto"/>
              <w:jc w:val="left"/>
            </w:pPr>
            <w:r>
              <w:rPr>
                <w:rFonts w:ascii="Arial" w:hAnsi="Arial"/>
                <w:sz w:val="15"/>
              </w:rPr>
              <w:t xml:space="preserve">n/a (IAS 29)</w:t>
            </w:r>
          </w:p>
        </w:tc>
        <w:tc>
          <w:tcPr>
            <w:tcW w:w="636" w:type="dxa"/>
          </w:tcPr>
          <w:p>
            <w:pPr>
              <w:pStyle w:val="Compact"/>
              <w:spacing w:before="0" w:after="0" w:line="240" w:lineRule="auto"/>
              <w:jc w:val="left"/>
            </w:pPr>
            <w:r>
              <w:rPr>
                <w:rFonts w:ascii="Arial" w:hAnsi="Arial"/>
                <w:sz w:val="15"/>
              </w:rPr>
              <w:t xml:space="preserve">n/a</w:t>
            </w:r>
          </w:p>
        </w:tc>
      </w:tr>
      <w:tr>
        <w:trPr>
          <w:cantSplit/>
        </w:trPr>
        <w:tc>
          <w:tcPr>
            <w:tcW w:w="1441" w:type="dxa"/>
          </w:tcPr>
          <w:p>
            <w:pPr>
              <w:pStyle w:val="Compact"/>
              <w:spacing w:before="0" w:after="0" w:line="240" w:lineRule="auto"/>
              <w:jc w:val="left"/>
            </w:pPr>
            <w:r>
              <w:rPr>
                <w:rFonts w:ascii="Arial" w:hAnsi="Arial"/>
                <w:sz w:val="15"/>
              </w:rPr>
              <w:t xml:space="preserve">Sberbank</w:t>
            </w:r>
          </w:p>
        </w:tc>
        <w:tc>
          <w:tcPr>
            <w:tcW w:w="696" w:type="dxa"/>
          </w:tcPr>
          <w:p>
            <w:pPr>
              <w:pStyle w:val="Compact"/>
              <w:spacing w:before="0" w:after="0" w:line="240" w:lineRule="auto"/>
              <w:jc w:val="left"/>
            </w:pPr>
            <w:r>
              <w:rPr>
                <w:rFonts w:ascii="Arial" w:hAnsi="Arial"/>
                <w:sz w:val="15"/>
              </w:rPr>
              <w:t xml:space="preserve">SBER RX</w:t>
            </w:r>
          </w:p>
        </w:tc>
        <w:tc>
          <w:tcPr>
            <w:tcW w:w="1280" w:type="dxa"/>
          </w:tcPr>
          <w:p>
            <w:pPr>
              <w:pStyle w:val="Compact"/>
              <w:spacing w:before="0" w:after="0" w:line="240" w:lineRule="auto"/>
              <w:jc w:val="left"/>
            </w:pPr>
            <w:r>
              <w:rPr>
                <w:rFonts w:ascii="Arial" w:hAnsi="Arial"/>
                <w:sz w:val="15"/>
              </w:rPr>
              <w:t xml:space="preserve">Yes (MOEX; sanctioned)</w:t>
            </w:r>
          </w:p>
        </w:tc>
        <w:tc>
          <w:tcPr>
            <w:tcW w:w="1505" w:type="dxa"/>
          </w:tcPr>
          <w:p>
            <w:pPr>
              <w:pStyle w:val="Compact"/>
              <w:spacing w:before="0" w:after="0" w:line="240" w:lineRule="auto"/>
              <w:jc w:val="left"/>
            </w:pPr>
            <w:r>
              <w:rPr>
                <w:rFonts w:ascii="Arial" w:hAnsi="Arial"/>
                <w:sz w:val="15"/>
              </w:rPr>
              <w:t xml:space="preserve">Russia</w:t>
            </w:r>
          </w:p>
        </w:tc>
        <w:tc>
          <w:tcPr>
            <w:tcW w:w="723" w:type="dxa"/>
          </w:tcPr>
          <w:p>
            <w:pPr>
              <w:pStyle w:val="Compact"/>
              <w:spacing w:before="0" w:after="0" w:line="240" w:lineRule="auto"/>
              <w:jc w:val="left"/>
            </w:pPr>
            <w:r>
              <w:rPr>
                <w:rFonts w:ascii="Arial" w:hAnsi="Arial"/>
                <w:sz w:val="15"/>
              </w:rPr>
              <w:t xml:space="preserve">n/a</w:t>
            </w:r>
          </w:p>
        </w:tc>
        <w:tc>
          <w:tcPr>
            <w:tcW w:w="681" w:type="dxa"/>
          </w:tcPr>
          <w:p>
            <w:pPr>
              <w:pStyle w:val="Compact"/>
              <w:spacing w:before="0" w:after="0" w:line="240" w:lineRule="auto"/>
              <w:jc w:val="left"/>
            </w:pPr>
            <w:r>
              <w:rPr>
                <w:rFonts w:ascii="Arial" w:hAnsi="Arial"/>
                <w:sz w:val="15"/>
              </w:rPr>
              <w:t xml:space="preserve">~3–4x [u]</w:t>
            </w:r>
          </w:p>
        </w:tc>
        <w:tc>
          <w:tcPr>
            <w:tcW w:w="882" w:type="dxa"/>
          </w:tcPr>
          <w:p>
            <w:pPr>
              <w:pStyle w:val="Compact"/>
              <w:spacing w:before="0" w:after="0" w:line="240" w:lineRule="auto"/>
              <w:jc w:val="left"/>
            </w:pPr>
            <w:r>
              <w:rPr>
                <w:rFonts w:ascii="Arial" w:hAnsi="Arial"/>
                <w:sz w:val="15"/>
              </w:rPr>
              <w:t xml:space="preserve">~0.3–0.9x [u]</w:t>
            </w:r>
          </w:p>
        </w:tc>
        <w:tc>
          <w:tcPr>
            <w:tcW w:w="738" w:type="dxa"/>
          </w:tcPr>
          <w:p>
            <w:pPr>
              <w:pStyle w:val="Compact"/>
              <w:spacing w:before="0" w:after="0" w:line="240" w:lineRule="auto"/>
              <w:jc w:val="left"/>
            </w:pPr>
            <w:r>
              <w:rPr>
                <w:rFonts w:ascii="Arial" w:hAnsi="Arial"/>
                <w:sz w:val="15"/>
              </w:rPr>
              <w:t xml:space="preserve">~22–24%</w:t>
            </w:r>
          </w:p>
        </w:tc>
        <w:tc>
          <w:tcPr>
            <w:tcW w:w="810" w:type="dxa"/>
          </w:tcPr>
          <w:p>
            <w:pPr>
              <w:pStyle w:val="Compact"/>
              <w:spacing w:before="0" w:after="0" w:line="240" w:lineRule="auto"/>
              <w:jc w:val="left"/>
            </w:pPr>
            <w:r>
              <w:rPr>
                <w:rFonts w:ascii="Arial" w:hAnsi="Arial"/>
                <w:sz w:val="15"/>
              </w:rPr>
              <w:t xml:space="preserve">~13% [u]</w:t>
            </w:r>
          </w:p>
        </w:tc>
        <w:tc>
          <w:tcPr>
            <w:tcW w:w="579" w:type="dxa"/>
          </w:tcPr>
          <w:p>
            <w:pPr>
              <w:pStyle w:val="Compact"/>
              <w:spacing w:before="0" w:after="0" w:line="240" w:lineRule="auto"/>
              <w:jc w:val="left"/>
            </w:pPr>
            <w:r>
              <w:rPr>
                <w:rFonts w:ascii="Arial" w:hAnsi="Arial"/>
                <w:sz w:val="15"/>
              </w:rPr>
              <w:t xml:space="preserve">n/a</w:t>
            </w:r>
          </w:p>
        </w:tc>
        <w:tc>
          <w:tcPr>
            <w:tcW w:w="636" w:type="dxa"/>
          </w:tcPr>
          <w:p>
            <w:pPr>
              <w:pStyle w:val="Compact"/>
              <w:spacing w:before="0" w:after="0" w:line="240" w:lineRule="auto"/>
              <w:jc w:val="left"/>
            </w:pPr>
            <w:r>
              <w:rPr>
                <w:rFonts w:ascii="Arial" w:hAnsi="Arial"/>
                <w:sz w:val="15"/>
              </w:rPr>
              <w:t xml:space="preserve">n/a</w:t>
            </w:r>
          </w:p>
        </w:tc>
      </w:tr>
    </w:tbl>
    <w:p>
      <w:pPr>
        <w:numPr>
          <w:ilvl w:val="0"/>
          <w:numId w:val="1066"/>
        </w:numPr>
        <w:pStyle w:val="Compact"/>
      </w:pPr>
      <w:r>
        <w:rPr>
          <w:bCs/>
          <w:b/>
        </w:rPr>
        <w:t xml:space="preserve">Notes on the data.</w:t>
      </w:r>
      <w:r>
        <w:t xml:space="preserve"> </w:t>
      </w:r>
      <w:r>
        <w:t xml:space="preserve">Peer data are search snapshots between June and October 2026 [u], with FY2025 income statements. P/Rev = market cap ÷ FY25 total operating income; PBT margin = FY25 PBT ÷ total operating income. Kaspi’s revenue basis (KZT3.1trn) includes marketplace and fintech revenue.</w:t>
      </w:r>
    </w:p>
    <w:p>
      <w:pPr>
        <w:numPr>
          <w:ilvl w:val="0"/>
          <w:numId w:val="1066"/>
        </w:numPr>
        <w:pStyle w:val="Compact"/>
      </w:pPr>
      <w:r>
        <w:rPr>
          <w:bCs/>
          <w:b/>
        </w:rPr>
        <w:t xml:space="preserve">Medians.</w:t>
      </w:r>
    </w:p>
    <w:p>
      <w:pPr>
        <w:numPr>
          <w:ilvl w:val="1"/>
          <w:numId w:val="1067"/>
        </w:numPr>
        <w:pStyle w:val="Compact"/>
      </w:pPr>
      <w:r>
        <w:t xml:space="preserve">All-peer median P/E ≈ 7.5x and P/B ≈ 1.9x (ex-Sberbank and FRHC).</w:t>
      </w:r>
    </w:p>
    <w:p>
      <w:pPr>
        <w:numPr>
          <w:ilvl w:val="1"/>
          <w:numId w:val="1067"/>
        </w:numPr>
        <w:pStyle w:val="Compact"/>
      </w:pPr>
      <w:r>
        <w:t xml:space="preserve">The CIS/Caucasus subset (Kaspi, BCC, Lion, TBC) has a median P/E of 6.7x and P/B of 1.65x.</w:t>
      </w:r>
    </w:p>
    <w:p>
      <w:pPr>
        <w:numPr>
          <w:ilvl w:val="0"/>
          <w:numId w:val="1066"/>
        </w:numPr>
        <w:pStyle w:val="Compact"/>
      </w:pPr>
      <w:r>
        <w:rPr>
          <w:bCs/>
          <w:b/>
        </w:rPr>
        <w:t xml:space="preserve">Halyk vs peers.</w:t>
      </w:r>
      <w:r>
        <w:t xml:space="preserve"> </w:t>
      </w:r>
      <w:r>
        <w:t xml:space="preserve">Halyk trades at a</w:t>
      </w:r>
      <w:r>
        <w:t xml:space="preserve"> </w:t>
      </w:r>
      <w:r>
        <w:rPr>
          <w:bCs/>
          <w:b/>
        </w:rPr>
        <w:t xml:space="preserve">~40% discount on P/E and ~40% on P/B</w:t>
      </w:r>
      <w:r>
        <w:t xml:space="preserve"> </w:t>
      </w:r>
      <w:r>
        <w:t xml:space="preserve">to the all-peer median, despite an ROE in the top half of the peer set (only Kaspi and BCC are clearly higher).</w:t>
      </w:r>
    </w:p>
    <w:bookmarkEnd w:id="77"/>
    <w:bookmarkStart w:id="81" w:name="against-its-own-history"/>
    <w:p>
      <w:pPr>
        <w:pStyle w:val="Heading2"/>
      </w:pPr>
      <w:r>
        <w:t xml:space="preserve">Against its own history</w:t>
      </w:r>
    </w:p>
    <w:p>
      <w:pPr>
        <w:pStyle w:val="CaptionedFigure"/>
      </w:pPr>
      <w:r>
        <w:drawing>
          <wp:inline>
            <wp:extent cx="6008370" cy="2033093"/>
            <wp:effectExtent b="0" l="0" r="0" t="0"/>
            <wp:docPr descr="Historical P/E and P/B" title="" id="79" name="Picture"/>
            <a:graphic>
              <a:graphicData uri="http://schemas.openxmlformats.org/drawingml/2006/picture">
                <pic:pic>
                  <pic:nvPicPr>
                    <pic:cNvPr descr="HSBK_charts/hist_multiples.png" id="80" name="Picture"/>
                    <pic:cNvPicPr>
                      <a:picLocks noChangeArrowheads="1" noChangeAspect="1"/>
                    </pic:cNvPicPr>
                  </pic:nvPicPr>
                  <pic:blipFill>
                    <a:blip r:embed="rId78"/>
                    <a:stretch>
                      <a:fillRect/>
                    </a:stretch>
                  </pic:blipFill>
                  <pic:spPr bwMode="auto">
                    <a:xfrm>
                      <a:off x="0" y="0"/>
                      <a:ext cx="6008370" cy="2033093"/>
                    </a:xfrm>
                    <a:prstGeom prst="rect">
                      <a:avLst/>
                    </a:prstGeom>
                    <a:noFill/>
                    <a:ln w="9525">
                      <a:noFill/>
                      <a:headEnd/>
                      <a:tailEnd/>
                    </a:ln>
                  </pic:spPr>
                </pic:pic>
              </a:graphicData>
            </a:graphic>
          </wp:inline>
        </w:drawing>
      </w:r>
    </w:p>
    <w:p>
      <w:pPr>
        <w:pStyle w:val="ImageCaption"/>
      </w:pPr>
      <w:r>
        <w:t xml:space="preserve">Historical P/E and P/B</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881"/>
        <w:gridCol w:w="2097"/>
        <w:gridCol w:w="1881"/>
        <w:gridCol w:w="1951"/>
        <w:gridCol w:w="2167"/>
      </w:tblGrid>
      <w:tr>
        <w:trPr>
          <w:tblHeader w:val="true"/>
          <w:cantSplit/>
          <w:tblHeader w:val="true"/>
        </w:trPr>
        <w:tc>
          <w:tcPr>
            <w:tcW w:w="1881" w:type="dxa"/>
            <w:shd w:val="clear" w:color="auto" w:fill="13213F"/>
          </w:tcPr>
          <w:p>
            <w:pPr>
              <w:pStyle w:val="Compact"/>
              <w:spacing w:before="0" w:after="0" w:line="240" w:lineRule="auto"/>
              <w:jc w:val="left"/>
            </w:pPr>
            <w:r>
              <w:rPr>
                <w:rFonts w:ascii="Arial" w:hAnsi="Arial"/>
                <w:b/>
                <w:color w:val="FFFFFF"/>
                <w:sz w:val="15"/>
              </w:rPr>
              <w:t xml:space="preserve">Year-end</w:t>
            </w:r>
          </w:p>
        </w:tc>
        <w:tc>
          <w:tcPr>
            <w:tcW w:w="2097" w:type="dxa"/>
            <w:shd w:val="clear" w:color="auto" w:fill="13213F"/>
          </w:tcPr>
          <w:p>
            <w:pPr>
              <w:pStyle w:val="Compact"/>
              <w:spacing w:before="0" w:after="0" w:line="240" w:lineRule="auto"/>
              <w:jc w:val="left"/>
            </w:pPr>
            <w:r>
              <w:rPr>
                <w:rFonts w:ascii="Arial" w:hAnsi="Arial"/>
                <w:b/>
                <w:color w:val="FFFFFF"/>
                <w:sz w:val="15"/>
              </w:rPr>
              <w:t xml:space="preserve">Price (KZT/share)</w:t>
            </w:r>
          </w:p>
        </w:tc>
        <w:tc>
          <w:tcPr>
            <w:tcW w:w="1881" w:type="dxa"/>
            <w:shd w:val="clear" w:color="auto" w:fill="13213F"/>
          </w:tcPr>
          <w:p>
            <w:pPr>
              <w:pStyle w:val="Compact"/>
              <w:spacing w:before="0" w:after="0" w:line="240" w:lineRule="auto"/>
              <w:jc w:val="left"/>
            </w:pPr>
            <w:r>
              <w:rPr>
                <w:rFonts w:ascii="Arial" w:hAnsi="Arial"/>
                <w:b/>
                <w:color w:val="FFFFFF"/>
                <w:sz w:val="15"/>
              </w:rPr>
              <w:t xml:space="preserve">Trailing P/E</w:t>
            </w:r>
          </w:p>
        </w:tc>
        <w:tc>
          <w:tcPr>
            <w:tcW w:w="1951" w:type="dxa"/>
            <w:shd w:val="clear" w:color="auto" w:fill="13213F"/>
          </w:tcPr>
          <w:p>
            <w:pPr>
              <w:pStyle w:val="Compact"/>
              <w:spacing w:before="0" w:after="0" w:line="240" w:lineRule="auto"/>
              <w:jc w:val="left"/>
            </w:pPr>
            <w:r>
              <w:rPr>
                <w:rFonts w:ascii="Arial" w:hAnsi="Arial"/>
                <w:b/>
                <w:color w:val="FFFFFF"/>
                <w:sz w:val="15"/>
              </w:rPr>
              <w:t xml:space="preserve">P/B</w:t>
            </w:r>
          </w:p>
        </w:tc>
        <w:tc>
          <w:tcPr>
            <w:tcW w:w="2167" w:type="dxa"/>
            <w:shd w:val="clear" w:color="auto" w:fill="13213F"/>
          </w:tcPr>
          <w:p>
            <w:pPr>
              <w:pStyle w:val="Compact"/>
              <w:spacing w:before="0" w:after="0" w:line="240" w:lineRule="auto"/>
              <w:jc w:val="left"/>
            </w:pPr>
            <w:r>
              <w:rPr>
                <w:rFonts w:ascii="Arial" w:hAnsi="Arial"/>
                <w:b/>
                <w:color w:val="FFFFFF"/>
                <w:sz w:val="15"/>
              </w:rPr>
              <w:t xml:space="preserve">Dividend yield (on that FY’s DPS)</w:t>
            </w:r>
          </w:p>
        </w:tc>
      </w:tr>
      <w:tr>
        <w:trPr>
          <w:cantSplit/>
        </w:trPr>
        <w:tc>
          <w:tcPr>
            <w:tcW w:w="1881" w:type="dxa"/>
          </w:tcPr>
          <w:p>
            <w:pPr>
              <w:pStyle w:val="Compact"/>
              <w:spacing w:before="0" w:after="0" w:line="240" w:lineRule="auto"/>
              <w:jc w:val="left"/>
            </w:pPr>
            <w:r>
              <w:rPr>
                <w:rFonts w:ascii="Arial" w:hAnsi="Arial"/>
                <w:sz w:val="15"/>
              </w:rPr>
              <w:t xml:space="preserve">2020</w:t>
            </w:r>
          </w:p>
        </w:tc>
        <w:tc>
          <w:tcPr>
            <w:tcW w:w="2097" w:type="dxa"/>
          </w:tcPr>
          <w:p>
            <w:pPr>
              <w:pStyle w:val="Compact"/>
              <w:spacing w:before="0" w:after="0" w:line="240" w:lineRule="auto"/>
              <w:jc w:val="left"/>
            </w:pPr>
            <w:r>
              <w:rPr>
                <w:rFonts w:ascii="Arial" w:hAnsi="Arial"/>
                <w:sz w:val="15"/>
              </w:rPr>
              <w:t xml:space="preserve">123</w:t>
            </w:r>
          </w:p>
        </w:tc>
        <w:tc>
          <w:tcPr>
            <w:tcW w:w="1881" w:type="dxa"/>
          </w:tcPr>
          <w:p>
            <w:pPr>
              <w:pStyle w:val="Compact"/>
              <w:spacing w:before="0" w:after="0" w:line="240" w:lineRule="auto"/>
              <w:jc w:val="left"/>
            </w:pPr>
            <w:r>
              <w:rPr>
                <w:rFonts w:ascii="Arial" w:hAnsi="Arial"/>
                <w:sz w:val="15"/>
              </w:rPr>
              <w:t xml:space="preserve">4.1x</w:t>
            </w:r>
          </w:p>
        </w:tc>
        <w:tc>
          <w:tcPr>
            <w:tcW w:w="1951" w:type="dxa"/>
          </w:tcPr>
          <w:p>
            <w:pPr>
              <w:pStyle w:val="Compact"/>
              <w:spacing w:before="0" w:after="0" w:line="240" w:lineRule="auto"/>
              <w:jc w:val="left"/>
            </w:pPr>
            <w:r>
              <w:rPr>
                <w:rFonts w:ascii="Arial" w:hAnsi="Arial"/>
                <w:sz w:val="15"/>
              </w:rPr>
              <w:t xml:space="preserve">0.97x</w:t>
            </w:r>
          </w:p>
        </w:tc>
        <w:tc>
          <w:tcPr>
            <w:tcW w:w="2167" w:type="dxa"/>
          </w:tcPr>
          <w:p>
            <w:pPr>
              <w:pStyle w:val="Compact"/>
              <w:spacing w:before="0" w:after="0" w:line="240" w:lineRule="auto"/>
              <w:jc w:val="left"/>
            </w:pPr>
            <w:r>
              <w:rPr>
                <w:rFonts w:ascii="Arial" w:hAnsi="Arial"/>
                <w:sz w:val="15"/>
              </w:rPr>
              <w:t xml:space="preserve">14.6%</w:t>
            </w:r>
          </w:p>
        </w:tc>
      </w:tr>
      <w:tr>
        <w:trPr>
          <w:cantSplit/>
        </w:trPr>
        <w:tc>
          <w:tcPr>
            <w:tcW w:w="1881" w:type="dxa"/>
          </w:tcPr>
          <w:p>
            <w:pPr>
              <w:pStyle w:val="Compact"/>
              <w:spacing w:before="0" w:after="0" w:line="240" w:lineRule="auto"/>
              <w:jc w:val="left"/>
            </w:pPr>
            <w:r>
              <w:rPr>
                <w:rFonts w:ascii="Arial" w:hAnsi="Arial"/>
                <w:sz w:val="15"/>
              </w:rPr>
              <w:t xml:space="preserve">2021</w:t>
            </w:r>
          </w:p>
        </w:tc>
        <w:tc>
          <w:tcPr>
            <w:tcW w:w="2097" w:type="dxa"/>
          </w:tcPr>
          <w:p>
            <w:pPr>
              <w:pStyle w:val="Compact"/>
              <w:spacing w:before="0" w:after="0" w:line="240" w:lineRule="auto"/>
              <w:jc w:val="left"/>
            </w:pPr>
            <w:r>
              <w:rPr>
                <w:rFonts w:ascii="Arial" w:hAnsi="Arial"/>
                <w:sz w:val="15"/>
              </w:rPr>
              <w:t xml:space="preserve">~172 [e]</w:t>
            </w:r>
          </w:p>
        </w:tc>
        <w:tc>
          <w:tcPr>
            <w:tcW w:w="1881" w:type="dxa"/>
          </w:tcPr>
          <w:p>
            <w:pPr>
              <w:pStyle w:val="Compact"/>
              <w:spacing w:before="0" w:after="0" w:line="240" w:lineRule="auto"/>
              <w:jc w:val="left"/>
            </w:pPr>
            <w:r>
              <w:rPr>
                <w:rFonts w:ascii="Arial" w:hAnsi="Arial"/>
                <w:sz w:val="15"/>
              </w:rPr>
              <w:t xml:space="preserve">4.3x</w:t>
            </w:r>
          </w:p>
        </w:tc>
        <w:tc>
          <w:tcPr>
            <w:tcW w:w="1951" w:type="dxa"/>
          </w:tcPr>
          <w:p>
            <w:pPr>
              <w:pStyle w:val="Compact"/>
              <w:spacing w:before="0" w:after="0" w:line="240" w:lineRule="auto"/>
              <w:jc w:val="left"/>
            </w:pPr>
            <w:r>
              <w:rPr>
                <w:rFonts w:ascii="Arial" w:hAnsi="Arial"/>
                <w:sz w:val="15"/>
              </w:rPr>
              <w:t xml:space="preserve">1.25x</w:t>
            </w:r>
          </w:p>
        </w:tc>
        <w:tc>
          <w:tcPr>
            <w:tcW w:w="2167" w:type="dxa"/>
          </w:tcPr>
          <w:p>
            <w:pPr>
              <w:pStyle w:val="Compact"/>
              <w:spacing w:before="0" w:after="0" w:line="240" w:lineRule="auto"/>
              <w:jc w:val="left"/>
            </w:pPr>
            <w:r>
              <w:rPr>
                <w:rFonts w:ascii="Arial" w:hAnsi="Arial"/>
                <w:sz w:val="15"/>
              </w:rPr>
              <w:t xml:space="preserve">7.4%</w:t>
            </w:r>
          </w:p>
        </w:tc>
      </w:tr>
      <w:tr>
        <w:trPr>
          <w:cantSplit/>
        </w:trPr>
        <w:tc>
          <w:tcPr>
            <w:tcW w:w="1881" w:type="dxa"/>
          </w:tcPr>
          <w:p>
            <w:pPr>
              <w:pStyle w:val="Compact"/>
              <w:spacing w:before="0" w:after="0" w:line="240" w:lineRule="auto"/>
              <w:jc w:val="left"/>
            </w:pPr>
            <w:r>
              <w:rPr>
                <w:rFonts w:ascii="Arial" w:hAnsi="Arial"/>
                <w:sz w:val="15"/>
              </w:rPr>
              <w:t xml:space="preserve">2022</w:t>
            </w:r>
          </w:p>
        </w:tc>
        <w:tc>
          <w:tcPr>
            <w:tcW w:w="2097" w:type="dxa"/>
          </w:tcPr>
          <w:p>
            <w:pPr>
              <w:pStyle w:val="Compact"/>
              <w:spacing w:before="0" w:after="0" w:line="240" w:lineRule="auto"/>
              <w:jc w:val="left"/>
            </w:pPr>
            <w:r>
              <w:rPr>
                <w:rFonts w:ascii="Arial" w:hAnsi="Arial"/>
                <w:sz w:val="15"/>
              </w:rPr>
              <w:t xml:space="preserve">121</w:t>
            </w:r>
          </w:p>
        </w:tc>
        <w:tc>
          <w:tcPr>
            <w:tcW w:w="1881" w:type="dxa"/>
          </w:tcPr>
          <w:p>
            <w:pPr>
              <w:pStyle w:val="Compact"/>
              <w:spacing w:before="0" w:after="0" w:line="240" w:lineRule="auto"/>
              <w:jc w:val="left"/>
            </w:pPr>
            <w:r>
              <w:rPr>
                <w:rFonts w:ascii="Arial" w:hAnsi="Arial"/>
                <w:sz w:val="15"/>
              </w:rPr>
              <w:t xml:space="preserve">2.4x</w:t>
            </w:r>
          </w:p>
        </w:tc>
        <w:tc>
          <w:tcPr>
            <w:tcW w:w="1951" w:type="dxa"/>
          </w:tcPr>
          <w:p>
            <w:pPr>
              <w:pStyle w:val="Compact"/>
              <w:spacing w:before="0" w:after="0" w:line="240" w:lineRule="auto"/>
              <w:jc w:val="left"/>
            </w:pPr>
            <w:r>
              <w:rPr>
                <w:rFonts w:ascii="Arial" w:hAnsi="Arial"/>
                <w:sz w:val="15"/>
              </w:rPr>
              <w:t xml:space="preserve">0.69x</w:t>
            </w:r>
          </w:p>
        </w:tc>
        <w:tc>
          <w:tcPr>
            <w:tcW w:w="2167" w:type="dxa"/>
          </w:tcPr>
          <w:p>
            <w:pPr>
              <w:pStyle w:val="Compact"/>
              <w:spacing w:before="0" w:after="0" w:line="240" w:lineRule="auto"/>
              <w:jc w:val="left"/>
            </w:pPr>
            <w:r>
              <w:rPr>
                <w:rFonts w:ascii="Arial" w:hAnsi="Arial"/>
                <w:sz w:val="15"/>
              </w:rPr>
              <w:t xml:space="preserve">21.0%</w:t>
            </w:r>
          </w:p>
        </w:tc>
      </w:tr>
      <w:tr>
        <w:trPr>
          <w:cantSplit/>
        </w:trPr>
        <w:tc>
          <w:tcPr>
            <w:tcW w:w="1881" w:type="dxa"/>
          </w:tcPr>
          <w:p>
            <w:pPr>
              <w:pStyle w:val="Compact"/>
              <w:spacing w:before="0" w:after="0" w:line="240" w:lineRule="auto"/>
              <w:jc w:val="left"/>
            </w:pPr>
            <w:r>
              <w:rPr>
                <w:rFonts w:ascii="Arial" w:hAnsi="Arial"/>
                <w:sz w:val="15"/>
              </w:rPr>
              <w:t xml:space="preserve">2023</w:t>
            </w:r>
          </w:p>
        </w:tc>
        <w:tc>
          <w:tcPr>
            <w:tcW w:w="2097" w:type="dxa"/>
          </w:tcPr>
          <w:p>
            <w:pPr>
              <w:pStyle w:val="Compact"/>
              <w:spacing w:before="0" w:after="0" w:line="240" w:lineRule="auto"/>
              <w:jc w:val="left"/>
            </w:pPr>
            <w:r>
              <w:rPr>
                <w:rFonts w:ascii="Arial" w:hAnsi="Arial"/>
                <w:sz w:val="15"/>
              </w:rPr>
              <w:t xml:space="preserve">161</w:t>
            </w:r>
          </w:p>
        </w:tc>
        <w:tc>
          <w:tcPr>
            <w:tcW w:w="1881" w:type="dxa"/>
          </w:tcPr>
          <w:p>
            <w:pPr>
              <w:pStyle w:val="Compact"/>
              <w:spacing w:before="0" w:after="0" w:line="240" w:lineRule="auto"/>
              <w:jc w:val="left"/>
            </w:pPr>
            <w:r>
              <w:rPr>
                <w:rFonts w:ascii="Arial" w:hAnsi="Arial"/>
                <w:sz w:val="15"/>
              </w:rPr>
              <w:t xml:space="preserve">2.5x</w:t>
            </w:r>
          </w:p>
        </w:tc>
        <w:tc>
          <w:tcPr>
            <w:tcW w:w="1951" w:type="dxa"/>
          </w:tcPr>
          <w:p>
            <w:pPr>
              <w:pStyle w:val="Compact"/>
              <w:spacing w:before="0" w:after="0" w:line="240" w:lineRule="auto"/>
              <w:jc w:val="left"/>
            </w:pPr>
            <w:r>
              <w:rPr>
                <w:rFonts w:ascii="Arial" w:hAnsi="Arial"/>
                <w:sz w:val="15"/>
              </w:rPr>
              <w:t xml:space="preserve">0.71x</w:t>
            </w:r>
          </w:p>
        </w:tc>
        <w:tc>
          <w:tcPr>
            <w:tcW w:w="2167" w:type="dxa"/>
          </w:tcPr>
          <w:p>
            <w:pPr>
              <w:pStyle w:val="Compact"/>
              <w:spacing w:before="0" w:after="0" w:line="240" w:lineRule="auto"/>
              <w:jc w:val="left"/>
            </w:pPr>
            <w:r>
              <w:rPr>
                <w:rFonts w:ascii="Arial" w:hAnsi="Arial"/>
                <w:sz w:val="15"/>
              </w:rPr>
              <w:t xml:space="preserve">21.8%</w:t>
            </w:r>
          </w:p>
        </w:tc>
      </w:tr>
      <w:tr>
        <w:trPr>
          <w:cantSplit/>
        </w:trPr>
        <w:tc>
          <w:tcPr>
            <w:tcW w:w="1881" w:type="dxa"/>
          </w:tcPr>
          <w:p>
            <w:pPr>
              <w:pStyle w:val="Compact"/>
              <w:spacing w:before="0" w:after="0" w:line="240" w:lineRule="auto"/>
              <w:jc w:val="left"/>
            </w:pPr>
            <w:r>
              <w:rPr>
                <w:rFonts w:ascii="Arial" w:hAnsi="Arial"/>
                <w:sz w:val="15"/>
              </w:rPr>
              <w:t xml:space="preserve">2024</w:t>
            </w:r>
          </w:p>
        </w:tc>
        <w:tc>
          <w:tcPr>
            <w:tcW w:w="2097" w:type="dxa"/>
          </w:tcPr>
          <w:p>
            <w:pPr>
              <w:pStyle w:val="Compact"/>
              <w:spacing w:before="0" w:after="0" w:line="240" w:lineRule="auto"/>
              <w:jc w:val="left"/>
            </w:pPr>
            <w:r>
              <w:rPr>
                <w:rFonts w:ascii="Arial" w:hAnsi="Arial"/>
                <w:sz w:val="15"/>
              </w:rPr>
              <w:t xml:space="preserve">~254 [d]</w:t>
            </w:r>
          </w:p>
        </w:tc>
        <w:tc>
          <w:tcPr>
            <w:tcW w:w="1881" w:type="dxa"/>
          </w:tcPr>
          <w:p>
            <w:pPr>
              <w:pStyle w:val="Compact"/>
              <w:spacing w:before="0" w:after="0" w:line="240" w:lineRule="auto"/>
              <w:jc w:val="left"/>
            </w:pPr>
            <w:r>
              <w:rPr>
                <w:rFonts w:ascii="Arial" w:hAnsi="Arial"/>
                <w:sz w:val="15"/>
              </w:rPr>
              <w:t xml:space="preserve">3.0x</w:t>
            </w:r>
          </w:p>
        </w:tc>
        <w:tc>
          <w:tcPr>
            <w:tcW w:w="1951" w:type="dxa"/>
          </w:tcPr>
          <w:p>
            <w:pPr>
              <w:pStyle w:val="Compact"/>
              <w:spacing w:before="0" w:after="0" w:line="240" w:lineRule="auto"/>
              <w:jc w:val="left"/>
            </w:pPr>
            <w:r>
              <w:rPr>
                <w:rFonts w:ascii="Arial" w:hAnsi="Arial"/>
                <w:sz w:val="15"/>
              </w:rPr>
              <w:t xml:space="preserve">0.90x</w:t>
            </w:r>
          </w:p>
        </w:tc>
        <w:tc>
          <w:tcPr>
            <w:tcW w:w="2167" w:type="dxa"/>
          </w:tcPr>
          <w:p>
            <w:pPr>
              <w:pStyle w:val="Compact"/>
              <w:spacing w:before="0" w:after="0" w:line="240" w:lineRule="auto"/>
              <w:jc w:val="left"/>
            </w:pPr>
            <w:r>
              <w:rPr>
                <w:rFonts w:ascii="Arial" w:hAnsi="Arial"/>
                <w:sz w:val="15"/>
              </w:rPr>
              <w:t xml:space="preserve">19.9%</w:t>
            </w:r>
          </w:p>
        </w:tc>
      </w:tr>
      <w:tr>
        <w:trPr>
          <w:cantSplit/>
        </w:trPr>
        <w:tc>
          <w:tcPr>
            <w:tcW w:w="1881" w:type="dxa"/>
          </w:tcPr>
          <w:p>
            <w:pPr>
              <w:pStyle w:val="Compact"/>
              <w:spacing w:before="0" w:after="0" w:line="240" w:lineRule="auto"/>
              <w:jc w:val="left"/>
            </w:pPr>
            <w:r>
              <w:rPr>
                <w:rFonts w:ascii="Arial" w:hAnsi="Arial"/>
                <w:sz w:val="15"/>
              </w:rPr>
              <w:t xml:space="preserve">2025</w:t>
            </w:r>
          </w:p>
        </w:tc>
        <w:tc>
          <w:tcPr>
            <w:tcW w:w="2097" w:type="dxa"/>
          </w:tcPr>
          <w:p>
            <w:pPr>
              <w:pStyle w:val="Compact"/>
              <w:spacing w:before="0" w:after="0" w:line="240" w:lineRule="auto"/>
              <w:jc w:val="left"/>
            </w:pPr>
            <w:r>
              <w:rPr>
                <w:rFonts w:ascii="Arial" w:hAnsi="Arial"/>
                <w:sz w:val="15"/>
              </w:rPr>
              <w:t xml:space="preserve">~381</w:t>
            </w:r>
          </w:p>
        </w:tc>
        <w:tc>
          <w:tcPr>
            <w:tcW w:w="1881" w:type="dxa"/>
          </w:tcPr>
          <w:p>
            <w:pPr>
              <w:pStyle w:val="Compact"/>
              <w:spacing w:before="0" w:after="0" w:line="240" w:lineRule="auto"/>
              <w:jc w:val="left"/>
            </w:pPr>
            <w:r>
              <w:rPr>
                <w:rFonts w:ascii="Arial" w:hAnsi="Arial"/>
                <w:sz w:val="15"/>
              </w:rPr>
              <w:t xml:space="preserve">3.9x</w:t>
            </w:r>
          </w:p>
        </w:tc>
        <w:tc>
          <w:tcPr>
            <w:tcW w:w="1951" w:type="dxa"/>
          </w:tcPr>
          <w:p>
            <w:pPr>
              <w:pStyle w:val="Compact"/>
              <w:spacing w:before="0" w:after="0" w:line="240" w:lineRule="auto"/>
              <w:jc w:val="left"/>
            </w:pPr>
            <w:r>
              <w:rPr>
                <w:rFonts w:ascii="Arial" w:hAnsi="Arial"/>
                <w:sz w:val="15"/>
              </w:rPr>
              <w:t xml:space="preserve">1.19x</w:t>
            </w:r>
          </w:p>
        </w:tc>
        <w:tc>
          <w:tcPr>
            <w:tcW w:w="2167" w:type="dxa"/>
          </w:tcPr>
          <w:p>
            <w:pPr>
              <w:pStyle w:val="Compact"/>
              <w:spacing w:before="0" w:after="0" w:line="240" w:lineRule="auto"/>
              <w:jc w:val="left"/>
            </w:pPr>
            <w:r>
              <w:rPr>
                <w:rFonts w:ascii="Arial" w:hAnsi="Arial"/>
                <w:sz w:val="15"/>
              </w:rPr>
              <w:t xml:space="preserve">15.3%</w:t>
            </w:r>
          </w:p>
        </w:tc>
      </w:tr>
      <w:tr>
        <w:trPr>
          <w:cantSplit/>
        </w:trPr>
        <w:tc>
          <w:tcPr>
            <w:tcW w:w="1881" w:type="dxa"/>
          </w:tcPr>
          <w:p>
            <w:pPr>
              <w:pStyle w:val="Compact"/>
              <w:spacing w:before="0" w:after="0" w:line="240" w:lineRule="auto"/>
              <w:jc w:val="left"/>
            </w:pPr>
            <w:r>
              <w:rPr>
                <w:bCs/>
                <w:rFonts w:ascii="Arial" w:hAnsi="Arial"/>
                <w:b/>
                <w:sz w:val="15"/>
              </w:rPr>
              <w:t xml:space="preserve">Now</w:t>
            </w:r>
          </w:p>
        </w:tc>
        <w:tc>
          <w:tcPr>
            <w:tcW w:w="2097" w:type="dxa"/>
          </w:tcPr>
          <w:p>
            <w:pPr>
              <w:pStyle w:val="Compact"/>
              <w:spacing w:before="0" w:after="0" w:line="240" w:lineRule="auto"/>
              <w:jc w:val="left"/>
            </w:pPr>
            <w:r>
              <w:rPr>
                <w:bCs/>
                <w:rFonts w:ascii="Arial" w:hAnsi="Arial"/>
                <w:b/>
                <w:sz w:val="15"/>
              </w:rPr>
              <w:t xml:space="preserve">374</w:t>
            </w:r>
          </w:p>
        </w:tc>
        <w:tc>
          <w:tcPr>
            <w:tcW w:w="1881" w:type="dxa"/>
          </w:tcPr>
          <w:p>
            <w:pPr>
              <w:pStyle w:val="Compact"/>
              <w:spacing w:before="0" w:after="0" w:line="240" w:lineRule="auto"/>
              <w:jc w:val="left"/>
            </w:pPr>
            <w:r>
              <w:rPr>
                <w:bCs/>
                <w:rFonts w:ascii="Arial" w:hAnsi="Arial"/>
                <w:b/>
                <w:sz w:val="15"/>
              </w:rPr>
              <w:t xml:space="preserve">4.2x (4.5x 2026E)</w:t>
            </w:r>
          </w:p>
        </w:tc>
        <w:tc>
          <w:tcPr>
            <w:tcW w:w="1951" w:type="dxa"/>
          </w:tcPr>
          <w:p>
            <w:pPr>
              <w:pStyle w:val="Compact"/>
              <w:spacing w:before="0" w:after="0" w:line="240" w:lineRule="auto"/>
              <w:jc w:val="left"/>
            </w:pPr>
            <w:r>
              <w:rPr>
                <w:bCs/>
                <w:rFonts w:ascii="Arial" w:hAnsi="Arial"/>
                <w:b/>
                <w:sz w:val="15"/>
              </w:rPr>
              <w:t xml:space="preserve">1.12x</w:t>
            </w:r>
          </w:p>
        </w:tc>
        <w:tc>
          <w:tcPr>
            <w:tcW w:w="2167" w:type="dxa"/>
          </w:tcPr>
          <w:p>
            <w:pPr>
              <w:pStyle w:val="Compact"/>
              <w:spacing w:before="0" w:after="0" w:line="240" w:lineRule="auto"/>
              <w:jc w:val="left"/>
            </w:pPr>
            <w:r>
              <w:rPr>
                <w:bCs/>
                <w:rFonts w:ascii="Arial" w:hAnsi="Arial"/>
                <w:b/>
                <w:sz w:val="15"/>
              </w:rPr>
              <w:t xml:space="preserve">15.6% (13.2% FY26E)</w:t>
            </w:r>
          </w:p>
        </w:tc>
      </w:tr>
      <w:tr>
        <w:trPr>
          <w:cantSplit/>
        </w:trPr>
        <w:tc>
          <w:tcPr>
            <w:tcW w:w="1881" w:type="dxa"/>
          </w:tcPr>
          <w:p>
            <w:pPr>
              <w:pStyle w:val="Compact"/>
              <w:spacing w:before="0" w:after="0" w:line="240" w:lineRule="auto"/>
              <w:jc w:val="left"/>
            </w:pPr>
            <w:r>
              <w:rPr>
                <w:rFonts w:ascii="Arial" w:hAnsi="Arial"/>
                <w:sz w:val="15"/>
              </w:rPr>
              <w:t xml:space="preserve">5-year average</w:t>
            </w:r>
          </w:p>
        </w:tc>
        <w:tc>
          <w:tcPr>
            <w:tcW w:w="2097" w:type="dxa"/>
          </w:tcPr>
          <w:p>
            <w:pPr>
              <w:pStyle w:val="Compact"/>
              <w:spacing w:before="0" w:after="0" w:line="240" w:lineRule="auto"/>
            </w:pPr>
          </w:p>
        </w:tc>
        <w:tc>
          <w:tcPr>
            <w:tcW w:w="1881" w:type="dxa"/>
          </w:tcPr>
          <w:p>
            <w:pPr>
              <w:pStyle w:val="Compact"/>
              <w:spacing w:before="0" w:after="0" w:line="240" w:lineRule="auto"/>
              <w:jc w:val="left"/>
            </w:pPr>
            <w:r>
              <w:rPr>
                <w:rFonts w:ascii="Arial" w:hAnsi="Arial"/>
                <w:sz w:val="15"/>
              </w:rPr>
              <w:t xml:space="preserve">3.4x</w:t>
            </w:r>
          </w:p>
        </w:tc>
        <w:tc>
          <w:tcPr>
            <w:tcW w:w="1951" w:type="dxa"/>
          </w:tcPr>
          <w:p>
            <w:pPr>
              <w:pStyle w:val="Compact"/>
              <w:spacing w:before="0" w:after="0" w:line="240" w:lineRule="auto"/>
              <w:jc w:val="left"/>
            </w:pPr>
            <w:r>
              <w:rPr>
                <w:rFonts w:ascii="Arial" w:hAnsi="Arial"/>
                <w:sz w:val="15"/>
              </w:rPr>
              <w:t xml:space="preserve">0.95x</w:t>
            </w:r>
          </w:p>
        </w:tc>
        <w:tc>
          <w:tcPr>
            <w:tcW w:w="2167" w:type="dxa"/>
          </w:tcPr>
          <w:p>
            <w:pPr>
              <w:pStyle w:val="Compact"/>
              <w:spacing w:before="0" w:after="0" w:line="240" w:lineRule="auto"/>
              <w:jc w:val="left"/>
            </w:pPr>
            <w:r>
              <w:rPr>
                <w:rFonts w:ascii="Arial" w:hAnsi="Arial"/>
                <w:sz w:val="15"/>
              </w:rPr>
              <w:t xml:space="preserve">16.7%</w:t>
            </w:r>
          </w:p>
        </w:tc>
      </w:tr>
    </w:tbl>
    <w:p>
      <w:pPr>
        <w:pStyle w:val="BodyText"/>
      </w:pPr>
      <w:r>
        <w:rPr>
          <w:bCs/>
          <w:b/>
        </w:rPr>
        <w:t xml:space="preserve">Verdict.</w:t>
      </w:r>
    </w:p>
    <w:p>
      <w:pPr>
        <w:numPr>
          <w:ilvl w:val="0"/>
          <w:numId w:val="1068"/>
        </w:numPr>
        <w:pStyle w:val="Compact"/>
      </w:pPr>
      <w:r>
        <w:rPr>
          <w:bCs/>
          <w:b/>
        </w:rPr>
        <w:t xml:space="preserve">Cheap vs peers and vs fundamentals.</w:t>
      </w:r>
      <w:r>
        <w:t xml:space="preserve"> </w:t>
      </w:r>
      <w:r>
        <w:t xml:space="preserve">A justified P/B of ~1.35x for a 23.5% sustainable ROE, a 19.5% KZT cost of equity and 8% growth.</w:t>
      </w:r>
    </w:p>
    <w:p>
      <w:pPr>
        <w:numPr>
          <w:ilvl w:val="0"/>
          <w:numId w:val="1068"/>
        </w:numPr>
        <w:pStyle w:val="Compact"/>
      </w:pPr>
      <w:r>
        <w:rPr>
          <w:bCs/>
          <w:b/>
        </w:rPr>
        <w:t xml:space="preserve">Fair-to-full vs its own history.</w:t>
      </w:r>
      <w:r>
        <w:t xml:space="preserve"> </w:t>
      </w:r>
      <w:r>
        <w:t xml:space="preserve">P/B sits at the top of its 2020–25 range; P/E is above its five-year average.</w:t>
      </w:r>
    </w:p>
    <w:p>
      <w:pPr>
        <w:numPr>
          <w:ilvl w:val="0"/>
          <w:numId w:val="1068"/>
        </w:numPr>
        <w:pStyle w:val="Compact"/>
      </w:pPr>
      <w:r>
        <w:rPr>
          <w:bCs/>
          <w:b/>
        </w:rPr>
        <w:t xml:space="preserve">The 2022–23 trough (0.7x P/B)</w:t>
      </w:r>
      <w:r>
        <w:t xml:space="preserve"> </w:t>
      </w:r>
      <w:r>
        <w:t xml:space="preserve">priced in political and sanctions risk that has since receded: sovereign upgrades, exits from Russia, a larger free float.</w:t>
      </w:r>
    </w:p>
    <w:p>
      <w:pPr>
        <w:numPr>
          <w:ilvl w:val="0"/>
          <w:numId w:val="1068"/>
        </w:numPr>
        <w:pStyle w:val="Compact"/>
      </w:pPr>
      <w:r>
        <w:rPr>
          <w:bCs/>
          <w:b/>
        </w:rPr>
        <w:t xml:space="preserve">What drives the discount.</w:t>
      </w:r>
      <w:r>
        <w:t xml:space="preserve"> </w:t>
      </w:r>
      <w:r>
        <w:t xml:space="preserve">We think part of the historical discount is structural: a controlling family, a regulator willing to tax bank profits, and tenge risk. That caps the re-rating; we do not underwrite a move to peer multiples.</w:t>
      </w:r>
    </w:p>
    <w:bookmarkEnd w:id="81"/>
    <w:bookmarkStart w:id="88" w:name="regression-analysis"/>
    <w:p>
      <w:pPr>
        <w:pStyle w:val="Heading2"/>
      </w:pPr>
      <w:r>
        <w:t xml:space="preserve">Regression analysis</w:t>
      </w:r>
    </w:p>
    <w:p>
      <w:pPr>
        <w:pStyle w:val="FirstParagraph"/>
      </w:pPr>
      <w:r>
        <w:rPr>
          <w:bCs/>
          <w:b/>
        </w:rPr>
        <w:t xml:space="preserve">1)</w:t>
      </w:r>
      <w:r>
        <w:rPr>
          <w:bCs/>
          <w:b/>
        </w:rPr>
        <w:t xml:space="preserve"> </w:t>
      </w:r>
      <w:r>
        <w:rPr>
          <w:bCs/>
          <w:b/>
        </w:rPr>
        <w:t xml:space="preserve">“</w:t>
      </w:r>
      <w:r>
        <w:rPr>
          <w:bCs/>
          <w:b/>
        </w:rPr>
        <w:t xml:space="preserve">EV/Sales vs EBIT margin</w:t>
      </w:r>
      <w:r>
        <w:rPr>
          <w:bCs/>
          <w:b/>
        </w:rPr>
        <w:t xml:space="preserve">”</w:t>
      </w:r>
      <w:r>
        <w:rPr>
          <w:bCs/>
          <w:b/>
        </w:rPr>
        <w:t xml:space="preserve"> </w:t>
      </w:r>
      <w:r>
        <w:rPr>
          <w:bCs/>
          <w:b/>
        </w:rPr>
        <w:t xml:space="preserve">(bank version: market cap / operating income vs pre-tax margin).</w:t>
      </w:r>
      <w:r>
        <w:t xml:space="preserve"> </w:t>
      </w:r>
      <w:r>
        <w:t xml:space="preserve">As requested, TEV/Sales is on the x-axis and EBIT margin on the y-axis.</w:t>
      </w:r>
    </w:p>
    <w:p>
      <w:pPr>
        <w:pStyle w:val="CaptionedFigure"/>
      </w:pPr>
      <w:r>
        <w:drawing>
          <wp:inline>
            <wp:extent cx="6008370" cy="3629055"/>
            <wp:effectExtent b="0" l="0" r="0" t="0"/>
            <wp:docPr descr="P/Revenue vs PBT margin regression" title="" id="83" name="Picture"/>
            <a:graphic>
              <a:graphicData uri="http://schemas.openxmlformats.org/drawingml/2006/picture">
                <pic:pic>
                  <pic:nvPicPr>
                    <pic:cNvPr descr="HSBK_charts/regression_prev_margin.png" id="84" name="Picture"/>
                    <pic:cNvPicPr>
                      <a:picLocks noChangeArrowheads="1" noChangeAspect="1"/>
                    </pic:cNvPicPr>
                  </pic:nvPicPr>
                  <pic:blipFill>
                    <a:blip r:embed="rId82"/>
                    <a:stretch>
                      <a:fillRect/>
                    </a:stretch>
                  </pic:blipFill>
                  <pic:spPr bwMode="auto">
                    <a:xfrm>
                      <a:off x="0" y="0"/>
                      <a:ext cx="6008370" cy="3629055"/>
                    </a:xfrm>
                    <a:prstGeom prst="rect">
                      <a:avLst/>
                    </a:prstGeom>
                    <a:noFill/>
                    <a:ln w="9525">
                      <a:noFill/>
                      <a:headEnd/>
                      <a:tailEnd/>
                    </a:ln>
                  </pic:spPr>
                </pic:pic>
              </a:graphicData>
            </a:graphic>
          </wp:inline>
        </w:drawing>
      </w:r>
    </w:p>
    <w:p>
      <w:pPr>
        <w:pStyle w:val="ImageCaption"/>
      </w:pPr>
      <w:r>
        <w:t xml:space="preserve">P/Revenue vs PBT margin regression</w:t>
      </w:r>
    </w:p>
    <w:p>
      <w:pPr>
        <w:numPr>
          <w:ilvl w:val="0"/>
          <w:numId w:val="1069"/>
        </w:numPr>
        <w:pStyle w:val="Compact"/>
      </w:pPr>
      <w:r>
        <w:rPr>
          <w:bCs/>
          <w:b/>
        </w:rPr>
        <w:t xml:space="preserve">Fit.</w:t>
      </w:r>
      <w:r>
        <w:t xml:space="preserve"> </w:t>
      </w:r>
      <w:r>
        <w:t xml:space="preserve">OLS across six listed peers gives PBT margin = 57.8 − 1.82 × P/Rev, with R² = 0.08. There is</w:t>
      </w:r>
      <w:r>
        <w:t xml:space="preserve"> </w:t>
      </w:r>
      <w:r>
        <w:rPr>
          <w:bCs/>
          <w:b/>
        </w:rPr>
        <w:t xml:space="preserve">no meaningful cross-sectional relationship</w:t>
      </w:r>
      <w:r>
        <w:t xml:space="preserve">: country risk, not margin, sets the revenue multiple. PKO and OTP trade at 4.4–4.8x revenue on 45–52% margins; BCC trades at 1.6x on 63%.</w:t>
      </w:r>
    </w:p>
    <w:p>
      <w:pPr>
        <w:numPr>
          <w:ilvl w:val="0"/>
          <w:numId w:val="1069"/>
        </w:numPr>
        <w:pStyle w:val="Compact"/>
      </w:pPr>
      <w:r>
        <w:rPr>
          <w:bCs/>
          <w:b/>
        </w:rPr>
        <w:t xml:space="preserve">Halyk is the outlier.</w:t>
      </w:r>
    </w:p>
    <w:p>
      <w:pPr>
        <w:numPr>
          <w:ilvl w:val="1"/>
          <w:numId w:val="1070"/>
        </w:numPr>
        <w:pStyle w:val="Compact"/>
      </w:pPr>
      <w:r>
        <w:t xml:space="preserve">It has the</w:t>
      </w:r>
      <w:r>
        <w:t xml:space="preserve"> </w:t>
      </w:r>
      <w:r>
        <w:rPr>
          <w:bCs/>
          <w:b/>
        </w:rPr>
        <w:t xml:space="preserve">highest pre-tax margin in the sample (74%)</w:t>
      </w:r>
      <w:r>
        <w:t xml:space="preserve"> </w:t>
      </w:r>
      <w:r>
        <w:t xml:space="preserve">yet the third-lowest P/Rev (2.3x).</w:t>
      </w:r>
    </w:p>
    <w:p>
      <w:pPr>
        <w:numPr>
          <w:ilvl w:val="1"/>
          <w:numId w:val="1070"/>
        </w:numPr>
        <w:pStyle w:val="Compact"/>
      </w:pPr>
      <w:r>
        <w:t xml:space="preserve">At its multiple, the peer line implies a 53% margin. Halyk is</w:t>
      </w:r>
      <w:r>
        <w:t xml:space="preserve"> </w:t>
      </w:r>
      <w:r>
        <w:rPr>
          <w:bCs/>
          <w:b/>
        </w:rPr>
        <w:t xml:space="preserve">~21pp above the line</w:t>
      </w:r>
      <w:r>
        <w:t xml:space="preserve">: the market pays for its revenue as if it were an average-margin bank.</w:t>
      </w:r>
    </w:p>
    <w:p>
      <w:pPr>
        <w:pStyle w:val="FirstParagraph"/>
      </w:pPr>
      <w:r>
        <w:rPr>
          <w:bCs/>
          <w:b/>
        </w:rPr>
        <w:t xml:space="preserve">2) P/B vs ROE (the bank-standard regression).</w:t>
      </w:r>
    </w:p>
    <w:p>
      <w:pPr>
        <w:pStyle w:val="CaptionedFigure"/>
      </w:pPr>
      <w:r>
        <w:drawing>
          <wp:inline>
            <wp:extent cx="6008370" cy="3647811"/>
            <wp:effectExtent b="0" l="0" r="0" t="0"/>
            <wp:docPr descr="P/B vs ROE regression" title="" id="86" name="Picture"/>
            <a:graphic>
              <a:graphicData uri="http://schemas.openxmlformats.org/drawingml/2006/picture">
                <pic:pic>
                  <pic:nvPicPr>
                    <pic:cNvPr descr="HSBK_charts/regression_pb_roe.png" id="87" name="Picture"/>
                    <pic:cNvPicPr>
                      <a:picLocks noChangeArrowheads="1" noChangeAspect="1"/>
                    </pic:cNvPicPr>
                  </pic:nvPicPr>
                  <pic:blipFill>
                    <a:blip r:embed="rId85"/>
                    <a:stretch>
                      <a:fillRect/>
                    </a:stretch>
                  </pic:blipFill>
                  <pic:spPr bwMode="auto">
                    <a:xfrm>
                      <a:off x="0" y="0"/>
                      <a:ext cx="6008370" cy="3647811"/>
                    </a:xfrm>
                    <a:prstGeom prst="rect">
                      <a:avLst/>
                    </a:prstGeom>
                    <a:noFill/>
                    <a:ln w="9525">
                      <a:noFill/>
                      <a:headEnd/>
                      <a:tailEnd/>
                    </a:ln>
                  </pic:spPr>
                </pic:pic>
              </a:graphicData>
            </a:graphic>
          </wp:inline>
        </w:drawing>
      </w:r>
    </w:p>
    <w:p>
      <w:pPr>
        <w:pStyle w:val="ImageCaption"/>
      </w:pPr>
      <w:r>
        <w:t xml:space="preserve">P/B vs ROE regression</w:t>
      </w:r>
    </w:p>
    <w:p>
      <w:pPr>
        <w:numPr>
          <w:ilvl w:val="0"/>
          <w:numId w:val="1071"/>
        </w:numPr>
        <w:pStyle w:val="Compact"/>
      </w:pPr>
      <w:r>
        <w:rPr>
          <w:bCs/>
          <w:b/>
        </w:rPr>
        <w:t xml:space="preserve">Fit.</w:t>
      </w:r>
      <w:r>
        <w:t xml:space="preserve"> </w:t>
      </w:r>
      <w:r>
        <w:t xml:space="preserve">Across seven peers, P/B = 0.93 + 0.037 × ROE, with R² = 0.24. At a 27% ROE this implies</w:t>
      </w:r>
      <w:r>
        <w:t xml:space="preserve"> </w:t>
      </w:r>
      <w:r>
        <w:rPr>
          <w:bCs/>
          <w:b/>
        </w:rPr>
        <w:t xml:space="preserve">1.92x for Halyk vs 1.12x actual (−42%)</w:t>
      </w:r>
      <w:r>
        <w:t xml:space="preserve">.</w:t>
      </w:r>
    </w:p>
    <w:p>
      <w:pPr>
        <w:numPr>
          <w:ilvl w:val="0"/>
          <w:numId w:val="1071"/>
        </w:numPr>
        <w:pStyle w:val="Compact"/>
      </w:pPr>
      <w:r>
        <w:rPr>
          <w:bCs/>
          <w:b/>
        </w:rPr>
        <w:t xml:space="preserve">Caveat.</w:t>
      </w:r>
      <w:r>
        <w:t xml:space="preserve"> </w:t>
      </w:r>
      <w:r>
        <w:t xml:space="preserve">The slope is driven by Kaspi (55% ROE, 3.7x). Without Kaspi, P/B and ROE are</w:t>
      </w:r>
      <w:r>
        <w:t xml:space="preserve"> </w:t>
      </w:r>
      <w:r>
        <w:rPr>
          <w:iCs/>
          <w:i/>
        </w:rPr>
        <w:t xml:space="preserve">negatively</w:t>
      </w:r>
      <w:r>
        <w:t xml:space="preserve"> </w:t>
      </w:r>
      <w:r>
        <w:t xml:space="preserve">related across this peer set, because CEE banks with lower ROE trade at higher multiples than CIS banks.</w:t>
      </w:r>
      <w:r>
        <w:t xml:space="preserve"> </w:t>
      </w:r>
      <w:r>
        <w:rPr>
          <w:bCs/>
          <w:b/>
        </w:rPr>
        <w:t xml:space="preserve">The real driver is the country discount.</w:t>
      </w:r>
      <w:r>
        <w:t xml:space="preserve"> </w:t>
      </w:r>
      <w:r>
        <w:t xml:space="preserve">On that basis Halyk screens cheap, but the regression gap overstates the upside.</w:t>
      </w:r>
    </w:p>
    <w:p>
      <w:pPr>
        <w:pStyle w:val="FirstParagraph"/>
      </w:pPr>
      <w:r>
        <w:rPr>
          <w:bCs/>
          <w:b/>
        </w:rPr>
        <w:t xml:space="preserve">Screen verdict: CHEAP</w:t>
      </w:r>
      <w:r>
        <w:t xml:space="preserve"> </w:t>
      </w:r>
      <w:r>
        <w:t xml:space="preserve">on P/E, P/B-vs-ROE and P/Rev-vs-margin relative to peers.</w:t>
      </w:r>
      <w:r>
        <w:t xml:space="preserve"> </w:t>
      </w:r>
      <w:r>
        <w:rPr>
          <w:bCs/>
          <w:b/>
        </w:rPr>
        <w:t xml:space="preserve">FAIR to slightly EXPENSIVE</w:t>
      </w:r>
      <w:r>
        <w:t xml:space="preserve"> </w:t>
      </w:r>
      <w:r>
        <w:t xml:space="preserve">relative to Halyk’s own five-year history.</w:t>
      </w:r>
    </w:p>
    <w:bookmarkEnd w:id="88"/>
    <w:bookmarkStart w:id="92" w:name="valuation-and-target"/>
    <w:p>
      <w:pPr>
        <w:pStyle w:val="Heading2"/>
      </w:pPr>
      <w:r>
        <w:t xml:space="preserve">Valuation and target</w:t>
      </w:r>
    </w:p>
    <w:p>
      <w:pPr>
        <w:pStyle w:val="CaptionedFigure"/>
      </w:pPr>
      <w:r>
        <w:drawing>
          <wp:inline>
            <wp:extent cx="6008370" cy="2538169"/>
            <wp:effectExtent b="0" l="0" r="0" t="0"/>
            <wp:docPr descr="Valuation ranges" title="" id="90" name="Picture"/>
            <a:graphic>
              <a:graphicData uri="http://schemas.openxmlformats.org/drawingml/2006/picture">
                <pic:pic>
                  <pic:nvPicPr>
                    <pic:cNvPr descr="HSBK_charts/football_field.png" id="91" name="Picture"/>
                    <pic:cNvPicPr>
                      <a:picLocks noChangeArrowheads="1" noChangeAspect="1"/>
                    </pic:cNvPicPr>
                  </pic:nvPicPr>
                  <pic:blipFill>
                    <a:blip r:embed="rId89"/>
                    <a:stretch>
                      <a:fillRect/>
                    </a:stretch>
                  </pic:blipFill>
                  <pic:spPr bwMode="auto">
                    <a:xfrm>
                      <a:off x="0" y="0"/>
                      <a:ext cx="6008370" cy="2538169"/>
                    </a:xfrm>
                    <a:prstGeom prst="rect">
                      <a:avLst/>
                    </a:prstGeom>
                    <a:noFill/>
                    <a:ln w="9525">
                      <a:noFill/>
                      <a:headEnd/>
                      <a:tailEnd/>
                    </a:ln>
                  </pic:spPr>
                </pic:pic>
              </a:graphicData>
            </a:graphic>
          </wp:inline>
        </w:drawing>
      </w:r>
    </w:p>
    <w:p>
      <w:pPr>
        <w:pStyle w:val="ImageCaption"/>
      </w:pPr>
      <w:r>
        <w:t xml:space="preserve">Valuation ranges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7451"/>
        <w:gridCol w:w="1280"/>
        <w:gridCol w:w="1246"/>
      </w:tblGrid>
      <w:tr>
        <w:trPr>
          <w:tblHeader w:val="true"/>
          <w:cantSplit/>
          <w:tblHeader w:val="true"/>
        </w:trPr>
        <w:tc>
          <w:tcPr>
            <w:tcW w:w="7451" w:type="dxa"/>
            <w:shd w:val="clear" w:color="auto" w:fill="13213F"/>
          </w:tcPr>
          <w:p>
            <w:pPr>
              <w:pStyle w:val="Compact"/>
              <w:spacing w:before="0" w:after="0" w:line="240" w:lineRule="auto"/>
              <w:jc w:val="left"/>
            </w:pPr>
            <w:r>
              <w:rPr>
                <w:rFonts w:ascii="Arial" w:hAnsi="Arial"/>
                <w:b/>
                <w:color w:val="FFFFFF"/>
                <w:sz w:val="15"/>
              </w:rPr>
              <w:t xml:space="preserve">Method</w:t>
            </w:r>
          </w:p>
        </w:tc>
        <w:tc>
          <w:tcPr>
            <w:tcW w:w="1280" w:type="dxa"/>
            <w:shd w:val="clear" w:color="auto" w:fill="13213F"/>
          </w:tcPr>
          <w:p>
            <w:pPr>
              <w:pStyle w:val="Compact"/>
              <w:spacing w:before="0" w:after="0" w:line="240" w:lineRule="auto"/>
              <w:jc w:val="left"/>
            </w:pPr>
            <w:r>
              <w:rPr>
                <w:rFonts w:ascii="Arial" w:hAnsi="Arial"/>
                <w:b/>
                <w:color w:val="FFFFFF"/>
                <w:sz w:val="15"/>
              </w:rPr>
              <w:t xml:space="preserve">Value (KZT/share)</w:t>
            </w:r>
          </w:p>
        </w:tc>
        <w:tc>
          <w:tcPr>
            <w:tcW w:w="1246" w:type="dxa"/>
            <w:shd w:val="clear" w:color="auto" w:fill="13213F"/>
          </w:tcPr>
          <w:p>
            <w:pPr>
              <w:pStyle w:val="Compact"/>
              <w:spacing w:before="0" w:after="0" w:line="240" w:lineRule="auto"/>
              <w:jc w:val="left"/>
            </w:pPr>
            <w:r>
              <w:rPr>
                <w:rFonts w:ascii="Arial" w:hAnsi="Arial"/>
                <w:b/>
                <w:color w:val="FFFFFF"/>
                <w:sz w:val="15"/>
              </w:rPr>
              <w:t xml:space="preserve">US$/GDR at KZT465</w:t>
            </w:r>
          </w:p>
        </w:tc>
      </w:tr>
      <w:tr>
        <w:trPr>
          <w:cantSplit/>
        </w:trPr>
        <w:tc>
          <w:tcPr>
            <w:tcW w:w="7451" w:type="dxa"/>
          </w:tcPr>
          <w:p>
            <w:pPr>
              <w:pStyle w:val="Compact"/>
              <w:spacing w:before="0" w:after="0" w:line="240" w:lineRule="auto"/>
              <w:jc w:val="left"/>
            </w:pPr>
            <w:r>
              <w:rPr>
                <w:rFonts w:ascii="Arial" w:hAnsi="Arial"/>
                <w:sz w:val="15"/>
              </w:rPr>
              <w:t xml:space="preserve">P/E 5.0x 2027E EPS (KZT90.2), between own history (3.4x) and CIS peers (6.7x)</w:t>
            </w:r>
          </w:p>
        </w:tc>
        <w:tc>
          <w:tcPr>
            <w:tcW w:w="1280" w:type="dxa"/>
          </w:tcPr>
          <w:p>
            <w:pPr>
              <w:pStyle w:val="Compact"/>
              <w:spacing w:before="0" w:after="0" w:line="240" w:lineRule="auto"/>
              <w:jc w:val="left"/>
            </w:pPr>
            <w:r>
              <w:rPr>
                <w:rFonts w:ascii="Arial" w:hAnsi="Arial"/>
                <w:sz w:val="15"/>
              </w:rPr>
              <w:t xml:space="preserve">451</w:t>
            </w:r>
          </w:p>
        </w:tc>
        <w:tc>
          <w:tcPr>
            <w:tcW w:w="1246" w:type="dxa"/>
          </w:tcPr>
          <w:p>
            <w:pPr>
              <w:pStyle w:val="Compact"/>
              <w:spacing w:before="0" w:after="0" w:line="240" w:lineRule="auto"/>
              <w:jc w:val="left"/>
            </w:pPr>
            <w:r>
              <w:rPr>
                <w:rFonts w:ascii="Arial" w:hAnsi="Arial"/>
                <w:sz w:val="15"/>
              </w:rPr>
              <w:t xml:space="preserve">38.8</w:t>
            </w:r>
          </w:p>
        </w:tc>
      </w:tr>
      <w:tr>
        <w:trPr>
          <w:cantSplit/>
        </w:trPr>
        <w:tc>
          <w:tcPr>
            <w:tcW w:w="7451" w:type="dxa"/>
          </w:tcPr>
          <w:p>
            <w:pPr>
              <w:pStyle w:val="Compact"/>
              <w:spacing w:before="0" w:after="0" w:line="240" w:lineRule="auto"/>
              <w:jc w:val="left"/>
            </w:pPr>
            <w:r>
              <w:rPr>
                <w:rFonts w:ascii="Arial" w:hAnsi="Arial"/>
                <w:sz w:val="15"/>
              </w:rPr>
              <w:t xml:space="preserve">P/B 1.2x 2027E BVPS (KZT388), the upper end of the 5-year range</w:t>
            </w:r>
          </w:p>
        </w:tc>
        <w:tc>
          <w:tcPr>
            <w:tcW w:w="1280" w:type="dxa"/>
          </w:tcPr>
          <w:p>
            <w:pPr>
              <w:pStyle w:val="Compact"/>
              <w:spacing w:before="0" w:after="0" w:line="240" w:lineRule="auto"/>
              <w:jc w:val="left"/>
            </w:pPr>
            <w:r>
              <w:rPr>
                <w:rFonts w:ascii="Arial" w:hAnsi="Arial"/>
                <w:sz w:val="15"/>
              </w:rPr>
              <w:t xml:space="preserve">466</w:t>
            </w:r>
          </w:p>
        </w:tc>
        <w:tc>
          <w:tcPr>
            <w:tcW w:w="1246" w:type="dxa"/>
          </w:tcPr>
          <w:p>
            <w:pPr>
              <w:pStyle w:val="Compact"/>
              <w:spacing w:before="0" w:after="0" w:line="240" w:lineRule="auto"/>
              <w:jc w:val="left"/>
            </w:pPr>
            <w:r>
              <w:rPr>
                <w:rFonts w:ascii="Arial" w:hAnsi="Arial"/>
                <w:sz w:val="15"/>
              </w:rPr>
              <w:t xml:space="preserve">40.1</w:t>
            </w:r>
          </w:p>
        </w:tc>
      </w:tr>
      <w:tr>
        <w:trPr>
          <w:cantSplit/>
        </w:trPr>
        <w:tc>
          <w:tcPr>
            <w:tcW w:w="7451" w:type="dxa"/>
          </w:tcPr>
          <w:p>
            <w:pPr>
              <w:pStyle w:val="Compact"/>
              <w:spacing w:before="0" w:after="0" w:line="240" w:lineRule="auto"/>
              <w:jc w:val="left"/>
            </w:pPr>
            <w:r>
              <w:rPr>
                <w:rFonts w:ascii="Arial" w:hAnsi="Arial"/>
                <w:sz w:val="15"/>
              </w:rPr>
              <w:t xml:space="preserve">Residual income, 12-month forward (COE 19.5% KZT; ROE 24.7% fading to 21% by 2033; terminal g 8%)</w:t>
            </w:r>
          </w:p>
        </w:tc>
        <w:tc>
          <w:tcPr>
            <w:tcW w:w="1280" w:type="dxa"/>
          </w:tcPr>
          <w:p>
            <w:pPr>
              <w:pStyle w:val="Compact"/>
              <w:spacing w:before="0" w:after="0" w:line="240" w:lineRule="auto"/>
              <w:jc w:val="left"/>
            </w:pPr>
            <w:r>
              <w:rPr>
                <w:rFonts w:ascii="Arial" w:hAnsi="Arial"/>
                <w:sz w:val="15"/>
              </w:rPr>
              <w:t xml:space="preserve">431</w:t>
            </w:r>
          </w:p>
        </w:tc>
        <w:tc>
          <w:tcPr>
            <w:tcW w:w="1246" w:type="dxa"/>
          </w:tcPr>
          <w:p>
            <w:pPr>
              <w:pStyle w:val="Compact"/>
              <w:spacing w:before="0" w:after="0" w:line="240" w:lineRule="auto"/>
              <w:jc w:val="left"/>
            </w:pPr>
            <w:r>
              <w:rPr>
                <w:rFonts w:ascii="Arial" w:hAnsi="Arial"/>
                <w:sz w:val="15"/>
              </w:rPr>
              <w:t xml:space="preserve">37.0</w:t>
            </w:r>
          </w:p>
        </w:tc>
      </w:tr>
      <w:tr>
        <w:trPr>
          <w:cantSplit/>
        </w:trPr>
        <w:tc>
          <w:tcPr>
            <w:tcW w:w="7451" w:type="dxa"/>
          </w:tcPr>
          <w:p>
            <w:pPr>
              <w:pStyle w:val="Compact"/>
              <w:spacing w:before="0" w:after="0" w:line="240" w:lineRule="auto"/>
              <w:jc w:val="left"/>
            </w:pPr>
            <w:r>
              <w:rPr>
                <w:bCs/>
                <w:rFonts w:ascii="Arial" w:hAnsi="Arial"/>
                <w:b/>
                <w:sz w:val="15"/>
              </w:rPr>
              <w:t xml:space="preserve">Blend</w:t>
            </w:r>
          </w:p>
        </w:tc>
        <w:tc>
          <w:tcPr>
            <w:tcW w:w="1280" w:type="dxa"/>
          </w:tcPr>
          <w:p>
            <w:pPr>
              <w:pStyle w:val="Compact"/>
              <w:spacing w:before="0" w:after="0" w:line="240" w:lineRule="auto"/>
              <w:jc w:val="left"/>
            </w:pPr>
            <w:r>
              <w:rPr>
                <w:bCs/>
                <w:rFonts w:ascii="Arial" w:hAnsi="Arial"/>
                <w:b/>
                <w:sz w:val="15"/>
              </w:rPr>
              <w:t xml:space="preserve">449</w:t>
            </w:r>
          </w:p>
        </w:tc>
        <w:tc>
          <w:tcPr>
            <w:tcW w:w="1246" w:type="dxa"/>
          </w:tcPr>
          <w:p>
            <w:pPr>
              <w:pStyle w:val="Compact"/>
              <w:spacing w:before="0" w:after="0" w:line="240" w:lineRule="auto"/>
              <w:jc w:val="left"/>
            </w:pPr>
            <w:r>
              <w:rPr>
                <w:bCs/>
                <w:rFonts w:ascii="Arial" w:hAnsi="Arial"/>
                <w:b/>
                <w:sz w:val="15"/>
              </w:rPr>
              <w:t xml:space="preserve">38.6 → target US$38.0</w:t>
            </w:r>
            <w:r>
              <w:rPr>
                <w:rFonts w:ascii="Arial" w:hAnsi="Arial"/>
                <w:sz w:val="15"/>
              </w:rPr>
              <w:t xml:space="preserve"> </w:t>
            </w:r>
            <w:r>
              <w:rPr>
                <w:rFonts w:ascii="Arial" w:hAnsi="Arial"/>
                <w:sz w:val="15"/>
              </w:rPr>
              <w:t xml:space="preserve">(rounded down for the ALMEX overhang)</w:t>
            </w:r>
          </w:p>
        </w:tc>
      </w:tr>
    </w:tbl>
    <w:p>
      <w:pPr>
        <w:numPr>
          <w:ilvl w:val="0"/>
          <w:numId w:val="1072"/>
        </w:numPr>
        <w:pStyle w:val="Compact"/>
      </w:pPr>
      <w:r>
        <w:rPr>
          <w:bCs/>
          <w:b/>
        </w:rPr>
        <w:t xml:space="preserve">Cost of equity build-up.</w:t>
      </w:r>
      <w:r>
        <w:t xml:space="preserve"> </w:t>
      </w:r>
      <w:r>
        <w:t xml:space="preserve">USD risk-free 4.25% + ERP 5% + Kazakhstan premium ~3% = ~12.3% in US$, plus a KZT/US$ inflation differential of ~6.5% =</w:t>
      </w:r>
      <w:r>
        <w:t xml:space="preserve"> </w:t>
      </w:r>
      <w:r>
        <w:rPr>
          <w:bCs/>
          <w:b/>
        </w:rPr>
        <w:t xml:space="preserve">19.5% in KZT</w:t>
      </w:r>
      <w:r>
        <w:t xml:space="preserve">.</w:t>
      </w:r>
    </w:p>
    <w:p>
      <w:pPr>
        <w:numPr>
          <w:ilvl w:val="0"/>
          <w:numId w:val="1072"/>
        </w:numPr>
        <w:pStyle w:val="Compact"/>
      </w:pPr>
      <w:r>
        <w:rPr>
          <w:bCs/>
          <w:b/>
        </w:rPr>
        <w:t xml:space="preserve">Implied multiples at the target:</w:t>
      </w:r>
      <w:r>
        <w:t xml:space="preserve"> </w:t>
      </w:r>
      <w:r>
        <w:t xml:space="preserve">4.9x 2027E P/E and 1.14x 2027E P/B.</w:t>
      </w:r>
    </w:p>
    <w:p>
      <w:pPr>
        <w:numPr>
          <w:ilvl w:val="0"/>
          <w:numId w:val="1072"/>
        </w:numPr>
        <w:pStyle w:val="Compact"/>
      </w:pPr>
      <w:r>
        <w:rPr>
          <w:bCs/>
          <w:b/>
        </w:rPr>
        <w:t xml:space="preserve">Dividends</w:t>
      </w:r>
      <w:r>
        <w:t xml:space="preserve"> </w:t>
      </w:r>
      <w:r>
        <w:t xml:space="preserve">of ~US$4.3/GDR over 12 months take the total return to ~27%.</w:t>
      </w:r>
    </w:p>
    <w:bookmarkEnd w:id="92"/>
    <w:bookmarkEnd w:id="93"/>
    <w:bookmarkStart w:id="97" w:name="Xfde32e52999e6dfdaf1c85b5e55418bfb44c058"/>
    <w:p>
      <w:pPr>
        <w:pStyle w:val="Heading1"/>
      </w:pPr>
      <w:r>
        <w:t xml:space="preserve">M&amp;A: industry deals, takeover potential and Halyk’s own transactions</w:t>
      </w:r>
    </w:p>
    <w:bookmarkStart w:id="94" w:name="recent-ma-in-the-industry"/>
    <w:p>
      <w:pPr>
        <w:pStyle w:val="Heading2"/>
      </w:pPr>
      <w:r>
        <w:t xml:space="preserve">Recent M&amp;A in the industry</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100"/>
        <w:gridCol w:w="1695"/>
        <w:gridCol w:w="1536"/>
        <w:gridCol w:w="896"/>
        <w:gridCol w:w="1257"/>
        <w:gridCol w:w="896"/>
        <w:gridCol w:w="564"/>
        <w:gridCol w:w="2031"/>
      </w:tblGrid>
      <w:tr>
        <w:trPr>
          <w:tblHeader w:val="true"/>
          <w:cantSplit/>
          <w:tblHeader w:val="true"/>
        </w:trPr>
        <w:tc>
          <w:tcPr>
            <w:tcW w:w="1100" w:type="dxa"/>
            <w:shd w:val="clear" w:color="auto" w:fill="13213F"/>
          </w:tcPr>
          <w:p>
            <w:pPr>
              <w:pStyle w:val="Compact"/>
              <w:spacing w:before="0" w:after="0" w:line="240" w:lineRule="auto"/>
              <w:jc w:val="left"/>
            </w:pPr>
            <w:r>
              <w:rPr>
                <w:rFonts w:ascii="Arial" w:hAnsi="Arial"/>
                <w:b/>
                <w:color w:val="FFFFFF"/>
                <w:sz w:val="15"/>
              </w:rPr>
              <w:t xml:space="preserve">Date</w:t>
            </w:r>
          </w:p>
        </w:tc>
        <w:tc>
          <w:tcPr>
            <w:tcW w:w="1695" w:type="dxa"/>
            <w:shd w:val="clear" w:color="auto" w:fill="13213F"/>
          </w:tcPr>
          <w:p>
            <w:pPr>
              <w:pStyle w:val="Compact"/>
              <w:spacing w:before="0" w:after="0" w:line="240" w:lineRule="auto"/>
              <w:jc w:val="left"/>
            </w:pPr>
            <w:r>
              <w:rPr>
                <w:rFonts w:ascii="Arial" w:hAnsi="Arial"/>
                <w:b/>
                <w:color w:val="FFFFFF"/>
                <w:sz w:val="15"/>
              </w:rPr>
              <w:t xml:space="preserve">Target</w:t>
            </w:r>
          </w:p>
        </w:tc>
        <w:tc>
          <w:tcPr>
            <w:tcW w:w="1536" w:type="dxa"/>
            <w:shd w:val="clear" w:color="auto" w:fill="13213F"/>
          </w:tcPr>
          <w:p>
            <w:pPr>
              <w:pStyle w:val="Compact"/>
              <w:spacing w:before="0" w:after="0" w:line="240" w:lineRule="auto"/>
              <w:jc w:val="left"/>
            </w:pPr>
            <w:r>
              <w:rPr>
                <w:rFonts w:ascii="Arial" w:hAnsi="Arial"/>
                <w:b/>
                <w:color w:val="FFFFFF"/>
                <w:sz w:val="15"/>
              </w:rPr>
              <w:t xml:space="preserve">Acquirer</w:t>
            </w:r>
          </w:p>
        </w:tc>
        <w:tc>
          <w:tcPr>
            <w:tcW w:w="896" w:type="dxa"/>
            <w:shd w:val="clear" w:color="auto" w:fill="13213F"/>
          </w:tcPr>
          <w:p>
            <w:pPr>
              <w:pStyle w:val="Compact"/>
              <w:spacing w:before="0" w:after="0" w:line="240" w:lineRule="auto"/>
              <w:jc w:val="left"/>
            </w:pPr>
            <w:r>
              <w:rPr>
                <w:rFonts w:ascii="Arial" w:hAnsi="Arial"/>
                <w:b/>
                <w:color w:val="FFFFFF"/>
                <w:sz w:val="15"/>
              </w:rPr>
              <w:t xml:space="preserve">Stake</w:t>
            </w:r>
          </w:p>
        </w:tc>
        <w:tc>
          <w:tcPr>
            <w:tcW w:w="1257" w:type="dxa"/>
            <w:shd w:val="clear" w:color="auto" w:fill="13213F"/>
          </w:tcPr>
          <w:p>
            <w:pPr>
              <w:pStyle w:val="Compact"/>
              <w:spacing w:before="0" w:after="0" w:line="240" w:lineRule="auto"/>
              <w:jc w:val="left"/>
            </w:pPr>
            <w:r>
              <w:rPr>
                <w:rFonts w:ascii="Arial" w:hAnsi="Arial"/>
                <w:b/>
                <w:color w:val="FFFFFF"/>
                <w:sz w:val="15"/>
              </w:rPr>
              <w:t xml:space="preserve">Consideration</w:t>
            </w:r>
          </w:p>
        </w:tc>
        <w:tc>
          <w:tcPr>
            <w:tcW w:w="896" w:type="dxa"/>
            <w:shd w:val="clear" w:color="auto" w:fill="13213F"/>
          </w:tcPr>
          <w:p>
            <w:pPr>
              <w:pStyle w:val="Compact"/>
              <w:spacing w:before="0" w:after="0" w:line="240" w:lineRule="auto"/>
              <w:jc w:val="left"/>
            </w:pPr>
            <w:r>
              <w:rPr>
                <w:rFonts w:ascii="Arial" w:hAnsi="Arial"/>
                <w:b/>
                <w:color w:val="FFFFFF"/>
                <w:sz w:val="15"/>
              </w:rPr>
              <w:t xml:space="preserve">P/B</w:t>
            </w:r>
          </w:p>
        </w:tc>
        <w:tc>
          <w:tcPr>
            <w:tcW w:w="564" w:type="dxa"/>
            <w:shd w:val="clear" w:color="auto" w:fill="13213F"/>
          </w:tcPr>
          <w:p>
            <w:pPr>
              <w:pStyle w:val="Compact"/>
              <w:spacing w:before="0" w:after="0" w:line="240" w:lineRule="auto"/>
              <w:jc w:val="left"/>
            </w:pPr>
            <w:r>
              <w:rPr>
                <w:rFonts w:ascii="Arial" w:hAnsi="Arial"/>
                <w:b/>
                <w:color w:val="FFFFFF"/>
                <w:sz w:val="15"/>
              </w:rPr>
              <w:t xml:space="preserve">P/E</w:t>
            </w:r>
          </w:p>
        </w:tc>
        <w:tc>
          <w:tcPr>
            <w:tcW w:w="2031" w:type="dxa"/>
            <w:shd w:val="clear" w:color="auto" w:fill="13213F"/>
          </w:tcPr>
          <w:p>
            <w:pPr>
              <w:pStyle w:val="Compact"/>
              <w:spacing w:before="0" w:after="0" w:line="240" w:lineRule="auto"/>
              <w:jc w:val="left"/>
            </w:pPr>
            <w:r>
              <w:rPr>
                <w:rFonts w:ascii="Arial" w:hAnsi="Arial"/>
                <w:b/>
                <w:color w:val="FFFFFF"/>
                <w:sz w:val="15"/>
              </w:rPr>
              <w:t xml:space="preserve">Read-across</w:t>
            </w:r>
          </w:p>
        </w:tc>
      </w:tr>
      <w:tr>
        <w:trPr>
          <w:cantSplit/>
        </w:trPr>
        <w:tc>
          <w:tcPr>
            <w:tcW w:w="1100" w:type="dxa"/>
          </w:tcPr>
          <w:p>
            <w:pPr>
              <w:pStyle w:val="Compact"/>
              <w:spacing w:before="0" w:after="0" w:line="240" w:lineRule="auto"/>
              <w:jc w:val="left"/>
            </w:pPr>
            <w:r>
              <w:rPr>
                <w:rFonts w:ascii="Arial" w:hAnsi="Arial"/>
                <w:sz w:val="15"/>
              </w:rPr>
              <w:t xml:space="preserve">Jun-25 → Dec-25</w:t>
            </w:r>
          </w:p>
        </w:tc>
        <w:tc>
          <w:tcPr>
            <w:tcW w:w="1695" w:type="dxa"/>
          </w:tcPr>
          <w:p>
            <w:pPr>
              <w:pStyle w:val="Compact"/>
              <w:spacing w:before="0" w:after="0" w:line="240" w:lineRule="auto"/>
              <w:jc w:val="left"/>
            </w:pPr>
            <w:r>
              <w:rPr>
                <w:rFonts w:ascii="Arial" w:hAnsi="Arial"/>
                <w:sz w:val="15"/>
              </w:rPr>
              <w:t xml:space="preserve">Home Credit Bank Kazakhstan (consumer finance)</w:t>
            </w:r>
          </w:p>
        </w:tc>
        <w:tc>
          <w:tcPr>
            <w:tcW w:w="1536" w:type="dxa"/>
          </w:tcPr>
          <w:p>
            <w:pPr>
              <w:pStyle w:val="Compact"/>
              <w:spacing w:before="0" w:after="0" w:line="240" w:lineRule="auto"/>
              <w:jc w:val="left"/>
            </w:pPr>
            <w:r>
              <w:rPr>
                <w:rFonts w:ascii="Arial" w:hAnsi="Arial"/>
                <w:sz w:val="15"/>
              </w:rPr>
              <w:t xml:space="preserve">ForteBank (Bulat Utemuratov)</w:t>
            </w:r>
          </w:p>
        </w:tc>
        <w:tc>
          <w:tcPr>
            <w:tcW w:w="896" w:type="dxa"/>
          </w:tcPr>
          <w:p>
            <w:pPr>
              <w:pStyle w:val="Compact"/>
              <w:spacing w:before="0" w:after="0" w:line="240" w:lineRule="auto"/>
              <w:jc w:val="left"/>
            </w:pPr>
            <w:r>
              <w:rPr>
                <w:rFonts w:ascii="Arial" w:hAnsi="Arial"/>
                <w:sz w:val="15"/>
              </w:rPr>
              <w:t xml:space="preserve">100% (staged)</w:t>
            </w:r>
          </w:p>
        </w:tc>
        <w:tc>
          <w:tcPr>
            <w:tcW w:w="1257" w:type="dxa"/>
          </w:tcPr>
          <w:p>
            <w:pPr>
              <w:pStyle w:val="Compact"/>
              <w:spacing w:before="0" w:after="0" w:line="240" w:lineRule="auto"/>
              <w:jc w:val="left"/>
            </w:pPr>
            <w:r>
              <w:rPr>
                <w:rFonts w:ascii="Arial" w:hAnsi="Arial"/>
                <w:sz w:val="15"/>
              </w:rPr>
              <w:t xml:space="preserve">~KZT172–274bn [d]</w:t>
            </w:r>
          </w:p>
        </w:tc>
        <w:tc>
          <w:tcPr>
            <w:tcW w:w="896" w:type="dxa"/>
          </w:tcPr>
          <w:p>
            <w:pPr>
              <w:pStyle w:val="Compact"/>
              <w:spacing w:before="0" w:after="0" w:line="240" w:lineRule="auto"/>
              <w:jc w:val="left"/>
            </w:pPr>
            <w:r>
              <w:rPr>
                <w:rFonts w:ascii="Arial" w:hAnsi="Arial"/>
                <w:sz w:val="15"/>
              </w:rPr>
              <w:t xml:space="preserve">~0.9–1.4x</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Healthy retail franchise valuation; Forte becomes a retail challenger</w:t>
            </w:r>
          </w:p>
        </w:tc>
      </w:tr>
      <w:tr>
        <w:trPr>
          <w:cantSplit/>
        </w:trPr>
        <w:tc>
          <w:tcPr>
            <w:tcW w:w="1100" w:type="dxa"/>
          </w:tcPr>
          <w:p>
            <w:pPr>
              <w:pStyle w:val="Compact"/>
              <w:spacing w:before="0" w:after="0" w:line="240" w:lineRule="auto"/>
              <w:jc w:val="left"/>
            </w:pPr>
            <w:r>
              <w:rPr>
                <w:rFonts w:ascii="Arial" w:hAnsi="Arial"/>
                <w:sz w:val="15"/>
              </w:rPr>
              <w:t xml:space="preserve">Jun/Jul-25</w:t>
            </w:r>
          </w:p>
        </w:tc>
        <w:tc>
          <w:tcPr>
            <w:tcW w:w="1695" w:type="dxa"/>
          </w:tcPr>
          <w:p>
            <w:pPr>
              <w:pStyle w:val="Compact"/>
              <w:spacing w:before="0" w:after="0" w:line="240" w:lineRule="auto"/>
              <w:jc w:val="left"/>
            </w:pPr>
            <w:r>
              <w:rPr>
                <w:rFonts w:ascii="Arial" w:hAnsi="Arial"/>
                <w:sz w:val="15"/>
              </w:rPr>
              <w:t xml:space="preserve">Jusan Bank (renamed Alatau City Bank)</w:t>
            </w:r>
          </w:p>
        </w:tc>
        <w:tc>
          <w:tcPr>
            <w:tcW w:w="1536" w:type="dxa"/>
          </w:tcPr>
          <w:p>
            <w:pPr>
              <w:pStyle w:val="Compact"/>
              <w:spacing w:before="0" w:after="0" w:line="240" w:lineRule="auto"/>
              <w:jc w:val="left"/>
            </w:pPr>
            <w:r>
              <w:rPr>
                <w:rFonts w:ascii="Arial" w:hAnsi="Arial"/>
                <w:sz w:val="15"/>
              </w:rPr>
              <w:t xml:space="preserve">Vyacheslav Kim (Kaspi co-founder)</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Undisclosed</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Kaspi-linked capital enters mid-tier banking</w:t>
            </w:r>
          </w:p>
        </w:tc>
      </w:tr>
      <w:tr>
        <w:trPr>
          <w:cantSplit/>
        </w:trPr>
        <w:tc>
          <w:tcPr>
            <w:tcW w:w="1100" w:type="dxa"/>
          </w:tcPr>
          <w:p>
            <w:pPr>
              <w:pStyle w:val="Compact"/>
              <w:spacing w:before="0" w:after="0" w:line="240" w:lineRule="auto"/>
              <w:jc w:val="left"/>
            </w:pPr>
            <w:r>
              <w:rPr>
                <w:rFonts w:ascii="Arial" w:hAnsi="Arial"/>
                <w:sz w:val="15"/>
              </w:rPr>
              <w:t xml:space="preserve">Jul-25 (lapsed 31-Dec-25)</w:t>
            </w:r>
          </w:p>
        </w:tc>
        <w:tc>
          <w:tcPr>
            <w:tcW w:w="1695" w:type="dxa"/>
          </w:tcPr>
          <w:p>
            <w:pPr>
              <w:pStyle w:val="Compact"/>
              <w:spacing w:before="0" w:after="0" w:line="240" w:lineRule="auto"/>
              <w:jc w:val="left"/>
            </w:pPr>
            <w:r>
              <w:rPr>
                <w:rFonts w:ascii="Arial" w:hAnsi="Arial"/>
                <w:sz w:val="15"/>
              </w:rPr>
              <w:t xml:space="preserve">Click (Uzbekistan payments, 20m+ users)</w:t>
            </w:r>
          </w:p>
        </w:tc>
        <w:tc>
          <w:tcPr>
            <w:tcW w:w="1536" w:type="dxa"/>
          </w:tcPr>
          <w:p>
            <w:pPr>
              <w:pStyle w:val="Compact"/>
              <w:spacing w:before="0" w:after="0" w:line="240" w:lineRule="auto"/>
              <w:jc w:val="left"/>
            </w:pPr>
            <w:r>
              <w:rPr>
                <w:rFonts w:ascii="Arial" w:hAnsi="Arial"/>
                <w:sz w:val="15"/>
              </w:rPr>
              <w:t xml:space="preserve">Halyk Bank</w:t>
            </w:r>
          </w:p>
        </w:tc>
        <w:tc>
          <w:tcPr>
            <w:tcW w:w="896" w:type="dxa"/>
          </w:tcPr>
          <w:p>
            <w:pPr>
              <w:pStyle w:val="Compact"/>
              <w:spacing w:before="0" w:after="0" w:line="240" w:lineRule="auto"/>
              <w:jc w:val="left"/>
            </w:pPr>
            <w:r>
              <w:rPr>
                <w:rFonts w:ascii="Arial" w:hAnsi="Arial"/>
                <w:sz w:val="15"/>
              </w:rPr>
              <w:t xml:space="preserve">49%</w:t>
            </w:r>
          </w:p>
        </w:tc>
        <w:tc>
          <w:tcPr>
            <w:tcW w:w="1257" w:type="dxa"/>
          </w:tcPr>
          <w:p>
            <w:pPr>
              <w:pStyle w:val="Compact"/>
              <w:spacing w:before="0" w:after="0" w:line="240" w:lineRule="auto"/>
              <w:jc w:val="left"/>
            </w:pPr>
            <w:r>
              <w:rPr>
                <w:rFonts w:ascii="Arial" w:hAnsi="Arial"/>
                <w:sz w:val="15"/>
              </w:rPr>
              <w:t xml:space="preserve">US$176.4m</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Halyk’s fintech ambition in Uzbekistan; not completed</w:t>
            </w:r>
          </w:p>
        </w:tc>
      </w:tr>
      <w:tr>
        <w:trPr>
          <w:cantSplit/>
        </w:trPr>
        <w:tc>
          <w:tcPr>
            <w:tcW w:w="1100" w:type="dxa"/>
          </w:tcPr>
          <w:p>
            <w:pPr>
              <w:pStyle w:val="Compact"/>
              <w:spacing w:before="0" w:after="0" w:line="240" w:lineRule="auto"/>
              <w:jc w:val="left"/>
            </w:pPr>
            <w:r>
              <w:rPr>
                <w:rFonts w:ascii="Arial" w:hAnsi="Arial"/>
                <w:sz w:val="15"/>
              </w:rPr>
              <w:t xml:space="preserve">Jul-25 (lapsed)</w:t>
            </w:r>
          </w:p>
        </w:tc>
        <w:tc>
          <w:tcPr>
            <w:tcW w:w="1695" w:type="dxa"/>
          </w:tcPr>
          <w:p>
            <w:pPr>
              <w:pStyle w:val="Compact"/>
              <w:spacing w:before="0" w:after="0" w:line="240" w:lineRule="auto"/>
              <w:jc w:val="left"/>
            </w:pPr>
            <w:r>
              <w:rPr>
                <w:rFonts w:ascii="Arial" w:hAnsi="Arial"/>
                <w:sz w:val="15"/>
              </w:rPr>
              <w:t xml:space="preserve">Tenge Bank (Uzbekistan)</w:t>
            </w:r>
          </w:p>
        </w:tc>
        <w:tc>
          <w:tcPr>
            <w:tcW w:w="1536" w:type="dxa"/>
          </w:tcPr>
          <w:p>
            <w:pPr>
              <w:pStyle w:val="Compact"/>
              <w:spacing w:before="0" w:after="0" w:line="240" w:lineRule="auto"/>
              <w:jc w:val="left"/>
            </w:pPr>
            <w:r>
              <w:rPr>
                <w:rFonts w:ascii="Arial" w:hAnsi="Arial"/>
                <w:sz w:val="15"/>
              </w:rPr>
              <w:t xml:space="preserve">Click shareholders</w:t>
            </w:r>
          </w:p>
        </w:tc>
        <w:tc>
          <w:tcPr>
            <w:tcW w:w="896" w:type="dxa"/>
          </w:tcPr>
          <w:p>
            <w:pPr>
              <w:pStyle w:val="Compact"/>
              <w:spacing w:before="0" w:after="0" w:line="240" w:lineRule="auto"/>
              <w:jc w:val="left"/>
            </w:pPr>
            <w:r>
              <w:rPr>
                <w:rFonts w:ascii="Arial" w:hAnsi="Arial"/>
                <w:sz w:val="15"/>
              </w:rPr>
              <w:t xml:space="preserve">49%</w:t>
            </w:r>
          </w:p>
        </w:tc>
        <w:tc>
          <w:tcPr>
            <w:tcW w:w="1257" w:type="dxa"/>
          </w:tcPr>
          <w:p>
            <w:pPr>
              <w:pStyle w:val="Compact"/>
              <w:spacing w:before="0" w:after="0" w:line="240" w:lineRule="auto"/>
              <w:jc w:val="left"/>
            </w:pPr>
            <w:r>
              <w:rPr>
                <w:rFonts w:ascii="Arial" w:hAnsi="Arial"/>
                <w:sz w:val="15"/>
              </w:rPr>
              <w:t xml:space="preserve">US$60.76m</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Paired with the above</w:t>
            </w:r>
          </w:p>
        </w:tc>
      </w:tr>
      <w:tr>
        <w:trPr>
          <w:cantSplit/>
        </w:trPr>
        <w:tc>
          <w:tcPr>
            <w:tcW w:w="1100" w:type="dxa"/>
          </w:tcPr>
          <w:p>
            <w:pPr>
              <w:pStyle w:val="Compact"/>
              <w:spacing w:before="0" w:after="0" w:line="240" w:lineRule="auto"/>
              <w:jc w:val="left"/>
            </w:pPr>
            <w:r>
              <w:rPr>
                <w:rFonts w:ascii="Arial" w:hAnsi="Arial"/>
                <w:sz w:val="15"/>
              </w:rPr>
              <w:t xml:space="preserve">Oct-24 → Jan-25</w:t>
            </w:r>
          </w:p>
        </w:tc>
        <w:tc>
          <w:tcPr>
            <w:tcW w:w="1695" w:type="dxa"/>
          </w:tcPr>
          <w:p>
            <w:pPr>
              <w:pStyle w:val="Compact"/>
              <w:spacing w:before="0" w:after="0" w:line="240" w:lineRule="auto"/>
              <w:jc w:val="left"/>
            </w:pPr>
            <w:r>
              <w:rPr>
                <w:rFonts w:ascii="Arial" w:hAnsi="Arial"/>
                <w:sz w:val="15"/>
              </w:rPr>
              <w:t xml:space="preserve">Hepsiburada (Turkey e-commerce)</w:t>
            </w:r>
          </w:p>
        </w:tc>
        <w:tc>
          <w:tcPr>
            <w:tcW w:w="1536" w:type="dxa"/>
          </w:tcPr>
          <w:p>
            <w:pPr>
              <w:pStyle w:val="Compact"/>
              <w:spacing w:before="0" w:after="0" w:line="240" w:lineRule="auto"/>
              <w:jc w:val="left"/>
            </w:pPr>
            <w:r>
              <w:rPr>
                <w:rFonts w:ascii="Arial" w:hAnsi="Arial"/>
                <w:sz w:val="15"/>
              </w:rPr>
              <w:t xml:space="preserve">Kaspi.kz</w:t>
            </w:r>
          </w:p>
        </w:tc>
        <w:tc>
          <w:tcPr>
            <w:tcW w:w="896" w:type="dxa"/>
          </w:tcPr>
          <w:p>
            <w:pPr>
              <w:pStyle w:val="Compact"/>
              <w:spacing w:before="0" w:after="0" w:line="240" w:lineRule="auto"/>
              <w:jc w:val="left"/>
            </w:pPr>
            <w:r>
              <w:rPr>
                <w:rFonts w:ascii="Arial" w:hAnsi="Arial"/>
                <w:sz w:val="15"/>
              </w:rPr>
              <w:t xml:space="preserve">65.41%</w:t>
            </w:r>
          </w:p>
        </w:tc>
        <w:tc>
          <w:tcPr>
            <w:tcW w:w="1257" w:type="dxa"/>
          </w:tcPr>
          <w:p>
            <w:pPr>
              <w:pStyle w:val="Compact"/>
              <w:spacing w:before="0" w:after="0" w:line="240" w:lineRule="auto"/>
              <w:jc w:val="left"/>
            </w:pPr>
            <w:r>
              <w:rPr>
                <w:rFonts w:ascii="Arial" w:hAnsi="Arial"/>
                <w:sz w:val="15"/>
              </w:rPr>
              <w:t xml:space="preserve">US$1.13bn</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Kaspi exports its model; diversifies away from KZ</w:t>
            </w:r>
          </w:p>
        </w:tc>
      </w:tr>
      <w:tr>
        <w:trPr>
          <w:cantSplit/>
        </w:trPr>
        <w:tc>
          <w:tcPr>
            <w:tcW w:w="1100" w:type="dxa"/>
          </w:tcPr>
          <w:p>
            <w:pPr>
              <w:pStyle w:val="Compact"/>
              <w:spacing w:before="0" w:after="0" w:line="240" w:lineRule="auto"/>
              <w:jc w:val="left"/>
            </w:pPr>
            <w:r>
              <w:rPr>
                <w:rFonts w:ascii="Arial" w:hAnsi="Arial"/>
                <w:sz w:val="15"/>
              </w:rPr>
              <w:t xml:space="preserve">Mar-24 → Oct-24</w:t>
            </w:r>
          </w:p>
        </w:tc>
        <w:tc>
          <w:tcPr>
            <w:tcW w:w="1695" w:type="dxa"/>
          </w:tcPr>
          <w:p>
            <w:pPr>
              <w:pStyle w:val="Compact"/>
              <w:spacing w:before="0" w:after="0" w:line="240" w:lineRule="auto"/>
              <w:jc w:val="left"/>
            </w:pPr>
            <w:r>
              <w:rPr>
                <w:rFonts w:ascii="Arial" w:hAnsi="Arial"/>
                <w:sz w:val="15"/>
              </w:rPr>
              <w:t xml:space="preserve">Bereke Bank (ex-Sberbank KZ)</w:t>
            </w:r>
          </w:p>
        </w:tc>
        <w:tc>
          <w:tcPr>
            <w:tcW w:w="1536" w:type="dxa"/>
          </w:tcPr>
          <w:p>
            <w:pPr>
              <w:pStyle w:val="Compact"/>
              <w:spacing w:before="0" w:after="0" w:line="240" w:lineRule="auto"/>
              <w:jc w:val="left"/>
            </w:pPr>
            <w:r>
              <w:rPr>
                <w:rFonts w:ascii="Arial" w:hAnsi="Arial"/>
                <w:sz w:val="15"/>
              </w:rPr>
              <w:t xml:space="preserve">Lesha Bank (Qatar)</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KZT65bn</w:t>
            </w:r>
          </w:p>
        </w:tc>
        <w:tc>
          <w:tcPr>
            <w:tcW w:w="896" w:type="dxa"/>
          </w:tcPr>
          <w:p>
            <w:pPr>
              <w:pStyle w:val="Compact"/>
              <w:spacing w:before="0" w:after="0" w:line="240" w:lineRule="auto"/>
              <w:jc w:val="left"/>
            </w:pPr>
            <w:r>
              <w:rPr>
                <w:rFonts w:ascii="Arial" w:hAnsi="Arial"/>
                <w:sz w:val="15"/>
              </w:rPr>
              <w:t xml:space="preserve">~0.40x</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Distressed or sanctions-driven exit price</w:t>
            </w:r>
          </w:p>
        </w:tc>
      </w:tr>
      <w:tr>
        <w:trPr>
          <w:cantSplit/>
        </w:trPr>
        <w:tc>
          <w:tcPr>
            <w:tcW w:w="1100" w:type="dxa"/>
          </w:tcPr>
          <w:p>
            <w:pPr>
              <w:pStyle w:val="Compact"/>
              <w:spacing w:before="0" w:after="0" w:line="240" w:lineRule="auto"/>
              <w:jc w:val="left"/>
            </w:pPr>
            <w:r>
              <w:rPr>
                <w:rFonts w:ascii="Arial" w:hAnsi="Arial"/>
                <w:sz w:val="15"/>
              </w:rPr>
              <w:t xml:space="preserve">Feb-24 → 2024</w:t>
            </w:r>
          </w:p>
        </w:tc>
        <w:tc>
          <w:tcPr>
            <w:tcW w:w="1695" w:type="dxa"/>
          </w:tcPr>
          <w:p>
            <w:pPr>
              <w:pStyle w:val="Compact"/>
              <w:spacing w:before="0" w:after="0" w:line="240" w:lineRule="auto"/>
              <w:jc w:val="left"/>
            </w:pPr>
            <w:r>
              <w:rPr>
                <w:rFonts w:ascii="Arial" w:hAnsi="Arial"/>
                <w:sz w:val="15"/>
              </w:rPr>
              <w:t xml:space="preserve">Ameriabank (Armenia)</w:t>
            </w:r>
          </w:p>
        </w:tc>
        <w:tc>
          <w:tcPr>
            <w:tcW w:w="1536" w:type="dxa"/>
          </w:tcPr>
          <w:p>
            <w:pPr>
              <w:pStyle w:val="Compact"/>
              <w:spacing w:before="0" w:after="0" w:line="240" w:lineRule="auto"/>
              <w:jc w:val="left"/>
            </w:pPr>
            <w:r>
              <w:rPr>
                <w:rFonts w:ascii="Arial" w:hAnsi="Arial"/>
                <w:sz w:val="15"/>
              </w:rPr>
              <w:t xml:space="preserve">Bank of Georgia (now Lion Finance)</w:t>
            </w:r>
          </w:p>
        </w:tc>
        <w:tc>
          <w:tcPr>
            <w:tcW w:w="896" w:type="dxa"/>
          </w:tcPr>
          <w:p>
            <w:pPr>
              <w:pStyle w:val="Compact"/>
              <w:spacing w:before="0" w:after="0" w:line="240" w:lineRule="auto"/>
              <w:jc w:val="left"/>
            </w:pPr>
            <w:r>
              <w:rPr>
                <w:rFonts w:ascii="Arial" w:hAnsi="Arial"/>
                <w:sz w:val="15"/>
              </w:rPr>
              <w:t xml:space="preserve">100% (90% retained)</w:t>
            </w:r>
          </w:p>
        </w:tc>
        <w:tc>
          <w:tcPr>
            <w:tcW w:w="1257" w:type="dxa"/>
          </w:tcPr>
          <w:p>
            <w:pPr>
              <w:pStyle w:val="Compact"/>
              <w:spacing w:before="0" w:after="0" w:line="240" w:lineRule="auto"/>
              <w:jc w:val="left"/>
            </w:pPr>
            <w:r>
              <w:rPr>
                <w:rFonts w:ascii="Arial" w:hAnsi="Arial"/>
                <w:sz w:val="15"/>
              </w:rPr>
              <w:t xml:space="preserve">US$303.6m</w:t>
            </w:r>
          </w:p>
        </w:tc>
        <w:tc>
          <w:tcPr>
            <w:tcW w:w="896" w:type="dxa"/>
          </w:tcPr>
          <w:p>
            <w:pPr>
              <w:pStyle w:val="Compact"/>
              <w:spacing w:before="0" w:after="0" w:line="240" w:lineRule="auto"/>
              <w:jc w:val="left"/>
            </w:pPr>
            <w:r>
              <w:rPr>
                <w:rFonts w:ascii="Arial" w:hAnsi="Arial"/>
                <w:sz w:val="15"/>
              </w:rPr>
              <w:t xml:space="preserve">0.65x</w:t>
            </w:r>
          </w:p>
        </w:tc>
        <w:tc>
          <w:tcPr>
            <w:tcW w:w="564" w:type="dxa"/>
          </w:tcPr>
          <w:p>
            <w:pPr>
              <w:pStyle w:val="Compact"/>
              <w:spacing w:before="0" w:after="0" w:line="240" w:lineRule="auto"/>
              <w:jc w:val="left"/>
            </w:pPr>
            <w:r>
              <w:rPr>
                <w:rFonts w:ascii="Arial" w:hAnsi="Arial"/>
                <w:sz w:val="15"/>
              </w:rPr>
              <w:t xml:space="preserve">2.6x</w:t>
            </w:r>
          </w:p>
        </w:tc>
        <w:tc>
          <w:tcPr>
            <w:tcW w:w="2031" w:type="dxa"/>
          </w:tcPr>
          <w:p>
            <w:pPr>
              <w:pStyle w:val="Compact"/>
              <w:spacing w:before="0" w:after="0" w:line="240" w:lineRule="auto"/>
              <w:jc w:val="left"/>
            </w:pPr>
            <w:r>
              <w:rPr>
                <w:rFonts w:ascii="Arial" w:hAnsi="Arial"/>
                <w:sz w:val="15"/>
              </w:rPr>
              <w:t xml:space="preserve">Healthy regional bank bought cheaply by a strategic buyer</w:t>
            </w:r>
          </w:p>
        </w:tc>
      </w:tr>
      <w:tr>
        <w:trPr>
          <w:cantSplit/>
        </w:trPr>
        <w:tc>
          <w:tcPr>
            <w:tcW w:w="1100" w:type="dxa"/>
          </w:tcPr>
          <w:p>
            <w:pPr>
              <w:pStyle w:val="Compact"/>
              <w:spacing w:before="0" w:after="0" w:line="240" w:lineRule="auto"/>
              <w:jc w:val="left"/>
            </w:pPr>
            <w:r>
              <w:rPr>
                <w:rFonts w:ascii="Arial" w:hAnsi="Arial"/>
                <w:sz w:val="15"/>
              </w:rPr>
              <w:t xml:space="preserve">Apr-24</w:t>
            </w:r>
          </w:p>
        </w:tc>
        <w:tc>
          <w:tcPr>
            <w:tcW w:w="1695" w:type="dxa"/>
          </w:tcPr>
          <w:p>
            <w:pPr>
              <w:pStyle w:val="Compact"/>
              <w:spacing w:before="0" w:after="0" w:line="240" w:lineRule="auto"/>
              <w:jc w:val="left"/>
            </w:pPr>
            <w:r>
              <w:rPr>
                <w:rFonts w:ascii="Arial" w:hAnsi="Arial"/>
                <w:sz w:val="15"/>
              </w:rPr>
              <w:t xml:space="preserve">Halyk Bank Kyrgyzstan</w:t>
            </w:r>
          </w:p>
        </w:tc>
        <w:tc>
          <w:tcPr>
            <w:tcW w:w="1536" w:type="dxa"/>
          </w:tcPr>
          <w:p>
            <w:pPr>
              <w:pStyle w:val="Compact"/>
              <w:spacing w:before="0" w:after="0" w:line="240" w:lineRule="auto"/>
              <w:jc w:val="left"/>
            </w:pPr>
            <w:r>
              <w:rPr>
                <w:rFonts w:ascii="Arial" w:hAnsi="Arial"/>
                <w:sz w:val="15"/>
              </w:rPr>
              <w:t xml:space="preserve">Visor International consortium</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Undisclosed</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Halyk exit</w:t>
            </w:r>
          </w:p>
        </w:tc>
      </w:tr>
      <w:tr>
        <w:trPr>
          <w:cantSplit/>
        </w:trPr>
        <w:tc>
          <w:tcPr>
            <w:tcW w:w="1100" w:type="dxa"/>
          </w:tcPr>
          <w:p>
            <w:pPr>
              <w:pStyle w:val="Compact"/>
              <w:spacing w:before="0" w:after="0" w:line="240" w:lineRule="auto"/>
              <w:jc w:val="left"/>
            </w:pPr>
            <w:r>
              <w:rPr>
                <w:rFonts w:ascii="Arial" w:hAnsi="Arial"/>
                <w:sz w:val="15"/>
              </w:rPr>
              <w:t xml:space="preserve">2023</w:t>
            </w:r>
          </w:p>
        </w:tc>
        <w:tc>
          <w:tcPr>
            <w:tcW w:w="1695" w:type="dxa"/>
          </w:tcPr>
          <w:p>
            <w:pPr>
              <w:pStyle w:val="Compact"/>
              <w:spacing w:before="0" w:after="0" w:line="240" w:lineRule="auto"/>
              <w:jc w:val="left"/>
            </w:pPr>
            <w:r>
              <w:rPr>
                <w:rFonts w:ascii="Arial" w:hAnsi="Arial"/>
                <w:sz w:val="15"/>
              </w:rPr>
              <w:t xml:space="preserve">Jusan Bank (control)</w:t>
            </w:r>
          </w:p>
        </w:tc>
        <w:tc>
          <w:tcPr>
            <w:tcW w:w="1536" w:type="dxa"/>
          </w:tcPr>
          <w:p>
            <w:pPr>
              <w:pStyle w:val="Compact"/>
              <w:spacing w:before="0" w:after="0" w:line="240" w:lineRule="auto"/>
              <w:jc w:val="left"/>
            </w:pPr>
            <w:r>
              <w:rPr>
                <w:rFonts w:ascii="Arial" w:hAnsi="Arial"/>
                <w:sz w:val="15"/>
              </w:rPr>
              <w:t xml:space="preserve">Galimzhan Yesenov</w:t>
            </w:r>
          </w:p>
        </w:tc>
        <w:tc>
          <w:tcPr>
            <w:tcW w:w="896" w:type="dxa"/>
          </w:tcPr>
          <w:p>
            <w:pPr>
              <w:pStyle w:val="Compact"/>
              <w:spacing w:before="0" w:after="0" w:line="240" w:lineRule="auto"/>
              <w:jc w:val="left"/>
            </w:pPr>
            <w:r>
              <w:rPr>
                <w:rFonts w:ascii="Arial" w:hAnsi="Arial"/>
                <w:sz w:val="15"/>
              </w:rPr>
              <w:t xml:space="preserve">Control</w:t>
            </w:r>
          </w:p>
        </w:tc>
        <w:tc>
          <w:tcPr>
            <w:tcW w:w="1257" w:type="dxa"/>
          </w:tcPr>
          <w:p>
            <w:pPr>
              <w:pStyle w:val="Compact"/>
              <w:spacing w:before="0" w:after="0" w:line="240" w:lineRule="auto"/>
              <w:jc w:val="left"/>
            </w:pPr>
            <w:r>
              <w:rPr>
                <w:rFonts w:ascii="Arial" w:hAnsi="Arial"/>
                <w:sz w:val="15"/>
              </w:rPr>
              <w:t xml:space="preserve">Undisclosed</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Ownership churn after 2022</w:t>
            </w:r>
          </w:p>
        </w:tc>
      </w:tr>
      <w:tr>
        <w:trPr>
          <w:cantSplit/>
        </w:trPr>
        <w:tc>
          <w:tcPr>
            <w:tcW w:w="1100" w:type="dxa"/>
          </w:tcPr>
          <w:p>
            <w:pPr>
              <w:pStyle w:val="Compact"/>
              <w:spacing w:before="0" w:after="0" w:line="240" w:lineRule="auto"/>
              <w:jc w:val="left"/>
            </w:pPr>
            <w:r>
              <w:rPr>
                <w:rFonts w:ascii="Arial" w:hAnsi="Arial"/>
                <w:sz w:val="15"/>
              </w:rPr>
              <w:t xml:space="preserve">Dec-22</w:t>
            </w:r>
          </w:p>
        </w:tc>
        <w:tc>
          <w:tcPr>
            <w:tcW w:w="1695" w:type="dxa"/>
          </w:tcPr>
          <w:p>
            <w:pPr>
              <w:pStyle w:val="Compact"/>
              <w:spacing w:before="0" w:after="0" w:line="240" w:lineRule="auto"/>
              <w:jc w:val="left"/>
            </w:pPr>
            <w:r>
              <w:rPr>
                <w:rFonts w:ascii="Arial" w:hAnsi="Arial"/>
                <w:sz w:val="15"/>
              </w:rPr>
              <w:t xml:space="preserve">Moskommertsbank (Russia)</w:t>
            </w:r>
          </w:p>
        </w:tc>
        <w:tc>
          <w:tcPr>
            <w:tcW w:w="1536" w:type="dxa"/>
          </w:tcPr>
          <w:p>
            <w:pPr>
              <w:pStyle w:val="Compact"/>
              <w:spacing w:before="0" w:after="0" w:line="240" w:lineRule="auto"/>
              <w:jc w:val="left"/>
            </w:pPr>
            <w:r>
              <w:rPr>
                <w:rFonts w:ascii="Arial" w:hAnsi="Arial"/>
                <w:sz w:val="15"/>
              </w:rPr>
              <w:t xml:space="preserve">Undisclosed</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~RUB1.1bn [u]</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Halyk exit (sanctions)</w:t>
            </w:r>
          </w:p>
        </w:tc>
      </w:tr>
      <w:tr>
        <w:trPr>
          <w:cantSplit/>
        </w:trPr>
        <w:tc>
          <w:tcPr>
            <w:tcW w:w="1100" w:type="dxa"/>
          </w:tcPr>
          <w:p>
            <w:pPr>
              <w:pStyle w:val="Compact"/>
              <w:spacing w:before="0" w:after="0" w:line="240" w:lineRule="auto"/>
              <w:jc w:val="left"/>
            </w:pPr>
            <w:r>
              <w:rPr>
                <w:rFonts w:ascii="Arial" w:hAnsi="Arial"/>
                <w:sz w:val="15"/>
              </w:rPr>
              <w:t xml:space="preserve">Dec-22</w:t>
            </w:r>
          </w:p>
        </w:tc>
        <w:tc>
          <w:tcPr>
            <w:tcW w:w="1695" w:type="dxa"/>
          </w:tcPr>
          <w:p>
            <w:pPr>
              <w:pStyle w:val="Compact"/>
              <w:spacing w:before="0" w:after="0" w:line="240" w:lineRule="auto"/>
              <w:jc w:val="left"/>
            </w:pPr>
            <w:r>
              <w:rPr>
                <w:rFonts w:ascii="Arial" w:hAnsi="Arial"/>
                <w:sz w:val="15"/>
              </w:rPr>
              <w:t xml:space="preserve">Halyk Bank Tajikistan</w:t>
            </w:r>
          </w:p>
        </w:tc>
        <w:tc>
          <w:tcPr>
            <w:tcW w:w="1536" w:type="dxa"/>
          </w:tcPr>
          <w:p>
            <w:pPr>
              <w:pStyle w:val="Compact"/>
              <w:spacing w:before="0" w:after="0" w:line="240" w:lineRule="auto"/>
              <w:jc w:val="left"/>
            </w:pPr>
            <w:r>
              <w:rPr>
                <w:rFonts w:ascii="Arial" w:hAnsi="Arial"/>
                <w:sz w:val="15"/>
              </w:rPr>
              <w:t xml:space="preserve">International Bank of Tajikistan</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Undisclosed</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Halyk exit</w:t>
            </w:r>
          </w:p>
        </w:tc>
      </w:tr>
      <w:tr>
        <w:trPr>
          <w:cantSplit/>
        </w:trPr>
        <w:tc>
          <w:tcPr>
            <w:tcW w:w="1100" w:type="dxa"/>
          </w:tcPr>
          <w:p>
            <w:pPr>
              <w:pStyle w:val="Compact"/>
              <w:spacing w:before="0" w:after="0" w:line="240" w:lineRule="auto"/>
              <w:jc w:val="left"/>
            </w:pPr>
            <w:r>
              <w:rPr>
                <w:rFonts w:ascii="Arial" w:hAnsi="Arial"/>
                <w:sz w:val="15"/>
              </w:rPr>
              <w:t xml:space="preserve">Sep-22</w:t>
            </w:r>
          </w:p>
        </w:tc>
        <w:tc>
          <w:tcPr>
            <w:tcW w:w="1695" w:type="dxa"/>
          </w:tcPr>
          <w:p>
            <w:pPr>
              <w:pStyle w:val="Compact"/>
              <w:spacing w:before="0" w:after="0" w:line="240" w:lineRule="auto"/>
              <w:jc w:val="left"/>
            </w:pPr>
            <w:r>
              <w:rPr>
                <w:rFonts w:ascii="Arial" w:hAnsi="Arial"/>
                <w:sz w:val="15"/>
              </w:rPr>
              <w:t xml:space="preserve">Sberbank Kazakhstan</w:t>
            </w:r>
          </w:p>
        </w:tc>
        <w:tc>
          <w:tcPr>
            <w:tcW w:w="1536" w:type="dxa"/>
          </w:tcPr>
          <w:p>
            <w:pPr>
              <w:pStyle w:val="Compact"/>
              <w:spacing w:before="0" w:after="0" w:line="240" w:lineRule="auto"/>
              <w:jc w:val="left"/>
            </w:pPr>
            <w:r>
              <w:rPr>
                <w:rFonts w:ascii="Arial" w:hAnsi="Arial"/>
                <w:sz w:val="15"/>
              </w:rPr>
              <w:t xml:space="preserve">Baiterek (state)</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~KZT130bn [u]</w:t>
            </w:r>
          </w:p>
        </w:tc>
        <w:tc>
          <w:tcPr>
            <w:tcW w:w="896" w:type="dxa"/>
          </w:tcPr>
          <w:p>
            <w:pPr>
              <w:pStyle w:val="Compact"/>
              <w:spacing w:before="0" w:after="0" w:line="240" w:lineRule="auto"/>
              <w:jc w:val="left"/>
            </w:pPr>
            <w:r>
              <w:rPr>
                <w:rFonts w:ascii="Arial" w:hAnsi="Arial"/>
                <w:sz w:val="15"/>
              </w:rPr>
              <w:t xml:space="preserve">n/a</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Sanctions exit</w:t>
            </w:r>
          </w:p>
        </w:tc>
      </w:tr>
      <w:tr>
        <w:trPr>
          <w:cantSplit/>
        </w:trPr>
        <w:tc>
          <w:tcPr>
            <w:tcW w:w="1100" w:type="dxa"/>
          </w:tcPr>
          <w:p>
            <w:pPr>
              <w:pStyle w:val="Compact"/>
              <w:spacing w:before="0" w:after="0" w:line="240" w:lineRule="auto"/>
              <w:jc w:val="left"/>
            </w:pPr>
            <w:r>
              <w:rPr>
                <w:rFonts w:ascii="Arial" w:hAnsi="Arial"/>
                <w:sz w:val="15"/>
              </w:rPr>
              <w:t xml:space="preserve">Apr-22 → May-22</w:t>
            </w:r>
          </w:p>
        </w:tc>
        <w:tc>
          <w:tcPr>
            <w:tcW w:w="1695" w:type="dxa"/>
          </w:tcPr>
          <w:p>
            <w:pPr>
              <w:pStyle w:val="Compact"/>
              <w:spacing w:before="0" w:after="0" w:line="240" w:lineRule="auto"/>
              <w:jc w:val="left"/>
            </w:pPr>
            <w:r>
              <w:rPr>
                <w:rFonts w:ascii="Arial" w:hAnsi="Arial"/>
                <w:sz w:val="15"/>
              </w:rPr>
              <w:t xml:space="preserve">Alfa-Bank Kazakhstan</w:t>
            </w:r>
          </w:p>
        </w:tc>
        <w:tc>
          <w:tcPr>
            <w:tcW w:w="1536" w:type="dxa"/>
          </w:tcPr>
          <w:p>
            <w:pPr>
              <w:pStyle w:val="Compact"/>
              <w:spacing w:before="0" w:after="0" w:line="240" w:lineRule="auto"/>
              <w:jc w:val="left"/>
            </w:pPr>
            <w:r>
              <w:rPr>
                <w:rFonts w:ascii="Arial" w:hAnsi="Arial"/>
                <w:sz w:val="15"/>
              </w:rPr>
              <w:t xml:space="preserve">Bank CenterCredit</w:t>
            </w:r>
          </w:p>
        </w:tc>
        <w:tc>
          <w:tcPr>
            <w:tcW w:w="896" w:type="dxa"/>
          </w:tcPr>
          <w:p>
            <w:pPr>
              <w:pStyle w:val="Compact"/>
              <w:spacing w:before="0" w:after="0" w:line="240" w:lineRule="auto"/>
              <w:jc w:val="left"/>
            </w:pPr>
            <w:r>
              <w:rPr>
                <w:rFonts w:ascii="Arial" w:hAnsi="Arial"/>
                <w:sz w:val="15"/>
              </w:rPr>
              <w:t xml:space="preserve">100%</w:t>
            </w:r>
          </w:p>
        </w:tc>
        <w:tc>
          <w:tcPr>
            <w:tcW w:w="1257" w:type="dxa"/>
          </w:tcPr>
          <w:p>
            <w:pPr>
              <w:pStyle w:val="Compact"/>
              <w:spacing w:before="0" w:after="0" w:line="240" w:lineRule="auto"/>
              <w:jc w:val="left"/>
            </w:pPr>
            <w:r>
              <w:rPr>
                <w:rFonts w:ascii="Arial" w:hAnsi="Arial"/>
                <w:sz w:val="15"/>
              </w:rPr>
              <w:t xml:space="preserve">KZT50bn</w:t>
            </w:r>
          </w:p>
        </w:tc>
        <w:tc>
          <w:tcPr>
            <w:tcW w:w="896" w:type="dxa"/>
          </w:tcPr>
          <w:p>
            <w:pPr>
              <w:pStyle w:val="Compact"/>
              <w:spacing w:before="0" w:after="0" w:line="240" w:lineRule="auto"/>
              <w:jc w:val="left"/>
            </w:pPr>
            <w:r>
              <w:rPr>
                <w:rFonts w:ascii="Arial" w:hAnsi="Arial"/>
                <w:sz w:val="15"/>
              </w:rPr>
              <w:t xml:space="preserve">~0.37x</w:t>
            </w:r>
          </w:p>
        </w:tc>
        <w:tc>
          <w:tcPr>
            <w:tcW w:w="564" w:type="dxa"/>
          </w:tcPr>
          <w:p>
            <w:pPr>
              <w:pStyle w:val="Compact"/>
              <w:spacing w:before="0" w:after="0" w:line="240" w:lineRule="auto"/>
              <w:jc w:val="left"/>
            </w:pPr>
            <w:r>
              <w:rPr>
                <w:rFonts w:ascii="Arial" w:hAnsi="Arial"/>
                <w:sz w:val="15"/>
              </w:rPr>
              <w:t xml:space="preserve">n/a</w:t>
            </w:r>
          </w:p>
        </w:tc>
        <w:tc>
          <w:tcPr>
            <w:tcW w:w="2031" w:type="dxa"/>
          </w:tcPr>
          <w:p>
            <w:pPr>
              <w:pStyle w:val="Compact"/>
              <w:spacing w:before="0" w:after="0" w:line="240" w:lineRule="auto"/>
              <w:jc w:val="left"/>
            </w:pPr>
            <w:r>
              <w:rPr>
                <w:rFonts w:ascii="Arial" w:hAnsi="Arial"/>
                <w:sz w:val="15"/>
              </w:rPr>
              <w:t xml:space="preserve">Bargain purchase (KZT84bn gain)</w:t>
            </w:r>
          </w:p>
        </w:tc>
      </w:tr>
      <w:tr>
        <w:trPr>
          <w:cantSplit/>
        </w:trPr>
        <w:tc>
          <w:tcPr>
            <w:tcW w:w="1100" w:type="dxa"/>
          </w:tcPr>
          <w:p>
            <w:pPr>
              <w:pStyle w:val="Compact"/>
              <w:spacing w:before="0" w:after="0" w:line="240" w:lineRule="auto"/>
              <w:jc w:val="left"/>
            </w:pPr>
            <w:r>
              <w:rPr>
                <w:rFonts w:ascii="Arial" w:hAnsi="Arial"/>
                <w:sz w:val="15"/>
              </w:rPr>
              <w:t xml:space="preserve">Nov-25</w:t>
            </w:r>
          </w:p>
        </w:tc>
        <w:tc>
          <w:tcPr>
            <w:tcW w:w="1695" w:type="dxa"/>
          </w:tcPr>
          <w:p>
            <w:pPr>
              <w:pStyle w:val="Compact"/>
              <w:spacing w:before="0" w:after="0" w:line="240" w:lineRule="auto"/>
              <w:jc w:val="left"/>
            </w:pPr>
            <w:r>
              <w:rPr>
                <w:rFonts w:ascii="Arial" w:hAnsi="Arial"/>
                <w:sz w:val="15"/>
              </w:rPr>
              <w:t xml:space="preserve">Halyk Bank, 7.6% (secondary)</w:t>
            </w:r>
          </w:p>
        </w:tc>
        <w:tc>
          <w:tcPr>
            <w:tcW w:w="1536" w:type="dxa"/>
          </w:tcPr>
          <w:p>
            <w:pPr>
              <w:pStyle w:val="Compact"/>
              <w:spacing w:before="0" w:after="0" w:line="240" w:lineRule="auto"/>
              <w:jc w:val="left"/>
            </w:pPr>
            <w:r>
              <w:rPr>
                <w:rFonts w:ascii="Arial" w:hAnsi="Arial"/>
                <w:sz w:val="15"/>
              </w:rPr>
              <w:t xml:space="preserve">Institutions (Citi, JPM book)</w:t>
            </w:r>
          </w:p>
        </w:tc>
        <w:tc>
          <w:tcPr>
            <w:tcW w:w="896" w:type="dxa"/>
          </w:tcPr>
          <w:p>
            <w:pPr>
              <w:pStyle w:val="Compact"/>
              <w:spacing w:before="0" w:after="0" w:line="240" w:lineRule="auto"/>
              <w:jc w:val="left"/>
            </w:pPr>
            <w:r>
              <w:rPr>
                <w:rFonts w:ascii="Arial" w:hAnsi="Arial"/>
                <w:sz w:val="15"/>
              </w:rPr>
              <w:t xml:space="preserve">7.6%</w:t>
            </w:r>
          </w:p>
        </w:tc>
        <w:tc>
          <w:tcPr>
            <w:tcW w:w="1257" w:type="dxa"/>
          </w:tcPr>
          <w:p>
            <w:pPr>
              <w:pStyle w:val="Compact"/>
              <w:spacing w:before="0" w:after="0" w:line="240" w:lineRule="auto"/>
              <w:jc w:val="left"/>
            </w:pPr>
            <w:r>
              <w:rPr>
                <w:rFonts w:ascii="Arial" w:hAnsi="Arial"/>
                <w:sz w:val="15"/>
              </w:rPr>
              <w:t xml:space="preserve">US$475.4m</w:t>
            </w:r>
          </w:p>
        </w:tc>
        <w:tc>
          <w:tcPr>
            <w:tcW w:w="896" w:type="dxa"/>
          </w:tcPr>
          <w:p>
            <w:pPr>
              <w:pStyle w:val="Compact"/>
              <w:spacing w:before="0" w:after="0" w:line="240" w:lineRule="auto"/>
              <w:jc w:val="left"/>
            </w:pPr>
            <w:r>
              <w:rPr>
                <w:rFonts w:ascii="Arial" w:hAnsi="Arial"/>
                <w:sz w:val="15"/>
              </w:rPr>
              <w:t xml:space="preserve">~0.93x [d]</w:t>
            </w:r>
          </w:p>
        </w:tc>
        <w:tc>
          <w:tcPr>
            <w:tcW w:w="564" w:type="dxa"/>
          </w:tcPr>
          <w:p>
            <w:pPr>
              <w:pStyle w:val="Compact"/>
              <w:spacing w:before="0" w:after="0" w:line="240" w:lineRule="auto"/>
              <w:jc w:val="left"/>
            </w:pPr>
            <w:r>
              <w:rPr>
                <w:rFonts w:ascii="Arial" w:hAnsi="Arial"/>
                <w:sz w:val="15"/>
              </w:rPr>
              <w:t xml:space="preserve">~3.1x [d]</w:t>
            </w:r>
          </w:p>
        </w:tc>
        <w:tc>
          <w:tcPr>
            <w:tcW w:w="2031" w:type="dxa"/>
          </w:tcPr>
          <w:p>
            <w:pPr>
              <w:pStyle w:val="Compact"/>
              <w:spacing w:before="0" w:after="0" w:line="240" w:lineRule="auto"/>
              <w:jc w:val="left"/>
            </w:pPr>
            <w:r>
              <w:rPr>
                <w:rFonts w:ascii="Arial" w:hAnsi="Arial"/>
                <w:sz w:val="15"/>
              </w:rPr>
              <w:t xml:space="preserve">Minority market-clearing price for Halyk itself</w:t>
            </w:r>
          </w:p>
        </w:tc>
      </w:tr>
    </w:tbl>
    <w:p>
      <w:pPr>
        <w:pStyle w:val="BodyText"/>
      </w:pPr>
      <w:r>
        <w:rPr>
          <w:bCs/>
          <w:b/>
        </w:rPr>
        <w:t xml:space="preserve">What the comparables say.</w:t>
      </w:r>
    </w:p>
    <w:p>
      <w:pPr>
        <w:numPr>
          <w:ilvl w:val="0"/>
          <w:numId w:val="1073"/>
        </w:numPr>
        <w:pStyle w:val="Compact"/>
      </w:pPr>
      <w:r>
        <w:t xml:space="preserve">Kazakh bank control deals since 2022 have cleared at</w:t>
      </w:r>
      <w:r>
        <w:t xml:space="preserve"> </w:t>
      </w:r>
      <w:r>
        <w:rPr>
          <w:bCs/>
          <w:b/>
        </w:rPr>
        <w:t xml:space="preserve">0.4–1.4x book</w:t>
      </w:r>
      <w:r>
        <w:t xml:space="preserve">. The low end reflects forced sales by sanctioned Russian owners.</w:t>
      </w:r>
    </w:p>
    <w:p>
      <w:pPr>
        <w:numPr>
          <w:ilvl w:val="0"/>
          <w:numId w:val="1073"/>
        </w:numPr>
        <w:pStyle w:val="Compact"/>
      </w:pPr>
      <w:r>
        <w:t xml:space="preserve">The best regional comparable for a healthy, high-ROE bank, Ameriabank, went at</w:t>
      </w:r>
      <w:r>
        <w:t xml:space="preserve"> </w:t>
      </w:r>
      <w:r>
        <w:rPr>
          <w:bCs/>
          <w:b/>
        </w:rPr>
        <w:t xml:space="preserve">0.65x book and 2.6x earnings</w:t>
      </w:r>
      <w:r>
        <w:t xml:space="preserve">, a strategic bargain.</w:t>
      </w:r>
    </w:p>
    <w:p>
      <w:pPr>
        <w:numPr>
          <w:ilvl w:val="0"/>
          <w:numId w:val="1073"/>
        </w:numPr>
        <w:pStyle w:val="Compact"/>
      </w:pPr>
      <w:r>
        <w:t xml:space="preserve">No large Kazakh bank has changed hands at a premium multiple.</w:t>
      </w:r>
    </w:p>
    <w:bookmarkEnd w:id="94"/>
    <w:bookmarkStart w:id="95" w:name="is-halyk-a-takeover-target"/>
    <w:p>
      <w:pPr>
        <w:pStyle w:val="Heading2"/>
      </w:pPr>
      <w:r>
        <w:t xml:space="preserve">Is Halyk a takeover target?</w:t>
      </w:r>
    </w:p>
    <w:p>
      <w:pPr>
        <w:pStyle w:val="FirstParagraph"/>
      </w:pPr>
      <w:r>
        <w:rPr>
          <w:bCs/>
          <w:b/>
        </w:rPr>
        <w:t xml:space="preserve">Pros (why someone might want it):</w:t>
      </w:r>
    </w:p>
    <w:p>
      <w:pPr>
        <w:numPr>
          <w:ilvl w:val="0"/>
          <w:numId w:val="1074"/>
        </w:numPr>
        <w:pStyle w:val="Compact"/>
      </w:pPr>
      <w:r>
        <w:t xml:space="preserve">the dominant franchise, with 28% of assets and ~48% of corporate loans;</w:t>
      </w:r>
    </w:p>
    <w:p>
      <w:pPr>
        <w:numPr>
          <w:ilvl w:val="0"/>
          <w:numId w:val="1074"/>
        </w:numPr>
        <w:pStyle w:val="Compact"/>
      </w:pPr>
      <w:r>
        <w:t xml:space="preserve">a 25–33% ROE;</w:t>
      </w:r>
    </w:p>
    <w:p>
      <w:pPr>
        <w:numPr>
          <w:ilvl w:val="0"/>
          <w:numId w:val="1074"/>
        </w:numPr>
        <w:pStyle w:val="Compact"/>
      </w:pPr>
      <w:r>
        <w:t xml:space="preserve">a low-cost deposit base;</w:t>
      </w:r>
    </w:p>
    <w:p>
      <w:pPr>
        <w:numPr>
          <w:ilvl w:val="0"/>
          <w:numId w:val="1074"/>
        </w:numPr>
        <w:pStyle w:val="Compact"/>
      </w:pPr>
      <w:r>
        <w:t xml:space="preserve">a free float that is rising;</w:t>
      </w:r>
    </w:p>
    <w:p>
      <w:pPr>
        <w:numPr>
          <w:ilvl w:val="0"/>
          <w:numId w:val="1074"/>
        </w:numPr>
        <w:pStyle w:val="Compact"/>
      </w:pPr>
      <w:r>
        <w:t xml:space="preserve">a controlling family that has signalled it will sell down (to 51%).</w:t>
      </w:r>
    </w:p>
    <w:p>
      <w:pPr>
        <w:pStyle w:val="FirstParagraph"/>
      </w:pPr>
      <w:r>
        <w:rPr>
          <w:bCs/>
          <w:b/>
        </w:rPr>
        <w:t xml:space="preserve">Impediments (why it will not happen):</w:t>
      </w:r>
    </w:p>
    <w:p>
      <w:pPr>
        <w:numPr>
          <w:ilvl w:val="0"/>
          <w:numId w:val="1075"/>
        </w:numPr>
        <w:pStyle w:val="Compact"/>
      </w:pPr>
      <w:r>
        <w:rPr>
          <w:bCs/>
          <w:b/>
        </w:rPr>
        <w:t xml:space="preserve">Control.</w:t>
      </w:r>
      <w:r>
        <w:t xml:space="preserve"> </w:t>
      </w:r>
      <w:r>
        <w:t xml:space="preserve">ALMEX holds ~62% and states a 51% floor. A sale of control is not on the table.</w:t>
      </w:r>
    </w:p>
    <w:p>
      <w:pPr>
        <w:numPr>
          <w:ilvl w:val="0"/>
          <w:numId w:val="1075"/>
        </w:numPr>
        <w:pStyle w:val="Compact"/>
      </w:pPr>
      <w:r>
        <w:rPr>
          <w:bCs/>
          <w:b/>
        </w:rPr>
        <w:t xml:space="preserve">Systemic importance and politics.</w:t>
      </w:r>
      <w:r>
        <w:t xml:space="preserve"> </w:t>
      </w:r>
      <w:r>
        <w:t xml:space="preserve">Halyk is a D-SIB holding 28% of system assets. Any change of control needs ARDFM approval and, in practice, presidential-level consent, given the owners’ ties to the former president.</w:t>
      </w:r>
    </w:p>
    <w:p>
      <w:pPr>
        <w:numPr>
          <w:ilvl w:val="0"/>
          <w:numId w:val="1075"/>
        </w:numPr>
        <w:pStyle w:val="Compact"/>
      </w:pPr>
      <w:r>
        <w:rPr>
          <w:bCs/>
          <w:b/>
        </w:rPr>
        <w:t xml:space="preserve">Antitrust.</w:t>
      </w:r>
      <w:r>
        <w:t xml:space="preserve"> </w:t>
      </w:r>
      <w:r>
        <w:t xml:space="preserve">No domestic bank could buy it. Kaspi, the only one big enough, would face concentration objections.</w:t>
      </w:r>
    </w:p>
    <w:p>
      <w:pPr>
        <w:numPr>
          <w:ilvl w:val="0"/>
          <w:numId w:val="1075"/>
        </w:numPr>
        <w:pStyle w:val="Compact"/>
      </w:pPr>
      <w:r>
        <w:rPr>
          <w:bCs/>
          <w:b/>
        </w:rPr>
        <w:t xml:space="preserve">Size.</w:t>
      </w:r>
      <w:r>
        <w:t xml:space="preserve"> </w:t>
      </w:r>
      <w:r>
        <w:t xml:space="preserve">At ~US$9bn market cap (~US$10bn+ for control), it is beyond most regional strategics. Plausible buyers would be a Gulf sovereign-linked bank (Qatar’s Lesha bought Bereke) or a Chinese bank (CITIC owns Altyn). Both are politically sensitive.</w:t>
      </w:r>
    </w:p>
    <w:p>
      <w:pPr>
        <w:numPr>
          <w:ilvl w:val="0"/>
          <w:numId w:val="1075"/>
        </w:numPr>
        <w:pStyle w:val="Compact"/>
      </w:pPr>
      <w:r>
        <w:rPr>
          <w:bCs/>
          <w:b/>
        </w:rPr>
        <w:t xml:space="preserve">Sanctions and compliance.</w:t>
      </w:r>
      <w:r>
        <w:t xml:space="preserve"> </w:t>
      </w:r>
      <w:r>
        <w:t xml:space="preserve">Western buyers would need comfort on Russia-related flows.</w:t>
      </w:r>
    </w:p>
    <w:p>
      <w:pPr>
        <w:pStyle w:val="FirstParagraph"/>
      </w:pPr>
      <w:r>
        <w:rPr>
          <w:bCs/>
          <w:b/>
        </w:rPr>
        <w:t xml:space="preserve">Potential takeout multiples (theoretical).</w:t>
      </w:r>
      <w:r>
        <w:t xml:space="preserve"> </w:t>
      </w:r>
      <w:r>
        <w:t xml:space="preserve">A strategic control premium of 25–40% on today’s price would mean:</w:t>
      </w:r>
    </w:p>
    <w:p>
      <w:pPr>
        <w:numPr>
          <w:ilvl w:val="0"/>
          <w:numId w:val="1076"/>
        </w:numPr>
        <w:pStyle w:val="Compact"/>
      </w:pPr>
      <w:r>
        <w:rPr>
          <w:bCs/>
          <w:b/>
        </w:rPr>
        <w:t xml:space="preserve">1.3–1.6x P/B (2027E BVPS)</w:t>
      </w:r>
      <w:r>
        <w:t xml:space="preserve">, or KZT500–620 per share;</w:t>
      </w:r>
    </w:p>
    <w:p>
      <w:pPr>
        <w:numPr>
          <w:ilvl w:val="0"/>
          <w:numId w:val="1076"/>
        </w:numPr>
        <w:pStyle w:val="Compact"/>
      </w:pPr>
      <w:r>
        <w:t xml:space="preserve">US$43–53 per GDR;</w:t>
      </w:r>
    </w:p>
    <w:p>
      <w:pPr>
        <w:numPr>
          <w:ilvl w:val="0"/>
          <w:numId w:val="1076"/>
        </w:numPr>
        <w:pStyle w:val="Compact"/>
      </w:pPr>
      <w:r>
        <w:rPr>
          <w:bCs/>
          <w:b/>
        </w:rPr>
        <w:t xml:space="preserve">5.5–6.9x 2027E EPS</w:t>
      </w:r>
      <w:r>
        <w:t xml:space="preserve">.</w:t>
      </w:r>
    </w:p>
    <w:p>
      <w:pPr>
        <w:pStyle w:val="FirstParagraph"/>
      </w:pPr>
      <w:r>
        <w:t xml:space="preserve">That is above every regional precedent (0.4–1.4x P/B), so it is a ceiling, not a forecast. The realistic</w:t>
      </w:r>
      <w:r>
        <w:t xml:space="preserve"> </w:t>
      </w:r>
      <w:r>
        <w:t xml:space="preserve">“</w:t>
      </w:r>
      <w:r>
        <w:t xml:space="preserve">M&amp;A</w:t>
      </w:r>
      <w:r>
        <w:t xml:space="preserve">”</w:t>
      </w:r>
      <w:r>
        <w:t xml:space="preserve"> </w:t>
      </w:r>
      <w:r>
        <w:t xml:space="preserve">event is further</w:t>
      </w:r>
      <w:r>
        <w:t xml:space="preserve"> </w:t>
      </w:r>
      <w:r>
        <w:rPr>
          <w:bCs/>
          <w:b/>
        </w:rPr>
        <w:t xml:space="preserve">ALMEX sell-downs to portfolio investors</w:t>
      </w:r>
      <w:r>
        <w:t xml:space="preserve">, historically priced at a ~10% discount (US$23 in November 2025 vs ~US$25.5 beforehand).</w:t>
      </w:r>
    </w:p>
    <w:bookmarkEnd w:id="95"/>
    <w:bookmarkStart w:id="96" w:name="X49f944cd37b541ebd4d42e5eb7b41dd3a6b16b2"/>
    <w:p>
      <w:pPr>
        <w:pStyle w:val="Heading2"/>
      </w:pPr>
      <w:r>
        <w:t xml:space="preserve">Halyk’s own acquisitions and disposals (last ~10 years)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059"/>
        <w:gridCol w:w="2750"/>
        <w:gridCol w:w="692"/>
        <w:gridCol w:w="1840"/>
        <w:gridCol w:w="811"/>
        <w:gridCol w:w="2822"/>
      </w:tblGrid>
      <w:tr>
        <w:trPr>
          <w:tblHeader w:val="true"/>
          <w:cantSplit/>
          <w:tblHeader w:val="true"/>
        </w:trPr>
        <w:tc>
          <w:tcPr>
            <w:tcW w:w="1059" w:type="dxa"/>
            <w:shd w:val="clear" w:color="auto" w:fill="13213F"/>
          </w:tcPr>
          <w:p>
            <w:pPr>
              <w:pStyle w:val="Compact"/>
              <w:spacing w:before="0" w:after="0" w:line="240" w:lineRule="auto"/>
              <w:jc w:val="left"/>
            </w:pPr>
            <w:r>
              <w:rPr>
                <w:rFonts w:ascii="Arial" w:hAnsi="Arial"/>
                <w:b/>
                <w:color w:val="FFFFFF"/>
                <w:sz w:val="15"/>
              </w:rPr>
              <w:t xml:space="preserve">Date</w:t>
            </w:r>
          </w:p>
        </w:tc>
        <w:tc>
          <w:tcPr>
            <w:tcW w:w="2750" w:type="dxa"/>
            <w:shd w:val="clear" w:color="auto" w:fill="13213F"/>
          </w:tcPr>
          <w:p>
            <w:pPr>
              <w:pStyle w:val="Compact"/>
              <w:spacing w:before="0" w:after="0" w:line="240" w:lineRule="auto"/>
              <w:jc w:val="left"/>
            </w:pPr>
            <w:r>
              <w:rPr>
                <w:rFonts w:ascii="Arial" w:hAnsi="Arial"/>
                <w:b/>
                <w:color w:val="FFFFFF"/>
                <w:sz w:val="15"/>
              </w:rPr>
              <w:t xml:space="preserve">Transaction</w:t>
            </w:r>
          </w:p>
        </w:tc>
        <w:tc>
          <w:tcPr>
            <w:tcW w:w="692" w:type="dxa"/>
            <w:shd w:val="clear" w:color="auto" w:fill="13213F"/>
          </w:tcPr>
          <w:p>
            <w:pPr>
              <w:pStyle w:val="Compact"/>
              <w:spacing w:before="0" w:after="0" w:line="240" w:lineRule="auto"/>
              <w:jc w:val="left"/>
            </w:pPr>
            <w:r>
              <w:rPr>
                <w:rFonts w:ascii="Arial" w:hAnsi="Arial"/>
                <w:b/>
                <w:color w:val="FFFFFF"/>
                <w:sz w:val="15"/>
              </w:rPr>
              <w:t xml:space="preserve">Stake</w:t>
            </w:r>
          </w:p>
        </w:tc>
        <w:tc>
          <w:tcPr>
            <w:tcW w:w="1840" w:type="dxa"/>
            <w:shd w:val="clear" w:color="auto" w:fill="13213F"/>
          </w:tcPr>
          <w:p>
            <w:pPr>
              <w:pStyle w:val="Compact"/>
              <w:spacing w:before="0" w:after="0" w:line="240" w:lineRule="auto"/>
              <w:jc w:val="left"/>
            </w:pPr>
            <w:r>
              <w:rPr>
                <w:rFonts w:ascii="Arial" w:hAnsi="Arial"/>
                <w:b/>
                <w:color w:val="FFFFFF"/>
                <w:sz w:val="15"/>
              </w:rPr>
              <w:t xml:space="preserve">Cost / proceeds</w:t>
            </w:r>
          </w:p>
        </w:tc>
        <w:tc>
          <w:tcPr>
            <w:tcW w:w="811" w:type="dxa"/>
            <w:shd w:val="clear" w:color="auto" w:fill="13213F"/>
          </w:tcPr>
          <w:p>
            <w:pPr>
              <w:pStyle w:val="Compact"/>
              <w:spacing w:before="0" w:after="0" w:line="240" w:lineRule="auto"/>
              <w:jc w:val="left"/>
            </w:pPr>
            <w:r>
              <w:rPr>
                <w:rFonts w:ascii="Arial" w:hAnsi="Arial"/>
                <w:b/>
                <w:color w:val="FFFFFF"/>
                <w:sz w:val="15"/>
              </w:rPr>
              <w:t xml:space="preserve">Multiple</w:t>
            </w:r>
          </w:p>
        </w:tc>
        <w:tc>
          <w:tcPr>
            <w:tcW w:w="2822" w:type="dxa"/>
            <w:shd w:val="clear" w:color="auto" w:fill="13213F"/>
          </w:tcPr>
          <w:p>
            <w:pPr>
              <w:pStyle w:val="Compact"/>
              <w:spacing w:before="0" w:after="0" w:line="240" w:lineRule="auto"/>
              <w:jc w:val="left"/>
            </w:pPr>
            <w:r>
              <w:rPr>
                <w:rFonts w:ascii="Arial" w:hAnsi="Arial"/>
                <w:b/>
                <w:color w:val="FFFFFF"/>
                <w:sz w:val="15"/>
              </w:rPr>
              <w:t xml:space="preserve">Outcome</w:t>
            </w:r>
          </w:p>
        </w:tc>
      </w:tr>
      <w:tr>
        <w:trPr>
          <w:cantSplit/>
        </w:trPr>
        <w:tc>
          <w:tcPr>
            <w:tcW w:w="1059" w:type="dxa"/>
          </w:tcPr>
          <w:p>
            <w:pPr>
              <w:pStyle w:val="Compact"/>
              <w:spacing w:before="0" w:after="0" w:line="240" w:lineRule="auto"/>
              <w:jc w:val="left"/>
            </w:pPr>
            <w:r>
              <w:rPr>
                <w:rFonts w:ascii="Arial" w:hAnsi="Arial"/>
                <w:sz w:val="15"/>
              </w:rPr>
              <w:t xml:space="preserve">Dec-2014 (context)</w:t>
            </w:r>
          </w:p>
        </w:tc>
        <w:tc>
          <w:tcPr>
            <w:tcW w:w="2750" w:type="dxa"/>
          </w:tcPr>
          <w:p>
            <w:pPr>
              <w:pStyle w:val="Compact"/>
              <w:spacing w:before="0" w:after="0" w:line="240" w:lineRule="auto"/>
              <w:jc w:val="left"/>
            </w:pPr>
            <w:r>
              <w:rPr>
                <w:rFonts w:ascii="Arial" w:hAnsi="Arial"/>
                <w:sz w:val="15"/>
              </w:rPr>
              <w:t xml:space="preserve">Acquired HSBC Bank Kazakhstan (renamed Altyn Bank)</w:t>
            </w:r>
          </w:p>
        </w:tc>
        <w:tc>
          <w:tcPr>
            <w:tcW w:w="692" w:type="dxa"/>
          </w:tcPr>
          <w:p>
            <w:pPr>
              <w:pStyle w:val="Compact"/>
              <w:spacing w:before="0" w:after="0" w:line="240" w:lineRule="auto"/>
              <w:jc w:val="left"/>
            </w:pPr>
            <w:r>
              <w:rPr>
                <w:rFonts w:ascii="Arial" w:hAnsi="Arial"/>
                <w:sz w:val="15"/>
              </w:rPr>
              <w:t xml:space="preserve">100%</w:t>
            </w:r>
          </w:p>
        </w:tc>
        <w:tc>
          <w:tcPr>
            <w:tcW w:w="1840" w:type="dxa"/>
          </w:tcPr>
          <w:p>
            <w:pPr>
              <w:pStyle w:val="Compact"/>
              <w:spacing w:before="0" w:after="0" w:line="240" w:lineRule="auto"/>
              <w:jc w:val="left"/>
            </w:pPr>
            <w:r>
              <w:rPr>
                <w:rFonts w:ascii="Arial" w:hAnsi="Arial"/>
                <w:sz w:val="15"/>
              </w:rPr>
              <w:t xml:space="preserve">US$176m</w:t>
            </w:r>
          </w:p>
        </w:tc>
        <w:tc>
          <w:tcPr>
            <w:tcW w:w="811" w:type="dxa"/>
          </w:tcPr>
          <w:p>
            <w:pPr>
              <w:pStyle w:val="Compact"/>
              <w:spacing w:before="0" w:after="0" w:line="240" w:lineRule="auto"/>
              <w:jc w:val="left"/>
            </w:pPr>
            <w:r>
              <w:rPr>
                <w:rFonts w:ascii="Arial" w:hAnsi="Arial"/>
                <w:sz w:val="15"/>
              </w:rPr>
              <w:t xml:space="preserve">~1.1x P/B</w:t>
            </w:r>
          </w:p>
        </w:tc>
        <w:tc>
          <w:tcPr>
            <w:tcW w:w="2822" w:type="dxa"/>
          </w:tcPr>
          <w:p>
            <w:pPr>
              <w:pStyle w:val="Compact"/>
              <w:spacing w:before="0" w:after="0" w:line="240" w:lineRule="auto"/>
              <w:jc w:val="left"/>
            </w:pPr>
            <w:r>
              <w:rPr>
                <w:rFonts w:ascii="Arial" w:hAnsi="Arial"/>
                <w:sz w:val="15"/>
              </w:rPr>
              <w:t xml:space="preserve">Partly sold in 2018</w:t>
            </w:r>
          </w:p>
        </w:tc>
      </w:tr>
      <w:tr>
        <w:trPr>
          <w:cantSplit/>
        </w:trPr>
        <w:tc>
          <w:tcPr>
            <w:tcW w:w="1059" w:type="dxa"/>
          </w:tcPr>
          <w:p>
            <w:pPr>
              <w:pStyle w:val="Compact"/>
              <w:spacing w:before="0" w:after="0" w:line="240" w:lineRule="auto"/>
              <w:jc w:val="left"/>
            </w:pPr>
            <w:r>
              <w:rPr>
                <w:rFonts w:ascii="Arial" w:hAnsi="Arial"/>
                <w:sz w:val="15"/>
              </w:rPr>
              <w:t xml:space="preserve">Jul-2017</w:t>
            </w:r>
          </w:p>
        </w:tc>
        <w:tc>
          <w:tcPr>
            <w:tcW w:w="2750" w:type="dxa"/>
          </w:tcPr>
          <w:p>
            <w:pPr>
              <w:pStyle w:val="Compact"/>
              <w:spacing w:before="0" w:after="0" w:line="240" w:lineRule="auto"/>
              <w:jc w:val="left"/>
            </w:pPr>
            <w:r>
              <w:rPr>
                <w:rFonts w:ascii="Arial" w:hAnsi="Arial"/>
                <w:sz w:val="15"/>
              </w:rPr>
              <w:t xml:space="preserve">Acquired</w:t>
            </w:r>
            <w:r>
              <w:rPr>
                <w:rFonts w:ascii="Arial" w:hAnsi="Arial"/>
                <w:sz w:val="15"/>
              </w:rPr>
              <w:t xml:space="preserve"> </w:t>
            </w:r>
            <w:r>
              <w:rPr>
                <w:bCs/>
                <w:rFonts w:ascii="Arial" w:hAnsi="Arial"/>
                <w:b/>
                <w:sz w:val="15"/>
              </w:rPr>
              <w:t xml:space="preserve">Kazkommertsbank</w:t>
            </w:r>
            <w:r>
              <w:rPr>
                <w:rFonts w:ascii="Arial" w:hAnsi="Arial"/>
                <w:sz w:val="15"/>
              </w:rPr>
              <w:t xml:space="preserve"> </w:t>
            </w:r>
            <w:r>
              <w:rPr>
                <w:rFonts w:ascii="Arial" w:hAnsi="Arial"/>
                <w:sz w:val="15"/>
              </w:rPr>
              <w:t xml:space="preserve">(#2 bank) from Kenes Rakishev (86%) and Samruk-Kazyna (10.7%)</w:t>
            </w:r>
          </w:p>
        </w:tc>
        <w:tc>
          <w:tcPr>
            <w:tcW w:w="692" w:type="dxa"/>
          </w:tcPr>
          <w:p>
            <w:pPr>
              <w:pStyle w:val="Compact"/>
              <w:spacing w:before="0" w:after="0" w:line="240" w:lineRule="auto"/>
              <w:jc w:val="left"/>
            </w:pPr>
            <w:r>
              <w:rPr>
                <w:rFonts w:ascii="Arial" w:hAnsi="Arial"/>
                <w:sz w:val="15"/>
              </w:rPr>
              <w:t xml:space="preserve">96.81%</w:t>
            </w:r>
          </w:p>
        </w:tc>
        <w:tc>
          <w:tcPr>
            <w:tcW w:w="1840" w:type="dxa"/>
          </w:tcPr>
          <w:p>
            <w:pPr>
              <w:pStyle w:val="Compact"/>
              <w:spacing w:before="0" w:after="0" w:line="240" w:lineRule="auto"/>
              <w:jc w:val="left"/>
            </w:pPr>
            <w:r>
              <w:rPr>
                <w:rFonts w:ascii="Arial" w:hAnsi="Arial"/>
                <w:sz w:val="15"/>
              </w:rPr>
              <w:t xml:space="preserve">KZT2 nominal, plus a KZT185bn capital injection; the state Problem Loans Fund cleared a KZT2.4trn BTA receivable</w:t>
            </w:r>
          </w:p>
        </w:tc>
        <w:tc>
          <w:tcPr>
            <w:tcW w:w="811" w:type="dxa"/>
          </w:tcPr>
          <w:p>
            <w:pPr>
              <w:pStyle w:val="Compact"/>
              <w:spacing w:before="0" w:after="0" w:line="240" w:lineRule="auto"/>
              <w:jc w:val="left"/>
            </w:pPr>
            <w:r>
              <w:rPr>
                <w:rFonts w:ascii="Arial" w:hAnsi="Arial"/>
                <w:sz w:val="15"/>
              </w:rPr>
              <w:t xml:space="preserve">Nominal (rescue)</w:t>
            </w:r>
          </w:p>
        </w:tc>
        <w:tc>
          <w:tcPr>
            <w:tcW w:w="2822" w:type="dxa"/>
          </w:tcPr>
          <w:p>
            <w:pPr>
              <w:pStyle w:val="Compact"/>
              <w:spacing w:before="0" w:after="0" w:line="240" w:lineRule="auto"/>
              <w:jc w:val="left"/>
            </w:pPr>
            <w:r>
              <w:rPr>
                <w:bCs/>
                <w:rFonts w:ascii="Arial" w:hAnsi="Arial"/>
                <w:b/>
                <w:sz w:val="15"/>
              </w:rPr>
              <w:t xml:space="preserve">Transformational.</w:t>
            </w:r>
            <w:r>
              <w:rPr>
                <w:rFonts w:ascii="Arial" w:hAnsi="Arial"/>
                <w:sz w:val="15"/>
              </w:rPr>
              <w:t xml:space="preserve"> </w:t>
            </w:r>
            <w:r>
              <w:rPr>
                <w:rFonts w:ascii="Arial" w:hAnsi="Arial"/>
                <w:sz w:val="15"/>
              </w:rPr>
              <w:t xml:space="preserve">Created the #1 bank; legal merger completed Dec-2018</w:t>
            </w:r>
          </w:p>
        </w:tc>
      </w:tr>
      <w:tr>
        <w:trPr>
          <w:cantSplit/>
        </w:trPr>
        <w:tc>
          <w:tcPr>
            <w:tcW w:w="1059" w:type="dxa"/>
          </w:tcPr>
          <w:p>
            <w:pPr>
              <w:pStyle w:val="Compact"/>
              <w:spacing w:before="0" w:after="0" w:line="240" w:lineRule="auto"/>
              <w:jc w:val="left"/>
            </w:pPr>
            <w:r>
              <w:rPr>
                <w:rFonts w:ascii="Arial" w:hAnsi="Arial"/>
                <w:sz w:val="15"/>
              </w:rPr>
              <w:t xml:space="preserve">Apr-2018</w:t>
            </w:r>
          </w:p>
        </w:tc>
        <w:tc>
          <w:tcPr>
            <w:tcW w:w="2750" w:type="dxa"/>
          </w:tcPr>
          <w:p>
            <w:pPr>
              <w:pStyle w:val="Compact"/>
              <w:spacing w:before="0" w:after="0" w:line="240" w:lineRule="auto"/>
              <w:jc w:val="left"/>
            </w:pPr>
            <w:r>
              <w:rPr>
                <w:rFonts w:ascii="Arial" w:hAnsi="Arial"/>
                <w:sz w:val="15"/>
              </w:rPr>
              <w:t xml:space="preserve">Sold</w:t>
            </w:r>
            <w:r>
              <w:rPr>
                <w:rFonts w:ascii="Arial" w:hAnsi="Arial"/>
                <w:sz w:val="15"/>
              </w:rPr>
              <w:t xml:space="preserve"> </w:t>
            </w:r>
            <w:r>
              <w:rPr>
                <w:bCs/>
                <w:rFonts w:ascii="Arial" w:hAnsi="Arial"/>
                <w:b/>
                <w:sz w:val="15"/>
              </w:rPr>
              <w:t xml:space="preserve">60% of Altyn Bank</w:t>
            </w:r>
            <w:r>
              <w:rPr>
                <w:rFonts w:ascii="Arial" w:hAnsi="Arial"/>
                <w:sz w:val="15"/>
              </w:rPr>
              <w:t xml:space="preserve"> </w:t>
            </w:r>
            <w:r>
              <w:rPr>
                <w:rFonts w:ascii="Arial" w:hAnsi="Arial"/>
                <w:sz w:val="15"/>
              </w:rPr>
              <w:t xml:space="preserve">to China CITIC Bank (50.1%) and China Shuangwei (9.9%)</w:t>
            </w:r>
          </w:p>
        </w:tc>
        <w:tc>
          <w:tcPr>
            <w:tcW w:w="692" w:type="dxa"/>
          </w:tcPr>
          <w:p>
            <w:pPr>
              <w:pStyle w:val="Compact"/>
              <w:spacing w:before="0" w:after="0" w:line="240" w:lineRule="auto"/>
              <w:jc w:val="left"/>
            </w:pPr>
            <w:r>
              <w:rPr>
                <w:rFonts w:ascii="Arial" w:hAnsi="Arial"/>
                <w:sz w:val="15"/>
              </w:rPr>
              <w:t xml:space="preserve">60%</w:t>
            </w:r>
          </w:p>
        </w:tc>
        <w:tc>
          <w:tcPr>
            <w:tcW w:w="1840" w:type="dxa"/>
          </w:tcPr>
          <w:p>
            <w:pPr>
              <w:pStyle w:val="Compact"/>
              <w:spacing w:before="0" w:after="0" w:line="240" w:lineRule="auto"/>
              <w:jc w:val="left"/>
            </w:pPr>
            <w:r>
              <w:rPr>
                <w:rFonts w:ascii="Arial" w:hAnsi="Arial"/>
                <w:sz w:val="15"/>
              </w:rPr>
              <w:t xml:space="preserve">Undisclosed (</w:t>
            </w:r>
            <w:r>
              <w:rPr>
                <w:rFonts w:ascii="Arial" w:hAnsi="Arial"/>
                <w:sz w:val="15"/>
              </w:rPr>
              <w:t xml:space="preserve">“</w:t>
            </w:r>
            <w:r>
              <w:rPr>
                <w:rFonts w:ascii="Arial" w:hAnsi="Arial"/>
                <w:sz w:val="15"/>
              </w:rPr>
              <w:t xml:space="preserve">advantageous</w:t>
            </w:r>
            <w:r>
              <w:rPr>
                <w:rFonts w:ascii="Arial" w:hAnsi="Arial"/>
                <w:sz w:val="15"/>
              </w:rPr>
              <w:t xml:space="preserve">”</w:t>
            </w:r>
            <w:r>
              <w:rPr>
                <w:rFonts w:ascii="Arial" w:hAnsi="Arial"/>
                <w:sz w:val="15"/>
              </w:rPr>
              <w:t xml:space="preserve">)</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Belt-and-Road partner; Halyk keeps 40% (3-year lock-up, now expired)</w:t>
            </w:r>
          </w:p>
        </w:tc>
      </w:tr>
      <w:tr>
        <w:trPr>
          <w:cantSplit/>
        </w:trPr>
        <w:tc>
          <w:tcPr>
            <w:tcW w:w="1059" w:type="dxa"/>
          </w:tcPr>
          <w:p>
            <w:pPr>
              <w:pStyle w:val="Compact"/>
              <w:spacing w:before="0" w:after="0" w:line="240" w:lineRule="auto"/>
              <w:jc w:val="left"/>
            </w:pPr>
            <w:r>
              <w:rPr>
                <w:rFonts w:ascii="Arial" w:hAnsi="Arial"/>
                <w:sz w:val="15"/>
              </w:rPr>
              <w:t xml:space="preserve">c.2019 [u]</w:t>
            </w:r>
          </w:p>
        </w:tc>
        <w:tc>
          <w:tcPr>
            <w:tcW w:w="2750" w:type="dxa"/>
          </w:tcPr>
          <w:p>
            <w:pPr>
              <w:pStyle w:val="Compact"/>
              <w:spacing w:before="0" w:after="0" w:line="240" w:lineRule="auto"/>
              <w:jc w:val="left"/>
            </w:pPr>
            <w:r>
              <w:rPr>
                <w:rFonts w:ascii="Arial" w:hAnsi="Arial"/>
                <w:sz w:val="15"/>
              </w:rPr>
              <w:t xml:space="preserve">Tenge Bank, Uzbekistan (greenfield)</w:t>
            </w:r>
          </w:p>
        </w:tc>
        <w:tc>
          <w:tcPr>
            <w:tcW w:w="692" w:type="dxa"/>
          </w:tcPr>
          <w:p>
            <w:pPr>
              <w:pStyle w:val="Compact"/>
              <w:spacing w:before="0" w:after="0" w:line="240" w:lineRule="auto"/>
              <w:jc w:val="left"/>
            </w:pPr>
            <w:r>
              <w:rPr>
                <w:rFonts w:ascii="Arial" w:hAnsi="Arial"/>
                <w:sz w:val="15"/>
              </w:rPr>
              <w:t xml:space="preserve">100%</w:t>
            </w:r>
          </w:p>
        </w:tc>
        <w:tc>
          <w:tcPr>
            <w:tcW w:w="1840" w:type="dxa"/>
          </w:tcPr>
          <w:p>
            <w:pPr>
              <w:pStyle w:val="Compact"/>
              <w:spacing w:before="0" w:after="0" w:line="240" w:lineRule="auto"/>
              <w:jc w:val="left"/>
            </w:pPr>
            <w:r>
              <w:rPr>
                <w:rFonts w:ascii="Arial" w:hAnsi="Arial"/>
                <w:sz w:val="15"/>
              </w:rPr>
              <w:t xml:space="preserve">n/a</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Small; 2023 NI ~KZT5.7bn</w:t>
            </w:r>
          </w:p>
        </w:tc>
      </w:tr>
      <w:tr>
        <w:trPr>
          <w:cantSplit/>
        </w:trPr>
        <w:tc>
          <w:tcPr>
            <w:tcW w:w="1059" w:type="dxa"/>
          </w:tcPr>
          <w:p>
            <w:pPr>
              <w:pStyle w:val="Compact"/>
              <w:spacing w:before="0" w:after="0" w:line="240" w:lineRule="auto"/>
              <w:jc w:val="left"/>
            </w:pPr>
            <w:r>
              <w:rPr>
                <w:rFonts w:ascii="Arial" w:hAnsi="Arial"/>
                <w:sz w:val="15"/>
              </w:rPr>
              <w:t xml:space="preserve">Dec-2022</w:t>
            </w:r>
          </w:p>
        </w:tc>
        <w:tc>
          <w:tcPr>
            <w:tcW w:w="2750" w:type="dxa"/>
          </w:tcPr>
          <w:p>
            <w:pPr>
              <w:pStyle w:val="Compact"/>
              <w:spacing w:before="0" w:after="0" w:line="240" w:lineRule="auto"/>
              <w:jc w:val="left"/>
            </w:pPr>
            <w:r>
              <w:rPr>
                <w:rFonts w:ascii="Arial" w:hAnsi="Arial"/>
                <w:sz w:val="15"/>
              </w:rPr>
              <w:t xml:space="preserve">Sold</w:t>
            </w:r>
            <w:r>
              <w:rPr>
                <w:rFonts w:ascii="Arial" w:hAnsi="Arial"/>
                <w:sz w:val="15"/>
              </w:rPr>
              <w:t xml:space="preserve"> </w:t>
            </w:r>
            <w:r>
              <w:rPr>
                <w:bCs/>
                <w:rFonts w:ascii="Arial" w:hAnsi="Arial"/>
                <w:b/>
                <w:sz w:val="15"/>
              </w:rPr>
              <w:t xml:space="preserve">Halyk Bank Tajikistan</w:t>
            </w:r>
          </w:p>
        </w:tc>
        <w:tc>
          <w:tcPr>
            <w:tcW w:w="692" w:type="dxa"/>
          </w:tcPr>
          <w:p>
            <w:pPr>
              <w:pStyle w:val="Compact"/>
              <w:spacing w:before="0" w:after="0" w:line="240" w:lineRule="auto"/>
              <w:jc w:val="left"/>
            </w:pPr>
            <w:r>
              <w:rPr>
                <w:rFonts w:ascii="Arial" w:hAnsi="Arial"/>
                <w:sz w:val="15"/>
              </w:rPr>
              <w:t xml:space="preserve">100%</w:t>
            </w:r>
          </w:p>
        </w:tc>
        <w:tc>
          <w:tcPr>
            <w:tcW w:w="1840" w:type="dxa"/>
          </w:tcPr>
          <w:p>
            <w:pPr>
              <w:pStyle w:val="Compact"/>
              <w:spacing w:before="0" w:after="0" w:line="240" w:lineRule="auto"/>
              <w:jc w:val="left"/>
            </w:pPr>
            <w:r>
              <w:rPr>
                <w:rFonts w:ascii="Arial" w:hAnsi="Arial"/>
                <w:sz w:val="15"/>
              </w:rPr>
              <w:t xml:space="preserve">Undisclosed</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Exit of a sub-scale unit</w:t>
            </w:r>
          </w:p>
        </w:tc>
      </w:tr>
      <w:tr>
        <w:trPr>
          <w:cantSplit/>
        </w:trPr>
        <w:tc>
          <w:tcPr>
            <w:tcW w:w="1059" w:type="dxa"/>
          </w:tcPr>
          <w:p>
            <w:pPr>
              <w:pStyle w:val="Compact"/>
              <w:spacing w:before="0" w:after="0" w:line="240" w:lineRule="auto"/>
              <w:jc w:val="left"/>
            </w:pPr>
            <w:r>
              <w:rPr>
                <w:rFonts w:ascii="Arial" w:hAnsi="Arial"/>
                <w:sz w:val="15"/>
              </w:rPr>
              <w:t xml:space="preserve">Dec-2022</w:t>
            </w:r>
          </w:p>
        </w:tc>
        <w:tc>
          <w:tcPr>
            <w:tcW w:w="2750" w:type="dxa"/>
          </w:tcPr>
          <w:p>
            <w:pPr>
              <w:pStyle w:val="Compact"/>
              <w:spacing w:before="0" w:after="0" w:line="240" w:lineRule="auto"/>
              <w:jc w:val="left"/>
            </w:pPr>
            <w:r>
              <w:rPr>
                <w:rFonts w:ascii="Arial" w:hAnsi="Arial"/>
                <w:sz w:val="15"/>
              </w:rPr>
              <w:t xml:space="preserve">Sold</w:t>
            </w:r>
            <w:r>
              <w:rPr>
                <w:rFonts w:ascii="Arial" w:hAnsi="Arial"/>
                <w:sz w:val="15"/>
              </w:rPr>
              <w:t xml:space="preserve"> </w:t>
            </w:r>
            <w:r>
              <w:rPr>
                <w:bCs/>
                <w:rFonts w:ascii="Arial" w:hAnsi="Arial"/>
                <w:b/>
                <w:sz w:val="15"/>
              </w:rPr>
              <w:t xml:space="preserve">Moskommertsbank</w:t>
            </w:r>
            <w:r>
              <w:rPr>
                <w:rFonts w:ascii="Arial" w:hAnsi="Arial"/>
                <w:sz w:val="15"/>
              </w:rPr>
              <w:t xml:space="preserve"> </w:t>
            </w:r>
            <w:r>
              <w:rPr>
                <w:rFonts w:ascii="Arial" w:hAnsi="Arial"/>
                <w:sz w:val="15"/>
              </w:rPr>
              <w:t xml:space="preserve">(Russia)</w:t>
            </w:r>
          </w:p>
        </w:tc>
        <w:tc>
          <w:tcPr>
            <w:tcW w:w="692" w:type="dxa"/>
          </w:tcPr>
          <w:p>
            <w:pPr>
              <w:pStyle w:val="Compact"/>
              <w:spacing w:before="0" w:after="0" w:line="240" w:lineRule="auto"/>
              <w:jc w:val="left"/>
            </w:pPr>
            <w:r>
              <w:rPr>
                <w:rFonts w:ascii="Arial" w:hAnsi="Arial"/>
                <w:sz w:val="15"/>
              </w:rPr>
              <w:t xml:space="preserve">100%</w:t>
            </w:r>
          </w:p>
        </w:tc>
        <w:tc>
          <w:tcPr>
            <w:tcW w:w="1840" w:type="dxa"/>
          </w:tcPr>
          <w:p>
            <w:pPr>
              <w:pStyle w:val="Compact"/>
              <w:spacing w:before="0" w:after="0" w:line="240" w:lineRule="auto"/>
              <w:jc w:val="left"/>
            </w:pPr>
            <w:r>
              <w:rPr>
                <w:rFonts w:ascii="Arial" w:hAnsi="Arial"/>
                <w:sz w:val="15"/>
              </w:rPr>
              <w:t xml:space="preserve">~RUB1.1bn [u]</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Exit; ~2% of group business; cut sanctions exposure</w:t>
            </w:r>
          </w:p>
        </w:tc>
      </w:tr>
      <w:tr>
        <w:trPr>
          <w:cantSplit/>
        </w:trPr>
        <w:tc>
          <w:tcPr>
            <w:tcW w:w="1059" w:type="dxa"/>
          </w:tcPr>
          <w:p>
            <w:pPr>
              <w:pStyle w:val="Compact"/>
              <w:spacing w:before="0" w:after="0" w:line="240" w:lineRule="auto"/>
              <w:jc w:val="left"/>
            </w:pPr>
            <w:r>
              <w:rPr>
                <w:rFonts w:ascii="Arial" w:hAnsi="Arial"/>
                <w:sz w:val="15"/>
              </w:rPr>
              <w:t xml:space="preserve">Apr-2024</w:t>
            </w:r>
          </w:p>
        </w:tc>
        <w:tc>
          <w:tcPr>
            <w:tcW w:w="2750" w:type="dxa"/>
          </w:tcPr>
          <w:p>
            <w:pPr>
              <w:pStyle w:val="Compact"/>
              <w:spacing w:before="0" w:after="0" w:line="240" w:lineRule="auto"/>
              <w:jc w:val="left"/>
            </w:pPr>
            <w:r>
              <w:rPr>
                <w:rFonts w:ascii="Arial" w:hAnsi="Arial"/>
                <w:sz w:val="15"/>
              </w:rPr>
              <w:t xml:space="preserve">Sold</w:t>
            </w:r>
            <w:r>
              <w:rPr>
                <w:rFonts w:ascii="Arial" w:hAnsi="Arial"/>
                <w:sz w:val="15"/>
              </w:rPr>
              <w:t xml:space="preserve"> </w:t>
            </w:r>
            <w:r>
              <w:rPr>
                <w:bCs/>
                <w:rFonts w:ascii="Arial" w:hAnsi="Arial"/>
                <w:b/>
                <w:sz w:val="15"/>
              </w:rPr>
              <w:t xml:space="preserve">Halyk Bank Kyrgyzstan</w:t>
            </w:r>
            <w:r>
              <w:rPr>
                <w:rFonts w:ascii="Arial" w:hAnsi="Arial"/>
                <w:sz w:val="15"/>
              </w:rPr>
              <w:t xml:space="preserve"> </w:t>
            </w:r>
            <w:r>
              <w:rPr>
                <w:rFonts w:ascii="Arial" w:hAnsi="Arial"/>
                <w:sz w:val="15"/>
              </w:rPr>
              <w:t xml:space="preserve">to the Visor International consortium</w:t>
            </w:r>
          </w:p>
        </w:tc>
        <w:tc>
          <w:tcPr>
            <w:tcW w:w="692" w:type="dxa"/>
          </w:tcPr>
          <w:p>
            <w:pPr>
              <w:pStyle w:val="Compact"/>
              <w:spacing w:before="0" w:after="0" w:line="240" w:lineRule="auto"/>
              <w:jc w:val="left"/>
            </w:pPr>
            <w:r>
              <w:rPr>
                <w:rFonts w:ascii="Arial" w:hAnsi="Arial"/>
                <w:sz w:val="15"/>
              </w:rPr>
              <w:t xml:space="preserve">100%</w:t>
            </w:r>
          </w:p>
        </w:tc>
        <w:tc>
          <w:tcPr>
            <w:tcW w:w="1840" w:type="dxa"/>
          </w:tcPr>
          <w:p>
            <w:pPr>
              <w:pStyle w:val="Compact"/>
              <w:spacing w:before="0" w:after="0" w:line="240" w:lineRule="auto"/>
              <w:jc w:val="left"/>
            </w:pPr>
            <w:r>
              <w:rPr>
                <w:rFonts w:ascii="Arial" w:hAnsi="Arial"/>
                <w:sz w:val="15"/>
              </w:rPr>
              <w:t xml:space="preserve">Undisclosed</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Exit</w:t>
            </w:r>
          </w:p>
        </w:tc>
      </w:tr>
      <w:tr>
        <w:trPr>
          <w:cantSplit/>
        </w:trPr>
        <w:tc>
          <w:tcPr>
            <w:tcW w:w="1059" w:type="dxa"/>
          </w:tcPr>
          <w:p>
            <w:pPr>
              <w:pStyle w:val="Compact"/>
              <w:spacing w:before="0" w:after="0" w:line="240" w:lineRule="auto"/>
              <w:jc w:val="left"/>
            </w:pPr>
            <w:r>
              <w:rPr>
                <w:rFonts w:ascii="Arial" w:hAnsi="Arial"/>
                <w:sz w:val="15"/>
              </w:rPr>
              <w:t xml:space="preserve">Jul-2025 (lapsed)</w:t>
            </w:r>
          </w:p>
        </w:tc>
        <w:tc>
          <w:tcPr>
            <w:tcW w:w="2750" w:type="dxa"/>
          </w:tcPr>
          <w:p>
            <w:pPr>
              <w:pStyle w:val="Compact"/>
              <w:spacing w:before="0" w:after="0" w:line="240" w:lineRule="auto"/>
              <w:jc w:val="left"/>
            </w:pPr>
            <w:r>
              <w:rPr>
                <w:rFonts w:ascii="Arial" w:hAnsi="Arial"/>
                <w:sz w:val="15"/>
              </w:rPr>
              <w:t xml:space="preserve">Agreed to buy 49% of</w:t>
            </w:r>
            <w:r>
              <w:rPr>
                <w:rFonts w:ascii="Arial" w:hAnsi="Arial"/>
                <w:sz w:val="15"/>
              </w:rPr>
              <w:t xml:space="preserve"> </w:t>
            </w:r>
            <w:r>
              <w:rPr>
                <w:bCs/>
                <w:rFonts w:ascii="Arial" w:hAnsi="Arial"/>
                <w:b/>
                <w:sz w:val="15"/>
              </w:rPr>
              <w:t xml:space="preserve">Click</w:t>
            </w:r>
            <w:r>
              <w:rPr>
                <w:rFonts w:ascii="Arial" w:hAnsi="Arial"/>
                <w:sz w:val="15"/>
              </w:rPr>
              <w:t xml:space="preserve"> </w:t>
            </w:r>
            <w:r>
              <w:rPr>
                <w:rFonts w:ascii="Arial" w:hAnsi="Arial"/>
                <w:sz w:val="15"/>
              </w:rPr>
              <w:t xml:space="preserve">(Uzbekistan); sell 49% of Tenge Bank</w:t>
            </w:r>
          </w:p>
        </w:tc>
        <w:tc>
          <w:tcPr>
            <w:tcW w:w="692" w:type="dxa"/>
          </w:tcPr>
          <w:p>
            <w:pPr>
              <w:pStyle w:val="Compact"/>
              <w:spacing w:before="0" w:after="0" w:line="240" w:lineRule="auto"/>
              <w:jc w:val="left"/>
            </w:pPr>
            <w:r>
              <w:rPr>
                <w:rFonts w:ascii="Arial" w:hAnsi="Arial"/>
                <w:sz w:val="15"/>
              </w:rPr>
              <w:t xml:space="preserve">49% / 49%</w:t>
            </w:r>
          </w:p>
        </w:tc>
        <w:tc>
          <w:tcPr>
            <w:tcW w:w="1840" w:type="dxa"/>
          </w:tcPr>
          <w:p>
            <w:pPr>
              <w:pStyle w:val="Compact"/>
              <w:spacing w:before="0" w:after="0" w:line="240" w:lineRule="auto"/>
              <w:jc w:val="left"/>
            </w:pPr>
            <w:r>
              <w:rPr>
                <w:rFonts w:ascii="Arial" w:hAnsi="Arial"/>
                <w:sz w:val="15"/>
              </w:rPr>
              <w:t xml:space="preserve">US$176.4m / US$60.76m</w:t>
            </w:r>
          </w:p>
        </w:tc>
        <w:tc>
          <w:tcPr>
            <w:tcW w:w="811" w:type="dxa"/>
          </w:tcPr>
          <w:p>
            <w:pPr>
              <w:pStyle w:val="Compact"/>
              <w:spacing w:before="0" w:after="0" w:line="240" w:lineRule="auto"/>
              <w:jc w:val="left"/>
            </w:pPr>
            <w:r>
              <w:rPr>
                <w:rFonts w:ascii="Arial" w:hAnsi="Arial"/>
                <w:sz w:val="15"/>
              </w:rPr>
              <w:t xml:space="preserve">n/a</w:t>
            </w:r>
          </w:p>
        </w:tc>
        <w:tc>
          <w:tcPr>
            <w:tcW w:w="2822" w:type="dxa"/>
          </w:tcPr>
          <w:p>
            <w:pPr>
              <w:pStyle w:val="Compact"/>
              <w:spacing w:before="0" w:after="0" w:line="240" w:lineRule="auto"/>
              <w:jc w:val="left"/>
            </w:pPr>
            <w:r>
              <w:rPr>
                <w:rFonts w:ascii="Arial" w:hAnsi="Arial"/>
                <w:sz w:val="15"/>
              </w:rPr>
              <w:t xml:space="preserve">Documents expired 31-Dec-25 pending Uzbek approvals; talks continue</w:t>
            </w:r>
          </w:p>
        </w:tc>
      </w:tr>
    </w:tbl>
    <w:p>
      <w:pPr>
        <w:pStyle w:val="BodyText"/>
      </w:pPr>
      <w:r>
        <w:rPr>
          <w:bCs/>
          <w:b/>
        </w:rPr>
        <w:t xml:space="preserve">Assessment.</w:t>
      </w:r>
    </w:p>
    <w:p>
      <w:pPr>
        <w:numPr>
          <w:ilvl w:val="0"/>
          <w:numId w:val="1077"/>
        </w:numPr>
        <w:pStyle w:val="Compact"/>
      </w:pPr>
      <w:r>
        <w:rPr>
          <w:bCs/>
          <w:b/>
        </w:rPr>
        <w:t xml:space="preserve">Kazkom was a once-in-a-generation deal.</w:t>
      </w:r>
      <w:r>
        <w:t xml:space="preserve"> </w:t>
      </w:r>
      <w:r>
        <w:t xml:space="preserve">Halyk bought a systemically important bank for nothing after the state absorbed the bad assets.</w:t>
      </w:r>
    </w:p>
    <w:p>
      <w:pPr>
        <w:numPr>
          <w:ilvl w:val="0"/>
          <w:numId w:val="1077"/>
        </w:numPr>
        <w:pStyle w:val="Compact"/>
      </w:pPr>
      <w:r>
        <w:rPr>
          <w:bCs/>
          <w:b/>
        </w:rPr>
        <w:t xml:space="preserve">Everything since has been portfolio pruning,</w:t>
      </w:r>
      <w:r>
        <w:t xml:space="preserve"> </w:t>
      </w:r>
      <w:r>
        <w:t xml:space="preserve">sensibly exiting Russia and Central Asian sub-scale units ahead of sanctions risk.</w:t>
      </w:r>
    </w:p>
    <w:p>
      <w:pPr>
        <w:numPr>
          <w:ilvl w:val="0"/>
          <w:numId w:val="1077"/>
        </w:numPr>
        <w:pStyle w:val="Compact"/>
      </w:pPr>
      <w:r>
        <w:rPr>
          <w:bCs/>
          <w:b/>
        </w:rPr>
        <w:t xml:space="preserve">The one growth move abroad, Click, is stalled.</w:t>
      </w:r>
      <w:r>
        <w:t xml:space="preserve"> </w:t>
      </w:r>
      <w:r>
        <w:t xml:space="preserve">Capital allocation on M&amp;A has been disciplined, if opportunistic.</w:t>
      </w:r>
    </w:p>
    <w:bookmarkEnd w:id="96"/>
    <w:bookmarkEnd w:id="97"/>
    <w:bookmarkStart w:id="98" w:name="management-assessment"/>
    <w:p>
      <w:pPr>
        <w:pStyle w:val="Heading1"/>
      </w:pPr>
      <w:r>
        <w:t xml:space="preserve">Management assessment</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565"/>
        <w:gridCol w:w="2825"/>
        <w:gridCol w:w="1327"/>
        <w:gridCol w:w="2828"/>
        <w:gridCol w:w="1430"/>
      </w:tblGrid>
      <w:tr>
        <w:trPr>
          <w:tblHeader w:val="true"/>
          <w:cantSplit/>
          <w:tblHeader w:val="true"/>
        </w:trPr>
        <w:tc>
          <w:tcPr>
            <w:tcW w:w="1565" w:type="dxa"/>
            <w:shd w:val="clear" w:color="auto" w:fill="13213F"/>
          </w:tcPr>
          <w:p>
            <w:pPr>
              <w:pStyle w:val="Compact"/>
              <w:spacing w:before="0" w:after="0" w:line="240" w:lineRule="auto"/>
              <w:jc w:val="left"/>
            </w:pPr>
            <w:r>
              <w:rPr>
                <w:rFonts w:ascii="Arial" w:hAnsi="Arial"/>
                <w:b/>
                <w:color w:val="FFFFFF"/>
                <w:sz w:val="15"/>
              </w:rPr>
              <w:t xml:space="preserve">Executive</w:t>
            </w:r>
          </w:p>
        </w:tc>
        <w:tc>
          <w:tcPr>
            <w:tcW w:w="2825" w:type="dxa"/>
            <w:shd w:val="clear" w:color="auto" w:fill="13213F"/>
          </w:tcPr>
          <w:p>
            <w:pPr>
              <w:pStyle w:val="Compact"/>
              <w:spacing w:before="0" w:after="0" w:line="240" w:lineRule="auto"/>
              <w:jc w:val="left"/>
            </w:pPr>
            <w:r>
              <w:rPr>
                <w:rFonts w:ascii="Arial" w:hAnsi="Arial"/>
                <w:b/>
                <w:color w:val="FFFFFF"/>
                <w:sz w:val="15"/>
              </w:rPr>
              <w:t xml:space="preserve">Role</w:t>
            </w:r>
          </w:p>
        </w:tc>
        <w:tc>
          <w:tcPr>
            <w:tcW w:w="1327" w:type="dxa"/>
            <w:shd w:val="clear" w:color="auto" w:fill="13213F"/>
          </w:tcPr>
          <w:p>
            <w:pPr>
              <w:pStyle w:val="Compact"/>
              <w:spacing w:before="0" w:after="0" w:line="240" w:lineRule="auto"/>
              <w:jc w:val="left"/>
            </w:pPr>
            <w:r>
              <w:rPr>
                <w:rFonts w:ascii="Arial" w:hAnsi="Arial"/>
                <w:b/>
                <w:color w:val="FFFFFF"/>
                <w:sz w:val="15"/>
              </w:rPr>
              <w:t xml:space="preserve">In role since</w:t>
            </w:r>
          </w:p>
        </w:tc>
        <w:tc>
          <w:tcPr>
            <w:tcW w:w="2828" w:type="dxa"/>
            <w:shd w:val="clear" w:color="auto" w:fill="13213F"/>
          </w:tcPr>
          <w:p>
            <w:pPr>
              <w:pStyle w:val="Compact"/>
              <w:spacing w:before="0" w:after="0" w:line="240" w:lineRule="auto"/>
              <w:jc w:val="left"/>
            </w:pPr>
            <w:r>
              <w:rPr>
                <w:rFonts w:ascii="Arial" w:hAnsi="Arial"/>
                <w:b/>
                <w:color w:val="FFFFFF"/>
                <w:sz w:val="15"/>
              </w:rPr>
              <w:t xml:space="preserve">Background</w:t>
            </w:r>
          </w:p>
        </w:tc>
        <w:tc>
          <w:tcPr>
            <w:tcW w:w="1430" w:type="dxa"/>
            <w:shd w:val="clear" w:color="auto" w:fill="13213F"/>
          </w:tcPr>
          <w:p>
            <w:pPr>
              <w:pStyle w:val="Compact"/>
              <w:spacing w:before="0" w:after="0" w:line="240" w:lineRule="auto"/>
              <w:jc w:val="left"/>
            </w:pPr>
            <w:r>
              <w:rPr>
                <w:rFonts w:ascii="Arial" w:hAnsi="Arial"/>
                <w:b/>
                <w:color w:val="FFFFFF"/>
                <w:sz w:val="15"/>
              </w:rPr>
              <w:t xml:space="preserve">Halyk holding</w:t>
            </w:r>
          </w:p>
        </w:tc>
      </w:tr>
      <w:tr>
        <w:trPr>
          <w:cantSplit/>
        </w:trPr>
        <w:tc>
          <w:tcPr>
            <w:tcW w:w="1565" w:type="dxa"/>
          </w:tcPr>
          <w:p>
            <w:pPr>
              <w:pStyle w:val="Compact"/>
              <w:spacing w:before="0" w:after="0" w:line="240" w:lineRule="auto"/>
              <w:jc w:val="left"/>
            </w:pPr>
            <w:r>
              <w:rPr>
                <w:bCs/>
                <w:rFonts w:ascii="Arial" w:hAnsi="Arial"/>
                <w:b/>
                <w:sz w:val="15"/>
              </w:rPr>
              <w:t xml:space="preserve">Umut Shayakhmetova</w:t>
            </w:r>
          </w:p>
        </w:tc>
        <w:tc>
          <w:tcPr>
            <w:tcW w:w="2825" w:type="dxa"/>
          </w:tcPr>
          <w:p>
            <w:pPr>
              <w:pStyle w:val="Compact"/>
              <w:spacing w:before="0" w:after="0" w:line="240" w:lineRule="auto"/>
              <w:jc w:val="left"/>
            </w:pPr>
            <w:r>
              <w:rPr>
                <w:rFonts w:ascii="Arial" w:hAnsi="Arial"/>
                <w:sz w:val="15"/>
              </w:rPr>
              <w:t xml:space="preserve">Chairperson of the Management Board (CEO); board member</w:t>
            </w:r>
          </w:p>
        </w:tc>
        <w:tc>
          <w:tcPr>
            <w:tcW w:w="1327" w:type="dxa"/>
          </w:tcPr>
          <w:p>
            <w:pPr>
              <w:pStyle w:val="Compact"/>
              <w:spacing w:before="0" w:after="0" w:line="240" w:lineRule="auto"/>
              <w:jc w:val="left"/>
            </w:pPr>
            <w:r>
              <w:rPr>
                <w:rFonts w:ascii="Arial" w:hAnsi="Arial"/>
                <w:sz w:val="15"/>
              </w:rPr>
              <w:t xml:space="preserve">Jan-2009 (re-elected 2023)</w:t>
            </w:r>
          </w:p>
        </w:tc>
        <w:tc>
          <w:tcPr>
            <w:tcW w:w="2828" w:type="dxa"/>
          </w:tcPr>
          <w:p>
            <w:pPr>
              <w:pStyle w:val="Compact"/>
              <w:spacing w:before="0" w:after="0" w:line="240" w:lineRule="auto"/>
              <w:jc w:val="left"/>
            </w:pPr>
            <w:r>
              <w:rPr>
                <w:rFonts w:ascii="Arial" w:hAnsi="Arial"/>
                <w:sz w:val="15"/>
              </w:rPr>
              <w:t xml:space="preserve">RUDN (1993), Rutgers MBA (1996). ABN AMRO Kazakhstan 1997–2004: head of asset management and deputy chair of the bank. Halyk head of corporate lending 2004–09.</w:t>
            </w:r>
          </w:p>
        </w:tc>
        <w:tc>
          <w:tcPr>
            <w:tcW w:w="1430" w:type="dxa"/>
          </w:tcPr>
          <w:p>
            <w:pPr>
              <w:pStyle w:val="Compact"/>
              <w:spacing w:before="0" w:after="0" w:line="240" w:lineRule="auto"/>
              <w:jc w:val="left"/>
            </w:pPr>
            <w:r>
              <w:rPr>
                <w:rFonts w:ascii="Arial" w:hAnsi="Arial"/>
                <w:sz w:val="15"/>
              </w:rPr>
              <w:t xml:space="preserve">&lt;1% (individual holding not disclosed)</w:t>
            </w:r>
          </w:p>
        </w:tc>
      </w:tr>
      <w:tr>
        <w:trPr>
          <w:cantSplit/>
        </w:trPr>
        <w:tc>
          <w:tcPr>
            <w:tcW w:w="1565" w:type="dxa"/>
          </w:tcPr>
          <w:p>
            <w:pPr>
              <w:pStyle w:val="Compact"/>
              <w:spacing w:before="0" w:after="0" w:line="240" w:lineRule="auto"/>
              <w:jc w:val="left"/>
            </w:pPr>
            <w:r>
              <w:rPr>
                <w:bCs/>
                <w:rFonts w:ascii="Arial" w:hAnsi="Arial"/>
                <w:b/>
                <w:sz w:val="15"/>
              </w:rPr>
              <w:t xml:space="preserve">Murat Koshenov</w:t>
            </w:r>
          </w:p>
        </w:tc>
        <w:tc>
          <w:tcPr>
            <w:tcW w:w="2825" w:type="dxa"/>
          </w:tcPr>
          <w:p>
            <w:pPr>
              <w:pStyle w:val="Compact"/>
              <w:spacing w:before="0" w:after="0" w:line="240" w:lineRule="auto"/>
              <w:jc w:val="left"/>
            </w:pPr>
            <w:r>
              <w:rPr>
                <w:rFonts w:ascii="Arial" w:hAnsi="Arial"/>
                <w:sz w:val="15"/>
              </w:rPr>
              <w:t xml:space="preserve">Deputy CEO, CFO (finance, subsidiaries, compliance, international, ESG)</w:t>
            </w:r>
          </w:p>
        </w:tc>
        <w:tc>
          <w:tcPr>
            <w:tcW w:w="1327" w:type="dxa"/>
          </w:tcPr>
          <w:p>
            <w:pPr>
              <w:pStyle w:val="Compact"/>
              <w:spacing w:before="0" w:after="0" w:line="240" w:lineRule="auto"/>
              <w:jc w:val="left"/>
            </w:pPr>
            <w:r>
              <w:rPr>
                <w:rFonts w:ascii="Arial" w:hAnsi="Arial"/>
                <w:sz w:val="15"/>
              </w:rPr>
              <w:t xml:space="preserve">Sep-2014 [u]</w:t>
            </w:r>
          </w:p>
        </w:tc>
        <w:tc>
          <w:tcPr>
            <w:tcW w:w="2828" w:type="dxa"/>
          </w:tcPr>
          <w:p>
            <w:pPr>
              <w:pStyle w:val="Compact"/>
              <w:spacing w:before="0" w:after="0" w:line="240" w:lineRule="auto"/>
              <w:jc w:val="left"/>
            </w:pPr>
            <w:r>
              <w:rPr>
                <w:rFonts w:ascii="Arial" w:hAnsi="Arial"/>
                <w:sz w:val="15"/>
              </w:rPr>
              <w:t xml:space="preserve">Leads investor relations and guidance</w:t>
            </w:r>
          </w:p>
        </w:tc>
        <w:tc>
          <w:tcPr>
            <w:tcW w:w="1430" w:type="dxa"/>
          </w:tcPr>
          <w:p>
            <w:pPr>
              <w:pStyle w:val="Compact"/>
              <w:spacing w:before="0" w:after="0" w:line="240" w:lineRule="auto"/>
              <w:jc w:val="left"/>
            </w:pPr>
            <w:r>
              <w:rPr>
                <w:rFonts w:ascii="Arial" w:hAnsi="Arial"/>
                <w:sz w:val="15"/>
              </w:rPr>
              <w:t xml:space="preserve">Not disclosed</w:t>
            </w:r>
          </w:p>
        </w:tc>
      </w:tr>
      <w:tr>
        <w:trPr>
          <w:cantSplit/>
        </w:trPr>
        <w:tc>
          <w:tcPr>
            <w:tcW w:w="1565" w:type="dxa"/>
          </w:tcPr>
          <w:p>
            <w:pPr>
              <w:pStyle w:val="Compact"/>
              <w:spacing w:before="0" w:after="0" w:line="240" w:lineRule="auto"/>
              <w:jc w:val="left"/>
            </w:pPr>
            <w:r>
              <w:rPr>
                <w:bCs/>
                <w:rFonts w:ascii="Arial" w:hAnsi="Arial"/>
                <w:b/>
                <w:sz w:val="15"/>
              </w:rPr>
              <w:t xml:space="preserve">Dauren Sartayev</w:t>
            </w:r>
          </w:p>
        </w:tc>
        <w:tc>
          <w:tcPr>
            <w:tcW w:w="2825" w:type="dxa"/>
          </w:tcPr>
          <w:p>
            <w:pPr>
              <w:pStyle w:val="Compact"/>
              <w:spacing w:before="0" w:after="0" w:line="240" w:lineRule="auto"/>
              <w:jc w:val="left"/>
            </w:pPr>
            <w:r>
              <w:rPr>
                <w:rFonts w:ascii="Arial" w:hAnsi="Arial"/>
                <w:sz w:val="15"/>
              </w:rPr>
              <w:t xml:space="preserve">First Deputy CEO, B2B (SME, acquiring, marketing) [u]</w:t>
            </w:r>
          </w:p>
        </w:tc>
        <w:tc>
          <w:tcPr>
            <w:tcW w:w="1327" w:type="dxa"/>
          </w:tcPr>
          <w:p>
            <w:pPr>
              <w:pStyle w:val="Compact"/>
              <w:spacing w:before="0" w:after="0" w:line="240" w:lineRule="auto"/>
              <w:jc w:val="left"/>
            </w:pPr>
            <w:r>
              <w:rPr>
                <w:rFonts w:ascii="Arial" w:hAnsi="Arial"/>
                <w:sz w:val="15"/>
              </w:rPr>
              <w:t xml:space="preserve">n/a</w:t>
            </w:r>
          </w:p>
        </w:tc>
        <w:tc>
          <w:tcPr>
            <w:tcW w:w="2828" w:type="dxa"/>
          </w:tcPr>
          <w:p>
            <w:pPr>
              <w:pStyle w:val="Compact"/>
              <w:spacing w:before="0" w:after="0" w:line="240" w:lineRule="auto"/>
              <w:jc w:val="left"/>
            </w:pPr>
            <w:r>
              <w:rPr>
                <w:rFonts w:ascii="Arial" w:hAnsi="Arial"/>
                <w:sz w:val="15"/>
              </w:rPr>
              <w:t xml:space="preserve">—</w:t>
            </w:r>
          </w:p>
        </w:tc>
        <w:tc>
          <w:tcPr>
            <w:tcW w:w="1430" w:type="dxa"/>
          </w:tcPr>
          <w:p>
            <w:pPr>
              <w:pStyle w:val="Compact"/>
              <w:spacing w:before="0" w:after="0" w:line="240" w:lineRule="auto"/>
              <w:jc w:val="left"/>
            </w:pPr>
            <w:r>
              <w:rPr>
                <w:rFonts w:ascii="Arial" w:hAnsi="Arial"/>
                <w:sz w:val="15"/>
              </w:rPr>
              <w:t xml:space="preserve">Not disclosed</w:t>
            </w:r>
          </w:p>
        </w:tc>
      </w:tr>
      <w:tr>
        <w:trPr>
          <w:cantSplit/>
        </w:trPr>
        <w:tc>
          <w:tcPr>
            <w:tcW w:w="1565" w:type="dxa"/>
          </w:tcPr>
          <w:p>
            <w:pPr>
              <w:pStyle w:val="Compact"/>
              <w:spacing w:before="0" w:after="0" w:line="240" w:lineRule="auto"/>
              <w:jc w:val="left"/>
            </w:pPr>
            <w:r>
              <w:rPr>
                <w:bCs/>
                <w:rFonts w:ascii="Arial" w:hAnsi="Arial"/>
                <w:b/>
                <w:sz w:val="15"/>
              </w:rPr>
              <w:t xml:space="preserve">Olga Vuros</w:t>
            </w:r>
          </w:p>
        </w:tc>
        <w:tc>
          <w:tcPr>
            <w:tcW w:w="2825" w:type="dxa"/>
          </w:tcPr>
          <w:p>
            <w:pPr>
              <w:pStyle w:val="Compact"/>
              <w:spacing w:before="0" w:after="0" w:line="240" w:lineRule="auto"/>
              <w:jc w:val="left"/>
            </w:pPr>
            <w:r>
              <w:rPr>
                <w:rFonts w:ascii="Arial" w:hAnsi="Arial"/>
                <w:sz w:val="15"/>
              </w:rPr>
              <w:t xml:space="preserve">Deputy CEO, corporate banking</w:t>
            </w:r>
          </w:p>
        </w:tc>
        <w:tc>
          <w:tcPr>
            <w:tcW w:w="1327" w:type="dxa"/>
          </w:tcPr>
          <w:p>
            <w:pPr>
              <w:pStyle w:val="Compact"/>
              <w:spacing w:before="0" w:after="0" w:line="240" w:lineRule="auto"/>
              <w:jc w:val="left"/>
            </w:pPr>
            <w:r>
              <w:rPr>
                <w:rFonts w:ascii="Arial" w:hAnsi="Arial"/>
                <w:sz w:val="15"/>
              </w:rPr>
              <w:t xml:space="preserve">Apr-2022 [u]</w:t>
            </w:r>
          </w:p>
        </w:tc>
        <w:tc>
          <w:tcPr>
            <w:tcW w:w="2828" w:type="dxa"/>
          </w:tcPr>
          <w:p>
            <w:pPr>
              <w:pStyle w:val="Compact"/>
              <w:spacing w:before="0" w:after="0" w:line="240" w:lineRule="auto"/>
              <w:jc w:val="left"/>
            </w:pPr>
            <w:r>
              <w:rPr>
                <w:rFonts w:ascii="Arial" w:hAnsi="Arial"/>
                <w:sz w:val="15"/>
              </w:rPr>
              <w:t xml:space="preserve">—</w:t>
            </w:r>
          </w:p>
        </w:tc>
        <w:tc>
          <w:tcPr>
            <w:tcW w:w="1430" w:type="dxa"/>
          </w:tcPr>
          <w:p>
            <w:pPr>
              <w:pStyle w:val="Compact"/>
              <w:spacing w:before="0" w:after="0" w:line="240" w:lineRule="auto"/>
              <w:jc w:val="left"/>
            </w:pPr>
            <w:r>
              <w:rPr>
                <w:rFonts w:ascii="Arial" w:hAnsi="Arial"/>
                <w:sz w:val="15"/>
              </w:rPr>
              <w:t xml:space="preserve">Not disclosed</w:t>
            </w:r>
          </w:p>
        </w:tc>
      </w:tr>
      <w:tr>
        <w:trPr>
          <w:cantSplit/>
        </w:trPr>
        <w:tc>
          <w:tcPr>
            <w:tcW w:w="1565" w:type="dxa"/>
          </w:tcPr>
          <w:p>
            <w:pPr>
              <w:pStyle w:val="Compact"/>
              <w:spacing w:before="0" w:after="0" w:line="240" w:lineRule="auto"/>
              <w:jc w:val="left"/>
            </w:pPr>
            <w:r>
              <w:rPr>
                <w:bCs/>
                <w:rFonts w:ascii="Arial" w:hAnsi="Arial"/>
                <w:b/>
                <w:sz w:val="15"/>
              </w:rPr>
              <w:t xml:space="preserve">Roman Maszczyk</w:t>
            </w:r>
          </w:p>
        </w:tc>
        <w:tc>
          <w:tcPr>
            <w:tcW w:w="2825" w:type="dxa"/>
          </w:tcPr>
          <w:p>
            <w:pPr>
              <w:pStyle w:val="Compact"/>
              <w:spacing w:before="0" w:after="0" w:line="240" w:lineRule="auto"/>
              <w:jc w:val="left"/>
            </w:pPr>
            <w:r>
              <w:rPr>
                <w:rFonts w:ascii="Arial" w:hAnsi="Arial"/>
                <w:sz w:val="15"/>
              </w:rPr>
              <w:t xml:space="preserve">Deputy CEO, Chief Risk Officer</w:t>
            </w:r>
          </w:p>
        </w:tc>
        <w:tc>
          <w:tcPr>
            <w:tcW w:w="1327" w:type="dxa"/>
          </w:tcPr>
          <w:p>
            <w:pPr>
              <w:pStyle w:val="Compact"/>
              <w:spacing w:before="0" w:after="0" w:line="240" w:lineRule="auto"/>
              <w:jc w:val="left"/>
            </w:pPr>
            <w:r>
              <w:rPr>
                <w:rFonts w:ascii="Arial" w:hAnsi="Arial"/>
                <w:sz w:val="15"/>
              </w:rPr>
              <w:t xml:space="preserve">Mar-2024 [u]</w:t>
            </w:r>
          </w:p>
        </w:tc>
        <w:tc>
          <w:tcPr>
            <w:tcW w:w="2828" w:type="dxa"/>
          </w:tcPr>
          <w:p>
            <w:pPr>
              <w:pStyle w:val="Compact"/>
              <w:spacing w:before="0" w:after="0" w:line="240" w:lineRule="auto"/>
              <w:jc w:val="left"/>
            </w:pPr>
            <w:r>
              <w:rPr>
                <w:rFonts w:ascii="Arial" w:hAnsi="Arial"/>
                <w:sz w:val="15"/>
              </w:rPr>
              <w:t xml:space="preserve">Polish; former University of Warsaw professor; PKO group supervisory roles</w:t>
            </w:r>
          </w:p>
        </w:tc>
        <w:tc>
          <w:tcPr>
            <w:tcW w:w="1430" w:type="dxa"/>
          </w:tcPr>
          <w:p>
            <w:pPr>
              <w:pStyle w:val="Compact"/>
              <w:spacing w:before="0" w:after="0" w:line="240" w:lineRule="auto"/>
              <w:jc w:val="left"/>
            </w:pPr>
            <w:r>
              <w:rPr>
                <w:rFonts w:ascii="Arial" w:hAnsi="Arial"/>
                <w:sz w:val="15"/>
              </w:rPr>
              <w:t xml:space="preserve">Bought ~11.4k GDRs at US$28.4–28.7 in Jan-2026</w:t>
            </w:r>
          </w:p>
        </w:tc>
      </w:tr>
      <w:tr>
        <w:trPr>
          <w:cantSplit/>
        </w:trPr>
        <w:tc>
          <w:tcPr>
            <w:tcW w:w="1565" w:type="dxa"/>
          </w:tcPr>
          <w:p>
            <w:pPr>
              <w:pStyle w:val="Compact"/>
              <w:spacing w:before="0" w:after="0" w:line="240" w:lineRule="auto"/>
              <w:jc w:val="left"/>
            </w:pPr>
            <w:r>
              <w:rPr>
                <w:bCs/>
                <w:rFonts w:ascii="Arial" w:hAnsi="Arial"/>
                <w:b/>
                <w:sz w:val="15"/>
              </w:rPr>
              <w:t xml:space="preserve">Mikhail Khasin</w:t>
            </w:r>
          </w:p>
        </w:tc>
        <w:tc>
          <w:tcPr>
            <w:tcW w:w="2825" w:type="dxa"/>
          </w:tcPr>
          <w:p>
            <w:pPr>
              <w:pStyle w:val="Compact"/>
              <w:spacing w:before="0" w:after="0" w:line="240" w:lineRule="auto"/>
              <w:jc w:val="left"/>
            </w:pPr>
            <w:r>
              <w:rPr>
                <w:rFonts w:ascii="Arial" w:hAnsi="Arial"/>
                <w:sz w:val="15"/>
              </w:rPr>
              <w:t xml:space="preserve">Deputy CEO, IT and digital</w:t>
            </w:r>
          </w:p>
        </w:tc>
        <w:tc>
          <w:tcPr>
            <w:tcW w:w="1327" w:type="dxa"/>
          </w:tcPr>
          <w:p>
            <w:pPr>
              <w:pStyle w:val="Compact"/>
              <w:spacing w:before="0" w:after="0" w:line="240" w:lineRule="auto"/>
              <w:jc w:val="left"/>
            </w:pPr>
            <w:r>
              <w:rPr>
                <w:rFonts w:ascii="Arial" w:hAnsi="Arial"/>
                <w:sz w:val="15"/>
              </w:rPr>
              <w:t xml:space="preserve">Jan-2026</w:t>
            </w:r>
          </w:p>
        </w:tc>
        <w:tc>
          <w:tcPr>
            <w:tcW w:w="2828" w:type="dxa"/>
          </w:tcPr>
          <w:p>
            <w:pPr>
              <w:pStyle w:val="Compact"/>
              <w:spacing w:before="0" w:after="0" w:line="240" w:lineRule="auto"/>
              <w:jc w:val="left"/>
            </w:pPr>
            <w:r>
              <w:rPr>
                <w:rFonts w:ascii="Arial" w:hAnsi="Arial"/>
                <w:sz w:val="15"/>
              </w:rPr>
              <w:t xml:space="preserve">Ex-Sberbank senior manager [u]; ex-BNP Paribas (Portugal) [u]</w:t>
            </w:r>
          </w:p>
        </w:tc>
        <w:tc>
          <w:tcPr>
            <w:tcW w:w="1430" w:type="dxa"/>
          </w:tcPr>
          <w:p>
            <w:pPr>
              <w:pStyle w:val="Compact"/>
              <w:spacing w:before="0" w:after="0" w:line="240" w:lineRule="auto"/>
              <w:jc w:val="left"/>
            </w:pPr>
            <w:r>
              <w:rPr>
                <w:rFonts w:ascii="Arial" w:hAnsi="Arial"/>
                <w:sz w:val="15"/>
              </w:rPr>
              <w:t xml:space="preserve">n/a</w:t>
            </w:r>
          </w:p>
        </w:tc>
      </w:tr>
      <w:tr>
        <w:trPr>
          <w:cantSplit/>
        </w:trPr>
        <w:tc>
          <w:tcPr>
            <w:tcW w:w="1565" w:type="dxa"/>
          </w:tcPr>
          <w:p>
            <w:pPr>
              <w:pStyle w:val="Compact"/>
              <w:spacing w:before="0" w:after="0" w:line="240" w:lineRule="auto"/>
              <w:jc w:val="left"/>
            </w:pPr>
            <w:r>
              <w:rPr>
                <w:bCs/>
                <w:rFonts w:ascii="Arial" w:hAnsi="Arial"/>
                <w:b/>
                <w:sz w:val="15"/>
              </w:rPr>
              <w:t xml:space="preserve">Kiril Bachvarov</w:t>
            </w:r>
          </w:p>
        </w:tc>
        <w:tc>
          <w:tcPr>
            <w:tcW w:w="2825" w:type="dxa"/>
          </w:tcPr>
          <w:p>
            <w:pPr>
              <w:pStyle w:val="Compact"/>
              <w:spacing w:before="0" w:after="0" w:line="240" w:lineRule="auto"/>
              <w:jc w:val="left"/>
            </w:pPr>
            <w:r>
              <w:rPr>
                <w:rFonts w:ascii="Arial" w:hAnsi="Arial"/>
                <w:sz w:val="15"/>
              </w:rPr>
              <w:t xml:space="preserve">Deputy CEO, B2C (retail)</w:t>
            </w:r>
          </w:p>
        </w:tc>
        <w:tc>
          <w:tcPr>
            <w:tcW w:w="1327" w:type="dxa"/>
          </w:tcPr>
          <w:p>
            <w:pPr>
              <w:pStyle w:val="Compact"/>
              <w:spacing w:before="0" w:after="0" w:line="240" w:lineRule="auto"/>
              <w:jc w:val="left"/>
            </w:pPr>
            <w:r>
              <w:rPr>
                <w:rFonts w:ascii="Arial" w:hAnsi="Arial"/>
                <w:sz w:val="15"/>
              </w:rPr>
              <w:t xml:space="preserve">Apr-2026</w:t>
            </w:r>
          </w:p>
        </w:tc>
        <w:tc>
          <w:tcPr>
            <w:tcW w:w="2828" w:type="dxa"/>
          </w:tcPr>
          <w:p>
            <w:pPr>
              <w:pStyle w:val="Compact"/>
              <w:spacing w:before="0" w:after="0" w:line="240" w:lineRule="auto"/>
              <w:jc w:val="left"/>
            </w:pPr>
            <w:r>
              <w:rPr>
                <w:rFonts w:ascii="Arial" w:hAnsi="Arial"/>
                <w:sz w:val="15"/>
              </w:rPr>
              <w:t xml:space="preserve">n/a</w:t>
            </w:r>
          </w:p>
        </w:tc>
        <w:tc>
          <w:tcPr>
            <w:tcW w:w="1430" w:type="dxa"/>
          </w:tcPr>
          <w:p>
            <w:pPr>
              <w:pStyle w:val="Compact"/>
              <w:spacing w:before="0" w:after="0" w:line="240" w:lineRule="auto"/>
              <w:jc w:val="left"/>
            </w:pPr>
            <w:r>
              <w:rPr>
                <w:rFonts w:ascii="Arial" w:hAnsi="Arial"/>
                <w:sz w:val="15"/>
              </w:rPr>
              <w:t xml:space="preserve">n/a</w:t>
            </w:r>
          </w:p>
        </w:tc>
      </w:tr>
      <w:tr>
        <w:trPr>
          <w:cantSplit/>
        </w:trPr>
        <w:tc>
          <w:tcPr>
            <w:tcW w:w="1565" w:type="dxa"/>
          </w:tcPr>
          <w:p>
            <w:pPr>
              <w:pStyle w:val="Compact"/>
              <w:spacing w:before="0" w:after="0" w:line="240" w:lineRule="auto"/>
              <w:jc w:val="left"/>
            </w:pPr>
            <w:r>
              <w:rPr>
                <w:rFonts w:ascii="Arial" w:hAnsi="Arial"/>
                <w:sz w:val="15"/>
              </w:rPr>
              <w:t xml:space="preserve">Yertay Salimov, Nariman Mukushev, Tlegen Matkenov (security)</w:t>
            </w:r>
          </w:p>
        </w:tc>
        <w:tc>
          <w:tcPr>
            <w:tcW w:w="2825" w:type="dxa"/>
          </w:tcPr>
          <w:p>
            <w:pPr>
              <w:pStyle w:val="Compact"/>
              <w:spacing w:before="0" w:after="0" w:line="240" w:lineRule="auto"/>
              <w:jc w:val="left"/>
            </w:pPr>
            <w:r>
              <w:rPr>
                <w:rFonts w:ascii="Arial" w:hAnsi="Arial"/>
                <w:sz w:val="15"/>
              </w:rPr>
              <w:t xml:space="preserve">Deputy CEOs</w:t>
            </w:r>
          </w:p>
        </w:tc>
        <w:tc>
          <w:tcPr>
            <w:tcW w:w="1327" w:type="dxa"/>
          </w:tcPr>
          <w:p>
            <w:pPr>
              <w:pStyle w:val="Compact"/>
              <w:spacing w:before="0" w:after="0" w:line="240" w:lineRule="auto"/>
              <w:jc w:val="left"/>
            </w:pPr>
            <w:r>
              <w:rPr>
                <w:rFonts w:ascii="Arial" w:hAnsi="Arial"/>
                <w:sz w:val="15"/>
              </w:rPr>
              <w:t xml:space="preserve">2020 / n/a / Mar-2025</w:t>
            </w:r>
          </w:p>
        </w:tc>
        <w:tc>
          <w:tcPr>
            <w:tcW w:w="2828" w:type="dxa"/>
          </w:tcPr>
          <w:p>
            <w:pPr>
              <w:pStyle w:val="Compact"/>
              <w:spacing w:before="0" w:after="0" w:line="240" w:lineRule="auto"/>
              <w:jc w:val="left"/>
            </w:pPr>
            <w:r>
              <w:rPr>
                <w:rFonts w:ascii="Arial" w:hAnsi="Arial"/>
                <w:sz w:val="15"/>
              </w:rPr>
              <w:t xml:space="preserve">—</w:t>
            </w:r>
          </w:p>
        </w:tc>
        <w:tc>
          <w:tcPr>
            <w:tcW w:w="1430" w:type="dxa"/>
          </w:tcPr>
          <w:p>
            <w:pPr>
              <w:pStyle w:val="Compact"/>
              <w:spacing w:before="0" w:after="0" w:line="240" w:lineRule="auto"/>
              <w:jc w:val="left"/>
            </w:pPr>
            <w:r>
              <w:rPr>
                <w:rFonts w:ascii="Arial" w:hAnsi="Arial"/>
                <w:sz w:val="15"/>
              </w:rPr>
              <w:t xml:space="preserve">—</w:t>
            </w:r>
          </w:p>
        </w:tc>
      </w:tr>
    </w:tbl>
    <w:p>
      <w:pPr>
        <w:numPr>
          <w:ilvl w:val="0"/>
          <w:numId w:val="1078"/>
        </w:numPr>
        <w:pStyle w:val="Compact"/>
      </w:pPr>
      <w:r>
        <w:rPr>
          <w:bCs/>
          <w:b/>
        </w:rPr>
        <w:t xml:space="preserve">Track record.</w:t>
      </w:r>
    </w:p>
    <w:p>
      <w:pPr>
        <w:numPr>
          <w:ilvl w:val="1"/>
          <w:numId w:val="1079"/>
        </w:numPr>
        <w:pStyle w:val="Compact"/>
      </w:pPr>
      <w:r>
        <w:t xml:space="preserve">Shayakhmetova has run Halyk for nearly 18 years, through:</w:t>
      </w:r>
    </w:p>
    <w:p>
      <w:pPr>
        <w:numPr>
          <w:ilvl w:val="2"/>
          <w:numId w:val="1080"/>
        </w:numPr>
        <w:pStyle w:val="Compact"/>
      </w:pPr>
      <w:r>
        <w:t xml:space="preserve">the 2009 crisis (Euromoney</w:t>
      </w:r>
      <w:r>
        <w:t xml:space="preserve"> </w:t>
      </w:r>
      <w:r>
        <w:t xml:space="preserve">“</w:t>
      </w:r>
      <w:r>
        <w:t xml:space="preserve">Crisis Banker</w:t>
      </w:r>
      <w:r>
        <w:t xml:space="preserve">”</w:t>
      </w:r>
      <w:r>
        <w:t xml:space="preserve">), with Samruk-Kazyna recapitalising and Halyk buying the stake back in 2011;</w:t>
      </w:r>
    </w:p>
    <w:p>
      <w:pPr>
        <w:numPr>
          <w:ilvl w:val="2"/>
          <w:numId w:val="1080"/>
        </w:numPr>
        <w:pStyle w:val="Compact"/>
      </w:pPr>
      <w:r>
        <w:t xml:space="preserve">the 2014–15 devaluation;</w:t>
      </w:r>
    </w:p>
    <w:p>
      <w:pPr>
        <w:numPr>
          <w:ilvl w:val="2"/>
          <w:numId w:val="1080"/>
        </w:numPr>
        <w:pStyle w:val="Compact"/>
      </w:pPr>
      <w:r>
        <w:t xml:space="preserve">the 2017</w:t>
      </w:r>
      <w:r>
        <w:t xml:space="preserve"> </w:t>
      </w:r>
      <w:r>
        <w:rPr>
          <w:bCs/>
          <w:b/>
        </w:rPr>
        <w:t xml:space="preserve">Kazkommertsbank</w:t>
      </w:r>
      <w:r>
        <w:t xml:space="preserve"> </w:t>
      </w:r>
      <w:r>
        <w:t xml:space="preserve">rescue-merger and its integration, executed in about 18 months;</w:t>
      </w:r>
    </w:p>
    <w:p>
      <w:pPr>
        <w:numPr>
          <w:ilvl w:val="2"/>
          <w:numId w:val="1080"/>
        </w:numPr>
        <w:pStyle w:val="Compact"/>
      </w:pPr>
      <w:r>
        <w:t xml:space="preserve">the 2022 shocks.</w:t>
      </w:r>
    </w:p>
    <w:p>
      <w:pPr>
        <w:numPr>
          <w:ilvl w:val="1"/>
          <w:numId w:val="1079"/>
        </w:numPr>
        <w:pStyle w:val="Compact"/>
      </w:pPr>
      <w:r>
        <w:t xml:space="preserve">Under her, the bank went from a mid-sized savings bank to holding a third of the system. Net income rose ~3x (2020–25), cost/income fell from ~27% to 17.5%, and a credible digital ecosystem was built.</w:t>
      </w:r>
    </w:p>
    <w:p>
      <w:pPr>
        <w:numPr>
          <w:ilvl w:val="0"/>
          <w:numId w:val="1078"/>
        </w:numPr>
        <w:pStyle w:val="Compact"/>
      </w:pPr>
      <w:r>
        <w:rPr>
          <w:bCs/>
          <w:b/>
        </w:rPr>
        <w:t xml:space="preserve">Tenure and insider ownership.</w:t>
      </w:r>
    </w:p>
    <w:p>
      <w:pPr>
        <w:numPr>
          <w:ilvl w:val="1"/>
          <w:numId w:val="1081"/>
        </w:numPr>
        <w:pStyle w:val="Compact"/>
      </w:pPr>
      <w:r>
        <w:t xml:space="preserve">Tenure is very long (CEO since 2009). The CFO has been in place since 2014.</w:t>
      </w:r>
    </w:p>
    <w:p>
      <w:pPr>
        <w:numPr>
          <w:ilvl w:val="1"/>
          <w:numId w:val="1081"/>
        </w:numPr>
        <w:pStyle w:val="Compact"/>
      </w:pPr>
      <w:r>
        <w:t xml:space="preserve">Skin in the game is small: all directors hold &lt;1%, there is no disclosed LTIP grant, and an employee share allotment of up to 1% was approved in Dec-2024.</w:t>
      </w:r>
    </w:p>
    <w:p>
      <w:pPr>
        <w:numPr>
          <w:ilvl w:val="1"/>
          <w:numId w:val="1081"/>
        </w:numPr>
        <w:pStyle w:val="Compact"/>
      </w:pPr>
      <w:r>
        <w:t xml:space="preserve">Aggregate management board pay was KZT2.9bn (2022), 3.2bn (2023), 4.06bn (2024) and</w:t>
      </w:r>
      <w:r>
        <w:t xml:space="preserve"> </w:t>
      </w:r>
      <w:r>
        <w:rPr>
          <w:bCs/>
          <w:b/>
        </w:rPr>
        <w:t xml:space="preserve">KZT4.5bn (~US$9m) in 2025</w:t>
      </w:r>
      <w:r>
        <w:t xml:space="preserve"> </w:t>
      </w:r>
      <w:r>
        <w:t xml:space="preserve">for ~10 people. That is +55% over three years, while net income rose +91%.</w:t>
      </w:r>
    </w:p>
    <w:p>
      <w:pPr>
        <w:numPr>
          <w:ilvl w:val="1"/>
          <w:numId w:val="1081"/>
        </w:numPr>
        <w:pStyle w:val="Compact"/>
      </w:pPr>
      <w:r>
        <w:t xml:space="preserve">Pay is disclosed only in aggregate.</w:t>
      </w:r>
    </w:p>
    <w:p>
      <w:pPr>
        <w:numPr>
          <w:ilvl w:val="0"/>
          <w:numId w:val="1078"/>
        </w:numPr>
        <w:pStyle w:val="Compact"/>
      </w:pPr>
      <w:r>
        <w:rPr>
          <w:bCs/>
          <w:b/>
        </w:rPr>
        <w:t xml:space="preserve">Capital allocation history.</w:t>
      </w:r>
    </w:p>
    <w:p>
      <w:pPr>
        <w:numPr>
          <w:ilvl w:val="1"/>
          <w:numId w:val="1082"/>
        </w:numPr>
        <w:pStyle w:val="Compact"/>
      </w:pPr>
      <w:r>
        <w:rPr>
          <w:bCs/>
          <w:b/>
        </w:rPr>
        <w:t xml:space="preserve">Good:</w:t>
      </w:r>
    </w:p>
    <w:p>
      <w:pPr>
        <w:numPr>
          <w:ilvl w:val="2"/>
          <w:numId w:val="1083"/>
        </w:numPr>
        <w:pStyle w:val="Compact"/>
      </w:pPr>
      <w:r>
        <w:t xml:space="preserve">ROE of 25–34% every year since 2020;</w:t>
      </w:r>
    </w:p>
    <w:p>
      <w:pPr>
        <w:numPr>
          <w:ilvl w:val="2"/>
          <w:numId w:val="1083"/>
        </w:numPr>
        <w:pStyle w:val="Compact"/>
      </w:pPr>
      <w:r>
        <w:t xml:space="preserve">the Kazkom deal;</w:t>
      </w:r>
    </w:p>
    <w:p>
      <w:pPr>
        <w:numPr>
          <w:ilvl w:val="2"/>
          <w:numId w:val="1083"/>
        </w:numPr>
        <w:pStyle w:val="Compact"/>
      </w:pPr>
      <w:r>
        <w:t xml:space="preserve">disciplined exits (Russia, Tajikistan, Kyrgyzstan, 60% of Altyn);</w:t>
      </w:r>
    </w:p>
    <w:p>
      <w:pPr>
        <w:numPr>
          <w:ilvl w:val="2"/>
          <w:numId w:val="1083"/>
        </w:numPr>
        <w:pStyle w:val="Compact"/>
      </w:pPr>
      <w:r>
        <w:t xml:space="preserve">a payout raised from 30% to 60%, plus GDR buybacks.</w:t>
      </w:r>
    </w:p>
    <w:p>
      <w:pPr>
        <w:numPr>
          <w:ilvl w:val="1"/>
          <w:numId w:val="1082"/>
        </w:numPr>
        <w:pStyle w:val="Compact"/>
      </w:pPr>
      <w:r>
        <w:rPr>
          <w:bCs/>
          <w:b/>
        </w:rPr>
        <w:t xml:space="preserve">Questionable:</w:t>
      </w:r>
    </w:p>
    <w:p>
      <w:pPr>
        <w:numPr>
          <w:ilvl w:val="2"/>
          <w:numId w:val="1084"/>
        </w:numPr>
        <w:pStyle w:val="Compact"/>
      </w:pPr>
      <w:r>
        <w:t xml:space="preserve">Payout reversals: no FY21 dividend was proposed in April 2022, later reversed.</w:t>
      </w:r>
    </w:p>
    <w:p>
      <w:pPr>
        <w:numPr>
          <w:ilvl w:val="2"/>
          <w:numId w:val="1084"/>
        </w:numPr>
        <w:pStyle w:val="Compact"/>
      </w:pPr>
      <w:r>
        <w:t xml:space="preserve">The 2024 KSF deposit one-off (~KZT145bn pre-tax): an IFRS loss on the early-repayment expectation of a state-fund deposit.</w:t>
      </w:r>
    </w:p>
    <w:p>
      <w:pPr>
        <w:numPr>
          <w:ilvl w:val="2"/>
          <w:numId w:val="1084"/>
        </w:numPr>
        <w:pStyle w:val="Compact"/>
      </w:pPr>
      <w:r>
        <w:t xml:space="preserve">Fast BNPL/unsecured retail growth into 2025, now being unwound under regulatory pressure.</w:t>
      </w:r>
    </w:p>
    <w:p>
      <w:pPr>
        <w:numPr>
          <w:ilvl w:val="2"/>
          <w:numId w:val="1084"/>
        </w:numPr>
        <w:pStyle w:val="Compact"/>
      </w:pPr>
      <w:r>
        <w:t xml:space="preserve">The Click/Uzbekistan deal, which lapsed. Paying US$176m for 49% of a payments app while selling 49% of a bank for US$61m drew criticism of the terms.</w:t>
      </w:r>
    </w:p>
    <w:p>
      <w:pPr>
        <w:numPr>
          <w:ilvl w:val="1"/>
          <w:numId w:val="1082"/>
        </w:numPr>
        <w:pStyle w:val="Compact"/>
      </w:pPr>
      <w:r>
        <w:rPr>
          <w:bCs/>
          <w:b/>
        </w:rPr>
        <w:t xml:space="preserve">ROE/ROIC trend:</w:t>
      </w:r>
      <w:r>
        <w:t xml:space="preserve"> </w:t>
      </w:r>
      <w:r>
        <w:t xml:space="preserve">25.5% (2020), 29.7%, 31.7%, 32.5%, 34.0%, 32.6% (2025), and ~25% in 1H26.</w:t>
      </w:r>
    </w:p>
    <w:p>
      <w:pPr>
        <w:numPr>
          <w:ilvl w:val="0"/>
          <w:numId w:val="1078"/>
        </w:numPr>
        <w:pStyle w:val="Compact"/>
      </w:pPr>
      <w:r>
        <w:rPr>
          <w:bCs/>
          <w:b/>
        </w:rPr>
        <w:t xml:space="preserve">Red flags.</w:t>
      </w:r>
    </w:p>
    <w:p>
      <w:pPr>
        <w:numPr>
          <w:ilvl w:val="1"/>
          <w:numId w:val="1085"/>
        </w:numPr>
        <w:pStyle w:val="Compact"/>
      </w:pPr>
      <w:r>
        <w:t xml:space="preserve">Related parties: the controlling family; the IFRS related-party note could not be reviewed.</w:t>
      </w:r>
    </w:p>
    <w:p>
      <w:pPr>
        <w:numPr>
          <w:ilvl w:val="1"/>
          <w:numId w:val="1085"/>
        </w:numPr>
        <w:pStyle w:val="Compact"/>
      </w:pPr>
      <w:r>
        <w:t xml:space="preserve">IT leadership churn: Zavarzin left after nine months in Dec-2025 and was replaced by an ex-Sberbank executive, a sensitive optic.</w:t>
      </w:r>
    </w:p>
    <w:p>
      <w:pPr>
        <w:numPr>
          <w:ilvl w:val="1"/>
          <w:numId w:val="1085"/>
        </w:numPr>
        <w:pStyle w:val="Compact"/>
      </w:pPr>
      <w:r>
        <w:t xml:space="preserve">An unexplained chairman resignation (Pavlov, May-2025).</w:t>
      </w:r>
    </w:p>
    <w:p>
      <w:pPr>
        <w:numPr>
          <w:ilvl w:val="1"/>
          <w:numId w:val="1085"/>
        </w:numPr>
        <w:pStyle w:val="Compact"/>
      </w:pPr>
      <w:r>
        <w:t xml:space="preserve">Shrinking board independence.</w:t>
      </w:r>
    </w:p>
    <w:p>
      <w:pPr>
        <w:numPr>
          <w:ilvl w:val="1"/>
          <w:numId w:val="1085"/>
        </w:numPr>
        <w:pStyle w:val="Compact"/>
      </w:pPr>
      <w:r>
        <w:t xml:space="preserve">An auditor change to EY from 9M26.</w:t>
      </w:r>
    </w:p>
    <w:p>
      <w:pPr>
        <w:numPr>
          <w:ilvl w:val="1"/>
          <w:numId w:val="1085"/>
        </w:numPr>
        <w:pStyle w:val="Compact"/>
      </w:pPr>
      <w:r>
        <w:rPr>
          <w:bCs/>
          <w:b/>
        </w:rPr>
        <w:t xml:space="preserve">No promotional behaviour.</w:t>
      </w:r>
      <w:r>
        <w:t xml:space="preserve"> </w:t>
      </w:r>
      <w:r>
        <w:t xml:space="preserve">Guidance has historically been met (FY25), and management talks down rather than up.</w:t>
      </w:r>
    </w:p>
    <w:p>
      <w:pPr>
        <w:numPr>
          <w:ilvl w:val="0"/>
          <w:numId w:val="1078"/>
        </w:numPr>
        <w:pStyle w:val="Compact"/>
      </w:pPr>
      <w:r>
        <w:rPr>
          <w:bCs/>
          <w:b/>
        </w:rPr>
        <w:t xml:space="preserve">Founder vs professional manager.</w:t>
      </w:r>
    </w:p>
    <w:p>
      <w:pPr>
        <w:numPr>
          <w:ilvl w:val="1"/>
          <w:numId w:val="1086"/>
        </w:numPr>
        <w:pStyle w:val="Compact"/>
      </w:pPr>
      <w:r>
        <w:rPr>
          <w:bCs/>
          <w:b/>
        </w:rPr>
        <w:t xml:space="preserve">Professional manager in an owner-controlled bank.</w:t>
      </w:r>
      <w:r>
        <w:t xml:space="preserve"> </w:t>
      </w:r>
      <w:r>
        <w:t xml:space="preserve">Shayakhmetova is not an owner. Strategy and capital return are shaped by ALMEX’s priorities: dividends (the holding pays its owners ~KZT462bn), liquidity and keeping at least 51%.</w:t>
      </w:r>
    </w:p>
    <w:p>
      <w:pPr>
        <w:numPr>
          <w:ilvl w:val="1"/>
          <w:numId w:val="1086"/>
        </w:numPr>
        <w:pStyle w:val="Compact"/>
      </w:pPr>
      <w:r>
        <w:t xml:space="preserve">At this mature, ex-growth stage, that combination favours</w:t>
      </w:r>
      <w:r>
        <w:t xml:space="preserve"> </w:t>
      </w:r>
      <w:r>
        <w:rPr>
          <w:bCs/>
          <w:b/>
        </w:rPr>
        <w:t xml:space="preserve">cash return over empire-building</w:t>
      </w:r>
      <w:r>
        <w:t xml:space="preserve">, which suits minorities.</w:t>
      </w:r>
    </w:p>
    <w:p>
      <w:pPr>
        <w:numPr>
          <w:ilvl w:val="1"/>
          <w:numId w:val="1086"/>
        </w:numPr>
        <w:pStyle w:val="Compact"/>
      </w:pPr>
      <w:r>
        <w:t xml:space="preserve">The risk is succession. No successor to an 18-year CEO has been identified publicly.</w:t>
      </w:r>
    </w:p>
    <w:p>
      <w:pPr>
        <w:pStyle w:val="FirstParagraph"/>
      </w:pPr>
      <w:r>
        <w:rPr>
          <w:bCs/>
          <w:b/>
        </w:rPr>
        <w:t xml:space="preserve">Recent senior changes:</w:t>
      </w:r>
    </w:p>
    <w:p>
      <w:pPr>
        <w:numPr>
          <w:ilvl w:val="0"/>
          <w:numId w:val="1087"/>
        </w:numPr>
        <w:pStyle w:val="Compact"/>
      </w:pPr>
      <w:r>
        <w:t xml:space="preserve">Bodanov (Deputy CEO) left Feb-2025.</w:t>
      </w:r>
    </w:p>
    <w:p>
      <w:pPr>
        <w:numPr>
          <w:ilvl w:val="0"/>
          <w:numId w:val="1087"/>
        </w:numPr>
        <w:pStyle w:val="Compact"/>
      </w:pPr>
      <w:r>
        <w:t xml:space="preserve">Matkenov and Zavarzin joined Mar-2025; Zavarzin left Dec-2025.</w:t>
      </w:r>
    </w:p>
    <w:p>
      <w:pPr>
        <w:numPr>
          <w:ilvl w:val="0"/>
          <w:numId w:val="1087"/>
        </w:numPr>
        <w:pStyle w:val="Compact"/>
      </w:pPr>
      <w:r>
        <w:t xml:space="preserve">Khasin (IT) joined Jan-2026.</w:t>
      </w:r>
    </w:p>
    <w:p>
      <w:pPr>
        <w:numPr>
          <w:ilvl w:val="0"/>
          <w:numId w:val="1087"/>
        </w:numPr>
        <w:pStyle w:val="Compact"/>
      </w:pPr>
      <w:r>
        <w:t xml:space="preserve">Bachvarov (retail) joined Apr-2026.</w:t>
      </w:r>
    </w:p>
    <w:bookmarkEnd w:id="98"/>
    <w:bookmarkStart w:id="99" w:name="board-of-directors"/>
    <w:p>
      <w:pPr>
        <w:pStyle w:val="Heading1"/>
      </w:pPr>
      <w:r>
        <w:t xml:space="preserve">Board of Directors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514"/>
        <w:gridCol w:w="1696"/>
        <w:gridCol w:w="1646"/>
        <w:gridCol w:w="2632"/>
        <w:gridCol w:w="2488"/>
      </w:tblGrid>
      <w:tr>
        <w:trPr>
          <w:tblHeader w:val="true"/>
          <w:cantSplit/>
          <w:tblHeader w:val="true"/>
        </w:trPr>
        <w:tc>
          <w:tcPr>
            <w:tcW w:w="1514" w:type="dxa"/>
            <w:shd w:val="clear" w:color="auto" w:fill="13213F"/>
          </w:tcPr>
          <w:p>
            <w:pPr>
              <w:pStyle w:val="Compact"/>
              <w:spacing w:before="0" w:after="0" w:line="240" w:lineRule="auto"/>
              <w:jc w:val="left"/>
            </w:pPr>
            <w:r>
              <w:rPr>
                <w:rFonts w:ascii="Arial" w:hAnsi="Arial"/>
                <w:b/>
                <w:color w:val="FFFFFF"/>
                <w:sz w:val="15"/>
              </w:rPr>
              <w:t xml:space="preserve">Director</w:t>
            </w:r>
          </w:p>
        </w:tc>
        <w:tc>
          <w:tcPr>
            <w:tcW w:w="1696" w:type="dxa"/>
            <w:shd w:val="clear" w:color="auto" w:fill="13213F"/>
          </w:tcPr>
          <w:p>
            <w:pPr>
              <w:pStyle w:val="Compact"/>
              <w:spacing w:before="0" w:after="0" w:line="240" w:lineRule="auto"/>
              <w:jc w:val="left"/>
            </w:pPr>
            <w:r>
              <w:rPr>
                <w:rFonts w:ascii="Arial" w:hAnsi="Arial"/>
                <w:b/>
                <w:color w:val="FFFFFF"/>
                <w:sz w:val="15"/>
              </w:rPr>
              <w:t xml:space="preserve">Role</w:t>
            </w:r>
          </w:p>
        </w:tc>
        <w:tc>
          <w:tcPr>
            <w:tcW w:w="1646" w:type="dxa"/>
            <w:shd w:val="clear" w:color="auto" w:fill="13213F"/>
          </w:tcPr>
          <w:p>
            <w:pPr>
              <w:pStyle w:val="Compact"/>
              <w:spacing w:before="0" w:after="0" w:line="240" w:lineRule="auto"/>
              <w:jc w:val="left"/>
            </w:pPr>
            <w:r>
              <w:rPr>
                <w:rFonts w:ascii="Arial" w:hAnsi="Arial"/>
                <w:b/>
                <w:color w:val="FFFFFF"/>
                <w:sz w:val="15"/>
              </w:rPr>
              <w:t xml:space="preserve">First appointed</w:t>
            </w:r>
          </w:p>
        </w:tc>
        <w:tc>
          <w:tcPr>
            <w:tcW w:w="2632" w:type="dxa"/>
            <w:shd w:val="clear" w:color="auto" w:fill="13213F"/>
          </w:tcPr>
          <w:p>
            <w:pPr>
              <w:pStyle w:val="Compact"/>
              <w:spacing w:before="0" w:after="0" w:line="240" w:lineRule="auto"/>
              <w:jc w:val="left"/>
            </w:pPr>
            <w:r>
              <w:rPr>
                <w:rFonts w:ascii="Arial" w:hAnsi="Arial"/>
                <w:b/>
                <w:color w:val="FFFFFF"/>
                <w:sz w:val="15"/>
              </w:rPr>
              <w:t xml:space="preserve">Professional background</w:t>
            </w:r>
          </w:p>
        </w:tc>
        <w:tc>
          <w:tcPr>
            <w:tcW w:w="2488" w:type="dxa"/>
            <w:shd w:val="clear" w:color="auto" w:fill="13213F"/>
          </w:tcPr>
          <w:p>
            <w:pPr>
              <w:pStyle w:val="Compact"/>
              <w:spacing w:before="0" w:after="0" w:line="240" w:lineRule="auto"/>
              <w:jc w:val="left"/>
            </w:pPr>
            <w:r>
              <w:rPr>
                <w:rFonts w:ascii="Arial" w:hAnsi="Arial"/>
                <w:b/>
                <w:color w:val="FFFFFF"/>
                <w:sz w:val="15"/>
              </w:rPr>
              <w:t xml:space="preserve">Other affiliations</w:t>
            </w:r>
          </w:p>
        </w:tc>
      </w:tr>
      <w:tr>
        <w:trPr>
          <w:cantSplit/>
        </w:trPr>
        <w:tc>
          <w:tcPr>
            <w:tcW w:w="1514" w:type="dxa"/>
          </w:tcPr>
          <w:p>
            <w:pPr>
              <w:pStyle w:val="Compact"/>
              <w:spacing w:before="0" w:after="0" w:line="240" w:lineRule="auto"/>
              <w:jc w:val="left"/>
            </w:pPr>
            <w:r>
              <w:rPr>
                <w:bCs/>
                <w:rFonts w:ascii="Arial" w:hAnsi="Arial"/>
                <w:b/>
                <w:sz w:val="15"/>
              </w:rPr>
              <w:t xml:space="preserve">Arman Dunayev</w:t>
            </w:r>
          </w:p>
        </w:tc>
        <w:tc>
          <w:tcPr>
            <w:tcW w:w="1696" w:type="dxa"/>
          </w:tcPr>
          <w:p>
            <w:pPr>
              <w:pStyle w:val="Compact"/>
              <w:spacing w:before="0" w:after="0" w:line="240" w:lineRule="auto"/>
              <w:jc w:val="left"/>
            </w:pPr>
            <w:r>
              <w:rPr>
                <w:rFonts w:ascii="Arial" w:hAnsi="Arial"/>
                <w:sz w:val="15"/>
              </w:rPr>
              <w:t xml:space="preserve">Chairman (since 1-May-2025; re-elected Apr-2026). Independent 2023–26;</w:t>
            </w:r>
            <w:r>
              <w:rPr>
                <w:rFonts w:ascii="Arial" w:hAnsi="Arial"/>
                <w:sz w:val="15"/>
              </w:rPr>
              <w:t xml:space="preserve"> </w:t>
            </w:r>
            <w:r>
              <w:rPr>
                <w:bCs/>
                <w:rFonts w:ascii="Arial" w:hAnsi="Arial"/>
                <w:b/>
                <w:sz w:val="15"/>
              </w:rPr>
              <w:t xml:space="preserve">not classified as independent from Apr-2026</w:t>
            </w:r>
          </w:p>
        </w:tc>
        <w:tc>
          <w:tcPr>
            <w:tcW w:w="1646" w:type="dxa"/>
          </w:tcPr>
          <w:p>
            <w:pPr>
              <w:pStyle w:val="Compact"/>
              <w:spacing w:before="0" w:after="0" w:line="240" w:lineRule="auto"/>
              <w:jc w:val="left"/>
            </w:pPr>
            <w:r>
              <w:rPr>
                <w:rFonts w:ascii="Arial" w:hAnsi="Arial"/>
                <w:sz w:val="15"/>
              </w:rPr>
              <w:t xml:space="preserve">By May-2023 (independent)</w:t>
            </w:r>
          </w:p>
        </w:tc>
        <w:tc>
          <w:tcPr>
            <w:tcW w:w="2632" w:type="dxa"/>
          </w:tcPr>
          <w:p>
            <w:pPr>
              <w:pStyle w:val="Compact"/>
              <w:spacing w:before="0" w:after="0" w:line="240" w:lineRule="auto"/>
              <w:jc w:val="left"/>
            </w:pPr>
            <w:r>
              <w:rPr>
                <w:rFonts w:ascii="Arial" w:hAnsi="Arial"/>
                <w:sz w:val="15"/>
              </w:rPr>
              <w:t xml:space="preserve">First Vice Minister, then</w:t>
            </w:r>
            <w:r>
              <w:rPr>
                <w:rFonts w:ascii="Arial" w:hAnsi="Arial"/>
                <w:sz w:val="15"/>
              </w:rPr>
              <w:t xml:space="preserve"> </w:t>
            </w:r>
            <w:r>
              <w:rPr>
                <w:bCs/>
                <w:rFonts w:ascii="Arial" w:hAnsi="Arial"/>
                <w:b/>
                <w:sz w:val="15"/>
              </w:rPr>
              <w:t xml:space="preserve">Minister of Finance (2004–06)</w:t>
            </w:r>
            <w:r>
              <w:rPr>
                <w:rFonts w:ascii="Arial" w:hAnsi="Arial"/>
                <w:sz w:val="15"/>
              </w:rPr>
              <w:t xml:space="preserve">;</w:t>
            </w:r>
            <w:r>
              <w:rPr>
                <w:rFonts w:ascii="Arial" w:hAnsi="Arial"/>
                <w:sz w:val="15"/>
              </w:rPr>
              <w:t xml:space="preserve"> </w:t>
            </w:r>
            <w:r>
              <w:rPr>
                <w:bCs/>
                <w:rFonts w:ascii="Arial" w:hAnsi="Arial"/>
                <w:b/>
                <w:sz w:val="15"/>
              </w:rPr>
              <w:t xml:space="preserve">chairman of the financial regulator (2006–08)</w:t>
            </w:r>
          </w:p>
        </w:tc>
        <w:tc>
          <w:tcPr>
            <w:tcW w:w="2488" w:type="dxa"/>
          </w:tcPr>
          <w:p>
            <w:pPr>
              <w:pStyle w:val="Compact"/>
              <w:spacing w:before="0" w:after="0" w:line="240" w:lineRule="auto"/>
              <w:jc w:val="left"/>
            </w:pPr>
            <w:r>
              <w:rPr>
                <w:rFonts w:ascii="Arial" w:hAnsi="Arial"/>
                <w:sz w:val="15"/>
              </w:rPr>
              <w:t xml:space="preserve">Chaired Altyn Bank’s board (Halyk associate) until Apr-2026</w:t>
            </w:r>
          </w:p>
        </w:tc>
      </w:tr>
      <w:tr>
        <w:trPr>
          <w:cantSplit/>
        </w:trPr>
        <w:tc>
          <w:tcPr>
            <w:tcW w:w="1514" w:type="dxa"/>
          </w:tcPr>
          <w:p>
            <w:pPr>
              <w:pStyle w:val="Compact"/>
              <w:spacing w:before="0" w:after="0" w:line="240" w:lineRule="auto"/>
              <w:jc w:val="left"/>
            </w:pPr>
            <w:r>
              <w:rPr>
                <w:bCs/>
                <w:rFonts w:ascii="Arial" w:hAnsi="Arial"/>
                <w:b/>
                <w:sz w:val="15"/>
              </w:rPr>
              <w:t xml:space="preserve">Umut Shayakhmetova</w:t>
            </w:r>
          </w:p>
        </w:tc>
        <w:tc>
          <w:tcPr>
            <w:tcW w:w="1696" w:type="dxa"/>
          </w:tcPr>
          <w:p>
            <w:pPr>
              <w:pStyle w:val="Compact"/>
              <w:spacing w:before="0" w:after="0" w:line="240" w:lineRule="auto"/>
              <w:jc w:val="left"/>
            </w:pPr>
            <w:r>
              <w:rPr>
                <w:rFonts w:ascii="Arial" w:hAnsi="Arial"/>
                <w:sz w:val="15"/>
              </w:rPr>
              <w:t xml:space="preserve">Executive director (CEO)</w:t>
            </w:r>
          </w:p>
        </w:tc>
        <w:tc>
          <w:tcPr>
            <w:tcW w:w="1646" w:type="dxa"/>
          </w:tcPr>
          <w:p>
            <w:pPr>
              <w:pStyle w:val="Compact"/>
              <w:spacing w:before="0" w:after="0" w:line="240" w:lineRule="auto"/>
              <w:jc w:val="left"/>
            </w:pPr>
            <w:r>
              <w:rPr>
                <w:rFonts w:ascii="Arial" w:hAnsi="Arial"/>
                <w:sz w:val="15"/>
              </w:rPr>
              <w:t xml:space="preserve">CEO 2009; board n/a</w:t>
            </w:r>
          </w:p>
        </w:tc>
        <w:tc>
          <w:tcPr>
            <w:tcW w:w="2632" w:type="dxa"/>
          </w:tcPr>
          <w:p>
            <w:pPr>
              <w:pStyle w:val="Compact"/>
              <w:spacing w:before="0" w:after="0" w:line="240" w:lineRule="auto"/>
              <w:jc w:val="left"/>
            </w:pPr>
            <w:r>
              <w:rPr>
                <w:rFonts w:ascii="Arial" w:hAnsi="Arial"/>
                <w:sz w:val="15"/>
              </w:rPr>
              <w:t xml:space="preserve">See management</w:t>
            </w:r>
          </w:p>
        </w:tc>
        <w:tc>
          <w:tcPr>
            <w:tcW w:w="2488" w:type="dxa"/>
          </w:tcPr>
          <w:p>
            <w:pPr>
              <w:pStyle w:val="Compact"/>
              <w:spacing w:before="0" w:after="0" w:line="240" w:lineRule="auto"/>
              <w:jc w:val="left"/>
            </w:pPr>
            <w:r>
              <w:rPr>
                <w:rFonts w:ascii="Arial" w:hAnsi="Arial"/>
                <w:sz w:val="15"/>
              </w:rPr>
              <w:t xml:space="preserve">Chair of Halyk-Leasing; Altyn Bank board; President, Kazakhstan Gymnastics Federation</w:t>
            </w:r>
          </w:p>
        </w:tc>
      </w:tr>
      <w:tr>
        <w:trPr>
          <w:cantSplit/>
        </w:trPr>
        <w:tc>
          <w:tcPr>
            <w:tcW w:w="1514" w:type="dxa"/>
          </w:tcPr>
          <w:p>
            <w:pPr>
              <w:pStyle w:val="Compact"/>
              <w:spacing w:before="0" w:after="0" w:line="240" w:lineRule="auto"/>
              <w:jc w:val="left"/>
            </w:pPr>
            <w:r>
              <w:rPr>
                <w:bCs/>
                <w:rFonts w:ascii="Arial" w:hAnsi="Arial"/>
                <w:b/>
                <w:sz w:val="15"/>
              </w:rPr>
              <w:t xml:space="preserve">Zhomart Nurabayev</w:t>
            </w:r>
          </w:p>
        </w:tc>
        <w:tc>
          <w:tcPr>
            <w:tcW w:w="1696" w:type="dxa"/>
          </w:tcPr>
          <w:p>
            <w:pPr>
              <w:pStyle w:val="Compact"/>
              <w:spacing w:before="0" w:after="0" w:line="240" w:lineRule="auto"/>
              <w:jc w:val="left"/>
            </w:pPr>
            <w:r>
              <w:rPr>
                <w:rFonts w:ascii="Arial" w:hAnsi="Arial"/>
                <w:sz w:val="15"/>
              </w:rPr>
              <w:t xml:space="preserve">Non-executive,</w:t>
            </w:r>
            <w:r>
              <w:rPr>
                <w:rFonts w:ascii="Arial" w:hAnsi="Arial"/>
                <w:sz w:val="15"/>
              </w:rPr>
              <w:t xml:space="preserve"> </w:t>
            </w:r>
            <w:r>
              <w:rPr>
                <w:bCs/>
                <w:rFonts w:ascii="Arial" w:hAnsi="Arial"/>
                <w:b/>
                <w:sz w:val="15"/>
              </w:rPr>
              <w:t xml:space="preserve">ALMEX representative</w:t>
            </w:r>
          </w:p>
        </w:tc>
        <w:tc>
          <w:tcPr>
            <w:tcW w:w="1646" w:type="dxa"/>
          </w:tcPr>
          <w:p>
            <w:pPr>
              <w:pStyle w:val="Compact"/>
              <w:spacing w:before="0" w:after="0" w:line="240" w:lineRule="auto"/>
              <w:jc w:val="left"/>
            </w:pPr>
            <w:r>
              <w:rPr>
                <w:rFonts w:ascii="Arial" w:hAnsi="Arial"/>
                <w:sz w:val="15"/>
              </w:rPr>
              <w:t xml:space="preserve">Dec-2012; re-elected Dec-2023</w:t>
            </w:r>
          </w:p>
        </w:tc>
        <w:tc>
          <w:tcPr>
            <w:tcW w:w="2632" w:type="dxa"/>
          </w:tcPr>
          <w:p>
            <w:pPr>
              <w:pStyle w:val="Compact"/>
              <w:spacing w:before="0" w:after="0" w:line="240" w:lineRule="auto"/>
              <w:jc w:val="left"/>
            </w:pPr>
            <w:r>
              <w:rPr>
                <w:rFonts w:ascii="Arial" w:hAnsi="Arial"/>
                <w:sz w:val="15"/>
              </w:rPr>
              <w:t xml:space="preserve">Almaty tax committee (1995–2000); CFO TransOilInvestments; at ALMEX since 2003 (CFO, deputy chair, then chair of the management board)</w:t>
            </w:r>
          </w:p>
        </w:tc>
        <w:tc>
          <w:tcPr>
            <w:tcW w:w="2488" w:type="dxa"/>
          </w:tcPr>
          <w:p>
            <w:pPr>
              <w:pStyle w:val="Compact"/>
              <w:spacing w:before="0" w:after="0" w:line="240" w:lineRule="auto"/>
              <w:jc w:val="left"/>
            </w:pPr>
            <w:r>
              <w:rPr>
                <w:rFonts w:ascii="Arial" w:hAnsi="Arial"/>
                <w:sz w:val="15"/>
              </w:rPr>
              <w:t xml:space="preserve">Chair of the ALMEX management board</w:t>
            </w:r>
          </w:p>
        </w:tc>
      </w:tr>
      <w:tr>
        <w:trPr>
          <w:cantSplit/>
        </w:trPr>
        <w:tc>
          <w:tcPr>
            <w:tcW w:w="1514" w:type="dxa"/>
          </w:tcPr>
          <w:p>
            <w:pPr>
              <w:pStyle w:val="Compact"/>
              <w:spacing w:before="0" w:after="0" w:line="240" w:lineRule="auto"/>
              <w:jc w:val="left"/>
            </w:pPr>
            <w:r>
              <w:rPr>
                <w:bCs/>
                <w:rFonts w:ascii="Arial" w:hAnsi="Arial"/>
                <w:b/>
                <w:sz w:val="15"/>
              </w:rPr>
              <w:t xml:space="preserve">Zhaksybek Kulekeyev</w:t>
            </w:r>
          </w:p>
        </w:tc>
        <w:tc>
          <w:tcPr>
            <w:tcW w:w="1696" w:type="dxa"/>
          </w:tcPr>
          <w:p>
            <w:pPr>
              <w:pStyle w:val="Compact"/>
              <w:spacing w:before="0" w:after="0" w:line="240" w:lineRule="auto"/>
              <w:jc w:val="left"/>
            </w:pPr>
            <w:r>
              <w:rPr>
                <w:rFonts w:ascii="Arial" w:hAnsi="Arial"/>
                <w:sz w:val="15"/>
              </w:rPr>
              <w:t xml:space="preserve">Independent</w:t>
            </w:r>
          </w:p>
        </w:tc>
        <w:tc>
          <w:tcPr>
            <w:tcW w:w="1646" w:type="dxa"/>
          </w:tcPr>
          <w:p>
            <w:pPr>
              <w:pStyle w:val="Compact"/>
              <w:spacing w:before="0" w:after="0" w:line="240" w:lineRule="auto"/>
              <w:jc w:val="left"/>
            </w:pPr>
            <w:r>
              <w:rPr>
                <w:rFonts w:ascii="Arial" w:hAnsi="Arial"/>
                <w:sz w:val="15"/>
              </w:rPr>
              <w:t xml:space="preserve">Dec-2023</w:t>
            </w:r>
          </w:p>
        </w:tc>
        <w:tc>
          <w:tcPr>
            <w:tcW w:w="2632" w:type="dxa"/>
          </w:tcPr>
          <w:p>
            <w:pPr>
              <w:pStyle w:val="Compact"/>
              <w:spacing w:before="0" w:after="0" w:line="240" w:lineRule="auto"/>
              <w:jc w:val="left"/>
            </w:pPr>
            <w:r>
              <w:rPr>
                <w:rFonts w:ascii="Arial" w:hAnsi="Arial"/>
                <w:sz w:val="15"/>
              </w:rPr>
              <w:t xml:space="preserve">Minister of Economy (1999–2002), Accounts Committee chair, Minister of Education (2003–04), head of Kazakhstan Temir Zholy (2007–08)</w:t>
            </w:r>
          </w:p>
        </w:tc>
        <w:tc>
          <w:tcPr>
            <w:tcW w:w="2488" w:type="dxa"/>
          </w:tcPr>
          <w:p>
            <w:pPr>
              <w:pStyle w:val="Compact"/>
              <w:spacing w:before="0" w:after="0" w:line="240" w:lineRule="auto"/>
              <w:jc w:val="left"/>
            </w:pPr>
            <w:r>
              <w:rPr>
                <w:rFonts w:ascii="Arial" w:hAnsi="Arial"/>
                <w:sz w:val="15"/>
              </w:rPr>
              <w:t xml:space="preserve">Chair, L.N. Gumilyov Eurasian National University;</w:t>
            </w:r>
            <w:r>
              <w:rPr>
                <w:rFonts w:ascii="Arial" w:hAnsi="Arial"/>
                <w:sz w:val="15"/>
              </w:rPr>
              <w:t xml:space="preserve"> </w:t>
            </w:r>
            <w:r>
              <w:rPr>
                <w:bCs/>
                <w:rFonts w:ascii="Arial" w:hAnsi="Arial"/>
                <w:b/>
                <w:sz w:val="15"/>
              </w:rPr>
              <w:t xml:space="preserve">member of the government commission on the return of illegally acquired assets</w:t>
            </w:r>
            <w:r>
              <w:rPr>
                <w:rFonts w:ascii="Arial" w:hAnsi="Arial"/>
                <w:sz w:val="15"/>
              </w:rPr>
              <w:t xml:space="preserve"> </w:t>
            </w:r>
            <w:r>
              <w:rPr>
                <w:rFonts w:ascii="Arial" w:hAnsi="Arial"/>
                <w:sz w:val="15"/>
              </w:rPr>
              <w:t xml:space="preserve">(since Oct-2023) [u]</w:t>
            </w:r>
          </w:p>
        </w:tc>
      </w:tr>
      <w:tr>
        <w:trPr>
          <w:cantSplit/>
        </w:trPr>
        <w:tc>
          <w:tcPr>
            <w:tcW w:w="1514" w:type="dxa"/>
          </w:tcPr>
          <w:p>
            <w:pPr>
              <w:pStyle w:val="Compact"/>
              <w:spacing w:before="0" w:after="0" w:line="240" w:lineRule="auto"/>
              <w:jc w:val="left"/>
            </w:pPr>
            <w:r>
              <w:rPr>
                <w:bCs/>
                <w:rFonts w:ascii="Arial" w:hAnsi="Arial"/>
                <w:b/>
                <w:sz w:val="15"/>
              </w:rPr>
              <w:t xml:space="preserve">Hermann Tischendorf</w:t>
            </w:r>
          </w:p>
        </w:tc>
        <w:tc>
          <w:tcPr>
            <w:tcW w:w="1696" w:type="dxa"/>
          </w:tcPr>
          <w:p>
            <w:pPr>
              <w:pStyle w:val="Compact"/>
              <w:spacing w:before="0" w:after="0" w:line="240" w:lineRule="auto"/>
              <w:jc w:val="left"/>
            </w:pPr>
            <w:r>
              <w:rPr>
                <w:rFonts w:ascii="Arial" w:hAnsi="Arial"/>
                <w:sz w:val="15"/>
              </w:rPr>
              <w:t xml:space="preserve">Independent</w:t>
            </w:r>
          </w:p>
        </w:tc>
        <w:tc>
          <w:tcPr>
            <w:tcW w:w="1646" w:type="dxa"/>
          </w:tcPr>
          <w:p>
            <w:pPr>
              <w:pStyle w:val="Compact"/>
              <w:spacing w:before="0" w:after="0" w:line="240" w:lineRule="auto"/>
              <w:jc w:val="left"/>
            </w:pPr>
            <w:r>
              <w:rPr>
                <w:rFonts w:ascii="Arial" w:hAnsi="Arial"/>
                <w:sz w:val="15"/>
              </w:rPr>
              <w:t xml:space="preserve">May-2023</w:t>
            </w:r>
          </w:p>
        </w:tc>
        <w:tc>
          <w:tcPr>
            <w:tcW w:w="2632" w:type="dxa"/>
          </w:tcPr>
          <w:p>
            <w:pPr>
              <w:pStyle w:val="Compact"/>
              <w:spacing w:before="0" w:after="0" w:line="240" w:lineRule="auto"/>
              <w:jc w:val="left"/>
            </w:pPr>
            <w:r>
              <w:rPr>
                <w:rFonts w:ascii="Arial" w:hAnsi="Arial"/>
                <w:sz w:val="15"/>
              </w:rPr>
              <w:t xml:space="preserve">International banker; biography not retrieved</w:t>
            </w:r>
          </w:p>
        </w:tc>
        <w:tc>
          <w:tcPr>
            <w:tcW w:w="2488" w:type="dxa"/>
          </w:tcPr>
          <w:p>
            <w:pPr>
              <w:pStyle w:val="Compact"/>
              <w:spacing w:before="0" w:after="0" w:line="240" w:lineRule="auto"/>
              <w:jc w:val="left"/>
            </w:pPr>
            <w:r>
              <w:rPr>
                <w:rFonts w:ascii="Arial" w:hAnsi="Arial"/>
                <w:sz w:val="15"/>
              </w:rPr>
              <w:t xml:space="preserve">n/a</w:t>
            </w:r>
          </w:p>
        </w:tc>
      </w:tr>
      <w:tr>
        <w:trPr>
          <w:cantSplit/>
        </w:trPr>
        <w:tc>
          <w:tcPr>
            <w:tcW w:w="1514" w:type="dxa"/>
          </w:tcPr>
          <w:p>
            <w:pPr>
              <w:pStyle w:val="Compact"/>
              <w:spacing w:before="0" w:after="0" w:line="240" w:lineRule="auto"/>
              <w:jc w:val="left"/>
            </w:pPr>
            <w:r>
              <w:rPr>
                <w:bCs/>
                <w:rFonts w:ascii="Arial" w:hAnsi="Arial"/>
                <w:b/>
                <w:sz w:val="15"/>
              </w:rPr>
              <w:t xml:space="preserve">Piotr Romanowski</w:t>
            </w:r>
          </w:p>
        </w:tc>
        <w:tc>
          <w:tcPr>
            <w:tcW w:w="1696" w:type="dxa"/>
          </w:tcPr>
          <w:p>
            <w:pPr>
              <w:pStyle w:val="Compact"/>
              <w:spacing w:before="0" w:after="0" w:line="240" w:lineRule="auto"/>
              <w:jc w:val="left"/>
            </w:pPr>
            <w:r>
              <w:rPr>
                <w:rFonts w:ascii="Arial" w:hAnsi="Arial"/>
                <w:sz w:val="15"/>
              </w:rPr>
              <w:t xml:space="preserve">Independent</w:t>
            </w:r>
          </w:p>
        </w:tc>
        <w:tc>
          <w:tcPr>
            <w:tcW w:w="1646" w:type="dxa"/>
          </w:tcPr>
          <w:p>
            <w:pPr>
              <w:pStyle w:val="Compact"/>
              <w:spacing w:before="0" w:after="0" w:line="240" w:lineRule="auto"/>
              <w:jc w:val="left"/>
            </w:pPr>
            <w:r>
              <w:rPr>
                <w:rFonts w:ascii="Arial" w:hAnsi="Arial"/>
                <w:sz w:val="15"/>
              </w:rPr>
              <w:t xml:space="preserve">2020 [u] (re-elected 2023, 2026)</w:t>
            </w:r>
          </w:p>
        </w:tc>
        <w:tc>
          <w:tcPr>
            <w:tcW w:w="2632" w:type="dxa"/>
          </w:tcPr>
          <w:p>
            <w:pPr>
              <w:pStyle w:val="Compact"/>
              <w:spacing w:before="0" w:after="0" w:line="240" w:lineRule="auto"/>
              <w:jc w:val="left"/>
            </w:pPr>
            <w:r>
              <w:rPr>
                <w:rFonts w:ascii="Arial" w:hAnsi="Arial"/>
                <w:sz w:val="15"/>
              </w:rPr>
              <w:t xml:space="preserve">Polish banker; biography not retrieved</w:t>
            </w:r>
          </w:p>
        </w:tc>
        <w:tc>
          <w:tcPr>
            <w:tcW w:w="2488" w:type="dxa"/>
          </w:tcPr>
          <w:p>
            <w:pPr>
              <w:pStyle w:val="Compact"/>
              <w:spacing w:before="0" w:after="0" w:line="240" w:lineRule="auto"/>
              <w:jc w:val="left"/>
            </w:pPr>
            <w:r>
              <w:rPr>
                <w:rFonts w:ascii="Arial" w:hAnsi="Arial"/>
                <w:sz w:val="15"/>
              </w:rPr>
              <w:t xml:space="preserve">n/a</w:t>
            </w:r>
          </w:p>
        </w:tc>
      </w:tr>
      <w:tr>
        <w:trPr>
          <w:cantSplit/>
        </w:trPr>
        <w:tc>
          <w:tcPr>
            <w:tcW w:w="1514" w:type="dxa"/>
          </w:tcPr>
          <w:p>
            <w:pPr>
              <w:pStyle w:val="Compact"/>
              <w:spacing w:before="0" w:after="0" w:line="240" w:lineRule="auto"/>
              <w:jc w:val="left"/>
            </w:pPr>
            <w:r>
              <w:rPr>
                <w:bCs/>
                <w:rFonts w:ascii="Arial" w:hAnsi="Arial"/>
                <w:b/>
                <w:sz w:val="15"/>
              </w:rPr>
              <w:t xml:space="preserve">Henk Jan Hoogendoorn</w:t>
            </w:r>
          </w:p>
        </w:tc>
        <w:tc>
          <w:tcPr>
            <w:tcW w:w="1696" w:type="dxa"/>
          </w:tcPr>
          <w:p>
            <w:pPr>
              <w:pStyle w:val="Compact"/>
              <w:spacing w:before="0" w:after="0" w:line="240" w:lineRule="auto"/>
              <w:jc w:val="left"/>
            </w:pPr>
            <w:r>
              <w:rPr>
                <w:rFonts w:ascii="Arial" w:hAnsi="Arial"/>
                <w:sz w:val="15"/>
              </w:rPr>
              <w:t xml:space="preserve">Independent (new)</w:t>
            </w:r>
          </w:p>
        </w:tc>
        <w:tc>
          <w:tcPr>
            <w:tcW w:w="1646" w:type="dxa"/>
          </w:tcPr>
          <w:p>
            <w:pPr>
              <w:pStyle w:val="Compact"/>
              <w:spacing w:before="0" w:after="0" w:line="240" w:lineRule="auto"/>
              <w:jc w:val="left"/>
            </w:pPr>
            <w:r>
              <w:rPr>
                <w:rFonts w:ascii="Arial" w:hAnsi="Arial"/>
                <w:sz w:val="15"/>
              </w:rPr>
              <w:t xml:space="preserve">Apr-2026</w:t>
            </w:r>
          </w:p>
        </w:tc>
        <w:tc>
          <w:tcPr>
            <w:tcW w:w="2632" w:type="dxa"/>
          </w:tcPr>
          <w:p>
            <w:pPr>
              <w:pStyle w:val="Compact"/>
              <w:spacing w:before="0" w:after="0" w:line="240" w:lineRule="auto"/>
              <w:jc w:val="left"/>
            </w:pPr>
            <w:r>
              <w:rPr>
                <w:rFonts w:ascii="Arial" w:hAnsi="Arial"/>
                <w:sz w:val="15"/>
              </w:rPr>
              <w:t xml:space="preserve">Chief Financial Services Sector Officer, Qatar Financial Centre; ex-CEO Mashreq Qatar; Deutsche Bank; ABN AMRO</w:t>
            </w:r>
          </w:p>
        </w:tc>
        <w:tc>
          <w:tcPr>
            <w:tcW w:w="2488" w:type="dxa"/>
          </w:tcPr>
          <w:p>
            <w:pPr>
              <w:pStyle w:val="Compact"/>
              <w:spacing w:before="0" w:after="0" w:line="240" w:lineRule="auto"/>
              <w:jc w:val="left"/>
            </w:pPr>
            <w:r>
              <w:rPr>
                <w:rFonts w:ascii="Arial" w:hAnsi="Arial"/>
                <w:sz w:val="15"/>
              </w:rPr>
              <w:t xml:space="preserve">Board of Wahed Inc. [u]; board of Qazaqstan Investment Corporation (state) [u]</w:t>
            </w:r>
          </w:p>
        </w:tc>
      </w:tr>
    </w:tbl>
    <w:p>
      <w:pPr>
        <w:pStyle w:val="BodyText"/>
      </w:pPr>
      <w:r>
        <w:rPr>
          <w:bCs/>
          <w:b/>
        </w:rPr>
        <w:t xml:space="preserve">Board changes in the last five years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576"/>
        <w:gridCol w:w="7402"/>
      </w:tblGrid>
      <w:tr>
        <w:trPr>
          <w:tblHeader w:val="true"/>
          <w:cantSplit/>
          <w:tblHeader w:val="true"/>
        </w:trPr>
        <w:tc>
          <w:tcPr>
            <w:tcW w:w="2576" w:type="dxa"/>
            <w:shd w:val="clear" w:color="auto" w:fill="13213F"/>
          </w:tcPr>
          <w:p>
            <w:pPr>
              <w:pStyle w:val="Compact"/>
              <w:spacing w:before="0" w:after="0" w:line="240" w:lineRule="auto"/>
              <w:jc w:val="left"/>
            </w:pPr>
            <w:r>
              <w:rPr>
                <w:rFonts w:ascii="Arial" w:hAnsi="Arial"/>
                <w:b/>
                <w:color w:val="FFFFFF"/>
                <w:sz w:val="15"/>
              </w:rPr>
              <w:t xml:space="preserve">Date</w:t>
            </w:r>
          </w:p>
        </w:tc>
        <w:tc>
          <w:tcPr>
            <w:tcW w:w="7402" w:type="dxa"/>
            <w:shd w:val="clear" w:color="auto" w:fill="13213F"/>
          </w:tcPr>
          <w:p>
            <w:pPr>
              <w:pStyle w:val="Compact"/>
              <w:spacing w:before="0" w:after="0" w:line="240" w:lineRule="auto"/>
              <w:jc w:val="left"/>
            </w:pPr>
            <w:r>
              <w:rPr>
                <w:rFonts w:ascii="Arial" w:hAnsi="Arial"/>
                <w:b/>
                <w:color w:val="FFFFFF"/>
                <w:sz w:val="15"/>
              </w:rPr>
              <w:t xml:space="preserve">Change</w:t>
            </w:r>
          </w:p>
        </w:tc>
      </w:tr>
      <w:tr>
        <w:trPr>
          <w:cantSplit/>
        </w:trPr>
        <w:tc>
          <w:tcPr>
            <w:tcW w:w="2576" w:type="dxa"/>
          </w:tcPr>
          <w:p>
            <w:pPr>
              <w:pStyle w:val="Compact"/>
              <w:spacing w:before="0" w:after="0" w:line="240" w:lineRule="auto"/>
              <w:jc w:val="left"/>
            </w:pPr>
            <w:r>
              <w:rPr>
                <w:rFonts w:ascii="Arial" w:hAnsi="Arial"/>
                <w:sz w:val="15"/>
              </w:rPr>
              <w:t xml:space="preserve">May-2023 (AGM)</w:t>
            </w:r>
          </w:p>
        </w:tc>
        <w:tc>
          <w:tcPr>
            <w:tcW w:w="7402" w:type="dxa"/>
          </w:tcPr>
          <w:p>
            <w:pPr>
              <w:pStyle w:val="Compact"/>
              <w:spacing w:before="0" w:after="0" w:line="240" w:lineRule="auto"/>
              <w:jc w:val="left"/>
            </w:pPr>
            <w:r>
              <w:rPr>
                <w:rFonts w:ascii="Arial" w:hAnsi="Arial"/>
                <w:sz w:val="15"/>
              </w:rPr>
              <w:t xml:space="preserve">New three-year board of 7.</w:t>
            </w:r>
            <w:r>
              <w:rPr>
                <w:rFonts w:ascii="Arial" w:hAnsi="Arial"/>
                <w:sz w:val="15"/>
              </w:rPr>
              <w:t xml:space="preserve"> </w:t>
            </w:r>
            <w:r>
              <w:rPr>
                <w:bCs/>
                <w:rFonts w:ascii="Arial" w:hAnsi="Arial"/>
                <w:b/>
                <w:sz w:val="15"/>
              </w:rPr>
              <w:t xml:space="preserve">Christof Ruehl</w:t>
            </w:r>
            <w:r>
              <w:rPr>
                <w:rFonts w:ascii="Arial" w:hAnsi="Arial"/>
                <w:sz w:val="15"/>
              </w:rPr>
              <w:t xml:space="preserve"> </w:t>
            </w:r>
            <w:r>
              <w:rPr>
                <w:rFonts w:ascii="Arial" w:hAnsi="Arial"/>
                <w:sz w:val="15"/>
              </w:rPr>
              <w:t xml:space="preserve">(independent, since 2020) left;</w:t>
            </w:r>
            <w:r>
              <w:rPr>
                <w:rFonts w:ascii="Arial" w:hAnsi="Arial"/>
                <w:sz w:val="15"/>
              </w:rPr>
              <w:t xml:space="preserve"> </w:t>
            </w:r>
            <w:r>
              <w:rPr>
                <w:bCs/>
                <w:rFonts w:ascii="Arial" w:hAnsi="Arial"/>
                <w:b/>
                <w:sz w:val="15"/>
              </w:rPr>
              <w:t xml:space="preserve">Hermann Tischendorf</w:t>
            </w:r>
            <w:r>
              <w:rPr>
                <w:rFonts w:ascii="Arial" w:hAnsi="Arial"/>
                <w:sz w:val="15"/>
              </w:rPr>
              <w:t xml:space="preserve"> </w:t>
            </w:r>
            <w:r>
              <w:rPr>
                <w:rFonts w:ascii="Arial" w:hAnsi="Arial"/>
                <w:sz w:val="15"/>
              </w:rPr>
              <w:t xml:space="preserve">joined. Alexander Pavlov re-elected Chairman.</w:t>
            </w:r>
          </w:p>
        </w:tc>
      </w:tr>
      <w:tr>
        <w:trPr>
          <w:cantSplit/>
        </w:trPr>
        <w:tc>
          <w:tcPr>
            <w:tcW w:w="2576" w:type="dxa"/>
          </w:tcPr>
          <w:p>
            <w:pPr>
              <w:pStyle w:val="Compact"/>
              <w:spacing w:before="0" w:after="0" w:line="240" w:lineRule="auto"/>
              <w:jc w:val="left"/>
            </w:pPr>
            <w:r>
              <w:rPr>
                <w:rFonts w:ascii="Arial" w:hAnsi="Arial"/>
                <w:sz w:val="15"/>
              </w:rPr>
              <w:t xml:space="preserve">1-Dec-2023 (EGM)</w:t>
            </w:r>
          </w:p>
        </w:tc>
        <w:tc>
          <w:tcPr>
            <w:tcW w:w="7402" w:type="dxa"/>
          </w:tcPr>
          <w:p>
            <w:pPr>
              <w:pStyle w:val="Compact"/>
              <w:spacing w:before="0" w:after="0" w:line="240" w:lineRule="auto"/>
              <w:jc w:val="left"/>
            </w:pPr>
            <w:r>
              <w:rPr>
                <w:bCs/>
                <w:rFonts w:ascii="Arial" w:hAnsi="Arial"/>
                <w:b/>
                <w:sz w:val="15"/>
              </w:rPr>
              <w:t xml:space="preserve">Mazhit Yessenbayev</w:t>
            </w:r>
            <w:r>
              <w:rPr>
                <w:rFonts w:ascii="Arial" w:hAnsi="Arial"/>
                <w:sz w:val="15"/>
              </w:rPr>
              <w:t xml:space="preserve"> </w:t>
            </w:r>
            <w:r>
              <w:rPr>
                <w:rFonts w:ascii="Arial" w:hAnsi="Arial"/>
                <w:sz w:val="15"/>
              </w:rPr>
              <w:t xml:space="preserve">(ALMEX) resigned</w:t>
            </w:r>
            <w:r>
              <w:rPr>
                <w:rFonts w:ascii="Arial" w:hAnsi="Arial"/>
                <w:sz w:val="15"/>
              </w:rPr>
              <w:t xml:space="preserve"> </w:t>
            </w:r>
            <w:r>
              <w:rPr>
                <w:rFonts w:ascii="Arial" w:hAnsi="Arial"/>
                <w:sz w:val="15"/>
              </w:rPr>
              <w:t xml:space="preserve">“</w:t>
            </w:r>
            <w:r>
              <w:rPr>
                <w:rFonts w:ascii="Arial" w:hAnsi="Arial"/>
                <w:sz w:val="15"/>
              </w:rPr>
              <w:t xml:space="preserve">at his own initiative</w:t>
            </w:r>
            <w:r>
              <w:rPr>
                <w:rFonts w:ascii="Arial" w:hAnsi="Arial"/>
                <w:sz w:val="15"/>
              </w:rPr>
              <w:t xml:space="preserve">”</w:t>
            </w:r>
            <w:r>
              <w:rPr>
                <w:rFonts w:ascii="Arial" w:hAnsi="Arial"/>
                <w:sz w:val="15"/>
              </w:rPr>
              <w:t xml:space="preserve">;</w:t>
            </w:r>
            <w:r>
              <w:rPr>
                <w:rFonts w:ascii="Arial" w:hAnsi="Arial"/>
                <w:sz w:val="15"/>
              </w:rPr>
              <w:t xml:space="preserve"> </w:t>
            </w:r>
            <w:r>
              <w:rPr>
                <w:bCs/>
                <w:rFonts w:ascii="Arial" w:hAnsi="Arial"/>
                <w:b/>
                <w:sz w:val="15"/>
              </w:rPr>
              <w:t xml:space="preserve">Zhomart Nurabayev</w:t>
            </w:r>
            <w:r>
              <w:rPr>
                <w:rFonts w:ascii="Arial" w:hAnsi="Arial"/>
                <w:sz w:val="15"/>
              </w:rPr>
              <w:t xml:space="preserve"> </w:t>
            </w:r>
            <w:r>
              <w:rPr>
                <w:rFonts w:ascii="Arial" w:hAnsi="Arial"/>
                <w:sz w:val="15"/>
              </w:rPr>
              <w:t xml:space="preserve">(ALMEX) and</w:t>
            </w:r>
            <w:r>
              <w:rPr>
                <w:rFonts w:ascii="Arial" w:hAnsi="Arial"/>
                <w:sz w:val="15"/>
              </w:rPr>
              <w:t xml:space="preserve"> </w:t>
            </w:r>
            <w:r>
              <w:rPr>
                <w:bCs/>
                <w:rFonts w:ascii="Arial" w:hAnsi="Arial"/>
                <w:b/>
                <w:sz w:val="15"/>
              </w:rPr>
              <w:t xml:space="preserve">Zhaksybek Kulekeyev</w:t>
            </w:r>
            <w:r>
              <w:rPr>
                <w:rFonts w:ascii="Arial" w:hAnsi="Arial"/>
                <w:sz w:val="15"/>
              </w:rPr>
              <w:t xml:space="preserve"> </w:t>
            </w:r>
            <w:r>
              <w:rPr>
                <w:rFonts w:ascii="Arial" w:hAnsi="Arial"/>
                <w:sz w:val="15"/>
              </w:rPr>
              <w:t xml:space="preserve">(independent) elected; board 7 → 8.</w:t>
            </w:r>
          </w:p>
        </w:tc>
      </w:tr>
      <w:tr>
        <w:trPr>
          <w:cantSplit/>
        </w:trPr>
        <w:tc>
          <w:tcPr>
            <w:tcW w:w="2576" w:type="dxa"/>
          </w:tcPr>
          <w:p>
            <w:pPr>
              <w:pStyle w:val="Compact"/>
              <w:spacing w:before="0" w:after="0" w:line="240" w:lineRule="auto"/>
              <w:jc w:val="left"/>
            </w:pPr>
            <w:r>
              <w:rPr>
                <w:rFonts w:ascii="Arial" w:hAnsi="Arial"/>
                <w:sz w:val="15"/>
              </w:rPr>
              <w:t xml:space="preserve">1-May-2025</w:t>
            </w:r>
          </w:p>
        </w:tc>
        <w:tc>
          <w:tcPr>
            <w:tcW w:w="7402" w:type="dxa"/>
          </w:tcPr>
          <w:p>
            <w:pPr>
              <w:pStyle w:val="Compact"/>
              <w:spacing w:before="0" w:after="0" w:line="240" w:lineRule="auto"/>
              <w:jc w:val="left"/>
            </w:pPr>
            <w:r>
              <w:rPr>
                <w:bCs/>
                <w:rFonts w:ascii="Arial" w:hAnsi="Arial"/>
                <w:b/>
                <w:sz w:val="15"/>
              </w:rPr>
              <w:t xml:space="preserve">Alexander Pavlov</w:t>
            </w:r>
            <w:r>
              <w:rPr>
                <w:rFonts w:ascii="Arial" w:hAnsi="Arial"/>
                <w:sz w:val="15"/>
              </w:rPr>
              <w:t xml:space="preserve"> </w:t>
            </w:r>
            <w:r>
              <w:rPr>
                <w:rFonts w:ascii="Arial" w:hAnsi="Arial"/>
                <w:sz w:val="15"/>
              </w:rPr>
              <w:t xml:space="preserve">(Chairman; ex-First Deputy PM and Finance Minister) resigned early, no reason given.</w:t>
            </w:r>
            <w:r>
              <w:rPr>
                <w:rFonts w:ascii="Arial" w:hAnsi="Arial"/>
                <w:sz w:val="15"/>
              </w:rPr>
              <w:t xml:space="preserve"> </w:t>
            </w:r>
            <w:r>
              <w:rPr>
                <w:bCs/>
                <w:rFonts w:ascii="Arial" w:hAnsi="Arial"/>
                <w:b/>
                <w:sz w:val="15"/>
              </w:rPr>
              <w:t xml:space="preserve">Arman Dunayev</w:t>
            </w:r>
            <w:r>
              <w:rPr>
                <w:rFonts w:ascii="Arial" w:hAnsi="Arial"/>
                <w:sz w:val="15"/>
              </w:rPr>
              <w:t xml:space="preserve"> </w:t>
            </w:r>
            <w:r>
              <w:rPr>
                <w:rFonts w:ascii="Arial" w:hAnsi="Arial"/>
                <w:sz w:val="15"/>
              </w:rPr>
              <w:t xml:space="preserve">became Chairman; board 8 → 7.</w:t>
            </w:r>
          </w:p>
        </w:tc>
      </w:tr>
      <w:tr>
        <w:trPr>
          <w:cantSplit/>
        </w:trPr>
        <w:tc>
          <w:tcPr>
            <w:tcW w:w="2576" w:type="dxa"/>
          </w:tcPr>
          <w:p>
            <w:pPr>
              <w:pStyle w:val="Compact"/>
              <w:spacing w:before="0" w:after="0" w:line="240" w:lineRule="auto"/>
              <w:jc w:val="left"/>
            </w:pPr>
            <w:r>
              <w:rPr>
                <w:rFonts w:ascii="Arial" w:hAnsi="Arial"/>
                <w:sz w:val="15"/>
              </w:rPr>
              <w:t xml:space="preserve">23-Apr-2026 (AGM)</w:t>
            </w:r>
          </w:p>
        </w:tc>
        <w:tc>
          <w:tcPr>
            <w:tcW w:w="7402" w:type="dxa"/>
          </w:tcPr>
          <w:p>
            <w:pPr>
              <w:pStyle w:val="Compact"/>
              <w:spacing w:before="0" w:after="0" w:line="240" w:lineRule="auto"/>
              <w:jc w:val="left"/>
            </w:pPr>
            <w:r>
              <w:rPr>
                <w:rFonts w:ascii="Arial" w:hAnsi="Arial"/>
                <w:sz w:val="15"/>
              </w:rPr>
              <w:t xml:space="preserve">New three-year board of 7.</w:t>
            </w:r>
            <w:r>
              <w:rPr>
                <w:rFonts w:ascii="Arial" w:hAnsi="Arial"/>
                <w:sz w:val="15"/>
              </w:rPr>
              <w:t xml:space="preserve"> </w:t>
            </w:r>
            <w:r>
              <w:rPr>
                <w:bCs/>
                <w:rFonts w:ascii="Arial" w:hAnsi="Arial"/>
                <w:b/>
                <w:sz w:val="15"/>
              </w:rPr>
              <w:t xml:space="preserve">Frank Kuijlaars</w:t>
            </w:r>
            <w:r>
              <w:rPr>
                <w:rFonts w:ascii="Arial" w:hAnsi="Arial"/>
                <w:sz w:val="15"/>
              </w:rPr>
              <w:t xml:space="preserve"> </w:t>
            </w:r>
            <w:r>
              <w:rPr>
                <w:rFonts w:ascii="Arial" w:hAnsi="Arial"/>
                <w:sz w:val="15"/>
              </w:rPr>
              <w:t xml:space="preserve">(independent, on the board since 2009) left;</w:t>
            </w:r>
            <w:r>
              <w:rPr>
                <w:rFonts w:ascii="Arial" w:hAnsi="Arial"/>
                <w:sz w:val="15"/>
              </w:rPr>
              <w:t xml:space="preserve"> </w:t>
            </w:r>
            <w:r>
              <w:rPr>
                <w:bCs/>
                <w:rFonts w:ascii="Arial" w:hAnsi="Arial"/>
                <w:b/>
                <w:sz w:val="15"/>
              </w:rPr>
              <w:t xml:space="preserve">Henk Jan Hoogendoorn</w:t>
            </w:r>
            <w:r>
              <w:rPr>
                <w:rFonts w:ascii="Arial" w:hAnsi="Arial"/>
                <w:sz w:val="15"/>
              </w:rPr>
              <w:t xml:space="preserve"> </w:t>
            </w:r>
            <w:r>
              <w:rPr>
                <w:rFonts w:ascii="Arial" w:hAnsi="Arial"/>
                <w:sz w:val="15"/>
              </w:rPr>
              <w:t xml:space="preserve">joined. Dunayev re-elected Chairman but reclassified as non-independent.</w:t>
            </w:r>
          </w:p>
        </w:tc>
      </w:tr>
    </w:tbl>
    <w:p>
      <w:pPr>
        <w:numPr>
          <w:ilvl w:val="0"/>
          <w:numId w:val="1088"/>
        </w:numPr>
        <w:pStyle w:val="Compact"/>
      </w:pPr>
      <w:r>
        <w:rPr>
          <w:bCs/>
          <w:b/>
        </w:rPr>
        <w:t xml:space="preserve">Independence trend.</w:t>
      </w:r>
      <w:r>
        <w:t xml:space="preserve"> </w:t>
      </w:r>
      <w:r>
        <w:t xml:space="preserve">Independent directors went from 6 of 8 (2024) to</w:t>
      </w:r>
      <w:r>
        <w:t xml:space="preserve"> </w:t>
      </w:r>
      <w:r>
        <w:rPr>
          <w:bCs/>
          <w:b/>
        </w:rPr>
        <w:t xml:space="preserve">4 of 7 (2026)</w:t>
      </w:r>
      <w:r>
        <w:t xml:space="preserve">, and the chair is no longer independent.</w:t>
      </w:r>
    </w:p>
    <w:p>
      <w:pPr>
        <w:numPr>
          <w:ilvl w:val="0"/>
          <w:numId w:val="1088"/>
        </w:numPr>
        <w:pStyle w:val="Compact"/>
      </w:pPr>
      <w:r>
        <w:rPr>
          <w:bCs/>
          <w:b/>
        </w:rPr>
        <w:t xml:space="preserve">What helps.</w:t>
      </w:r>
      <w:r>
        <w:t xml:space="preserve"> </w:t>
      </w:r>
      <w:r>
        <w:t xml:space="preserve">Four internationally experienced non-executives remain, and the owners are represented by a single executive rather than sitting personally.</w:t>
      </w:r>
    </w:p>
    <w:p>
      <w:pPr>
        <w:numPr>
          <w:ilvl w:val="0"/>
          <w:numId w:val="1088"/>
        </w:numPr>
        <w:pStyle w:val="Compact"/>
      </w:pPr>
      <w:r>
        <w:rPr>
          <w:bCs/>
          <w:b/>
        </w:rPr>
        <w:t xml:space="preserve">Board as government bridge.</w:t>
      </w:r>
      <w:r>
        <w:t xml:space="preserve"> </w:t>
      </w:r>
      <w:r>
        <w:t xml:space="preserve">Two successive chairmen were former Finance Ministers, and one independent sits on the asset-recovery commission. The board functions partly as a bridge to government.</w:t>
      </w:r>
    </w:p>
    <w:bookmarkEnd w:id="99"/>
    <w:bookmarkStart w:id="100" w:name="shareholders-activism-and-short-interest"/>
    <w:p>
      <w:pPr>
        <w:pStyle w:val="Heading1"/>
      </w:pPr>
      <w:r>
        <w:t xml:space="preserve">Shareholders, activism and short interest</w:t>
      </w:r>
    </w:p>
    <w:p>
      <w:pPr>
        <w:pStyle w:val="FirstParagraph"/>
      </w:pPr>
      <w:r>
        <w:rPr>
          <w:bCs/>
          <w:b/>
        </w:rPr>
        <w:t xml:space="preserve">Top shareholders.</w:t>
      </w:r>
      <w:r>
        <w:t xml:space="preserve"> </w:t>
      </w:r>
      <w:r>
        <w:t xml:space="preserve">Halyk discloses only register-level data. GDR holders sit behind the depositary, and no fund-level holdings (13F, N-PORT or Morningstar) above de-minimis levels were retrievable.</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315"/>
        <w:gridCol w:w="2756"/>
        <w:gridCol w:w="1870"/>
        <w:gridCol w:w="2352"/>
        <w:gridCol w:w="2684"/>
      </w:tblGrid>
      <w:tr>
        <w:trPr>
          <w:tblHeader w:val="true"/>
          <w:cantSplit/>
          <w:tblHeader w:val="true"/>
        </w:trPr>
        <w:tc>
          <w:tcPr>
            <w:tcW w:w="315" w:type="dxa"/>
            <w:shd w:val="clear" w:color="auto" w:fill="13213F"/>
          </w:tcPr>
          <w:p>
            <w:pPr>
              <w:pStyle w:val="Compact"/>
              <w:spacing w:before="0" w:after="0" w:line="240" w:lineRule="auto"/>
              <w:jc w:val="left"/>
            </w:pPr>
            <w:r>
              <w:rPr>
                <w:rFonts w:ascii="Arial" w:hAnsi="Arial"/>
                <w:b/>
                <w:color w:val="FFFFFF"/>
                <w:sz w:val="15"/>
              </w:rPr>
              <w:t xml:space="preserve">#</w:t>
            </w:r>
          </w:p>
        </w:tc>
        <w:tc>
          <w:tcPr>
            <w:tcW w:w="2756" w:type="dxa"/>
            <w:shd w:val="clear" w:color="auto" w:fill="13213F"/>
          </w:tcPr>
          <w:p>
            <w:pPr>
              <w:pStyle w:val="Compact"/>
              <w:spacing w:before="0" w:after="0" w:line="240" w:lineRule="auto"/>
              <w:jc w:val="left"/>
            </w:pPr>
            <w:r>
              <w:rPr>
                <w:rFonts w:ascii="Arial" w:hAnsi="Arial"/>
                <w:b/>
                <w:color w:val="FFFFFF"/>
                <w:sz w:val="15"/>
              </w:rPr>
              <w:t xml:space="preserve">Holder</w:t>
            </w:r>
          </w:p>
        </w:tc>
        <w:tc>
          <w:tcPr>
            <w:tcW w:w="1870" w:type="dxa"/>
            <w:shd w:val="clear" w:color="auto" w:fill="13213F"/>
          </w:tcPr>
          <w:p>
            <w:pPr>
              <w:pStyle w:val="Compact"/>
              <w:spacing w:before="0" w:after="0" w:line="240" w:lineRule="auto"/>
              <w:jc w:val="left"/>
            </w:pPr>
            <w:r>
              <w:rPr>
                <w:rFonts w:ascii="Arial" w:hAnsi="Arial"/>
                <w:b/>
                <w:color w:val="FFFFFF"/>
                <w:sz w:val="15"/>
              </w:rPr>
              <w:t xml:space="preserve">Type</w:t>
            </w:r>
          </w:p>
        </w:tc>
        <w:tc>
          <w:tcPr>
            <w:tcW w:w="2352" w:type="dxa"/>
            <w:shd w:val="clear" w:color="auto" w:fill="13213F"/>
          </w:tcPr>
          <w:p>
            <w:pPr>
              <w:pStyle w:val="Compact"/>
              <w:spacing w:before="0" w:after="0" w:line="240" w:lineRule="auto"/>
              <w:jc w:val="left"/>
            </w:pPr>
            <w:r>
              <w:rPr>
                <w:rFonts w:ascii="Arial" w:hAnsi="Arial"/>
                <w:b/>
                <w:color w:val="FFFFFF"/>
                <w:sz w:val="15"/>
              </w:rPr>
              <w:t xml:space="preserve">Stake (of outstanding)</w:t>
            </w:r>
          </w:p>
        </w:tc>
        <w:tc>
          <w:tcPr>
            <w:tcW w:w="2684" w:type="dxa"/>
            <w:shd w:val="clear" w:color="auto" w:fill="13213F"/>
          </w:tcPr>
          <w:p>
            <w:pPr>
              <w:pStyle w:val="Compact"/>
              <w:spacing w:before="0" w:after="0" w:line="240" w:lineRule="auto"/>
              <w:jc w:val="left"/>
            </w:pPr>
            <w:r>
              <w:rPr>
                <w:rFonts w:ascii="Arial" w:hAnsi="Arial"/>
                <w:b/>
                <w:color w:val="FFFFFF"/>
                <w:sz w:val="15"/>
              </w:rPr>
              <w:t xml:space="preserve">Comment</w:t>
            </w:r>
          </w:p>
        </w:tc>
      </w:tr>
      <w:tr>
        <w:trPr>
          <w:cantSplit/>
        </w:trPr>
        <w:tc>
          <w:tcPr>
            <w:tcW w:w="315" w:type="dxa"/>
          </w:tcPr>
          <w:p>
            <w:pPr>
              <w:pStyle w:val="Compact"/>
              <w:spacing w:before="0" w:after="0" w:line="240" w:lineRule="auto"/>
              <w:jc w:val="left"/>
            </w:pPr>
            <w:r>
              <w:rPr>
                <w:rFonts w:ascii="Arial" w:hAnsi="Arial"/>
                <w:sz w:val="15"/>
              </w:rPr>
              <w:t xml:space="preserve">1</w:t>
            </w:r>
          </w:p>
        </w:tc>
        <w:tc>
          <w:tcPr>
            <w:tcW w:w="2756" w:type="dxa"/>
          </w:tcPr>
          <w:p>
            <w:pPr>
              <w:pStyle w:val="Compact"/>
              <w:spacing w:before="0" w:after="0" w:line="240" w:lineRule="auto"/>
              <w:jc w:val="left"/>
            </w:pPr>
            <w:r>
              <w:rPr>
                <w:rFonts w:ascii="Arial" w:hAnsi="Arial"/>
                <w:sz w:val="15"/>
              </w:rPr>
              <w:t xml:space="preserve">JSC Holding Group ALMEX (owned since Apr-2026 by</w:t>
            </w:r>
            <w:r>
              <w:rPr>
                <w:rFonts w:ascii="Arial" w:hAnsi="Arial"/>
                <w:sz w:val="15"/>
              </w:rPr>
              <w:t xml:space="preserve"> </w:t>
            </w:r>
            <w:r>
              <w:rPr>
                <w:bCs/>
                <w:rFonts w:ascii="Arial" w:hAnsi="Arial"/>
                <w:b/>
                <w:sz w:val="15"/>
              </w:rPr>
              <w:t xml:space="preserve">Almex Holding Ltd</w:t>
            </w:r>
            <w:r>
              <w:rPr>
                <w:rFonts w:ascii="Arial" w:hAnsi="Arial"/>
                <w:sz w:val="15"/>
              </w:rPr>
              <w:t xml:space="preserve">, AIFC; beneficial owners</w:t>
            </w:r>
            <w:r>
              <w:rPr>
                <w:rFonts w:ascii="Arial" w:hAnsi="Arial"/>
                <w:sz w:val="15"/>
              </w:rPr>
              <w:t xml:space="preserve"> </w:t>
            </w:r>
            <w:r>
              <w:rPr>
                <w:bCs/>
                <w:rFonts w:ascii="Arial" w:hAnsi="Arial"/>
                <w:b/>
                <w:sz w:val="15"/>
              </w:rPr>
              <w:t xml:space="preserve">Timur Kulibayev and Dinara Kulibayeva</w:t>
            </w:r>
            <w:r>
              <w:rPr>
                <w:rFonts w:ascii="Arial" w:hAnsi="Arial"/>
                <w:sz w:val="15"/>
              </w:rPr>
              <w:t xml:space="preserve">)</w:t>
            </w:r>
          </w:p>
        </w:tc>
        <w:tc>
          <w:tcPr>
            <w:tcW w:w="1870" w:type="dxa"/>
          </w:tcPr>
          <w:p>
            <w:pPr>
              <w:pStyle w:val="Compact"/>
              <w:spacing w:before="0" w:after="0" w:line="240" w:lineRule="auto"/>
              <w:jc w:val="left"/>
            </w:pPr>
            <w:r>
              <w:rPr>
                <w:rFonts w:ascii="Arial" w:hAnsi="Arial"/>
                <w:sz w:val="15"/>
              </w:rPr>
              <w:t xml:space="preserve">Insider / controlling family</w:t>
            </w:r>
          </w:p>
        </w:tc>
        <w:tc>
          <w:tcPr>
            <w:tcW w:w="2352" w:type="dxa"/>
          </w:tcPr>
          <w:p>
            <w:pPr>
              <w:pStyle w:val="Compact"/>
              <w:spacing w:before="0" w:after="0" w:line="240" w:lineRule="auto"/>
              <w:jc w:val="left"/>
            </w:pPr>
            <w:r>
              <w:rPr>
                <w:bCs/>
                <w:rFonts w:ascii="Arial" w:hAnsi="Arial"/>
                <w:b/>
                <w:sz w:val="15"/>
              </w:rPr>
              <w:t xml:space="preserve">61.99%</w:t>
            </w:r>
            <w:r>
              <w:rPr>
                <w:rFonts w:ascii="Arial" w:hAnsi="Arial"/>
                <w:sz w:val="15"/>
              </w:rPr>
              <w:t xml:space="preserve"> </w:t>
            </w:r>
            <w:r>
              <w:rPr>
                <w:rFonts w:ascii="Arial" w:hAnsi="Arial"/>
                <w:sz w:val="15"/>
              </w:rPr>
              <w:t xml:space="preserve">(1-Apr-2026)</w:t>
            </w:r>
          </w:p>
        </w:tc>
        <w:tc>
          <w:tcPr>
            <w:tcW w:w="2684" w:type="dxa"/>
          </w:tcPr>
          <w:p>
            <w:pPr>
              <w:pStyle w:val="Compact"/>
              <w:spacing w:before="0" w:after="0" w:line="240" w:lineRule="auto"/>
              <w:jc w:val="left"/>
            </w:pPr>
            <w:r>
              <w:rPr>
                <w:rFonts w:ascii="Arial" w:hAnsi="Arial"/>
                <w:sz w:val="15"/>
              </w:rPr>
              <w:t xml:space="preserve">~50% held directly plus part via GDRs; sold 7.6% in Nov-2025; 51% floor stated; lock-up to ~25-Nov-2026</w:t>
            </w:r>
          </w:p>
        </w:tc>
      </w:tr>
      <w:tr>
        <w:trPr>
          <w:cantSplit/>
        </w:trPr>
        <w:tc>
          <w:tcPr>
            <w:tcW w:w="315" w:type="dxa"/>
          </w:tcPr>
          <w:p>
            <w:pPr>
              <w:pStyle w:val="Compact"/>
              <w:spacing w:before="0" w:after="0" w:line="240" w:lineRule="auto"/>
              <w:jc w:val="left"/>
            </w:pPr>
            <w:r>
              <w:rPr>
                <w:rFonts w:ascii="Arial" w:hAnsi="Arial"/>
                <w:sz w:val="15"/>
              </w:rPr>
              <w:t xml:space="preserve">2</w:t>
            </w:r>
          </w:p>
        </w:tc>
        <w:tc>
          <w:tcPr>
            <w:tcW w:w="2756" w:type="dxa"/>
          </w:tcPr>
          <w:p>
            <w:pPr>
              <w:pStyle w:val="Compact"/>
              <w:spacing w:before="0" w:after="0" w:line="240" w:lineRule="auto"/>
              <w:jc w:val="left"/>
            </w:pPr>
            <w:r>
              <w:rPr>
                <w:rFonts w:ascii="Arial" w:hAnsi="Arial"/>
                <w:sz w:val="15"/>
              </w:rPr>
              <w:t xml:space="preserve">The Bank of New York Mellon (GDR depositary / nominee)</w:t>
            </w:r>
          </w:p>
        </w:tc>
        <w:tc>
          <w:tcPr>
            <w:tcW w:w="1870" w:type="dxa"/>
          </w:tcPr>
          <w:p>
            <w:pPr>
              <w:pStyle w:val="Compact"/>
              <w:spacing w:before="0" w:after="0" w:line="240" w:lineRule="auto"/>
              <w:jc w:val="left"/>
            </w:pPr>
            <w:r>
              <w:rPr>
                <w:rFonts w:ascii="Arial" w:hAnsi="Arial"/>
                <w:sz w:val="15"/>
              </w:rPr>
              <w:t xml:space="preserve">Nominee for foreign institutions</w:t>
            </w:r>
          </w:p>
        </w:tc>
        <w:tc>
          <w:tcPr>
            <w:tcW w:w="2352" w:type="dxa"/>
          </w:tcPr>
          <w:p>
            <w:pPr>
              <w:pStyle w:val="Compact"/>
              <w:spacing w:before="0" w:after="0" w:line="240" w:lineRule="auto"/>
              <w:jc w:val="left"/>
            </w:pPr>
            <w:r>
              <w:rPr>
                <w:rFonts w:ascii="Arial" w:hAnsi="Arial"/>
                <w:sz w:val="15"/>
              </w:rPr>
              <w:t xml:space="preserve">~35.1% (incl. part of ALMEX’s)</w:t>
            </w:r>
          </w:p>
        </w:tc>
        <w:tc>
          <w:tcPr>
            <w:tcW w:w="2684" w:type="dxa"/>
          </w:tcPr>
          <w:p>
            <w:pPr>
              <w:pStyle w:val="Compact"/>
              <w:spacing w:before="0" w:after="0" w:line="240" w:lineRule="auto"/>
              <w:jc w:val="left"/>
            </w:pPr>
            <w:r>
              <w:rPr>
                <w:rFonts w:ascii="Arial" w:hAnsi="Arial"/>
                <w:sz w:val="15"/>
              </w:rPr>
              <w:t xml:space="preserve">Underlying: EM/frontier and Central Asia funds; 17.4m GDRs placed with non-Kazakh institutions in Nov-2025</w:t>
            </w:r>
          </w:p>
        </w:tc>
      </w:tr>
      <w:tr>
        <w:trPr>
          <w:cantSplit/>
        </w:trPr>
        <w:tc>
          <w:tcPr>
            <w:tcW w:w="315" w:type="dxa"/>
          </w:tcPr>
          <w:p>
            <w:pPr>
              <w:pStyle w:val="Compact"/>
              <w:spacing w:before="0" w:after="0" w:line="240" w:lineRule="auto"/>
              <w:jc w:val="left"/>
            </w:pPr>
            <w:r>
              <w:rPr>
                <w:rFonts w:ascii="Arial" w:hAnsi="Arial"/>
                <w:sz w:val="15"/>
              </w:rPr>
              <w:t xml:space="preserve">3</w:t>
            </w:r>
          </w:p>
        </w:tc>
        <w:tc>
          <w:tcPr>
            <w:tcW w:w="2756" w:type="dxa"/>
          </w:tcPr>
          <w:p>
            <w:pPr>
              <w:pStyle w:val="Compact"/>
              <w:spacing w:before="0" w:after="0" w:line="240" w:lineRule="auto"/>
              <w:jc w:val="left"/>
            </w:pPr>
            <w:r>
              <w:rPr>
                <w:rFonts w:ascii="Arial" w:hAnsi="Arial"/>
                <w:sz w:val="15"/>
              </w:rPr>
              <w:t xml:space="preserve">Unified Accumulative Pension Fund (UAPF/ENPF)</w:t>
            </w:r>
          </w:p>
        </w:tc>
        <w:tc>
          <w:tcPr>
            <w:tcW w:w="1870" w:type="dxa"/>
          </w:tcPr>
          <w:p>
            <w:pPr>
              <w:pStyle w:val="Compact"/>
              <w:spacing w:before="0" w:after="0" w:line="240" w:lineRule="auto"/>
              <w:jc w:val="left"/>
            </w:pPr>
            <w:r>
              <w:rPr>
                <w:rFonts w:ascii="Arial" w:hAnsi="Arial"/>
                <w:sz w:val="15"/>
              </w:rPr>
              <w:t xml:space="preserve">State pension fund</w:t>
            </w:r>
          </w:p>
        </w:tc>
        <w:tc>
          <w:tcPr>
            <w:tcW w:w="2352" w:type="dxa"/>
          </w:tcPr>
          <w:p>
            <w:pPr>
              <w:pStyle w:val="Compact"/>
              <w:spacing w:before="0" w:after="0" w:line="240" w:lineRule="auto"/>
              <w:jc w:val="left"/>
            </w:pPr>
            <w:r>
              <w:rPr>
                <w:rFonts w:ascii="Arial" w:hAnsi="Arial"/>
                <w:sz w:val="15"/>
              </w:rPr>
              <w:t xml:space="preserve">n/a (6.1% in 2021)</w:t>
            </w:r>
          </w:p>
        </w:tc>
        <w:tc>
          <w:tcPr>
            <w:tcW w:w="2684" w:type="dxa"/>
          </w:tcPr>
          <w:p>
            <w:pPr>
              <w:pStyle w:val="Compact"/>
              <w:spacing w:before="0" w:after="0" w:line="240" w:lineRule="auto"/>
              <w:jc w:val="left"/>
            </w:pPr>
            <w:r>
              <w:rPr>
                <w:rFonts w:ascii="Arial" w:hAnsi="Arial"/>
                <w:sz w:val="15"/>
              </w:rPr>
              <w:t xml:space="preserve">Part of the 2.9%</w:t>
            </w:r>
            <w:r>
              <w:rPr>
                <w:rFonts w:ascii="Arial" w:hAnsi="Arial"/>
                <w:sz w:val="15"/>
              </w:rPr>
              <w:t xml:space="preserve"> </w:t>
            </w:r>
            <w:r>
              <w:rPr>
                <w:rFonts w:ascii="Arial" w:hAnsi="Arial"/>
                <w:sz w:val="15"/>
              </w:rPr>
              <w:t xml:space="preserve">“</w:t>
            </w:r>
            <w:r>
              <w:rPr>
                <w:rFonts w:ascii="Arial" w:hAnsi="Arial"/>
                <w:sz w:val="15"/>
              </w:rPr>
              <w:t xml:space="preserve">other</w:t>
            </w:r>
            <w:r>
              <w:rPr>
                <w:rFonts w:ascii="Arial" w:hAnsi="Arial"/>
                <w:sz w:val="15"/>
              </w:rPr>
              <w:t xml:space="preserve">”</w:t>
            </w:r>
            <w:r>
              <w:rPr>
                <w:rFonts w:ascii="Arial" w:hAnsi="Arial"/>
                <w:sz w:val="15"/>
              </w:rPr>
              <w:t xml:space="preserve"> </w:t>
            </w:r>
            <w:r>
              <w:rPr>
                <w:rFonts w:ascii="Arial" w:hAnsi="Arial"/>
                <w:sz w:val="15"/>
              </w:rPr>
              <w:t xml:space="preserve">now [u]</w:t>
            </w:r>
          </w:p>
        </w:tc>
      </w:tr>
      <w:tr>
        <w:trPr>
          <w:cantSplit/>
        </w:trPr>
        <w:tc>
          <w:tcPr>
            <w:tcW w:w="315" w:type="dxa"/>
          </w:tcPr>
          <w:p>
            <w:pPr>
              <w:pStyle w:val="Compact"/>
              <w:spacing w:before="0" w:after="0" w:line="240" w:lineRule="auto"/>
              <w:jc w:val="left"/>
            </w:pPr>
            <w:r>
              <w:rPr>
                <w:rFonts w:ascii="Arial" w:hAnsi="Arial"/>
                <w:sz w:val="15"/>
              </w:rPr>
              <w:t xml:space="preserve">4</w:t>
            </w:r>
          </w:p>
        </w:tc>
        <w:tc>
          <w:tcPr>
            <w:tcW w:w="2756" w:type="dxa"/>
          </w:tcPr>
          <w:p>
            <w:pPr>
              <w:pStyle w:val="Compact"/>
              <w:spacing w:before="0" w:after="0" w:line="240" w:lineRule="auto"/>
              <w:jc w:val="left"/>
            </w:pPr>
            <w:r>
              <w:rPr>
                <w:rFonts w:ascii="Arial" w:hAnsi="Arial"/>
                <w:sz w:val="15"/>
              </w:rPr>
              <w:t xml:space="preserve">Other domestic holders (KASE/AIX retail, Kazakh institutions)</w:t>
            </w:r>
          </w:p>
        </w:tc>
        <w:tc>
          <w:tcPr>
            <w:tcW w:w="1870" w:type="dxa"/>
          </w:tcPr>
          <w:p>
            <w:pPr>
              <w:pStyle w:val="Compact"/>
              <w:spacing w:before="0" w:after="0" w:line="240" w:lineRule="auto"/>
              <w:jc w:val="left"/>
            </w:pPr>
            <w:r>
              <w:rPr>
                <w:rFonts w:ascii="Arial" w:hAnsi="Arial"/>
                <w:sz w:val="15"/>
              </w:rPr>
              <w:t xml:space="preserve">Retail / institutional</w:t>
            </w:r>
          </w:p>
        </w:tc>
        <w:tc>
          <w:tcPr>
            <w:tcW w:w="2352" w:type="dxa"/>
          </w:tcPr>
          <w:p>
            <w:pPr>
              <w:pStyle w:val="Compact"/>
              <w:spacing w:before="0" w:after="0" w:line="240" w:lineRule="auto"/>
              <w:jc w:val="left"/>
            </w:pPr>
            <w:r>
              <w:rPr>
                <w:rFonts w:ascii="Arial" w:hAnsi="Arial"/>
                <w:sz w:val="15"/>
              </w:rPr>
              <w:t xml:space="preserve">~2.9%</w:t>
            </w:r>
          </w:p>
        </w:tc>
        <w:tc>
          <w:tcPr>
            <w:tcW w:w="2684" w:type="dxa"/>
          </w:tcPr>
          <w:p>
            <w:pPr>
              <w:pStyle w:val="Compact"/>
              <w:spacing w:before="0" w:after="0" w:line="240" w:lineRule="auto"/>
              <w:jc w:val="left"/>
            </w:pPr>
            <w:r>
              <w:rPr>
                <w:rFonts w:ascii="Arial" w:hAnsi="Arial"/>
                <w:sz w:val="15"/>
              </w:rPr>
              <w:t xml:space="preserve">Includes Halyk Finance clients</w:t>
            </w:r>
          </w:p>
        </w:tc>
      </w:tr>
      <w:tr>
        <w:trPr>
          <w:cantSplit/>
        </w:trPr>
        <w:tc>
          <w:tcPr>
            <w:tcW w:w="315" w:type="dxa"/>
          </w:tcPr>
          <w:p>
            <w:pPr>
              <w:pStyle w:val="Compact"/>
              <w:spacing w:before="0" w:after="0" w:line="240" w:lineRule="auto"/>
              <w:jc w:val="left"/>
            </w:pPr>
            <w:r>
              <w:rPr>
                <w:rFonts w:ascii="Arial" w:hAnsi="Arial"/>
                <w:sz w:val="15"/>
              </w:rPr>
              <w:t xml:space="preserve">—</w:t>
            </w:r>
          </w:p>
        </w:tc>
        <w:tc>
          <w:tcPr>
            <w:tcW w:w="2756" w:type="dxa"/>
          </w:tcPr>
          <w:p>
            <w:pPr>
              <w:pStyle w:val="Compact"/>
              <w:spacing w:before="0" w:after="0" w:line="240" w:lineRule="auto"/>
              <w:jc w:val="left"/>
            </w:pPr>
            <w:r>
              <w:rPr>
                <w:rFonts w:ascii="Arial" w:hAnsi="Arial"/>
                <w:sz w:val="15"/>
              </w:rPr>
              <w:t xml:space="preserve">Treasury shares (held by the bank)</w:t>
            </w:r>
          </w:p>
        </w:tc>
        <w:tc>
          <w:tcPr>
            <w:tcW w:w="1870" w:type="dxa"/>
          </w:tcPr>
          <w:p>
            <w:pPr>
              <w:pStyle w:val="Compact"/>
              <w:spacing w:before="0" w:after="0" w:line="240" w:lineRule="auto"/>
              <w:jc w:val="left"/>
            </w:pPr>
            <w:r>
              <w:rPr>
                <w:rFonts w:ascii="Arial" w:hAnsi="Arial"/>
                <w:sz w:val="15"/>
              </w:rPr>
              <w:t xml:space="preserve">Bank</w:t>
            </w:r>
          </w:p>
        </w:tc>
        <w:tc>
          <w:tcPr>
            <w:tcW w:w="2352" w:type="dxa"/>
          </w:tcPr>
          <w:p>
            <w:pPr>
              <w:pStyle w:val="Compact"/>
              <w:spacing w:before="0" w:after="0" w:line="240" w:lineRule="auto"/>
              <w:jc w:val="left"/>
            </w:pPr>
            <w:r>
              <w:rPr>
                <w:rFonts w:ascii="Arial" w:hAnsi="Arial"/>
                <w:sz w:val="15"/>
              </w:rPr>
              <w:t xml:space="preserve">2.54bn (19% of issued; excluded from outstanding)</w:t>
            </w:r>
          </w:p>
        </w:tc>
        <w:tc>
          <w:tcPr>
            <w:tcW w:w="2684" w:type="dxa"/>
          </w:tcPr>
          <w:p>
            <w:pPr>
              <w:pStyle w:val="Compact"/>
              <w:spacing w:before="0" w:after="0" w:line="240" w:lineRule="auto"/>
              <w:jc w:val="left"/>
            </w:pPr>
            <w:r>
              <w:rPr>
                <w:rFonts w:ascii="Arial" w:hAnsi="Arial"/>
                <w:sz w:val="15"/>
              </w:rPr>
              <w:t xml:space="preserve">Never cancelled</w:t>
            </w:r>
          </w:p>
        </w:tc>
      </w:tr>
      <w:tr>
        <w:trPr>
          <w:cantSplit/>
        </w:trPr>
        <w:tc>
          <w:tcPr>
            <w:tcW w:w="315" w:type="dxa"/>
          </w:tcPr>
          <w:p>
            <w:pPr>
              <w:pStyle w:val="Compact"/>
              <w:spacing w:before="0" w:after="0" w:line="240" w:lineRule="auto"/>
              <w:jc w:val="left"/>
            </w:pPr>
            <w:r>
              <w:rPr>
                <w:rFonts w:ascii="Arial" w:hAnsi="Arial"/>
                <w:sz w:val="15"/>
              </w:rPr>
              <w:t xml:space="preserve">—</w:t>
            </w:r>
          </w:p>
        </w:tc>
        <w:tc>
          <w:tcPr>
            <w:tcW w:w="2756" w:type="dxa"/>
          </w:tcPr>
          <w:p>
            <w:pPr>
              <w:pStyle w:val="Compact"/>
              <w:spacing w:before="0" w:after="0" w:line="240" w:lineRule="auto"/>
              <w:jc w:val="left"/>
            </w:pPr>
            <w:r>
              <w:rPr>
                <w:rFonts w:ascii="Arial" w:hAnsi="Arial"/>
                <w:sz w:val="15"/>
              </w:rPr>
              <w:t xml:space="preserve">Named US-filer institutions</w:t>
            </w:r>
          </w:p>
        </w:tc>
        <w:tc>
          <w:tcPr>
            <w:tcW w:w="1870" w:type="dxa"/>
          </w:tcPr>
          <w:p>
            <w:pPr>
              <w:pStyle w:val="Compact"/>
              <w:spacing w:before="0" w:after="0" w:line="240" w:lineRule="auto"/>
              <w:jc w:val="left"/>
            </w:pPr>
            <w:r>
              <w:rPr>
                <w:rFonts w:ascii="Arial" w:hAnsi="Arial"/>
                <w:sz w:val="15"/>
              </w:rPr>
              <w:t xml:space="preserve">Institutional</w:t>
            </w:r>
          </w:p>
        </w:tc>
        <w:tc>
          <w:tcPr>
            <w:tcW w:w="2352" w:type="dxa"/>
          </w:tcPr>
          <w:p>
            <w:pPr>
              <w:pStyle w:val="Compact"/>
              <w:spacing w:before="0" w:after="0" w:line="240" w:lineRule="auto"/>
              <w:jc w:val="left"/>
            </w:pPr>
            <w:r>
              <w:rPr>
                <w:rFonts w:ascii="Arial" w:hAnsi="Arial"/>
                <w:sz w:val="15"/>
              </w:rPr>
              <w:t xml:space="preserve">De minimis (e.g. Mirae Asset ~US$1.7m, 13F 1Q26)</w:t>
            </w:r>
          </w:p>
        </w:tc>
        <w:tc>
          <w:tcPr>
            <w:tcW w:w="2684" w:type="dxa"/>
          </w:tcPr>
          <w:p>
            <w:pPr>
              <w:pStyle w:val="Compact"/>
              <w:spacing w:before="0" w:after="0" w:line="240" w:lineRule="auto"/>
              <w:jc w:val="left"/>
            </w:pPr>
            <w:r>
              <w:rPr>
                <w:rFonts w:ascii="Arial" w:hAnsi="Arial"/>
                <w:sz w:val="15"/>
              </w:rPr>
              <w:t xml:space="preserve">Most holders are non-US EM/frontier managers outside 13F</w:t>
            </w:r>
          </w:p>
        </w:tc>
      </w:tr>
    </w:tbl>
    <w:p>
      <w:pPr>
        <w:numPr>
          <w:ilvl w:val="0"/>
          <w:numId w:val="1089"/>
        </w:numPr>
        <w:pStyle w:val="Compact"/>
      </w:pPr>
      <w:r>
        <w:rPr>
          <w:bCs/>
          <w:b/>
        </w:rPr>
        <w:t xml:space="preserve">We could not name holders 5–10 with sizes from public sources in this session.</w:t>
      </w:r>
      <w:r>
        <w:t xml:space="preserve"> </w:t>
      </w:r>
      <w:r>
        <w:t xml:space="preserve">Based on MSCI Kazakhstan (Halyk ~28% weight) and MSCI Frontier membership, index funds and frontier/Central Asia active managers are the natural holders.</w:t>
      </w:r>
    </w:p>
    <w:p>
      <w:pPr>
        <w:numPr>
          <w:ilvl w:val="0"/>
          <w:numId w:val="1089"/>
        </w:numPr>
        <w:pStyle w:val="Compact"/>
      </w:pPr>
      <w:r>
        <w:t xml:space="preserve">The 2026 annual report’s shareholder section and the KASE quarterly register should be checked.</w:t>
      </w:r>
    </w:p>
    <w:p>
      <w:pPr>
        <w:pStyle w:val="FirstParagraph"/>
      </w:pPr>
      <w:r>
        <w:rPr>
          <w:bCs/>
          <w:b/>
        </w:rPr>
        <w:t xml:space="preserve">Activism.</w:t>
      </w:r>
    </w:p>
    <w:p>
      <w:pPr>
        <w:numPr>
          <w:ilvl w:val="0"/>
          <w:numId w:val="1090"/>
        </w:numPr>
        <w:pStyle w:val="Compact"/>
      </w:pPr>
      <w:r>
        <w:rPr>
          <w:bCs/>
          <w:b/>
        </w:rPr>
        <w:t xml:space="preserve">No activist campaign has been launched against Halyk.</w:t>
      </w:r>
    </w:p>
    <w:p>
      <w:pPr>
        <w:numPr>
          <w:ilvl w:val="1"/>
          <w:numId w:val="1091"/>
        </w:numPr>
        <w:pStyle w:val="Compact"/>
      </w:pPr>
      <w:r>
        <w:t xml:space="preserve">There are no proxy fights, public letters or shareholder proposals on record.</w:t>
      </w:r>
    </w:p>
    <w:p>
      <w:pPr>
        <w:numPr>
          <w:ilvl w:val="1"/>
          <w:numId w:val="1091"/>
        </w:numPr>
        <w:pStyle w:val="Compact"/>
      </w:pPr>
      <w:r>
        <w:t xml:space="preserve">The Kazakhstan Association of Minority Shareholders comments on market moves but has not campaigned.</w:t>
      </w:r>
    </w:p>
    <w:p>
      <w:pPr>
        <w:numPr>
          <w:ilvl w:val="0"/>
          <w:numId w:val="1090"/>
        </w:numPr>
        <w:pStyle w:val="Compact"/>
      </w:pPr>
      <w:r>
        <w:rPr>
          <w:bCs/>
          <w:b/>
        </w:rPr>
        <w:t xml:space="preserve">Why activism is hard:</w:t>
      </w:r>
      <w:r>
        <w:t xml:space="preserve"> </w:t>
      </w:r>
      <w:r>
        <w:t xml:space="preserve">ALMEX controls ~62%, so any ordinary resolution passes on its vote.</w:t>
      </w:r>
    </w:p>
    <w:p>
      <w:pPr>
        <w:numPr>
          <w:ilvl w:val="0"/>
          <w:numId w:val="1090"/>
        </w:numPr>
        <w:pStyle w:val="Compact"/>
      </w:pPr>
      <w:r>
        <w:rPr>
          <w:bCs/>
          <w:b/>
        </w:rPr>
        <w:t xml:space="preserve">What substitutes for activism:</w:t>
      </w:r>
    </w:p>
    <w:p>
      <w:pPr>
        <w:numPr>
          <w:ilvl w:val="1"/>
          <w:numId w:val="1092"/>
        </w:numPr>
        <w:pStyle w:val="Compact"/>
      </w:pPr>
      <w:r>
        <w:t xml:space="preserve">ALMEX itself, whose own need for liquidity drives the payout;</w:t>
      </w:r>
    </w:p>
    <w:p>
      <w:pPr>
        <w:numPr>
          <w:ilvl w:val="1"/>
          <w:numId w:val="1092"/>
        </w:numPr>
        <w:pStyle w:val="Compact"/>
      </w:pPr>
      <w:r>
        <w:t xml:space="preserve">the regulator;</w:t>
      </w:r>
    </w:p>
    <w:p>
      <w:pPr>
        <w:numPr>
          <w:ilvl w:val="1"/>
          <w:numId w:val="1092"/>
        </w:numPr>
        <w:pStyle w:val="Compact"/>
      </w:pPr>
      <w:r>
        <w:t xml:space="preserve">minority pressure through the dividend.</w:t>
      </w:r>
    </w:p>
    <w:p>
      <w:pPr>
        <w:numPr>
          <w:ilvl w:val="0"/>
          <w:numId w:val="1090"/>
        </w:numPr>
        <w:pStyle w:val="Compact"/>
      </w:pPr>
      <w:r>
        <w:rPr>
          <w:bCs/>
          <w:b/>
        </w:rPr>
        <w:t xml:space="preserve">Pressure points for minorities:</w:t>
      </w:r>
    </w:p>
    <w:p>
      <w:pPr>
        <w:numPr>
          <w:ilvl w:val="1"/>
          <w:numId w:val="1093"/>
        </w:numPr>
        <w:pStyle w:val="Compact"/>
      </w:pPr>
      <w:r>
        <w:t xml:space="preserve">the FY21 dividend reversal (2022);</w:t>
      </w:r>
    </w:p>
    <w:p>
      <w:pPr>
        <w:numPr>
          <w:ilvl w:val="1"/>
          <w:numId w:val="1093"/>
        </w:numPr>
        <w:pStyle w:val="Compact"/>
      </w:pPr>
      <w:r>
        <w:t xml:space="preserve">a 1% staff allotment without pre-emptive rights (Dec-2024);</w:t>
      </w:r>
    </w:p>
    <w:p>
      <w:pPr>
        <w:numPr>
          <w:ilvl w:val="1"/>
          <w:numId w:val="1093"/>
        </w:numPr>
        <w:pStyle w:val="Compact"/>
      </w:pPr>
      <w:r>
        <w:t xml:space="preserve">declining board independence;</w:t>
      </w:r>
    </w:p>
    <w:p>
      <w:pPr>
        <w:numPr>
          <w:ilvl w:val="1"/>
          <w:numId w:val="1093"/>
        </w:numPr>
        <w:pStyle w:val="Compact"/>
      </w:pPr>
      <w:r>
        <w:t xml:space="preserve">aggregate-only pay disclosure.</w:t>
      </w:r>
    </w:p>
    <w:p>
      <w:pPr>
        <w:numPr>
          <w:ilvl w:val="0"/>
          <w:numId w:val="1090"/>
        </w:numPr>
        <w:pStyle w:val="Compact"/>
      </w:pPr>
      <w:r>
        <w:rPr>
          <w:bCs/>
          <w:b/>
        </w:rPr>
        <w:t xml:space="preserve">Activist demands that would make sense:</w:t>
      </w:r>
    </w:p>
    <w:p>
      <w:pPr>
        <w:numPr>
          <w:ilvl w:val="1"/>
          <w:numId w:val="1094"/>
        </w:numPr>
        <w:pStyle w:val="Compact"/>
      </w:pPr>
      <w:r>
        <w:t xml:space="preserve">a formal capital-return framework (CET1 target plus a special-dividend trigger);</w:t>
      </w:r>
    </w:p>
    <w:p>
      <w:pPr>
        <w:numPr>
          <w:ilvl w:val="1"/>
          <w:numId w:val="1094"/>
        </w:numPr>
        <w:pStyle w:val="Compact"/>
      </w:pPr>
      <w:r>
        <w:t xml:space="preserve">cancellation of the 2.54bn treasury shares;</w:t>
      </w:r>
    </w:p>
    <w:p>
      <w:pPr>
        <w:numPr>
          <w:ilvl w:val="1"/>
          <w:numId w:val="1094"/>
        </w:numPr>
        <w:pStyle w:val="Compact"/>
      </w:pPr>
      <w:r>
        <w:t xml:space="preserve">per-person pay disclosure and an LTIP tied to ROE and TSR;</w:t>
      </w:r>
    </w:p>
    <w:p>
      <w:pPr>
        <w:numPr>
          <w:ilvl w:val="1"/>
          <w:numId w:val="1094"/>
        </w:numPr>
        <w:pStyle w:val="Compact"/>
      </w:pPr>
      <w:r>
        <w:t xml:space="preserve">a majority-independent board with an independent chair;</w:t>
      </w:r>
    </w:p>
    <w:p>
      <w:pPr>
        <w:numPr>
          <w:ilvl w:val="1"/>
          <w:numId w:val="1094"/>
        </w:numPr>
        <w:pStyle w:val="Compact"/>
      </w:pPr>
      <w:r>
        <w:t xml:space="preserve">full related-party disclosure;</w:t>
      </w:r>
    </w:p>
    <w:p>
      <w:pPr>
        <w:numPr>
          <w:ilvl w:val="1"/>
          <w:numId w:val="1094"/>
        </w:numPr>
        <w:pStyle w:val="Compact"/>
      </w:pPr>
      <w:r>
        <w:t xml:space="preserve">a clear plan for ALMEX’s sell-down to 51% via orderly placements.</w:t>
      </w:r>
    </w:p>
    <w:p>
      <w:pPr>
        <w:pStyle w:val="FirstParagraph"/>
      </w:pPr>
      <w:r>
        <w:rPr>
          <w:bCs/>
          <w:b/>
        </w:rPr>
        <w:t xml:space="preserve">Short interest.</w:t>
      </w:r>
    </w:p>
    <w:p>
      <w:pPr>
        <w:numPr>
          <w:ilvl w:val="0"/>
          <w:numId w:val="1095"/>
        </w:numPr>
        <w:pStyle w:val="Compact"/>
      </w:pPr>
      <w:r>
        <w:t xml:space="preserve">No FCA net short-position disclosures were found. Halyk may sit outside the UK regime because only its depositary receipts trade in London; the underlying shares trade on KASE/AIX.</w:t>
      </w:r>
    </w:p>
    <w:p>
      <w:pPr>
        <w:numPr>
          <w:ilvl w:val="0"/>
          <w:numId w:val="1095"/>
        </w:numPr>
        <w:pStyle w:val="Compact"/>
      </w:pPr>
      <w:r>
        <w:t xml:space="preserve">Securities-lending utilisation was not retrievable. Borrow is likely limited and short interest low.</w:t>
      </w:r>
    </w:p>
    <w:p>
      <w:pPr>
        <w:numPr>
          <w:ilvl w:val="0"/>
          <w:numId w:val="1095"/>
        </w:numPr>
        <w:pStyle w:val="Compact"/>
      </w:pPr>
      <w:r>
        <w:rPr>
          <w:bCs/>
          <w:b/>
        </w:rPr>
        <w:t xml:space="preserve">No short-seller reports have targeted Halyk.</w:t>
      </w:r>
      <w:r>
        <w:t xml:space="preserve"> </w:t>
      </w:r>
      <w:r>
        <w:t xml:space="preserve">Peer Kaspi was targeted by Culper Research (September 2024) over alleged Russia links, which is relevant only as sector sentiment.</w:t>
      </w:r>
    </w:p>
    <w:bookmarkEnd w:id="100"/>
    <w:bookmarkStart w:id="101" w:name="Xdda958b3f7d6851b7d79bad1ad4140a9454b103"/>
    <w:p>
      <w:pPr>
        <w:pStyle w:val="Heading1"/>
      </w:pPr>
      <w:r>
        <w:t xml:space="preserve">Strategic initiatives over the last ten years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877"/>
        <w:gridCol w:w="969"/>
        <w:gridCol w:w="3029"/>
        <w:gridCol w:w="3101"/>
      </w:tblGrid>
      <w:tr>
        <w:trPr>
          <w:tblHeader w:val="true"/>
          <w:cantSplit/>
          <w:tblHeader w:val="true"/>
        </w:trPr>
        <w:tc>
          <w:tcPr>
            <w:tcW w:w="2877" w:type="dxa"/>
            <w:shd w:val="clear" w:color="auto" w:fill="13213F"/>
          </w:tcPr>
          <w:p>
            <w:pPr>
              <w:pStyle w:val="Compact"/>
              <w:spacing w:before="0" w:after="0" w:line="240" w:lineRule="auto"/>
              <w:jc w:val="left"/>
            </w:pPr>
            <w:r>
              <w:rPr>
                <w:rFonts w:ascii="Arial" w:hAnsi="Arial"/>
                <w:b/>
                <w:color w:val="FFFFFF"/>
                <w:sz w:val="15"/>
              </w:rPr>
              <w:t xml:space="preserve">Initiative</w:t>
            </w:r>
          </w:p>
        </w:tc>
        <w:tc>
          <w:tcPr>
            <w:tcW w:w="969" w:type="dxa"/>
            <w:shd w:val="clear" w:color="auto" w:fill="13213F"/>
          </w:tcPr>
          <w:p>
            <w:pPr>
              <w:pStyle w:val="Compact"/>
              <w:spacing w:before="0" w:after="0" w:line="240" w:lineRule="auto"/>
              <w:jc w:val="left"/>
            </w:pPr>
            <w:r>
              <w:rPr>
                <w:rFonts w:ascii="Arial" w:hAnsi="Arial"/>
                <w:b/>
                <w:color w:val="FFFFFF"/>
                <w:sz w:val="15"/>
              </w:rPr>
              <w:t xml:space="preserve">Period</w:t>
            </w:r>
          </w:p>
        </w:tc>
        <w:tc>
          <w:tcPr>
            <w:tcW w:w="3029" w:type="dxa"/>
            <w:shd w:val="clear" w:color="auto" w:fill="13213F"/>
          </w:tcPr>
          <w:p>
            <w:pPr>
              <w:pStyle w:val="Compact"/>
              <w:spacing w:before="0" w:after="0" w:line="240" w:lineRule="auto"/>
              <w:jc w:val="left"/>
            </w:pPr>
            <w:r>
              <w:rPr>
                <w:rFonts w:ascii="Arial" w:hAnsi="Arial"/>
                <w:b/>
                <w:color w:val="FFFFFF"/>
                <w:sz w:val="15"/>
              </w:rPr>
              <w:t xml:space="preserve">Status</w:t>
            </w:r>
          </w:p>
        </w:tc>
        <w:tc>
          <w:tcPr>
            <w:tcW w:w="3101" w:type="dxa"/>
            <w:shd w:val="clear" w:color="auto" w:fill="13213F"/>
          </w:tcPr>
          <w:p>
            <w:pPr>
              <w:pStyle w:val="Compact"/>
              <w:spacing w:before="0" w:after="0" w:line="240" w:lineRule="auto"/>
              <w:jc w:val="left"/>
            </w:pPr>
            <w:r>
              <w:rPr>
                <w:rFonts w:ascii="Arial" w:hAnsi="Arial"/>
                <w:b/>
                <w:color w:val="FFFFFF"/>
                <w:sz w:val="15"/>
              </w:rPr>
              <w:t xml:space="preserve">Assessment</w:t>
            </w:r>
          </w:p>
        </w:tc>
      </w:tr>
      <w:tr>
        <w:trPr>
          <w:cantSplit/>
        </w:trPr>
        <w:tc>
          <w:tcPr>
            <w:tcW w:w="2877" w:type="dxa"/>
          </w:tcPr>
          <w:p>
            <w:pPr>
              <w:pStyle w:val="Compact"/>
              <w:spacing w:before="0" w:after="0" w:line="240" w:lineRule="auto"/>
              <w:jc w:val="left"/>
            </w:pPr>
            <w:r>
              <w:rPr>
                <w:bCs/>
                <w:rFonts w:ascii="Arial" w:hAnsi="Arial"/>
                <w:b/>
                <w:sz w:val="15"/>
              </w:rPr>
              <w:t xml:space="preserve">Kazkommertsbank acquisition and integration</w:t>
            </w:r>
          </w:p>
        </w:tc>
        <w:tc>
          <w:tcPr>
            <w:tcW w:w="969" w:type="dxa"/>
          </w:tcPr>
          <w:p>
            <w:pPr>
              <w:pStyle w:val="Compact"/>
              <w:spacing w:before="0" w:after="0" w:line="240" w:lineRule="auto"/>
              <w:jc w:val="left"/>
            </w:pPr>
            <w:r>
              <w:rPr>
                <w:rFonts w:ascii="Arial" w:hAnsi="Arial"/>
                <w:sz w:val="15"/>
              </w:rPr>
              <w:t xml:space="preserve">2017–18</w:t>
            </w:r>
          </w:p>
        </w:tc>
        <w:tc>
          <w:tcPr>
            <w:tcW w:w="3029" w:type="dxa"/>
          </w:tcPr>
          <w:p>
            <w:pPr>
              <w:pStyle w:val="Compact"/>
              <w:spacing w:before="0" w:after="0" w:line="240" w:lineRule="auto"/>
              <w:jc w:val="left"/>
            </w:pPr>
            <w:r>
              <w:rPr>
                <w:rFonts w:ascii="Arial" w:hAnsi="Arial"/>
                <w:sz w:val="15"/>
              </w:rPr>
              <w:t xml:space="preserve">Completed; legal merger Dec-2018</w:t>
            </w:r>
          </w:p>
        </w:tc>
        <w:tc>
          <w:tcPr>
            <w:tcW w:w="3101" w:type="dxa"/>
          </w:tcPr>
          <w:p>
            <w:pPr>
              <w:pStyle w:val="Compact"/>
              <w:spacing w:before="0" w:after="0" w:line="240" w:lineRule="auto"/>
              <w:jc w:val="left"/>
            </w:pPr>
            <w:r>
              <w:rPr>
                <w:bCs/>
                <w:rFonts w:ascii="Arial" w:hAnsi="Arial"/>
                <w:b/>
                <w:sz w:val="15"/>
              </w:rPr>
              <w:t xml:space="preserve">Success.</w:t>
            </w:r>
            <w:r>
              <w:rPr>
                <w:rFonts w:ascii="Arial" w:hAnsi="Arial"/>
                <w:sz w:val="15"/>
              </w:rPr>
              <w:t xml:space="preserve"> </w:t>
            </w:r>
            <w:r>
              <w:rPr>
                <w:rFonts w:ascii="Arial" w:hAnsi="Arial"/>
                <w:sz w:val="15"/>
              </w:rPr>
              <w:t xml:space="preserve">Created the #1 bank; state cleaned up BTA legacy assets; cost synergies</w:t>
            </w:r>
          </w:p>
        </w:tc>
      </w:tr>
      <w:tr>
        <w:trPr>
          <w:cantSplit/>
        </w:trPr>
        <w:tc>
          <w:tcPr>
            <w:tcW w:w="2877" w:type="dxa"/>
          </w:tcPr>
          <w:p>
            <w:pPr>
              <w:pStyle w:val="Compact"/>
              <w:spacing w:before="0" w:after="0" w:line="240" w:lineRule="auto"/>
              <w:jc w:val="left"/>
            </w:pPr>
            <w:r>
              <w:rPr>
                <w:bCs/>
                <w:rFonts w:ascii="Arial" w:hAnsi="Arial"/>
                <w:b/>
                <w:sz w:val="15"/>
              </w:rPr>
              <w:t xml:space="preserve">Exit from non-core foreign markets</w:t>
            </w:r>
          </w:p>
        </w:tc>
        <w:tc>
          <w:tcPr>
            <w:tcW w:w="969" w:type="dxa"/>
          </w:tcPr>
          <w:p>
            <w:pPr>
              <w:pStyle w:val="Compact"/>
              <w:spacing w:before="0" w:after="0" w:line="240" w:lineRule="auto"/>
              <w:jc w:val="left"/>
            </w:pPr>
            <w:r>
              <w:rPr>
                <w:rFonts w:ascii="Arial" w:hAnsi="Arial"/>
                <w:sz w:val="15"/>
              </w:rPr>
              <w:t xml:space="preserve">2018–24</w:t>
            </w:r>
          </w:p>
        </w:tc>
        <w:tc>
          <w:tcPr>
            <w:tcW w:w="3029" w:type="dxa"/>
          </w:tcPr>
          <w:p>
            <w:pPr>
              <w:pStyle w:val="Compact"/>
              <w:spacing w:before="0" w:after="0" w:line="240" w:lineRule="auto"/>
              <w:jc w:val="left"/>
            </w:pPr>
            <w:r>
              <w:rPr>
                <w:rFonts w:ascii="Arial" w:hAnsi="Arial"/>
                <w:sz w:val="15"/>
              </w:rPr>
              <w:t xml:space="preserve">Altyn 60% to CITIC (2018); Tajikistan and Russia (Dec-22); Kyrgyzstan (Apr-24)</w:t>
            </w:r>
          </w:p>
        </w:tc>
        <w:tc>
          <w:tcPr>
            <w:tcW w:w="3101" w:type="dxa"/>
          </w:tcPr>
          <w:p>
            <w:pPr>
              <w:pStyle w:val="Compact"/>
              <w:spacing w:before="0" w:after="0" w:line="240" w:lineRule="auto"/>
              <w:jc w:val="left"/>
            </w:pPr>
            <w:r>
              <w:rPr>
                <w:bCs/>
                <w:rFonts w:ascii="Arial" w:hAnsi="Arial"/>
                <w:b/>
                <w:sz w:val="15"/>
              </w:rPr>
              <w:t xml:space="preserve">Success.</w:t>
            </w:r>
            <w:r>
              <w:rPr>
                <w:rFonts w:ascii="Arial" w:hAnsi="Arial"/>
                <w:sz w:val="15"/>
              </w:rPr>
              <w:t xml:space="preserve"> </w:t>
            </w:r>
            <w:r>
              <w:rPr>
                <w:rFonts w:ascii="Arial" w:hAnsi="Arial"/>
                <w:sz w:val="15"/>
              </w:rPr>
              <w:t xml:space="preserve">Removed sanctions and governance risk; small proceeds</w:t>
            </w:r>
          </w:p>
        </w:tc>
      </w:tr>
      <w:tr>
        <w:trPr>
          <w:cantSplit/>
        </w:trPr>
        <w:tc>
          <w:tcPr>
            <w:tcW w:w="2877" w:type="dxa"/>
          </w:tcPr>
          <w:p>
            <w:pPr>
              <w:pStyle w:val="Compact"/>
              <w:spacing w:before="0" w:after="0" w:line="240" w:lineRule="auto"/>
              <w:jc w:val="left"/>
            </w:pPr>
            <w:r>
              <w:rPr>
                <w:bCs/>
                <w:rFonts w:ascii="Arial" w:hAnsi="Arial"/>
                <w:b/>
                <w:sz w:val="15"/>
              </w:rPr>
              <w:t xml:space="preserve">Digital ecosystem: Super App (Homebank), Onlinebank, Halyk Market, Halyk Travel</w:t>
            </w:r>
          </w:p>
        </w:tc>
        <w:tc>
          <w:tcPr>
            <w:tcW w:w="969" w:type="dxa"/>
          </w:tcPr>
          <w:p>
            <w:pPr>
              <w:pStyle w:val="Compact"/>
              <w:spacing w:before="0" w:after="0" w:line="240" w:lineRule="auto"/>
              <w:jc w:val="left"/>
            </w:pPr>
            <w:r>
              <w:rPr>
                <w:rFonts w:ascii="Arial" w:hAnsi="Arial"/>
                <w:sz w:val="15"/>
              </w:rPr>
              <w:t xml:space="preserve">2019–</w:t>
            </w:r>
          </w:p>
        </w:tc>
        <w:tc>
          <w:tcPr>
            <w:tcW w:w="3029" w:type="dxa"/>
          </w:tcPr>
          <w:p>
            <w:pPr>
              <w:pStyle w:val="Compact"/>
              <w:spacing w:before="0" w:after="0" w:line="240" w:lineRule="auto"/>
              <w:jc w:val="left"/>
            </w:pPr>
            <w:r>
              <w:rPr>
                <w:rFonts w:ascii="Arial" w:hAnsi="Arial"/>
                <w:sz w:val="15"/>
              </w:rPr>
              <w:t xml:space="preserve">8.6m MAU, 2.8m DAU; 91% of loans digital; Onlinebank ~317k MAU</w:t>
            </w:r>
          </w:p>
        </w:tc>
        <w:tc>
          <w:tcPr>
            <w:tcW w:w="3101" w:type="dxa"/>
          </w:tcPr>
          <w:p>
            <w:pPr>
              <w:pStyle w:val="Compact"/>
              <w:spacing w:before="0" w:after="0" w:line="240" w:lineRule="auto"/>
              <w:jc w:val="left"/>
            </w:pPr>
            <w:r>
              <w:rPr>
                <w:bCs/>
                <w:rFonts w:ascii="Arial" w:hAnsi="Arial"/>
                <w:b/>
                <w:sz w:val="15"/>
              </w:rPr>
              <w:t xml:space="preserve">Partial success.</w:t>
            </w:r>
            <w:r>
              <w:rPr>
                <w:rFonts w:ascii="Arial" w:hAnsi="Arial"/>
                <w:sz w:val="15"/>
              </w:rPr>
              <w:t xml:space="preserve"> </w:t>
            </w:r>
            <w:r>
              <w:rPr>
                <w:rFonts w:ascii="Arial" w:hAnsi="Arial"/>
                <w:sz w:val="15"/>
              </w:rPr>
              <w:t xml:space="preserve">Big cost benefits; still trails Kaspi in engagement and marketplace; Halyk Market sub-scale</w:t>
            </w:r>
          </w:p>
        </w:tc>
      </w:tr>
      <w:tr>
        <w:trPr>
          <w:cantSplit/>
        </w:trPr>
        <w:tc>
          <w:tcPr>
            <w:tcW w:w="2877" w:type="dxa"/>
          </w:tcPr>
          <w:p>
            <w:pPr>
              <w:pStyle w:val="Compact"/>
              <w:spacing w:before="0" w:after="0" w:line="240" w:lineRule="auto"/>
              <w:jc w:val="left"/>
            </w:pPr>
            <w:r>
              <w:rPr>
                <w:bCs/>
                <w:rFonts w:ascii="Arial" w:hAnsi="Arial"/>
                <w:b/>
                <w:sz w:val="15"/>
              </w:rPr>
              <w:t xml:space="preserve">Insurance build-out (Halyk-Life, Halyk Insurance)</w:t>
            </w:r>
          </w:p>
        </w:tc>
        <w:tc>
          <w:tcPr>
            <w:tcW w:w="969" w:type="dxa"/>
          </w:tcPr>
          <w:p>
            <w:pPr>
              <w:pStyle w:val="Compact"/>
              <w:spacing w:before="0" w:after="0" w:line="240" w:lineRule="auto"/>
              <w:jc w:val="left"/>
            </w:pPr>
            <w:r>
              <w:rPr>
                <w:rFonts w:ascii="Arial" w:hAnsi="Arial"/>
                <w:sz w:val="15"/>
              </w:rPr>
              <w:t xml:space="preserve">2017–</w:t>
            </w:r>
          </w:p>
        </w:tc>
        <w:tc>
          <w:tcPr>
            <w:tcW w:w="3029" w:type="dxa"/>
          </w:tcPr>
          <w:p>
            <w:pPr>
              <w:pStyle w:val="Compact"/>
              <w:spacing w:before="0" w:after="0" w:line="240" w:lineRule="auto"/>
              <w:jc w:val="left"/>
            </w:pPr>
            <w:r>
              <w:rPr>
                <w:rFonts w:ascii="Arial" w:hAnsi="Arial"/>
                <w:sz w:val="15"/>
              </w:rPr>
              <w:t xml:space="preserve">Halyk-Life #1 by premiums (2024), #2 by profit (2025); 2Q26 loss</w:t>
            </w:r>
          </w:p>
        </w:tc>
        <w:tc>
          <w:tcPr>
            <w:tcW w:w="3101" w:type="dxa"/>
          </w:tcPr>
          <w:p>
            <w:pPr>
              <w:pStyle w:val="Compact"/>
              <w:spacing w:before="0" w:after="0" w:line="240" w:lineRule="auto"/>
              <w:jc w:val="left"/>
            </w:pPr>
            <w:r>
              <w:rPr>
                <w:bCs/>
                <w:rFonts w:ascii="Arial" w:hAnsi="Arial"/>
                <w:b/>
                <w:sz w:val="15"/>
              </w:rPr>
              <w:t xml:space="preserve">Mixed.</w:t>
            </w:r>
            <w:r>
              <w:rPr>
                <w:rFonts w:ascii="Arial" w:hAnsi="Arial"/>
                <w:sz w:val="15"/>
              </w:rPr>
              <w:t xml:space="preserve"> </w:t>
            </w:r>
            <w:r>
              <w:rPr>
                <w:rFonts w:ascii="Arial" w:hAnsi="Arial"/>
                <w:sz w:val="15"/>
              </w:rPr>
              <w:t xml:space="preserve">Growth then volatility (OSAGO pricing, model change)</w:t>
            </w:r>
          </w:p>
        </w:tc>
      </w:tr>
      <w:tr>
        <w:trPr>
          <w:cantSplit/>
        </w:trPr>
        <w:tc>
          <w:tcPr>
            <w:tcW w:w="2877" w:type="dxa"/>
          </w:tcPr>
          <w:p>
            <w:pPr>
              <w:pStyle w:val="Compact"/>
              <w:spacing w:before="0" w:after="0" w:line="240" w:lineRule="auto"/>
              <w:jc w:val="left"/>
            </w:pPr>
            <w:r>
              <w:rPr>
                <w:bCs/>
                <w:rFonts w:ascii="Arial" w:hAnsi="Arial"/>
                <w:b/>
                <w:sz w:val="15"/>
              </w:rPr>
              <w:t xml:space="preserve">Capital-return policy</w:t>
            </w:r>
          </w:p>
        </w:tc>
        <w:tc>
          <w:tcPr>
            <w:tcW w:w="969" w:type="dxa"/>
          </w:tcPr>
          <w:p>
            <w:pPr>
              <w:pStyle w:val="Compact"/>
              <w:spacing w:before="0" w:after="0" w:line="240" w:lineRule="auto"/>
              <w:jc w:val="left"/>
            </w:pPr>
            <w:r>
              <w:rPr>
                <w:rFonts w:ascii="Arial" w:hAnsi="Arial"/>
                <w:sz w:val="15"/>
              </w:rPr>
              <w:t xml:space="preserve">2017–</w:t>
            </w:r>
          </w:p>
        </w:tc>
        <w:tc>
          <w:tcPr>
            <w:tcW w:w="3029" w:type="dxa"/>
          </w:tcPr>
          <w:p>
            <w:pPr>
              <w:pStyle w:val="Compact"/>
              <w:spacing w:before="0" w:after="0" w:line="240" w:lineRule="auto"/>
              <w:jc w:val="left"/>
            </w:pPr>
            <w:r>
              <w:rPr>
                <w:rFonts w:ascii="Arial" w:hAnsi="Arial"/>
                <w:sz w:val="15"/>
              </w:rPr>
              <w:t xml:space="preserve">From nil dividends (FY15–16) to a 50%+ policy with ~60% paid in two tranches; GDR buybacks since 2024</w:t>
            </w:r>
          </w:p>
        </w:tc>
        <w:tc>
          <w:tcPr>
            <w:tcW w:w="3101" w:type="dxa"/>
          </w:tcPr>
          <w:p>
            <w:pPr>
              <w:pStyle w:val="Compact"/>
              <w:spacing w:before="0" w:after="0" w:line="240" w:lineRule="auto"/>
              <w:jc w:val="left"/>
            </w:pPr>
            <w:r>
              <w:rPr>
                <w:bCs/>
                <w:rFonts w:ascii="Arial" w:hAnsi="Arial"/>
                <w:b/>
                <w:sz w:val="15"/>
              </w:rPr>
              <w:t xml:space="preserve">Success</w:t>
            </w:r>
            <w:r>
              <w:rPr>
                <w:rFonts w:ascii="Arial" w:hAnsi="Arial"/>
                <w:sz w:val="15"/>
              </w:rPr>
              <w:t xml:space="preserve"> </w:t>
            </w:r>
            <w:r>
              <w:rPr>
                <w:rFonts w:ascii="Arial" w:hAnsi="Arial"/>
                <w:sz w:val="15"/>
              </w:rPr>
              <w:t xml:space="preserve">for shareholders</w:t>
            </w:r>
          </w:p>
        </w:tc>
      </w:tr>
      <w:tr>
        <w:trPr>
          <w:cantSplit/>
        </w:trPr>
        <w:tc>
          <w:tcPr>
            <w:tcW w:w="2877" w:type="dxa"/>
          </w:tcPr>
          <w:p>
            <w:pPr>
              <w:pStyle w:val="Compact"/>
              <w:spacing w:before="0" w:after="0" w:line="240" w:lineRule="auto"/>
              <w:jc w:val="left"/>
            </w:pPr>
            <w:r>
              <w:rPr>
                <w:bCs/>
                <w:rFonts w:ascii="Arial" w:hAnsi="Arial"/>
                <w:b/>
                <w:sz w:val="15"/>
              </w:rPr>
              <w:t xml:space="preserve">Retail lending push (BNPL, digital cash loans)</w:t>
            </w:r>
          </w:p>
        </w:tc>
        <w:tc>
          <w:tcPr>
            <w:tcW w:w="969" w:type="dxa"/>
          </w:tcPr>
          <w:p>
            <w:pPr>
              <w:pStyle w:val="Compact"/>
              <w:spacing w:before="0" w:after="0" w:line="240" w:lineRule="auto"/>
              <w:jc w:val="left"/>
            </w:pPr>
            <w:r>
              <w:rPr>
                <w:rFonts w:ascii="Arial" w:hAnsi="Arial"/>
                <w:sz w:val="15"/>
              </w:rPr>
              <w:t xml:space="preserve">2021–25</w:t>
            </w:r>
          </w:p>
        </w:tc>
        <w:tc>
          <w:tcPr>
            <w:tcW w:w="3029" w:type="dxa"/>
          </w:tcPr>
          <w:p>
            <w:pPr>
              <w:pStyle w:val="Compact"/>
              <w:spacing w:before="0" w:after="0" w:line="240" w:lineRule="auto"/>
              <w:jc w:val="left"/>
            </w:pPr>
            <w:r>
              <w:rPr>
                <w:rFonts w:ascii="Arial" w:hAnsi="Arial"/>
                <w:sz w:val="15"/>
              </w:rPr>
              <w:t xml:space="preserve">Reversed in 2026 under ARDFM rules; pivot to auto and mortgage</w:t>
            </w:r>
          </w:p>
        </w:tc>
        <w:tc>
          <w:tcPr>
            <w:tcW w:w="3101" w:type="dxa"/>
          </w:tcPr>
          <w:p>
            <w:pPr>
              <w:pStyle w:val="Compact"/>
              <w:spacing w:before="0" w:after="0" w:line="240" w:lineRule="auto"/>
              <w:jc w:val="left"/>
            </w:pPr>
            <w:r>
              <w:rPr>
                <w:bCs/>
                <w:rFonts w:ascii="Arial" w:hAnsi="Arial"/>
                <w:b/>
                <w:sz w:val="15"/>
              </w:rPr>
              <w:t xml:space="preserve">Partly failed.</w:t>
            </w:r>
            <w:r>
              <w:rPr>
                <w:rFonts w:ascii="Arial" w:hAnsi="Arial"/>
                <w:sz w:val="15"/>
              </w:rPr>
              <w:t xml:space="preserve"> </w:t>
            </w:r>
            <w:r>
              <w:rPr>
                <w:rFonts w:ascii="Arial" w:hAnsi="Arial"/>
                <w:sz w:val="15"/>
              </w:rPr>
              <w:t xml:space="preserve">Retail NPL 90+ 9.2%; fees −20%</w:t>
            </w:r>
          </w:p>
        </w:tc>
      </w:tr>
      <w:tr>
        <w:trPr>
          <w:cantSplit/>
        </w:trPr>
        <w:tc>
          <w:tcPr>
            <w:tcW w:w="2877" w:type="dxa"/>
          </w:tcPr>
          <w:p>
            <w:pPr>
              <w:pStyle w:val="Compact"/>
              <w:spacing w:before="0" w:after="0" w:line="240" w:lineRule="auto"/>
              <w:jc w:val="left"/>
            </w:pPr>
            <w:r>
              <w:rPr>
                <w:bCs/>
                <w:rFonts w:ascii="Arial" w:hAnsi="Arial"/>
                <w:b/>
                <w:sz w:val="15"/>
              </w:rPr>
              <w:t xml:space="preserve">Uzbekistan: Tenge Bank, Click partnership</w:t>
            </w:r>
          </w:p>
        </w:tc>
        <w:tc>
          <w:tcPr>
            <w:tcW w:w="969" w:type="dxa"/>
          </w:tcPr>
          <w:p>
            <w:pPr>
              <w:pStyle w:val="Compact"/>
              <w:spacing w:before="0" w:after="0" w:line="240" w:lineRule="auto"/>
              <w:jc w:val="left"/>
            </w:pPr>
            <w:r>
              <w:rPr>
                <w:rFonts w:ascii="Arial" w:hAnsi="Arial"/>
                <w:sz w:val="15"/>
              </w:rPr>
              <w:t xml:space="preserve">2019–25</w:t>
            </w:r>
          </w:p>
        </w:tc>
        <w:tc>
          <w:tcPr>
            <w:tcW w:w="3029" w:type="dxa"/>
          </w:tcPr>
          <w:p>
            <w:pPr>
              <w:pStyle w:val="Compact"/>
              <w:spacing w:before="0" w:after="0" w:line="240" w:lineRule="auto"/>
              <w:jc w:val="left"/>
            </w:pPr>
            <w:r>
              <w:rPr>
                <w:rFonts w:ascii="Arial" w:hAnsi="Arial"/>
                <w:sz w:val="15"/>
              </w:rPr>
              <w:t xml:space="preserve">Click deal (US$176m for 49%) agreed Jul-25; lapsed Dec-25</w:t>
            </w:r>
          </w:p>
        </w:tc>
        <w:tc>
          <w:tcPr>
            <w:tcW w:w="3101" w:type="dxa"/>
          </w:tcPr>
          <w:p>
            <w:pPr>
              <w:pStyle w:val="Compact"/>
              <w:spacing w:before="0" w:after="0" w:line="240" w:lineRule="auto"/>
              <w:jc w:val="left"/>
            </w:pPr>
            <w:r>
              <w:rPr>
                <w:bCs/>
                <w:rFonts w:ascii="Arial" w:hAnsi="Arial"/>
                <w:b/>
                <w:sz w:val="15"/>
              </w:rPr>
              <w:t xml:space="preserve">Stalled.</w:t>
            </w:r>
            <w:r>
              <w:rPr>
                <w:rFonts w:ascii="Arial" w:hAnsi="Arial"/>
                <w:sz w:val="15"/>
              </w:rPr>
              <w:t xml:space="preserve"> </w:t>
            </w:r>
            <w:r>
              <w:rPr>
                <w:rFonts w:ascii="Arial" w:hAnsi="Arial"/>
                <w:sz w:val="15"/>
              </w:rPr>
              <w:t xml:space="preserve">Optionality remains</w:t>
            </w:r>
          </w:p>
        </w:tc>
      </w:tr>
      <w:tr>
        <w:trPr>
          <w:cantSplit/>
        </w:trPr>
        <w:tc>
          <w:tcPr>
            <w:tcW w:w="2877" w:type="dxa"/>
          </w:tcPr>
          <w:p>
            <w:pPr>
              <w:pStyle w:val="Compact"/>
              <w:spacing w:before="0" w:after="0" w:line="240" w:lineRule="auto"/>
              <w:jc w:val="left"/>
            </w:pPr>
            <w:r>
              <w:rPr>
                <w:bCs/>
                <w:rFonts w:ascii="Arial" w:hAnsi="Arial"/>
                <w:b/>
                <w:sz w:val="15"/>
              </w:rPr>
              <w:t xml:space="preserve">Islamic banking licence</w:t>
            </w:r>
          </w:p>
        </w:tc>
        <w:tc>
          <w:tcPr>
            <w:tcW w:w="969" w:type="dxa"/>
          </w:tcPr>
          <w:p>
            <w:pPr>
              <w:pStyle w:val="Compact"/>
              <w:spacing w:before="0" w:after="0" w:line="240" w:lineRule="auto"/>
              <w:jc w:val="left"/>
            </w:pPr>
            <w:r>
              <w:rPr>
                <w:rFonts w:ascii="Arial" w:hAnsi="Arial"/>
                <w:sz w:val="15"/>
              </w:rPr>
              <w:t xml:space="preserve">Sep-2026</w:t>
            </w:r>
          </w:p>
        </w:tc>
        <w:tc>
          <w:tcPr>
            <w:tcW w:w="3029" w:type="dxa"/>
          </w:tcPr>
          <w:p>
            <w:pPr>
              <w:pStyle w:val="Compact"/>
              <w:spacing w:before="0" w:after="0" w:line="240" w:lineRule="auto"/>
              <w:jc w:val="left"/>
            </w:pPr>
            <w:r>
              <w:rPr>
                <w:rFonts w:ascii="Arial" w:hAnsi="Arial"/>
                <w:sz w:val="15"/>
              </w:rPr>
              <w:t xml:space="preserve">EGM approved application; Sharia council formed</w:t>
            </w:r>
          </w:p>
        </w:tc>
        <w:tc>
          <w:tcPr>
            <w:tcW w:w="3101" w:type="dxa"/>
          </w:tcPr>
          <w:p>
            <w:pPr>
              <w:pStyle w:val="Compact"/>
              <w:spacing w:before="0" w:after="0" w:line="240" w:lineRule="auto"/>
              <w:jc w:val="left"/>
            </w:pPr>
            <w:r>
              <w:rPr>
                <w:bCs/>
                <w:rFonts w:ascii="Arial" w:hAnsi="Arial"/>
                <w:b/>
                <w:sz w:val="15"/>
              </w:rPr>
              <w:t xml:space="preserve">Early.</w:t>
            </w:r>
            <w:r>
              <w:rPr>
                <w:rFonts w:ascii="Arial" w:hAnsi="Arial"/>
                <w:sz w:val="15"/>
              </w:rPr>
              <w:t xml:space="preserve"> </w:t>
            </w:r>
            <w:r>
              <w:rPr>
                <w:rFonts w:ascii="Arial" w:hAnsi="Arial"/>
                <w:sz w:val="15"/>
              </w:rPr>
              <w:t xml:space="preserve">Small, but diversifies deposits and Gulf links</w:t>
            </w:r>
          </w:p>
        </w:tc>
      </w:tr>
      <w:tr>
        <w:trPr>
          <w:cantSplit/>
        </w:trPr>
        <w:tc>
          <w:tcPr>
            <w:tcW w:w="2877" w:type="dxa"/>
          </w:tcPr>
          <w:p>
            <w:pPr>
              <w:pStyle w:val="Compact"/>
              <w:spacing w:before="0" w:after="0" w:line="240" w:lineRule="auto"/>
              <w:jc w:val="left"/>
            </w:pPr>
            <w:r>
              <w:rPr>
                <w:bCs/>
                <w:rFonts w:ascii="Arial" w:hAnsi="Arial"/>
                <w:b/>
                <w:sz w:val="15"/>
              </w:rPr>
              <w:t xml:space="preserve">Green / infrastructure finance</w:t>
            </w:r>
          </w:p>
        </w:tc>
        <w:tc>
          <w:tcPr>
            <w:tcW w:w="969" w:type="dxa"/>
          </w:tcPr>
          <w:p>
            <w:pPr>
              <w:pStyle w:val="Compact"/>
              <w:spacing w:before="0" w:after="0" w:line="240" w:lineRule="auto"/>
              <w:jc w:val="left"/>
            </w:pPr>
            <w:r>
              <w:rPr>
                <w:rFonts w:ascii="Arial" w:hAnsi="Arial"/>
                <w:sz w:val="15"/>
              </w:rPr>
              <w:t xml:space="preserve">2025–26</w:t>
            </w:r>
          </w:p>
        </w:tc>
        <w:tc>
          <w:tcPr>
            <w:tcW w:w="3029" w:type="dxa"/>
          </w:tcPr>
          <w:p>
            <w:pPr>
              <w:pStyle w:val="Compact"/>
              <w:spacing w:before="0" w:after="0" w:line="240" w:lineRule="auto"/>
              <w:jc w:val="left"/>
            </w:pPr>
            <w:r>
              <w:rPr>
                <w:rFonts w:ascii="Arial" w:hAnsi="Arial"/>
                <w:sz w:val="15"/>
              </w:rPr>
              <w:t xml:space="preserve">150MW wind farm with DBK; grid loans</w:t>
            </w:r>
          </w:p>
        </w:tc>
        <w:tc>
          <w:tcPr>
            <w:tcW w:w="3101" w:type="dxa"/>
          </w:tcPr>
          <w:p>
            <w:pPr>
              <w:pStyle w:val="Compact"/>
              <w:spacing w:before="0" w:after="0" w:line="240" w:lineRule="auto"/>
              <w:jc w:val="left"/>
            </w:pPr>
            <w:r>
              <w:rPr>
                <w:bCs/>
                <w:rFonts w:ascii="Arial" w:hAnsi="Arial"/>
                <w:b/>
                <w:sz w:val="15"/>
              </w:rPr>
              <w:t xml:space="preserve">On track.</w:t>
            </w:r>
            <w:r>
              <w:rPr>
                <w:rFonts w:ascii="Arial" w:hAnsi="Arial"/>
                <w:sz w:val="15"/>
              </w:rPr>
              <w:t xml:space="preserve"> </w:t>
            </w:r>
            <w:r>
              <w:rPr>
                <w:rFonts w:ascii="Arial" w:hAnsi="Arial"/>
                <w:sz w:val="15"/>
              </w:rPr>
              <w:t xml:space="preserve">Fits the state capex cycle</w:t>
            </w:r>
          </w:p>
        </w:tc>
      </w:tr>
      <w:tr>
        <w:trPr>
          <w:cantSplit/>
        </w:trPr>
        <w:tc>
          <w:tcPr>
            <w:tcW w:w="2877" w:type="dxa"/>
          </w:tcPr>
          <w:p>
            <w:pPr>
              <w:pStyle w:val="Compact"/>
              <w:spacing w:before="0" w:after="0" w:line="240" w:lineRule="auto"/>
              <w:jc w:val="left"/>
            </w:pPr>
            <w:r>
              <w:rPr>
                <w:bCs/>
                <w:rFonts w:ascii="Arial" w:hAnsi="Arial"/>
                <w:b/>
                <w:sz w:val="15"/>
              </w:rPr>
              <w:t xml:space="preserve">Ownership and governance: ALMEX sell-down; AIFC holding</w:t>
            </w:r>
          </w:p>
        </w:tc>
        <w:tc>
          <w:tcPr>
            <w:tcW w:w="969" w:type="dxa"/>
          </w:tcPr>
          <w:p>
            <w:pPr>
              <w:pStyle w:val="Compact"/>
              <w:spacing w:before="0" w:after="0" w:line="240" w:lineRule="auto"/>
              <w:jc w:val="left"/>
            </w:pPr>
            <w:r>
              <w:rPr>
                <w:rFonts w:ascii="Arial" w:hAnsi="Arial"/>
                <w:sz w:val="15"/>
              </w:rPr>
              <w:t xml:space="preserve">2025–26</w:t>
            </w:r>
          </w:p>
        </w:tc>
        <w:tc>
          <w:tcPr>
            <w:tcW w:w="3029" w:type="dxa"/>
          </w:tcPr>
          <w:p>
            <w:pPr>
              <w:pStyle w:val="Compact"/>
              <w:spacing w:before="0" w:after="0" w:line="240" w:lineRule="auto"/>
              <w:jc w:val="left"/>
            </w:pPr>
            <w:r>
              <w:rPr>
                <w:rFonts w:ascii="Arial" w:hAnsi="Arial"/>
                <w:sz w:val="15"/>
              </w:rPr>
              <w:t xml:space="preserve">7.6% sold Nov-25; Almex Holding Ltd (AIFC) became ALMEX’s sole shareholder Apr-26</w:t>
            </w:r>
          </w:p>
        </w:tc>
        <w:tc>
          <w:tcPr>
            <w:tcW w:w="3101" w:type="dxa"/>
          </w:tcPr>
          <w:p>
            <w:pPr>
              <w:pStyle w:val="Compact"/>
              <w:spacing w:before="0" w:after="0" w:line="240" w:lineRule="auto"/>
              <w:jc w:val="left"/>
            </w:pPr>
            <w:r>
              <w:rPr>
                <w:bCs/>
                <w:rFonts w:ascii="Arial" w:hAnsi="Arial"/>
                <w:b/>
                <w:sz w:val="15"/>
              </w:rPr>
              <w:t xml:space="preserve">In progress.</w:t>
            </w:r>
            <w:r>
              <w:rPr>
                <w:rFonts w:ascii="Arial" w:hAnsi="Arial"/>
                <w:sz w:val="15"/>
              </w:rPr>
              <w:t xml:space="preserve"> </w:t>
            </w:r>
            <w:r>
              <w:rPr>
                <w:rFonts w:ascii="Arial" w:hAnsi="Arial"/>
                <w:sz w:val="15"/>
              </w:rPr>
              <w:t xml:space="preserve">More free float; the AIFC move’s rationale is unclear (estate planning? exit flexibility?)</w:t>
            </w:r>
          </w:p>
        </w:tc>
      </w:tr>
    </w:tbl>
    <w:bookmarkEnd w:id="101"/>
    <w:bookmarkStart w:id="102" w:name="stakes-in-other-companies"/>
    <w:p>
      <w:pPr>
        <w:pStyle w:val="Heading1"/>
      </w:pPr>
      <w:r>
        <w:t xml:space="preserve">Stakes in other companies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390"/>
        <w:gridCol w:w="1171"/>
        <w:gridCol w:w="1606"/>
        <w:gridCol w:w="2245"/>
        <w:gridCol w:w="2564"/>
      </w:tblGrid>
      <w:tr>
        <w:trPr>
          <w:tblHeader w:val="true"/>
          <w:cantSplit/>
          <w:tblHeader w:val="true"/>
        </w:trPr>
        <w:tc>
          <w:tcPr>
            <w:tcW w:w="2390" w:type="dxa"/>
            <w:shd w:val="clear" w:color="auto" w:fill="13213F"/>
          </w:tcPr>
          <w:p>
            <w:pPr>
              <w:pStyle w:val="Compact"/>
              <w:spacing w:before="0" w:after="0" w:line="240" w:lineRule="auto"/>
              <w:jc w:val="left"/>
            </w:pPr>
            <w:r>
              <w:rPr>
                <w:rFonts w:ascii="Arial" w:hAnsi="Arial"/>
                <w:b/>
                <w:color w:val="FFFFFF"/>
                <w:sz w:val="15"/>
              </w:rPr>
              <w:t xml:space="preserve">Entity</w:t>
            </w:r>
          </w:p>
        </w:tc>
        <w:tc>
          <w:tcPr>
            <w:tcW w:w="1171" w:type="dxa"/>
            <w:shd w:val="clear" w:color="auto" w:fill="13213F"/>
          </w:tcPr>
          <w:p>
            <w:pPr>
              <w:pStyle w:val="Compact"/>
              <w:spacing w:before="0" w:after="0" w:line="240" w:lineRule="auto"/>
              <w:jc w:val="left"/>
            </w:pPr>
            <w:r>
              <w:rPr>
                <w:rFonts w:ascii="Arial" w:hAnsi="Arial"/>
                <w:b/>
                <w:color w:val="FFFFFF"/>
                <w:sz w:val="15"/>
              </w:rPr>
              <w:t xml:space="preserve">Country</w:t>
            </w:r>
          </w:p>
        </w:tc>
        <w:tc>
          <w:tcPr>
            <w:tcW w:w="1606" w:type="dxa"/>
            <w:shd w:val="clear" w:color="auto" w:fill="13213F"/>
          </w:tcPr>
          <w:p>
            <w:pPr>
              <w:pStyle w:val="Compact"/>
              <w:spacing w:before="0" w:after="0" w:line="240" w:lineRule="auto"/>
              <w:jc w:val="left"/>
            </w:pPr>
            <w:r>
              <w:rPr>
                <w:rFonts w:ascii="Arial" w:hAnsi="Arial"/>
                <w:b/>
                <w:color w:val="FFFFFF"/>
                <w:sz w:val="15"/>
              </w:rPr>
              <w:t xml:space="preserve">Halyk stake</w:t>
            </w:r>
          </w:p>
        </w:tc>
        <w:tc>
          <w:tcPr>
            <w:tcW w:w="2245" w:type="dxa"/>
            <w:shd w:val="clear" w:color="auto" w:fill="13213F"/>
          </w:tcPr>
          <w:p>
            <w:pPr>
              <w:pStyle w:val="Compact"/>
              <w:spacing w:before="0" w:after="0" w:line="240" w:lineRule="auto"/>
              <w:jc w:val="left"/>
            </w:pPr>
            <w:r>
              <w:rPr>
                <w:rFonts w:ascii="Arial" w:hAnsi="Arial"/>
                <w:b/>
                <w:color w:val="FFFFFF"/>
                <w:sz w:val="15"/>
              </w:rPr>
              <w:t xml:space="preserve">Strategic relevance</w:t>
            </w:r>
          </w:p>
        </w:tc>
        <w:tc>
          <w:tcPr>
            <w:tcW w:w="2564" w:type="dxa"/>
            <w:shd w:val="clear" w:color="auto" w:fill="13213F"/>
          </w:tcPr>
          <w:p>
            <w:pPr>
              <w:pStyle w:val="Compact"/>
              <w:spacing w:before="0" w:after="0" w:line="240" w:lineRule="auto"/>
              <w:jc w:val="left"/>
            </w:pPr>
            <w:r>
              <w:rPr>
                <w:rFonts w:ascii="Arial" w:hAnsi="Arial"/>
                <w:b/>
                <w:color w:val="FFFFFF"/>
                <w:sz w:val="15"/>
              </w:rPr>
              <w:t xml:space="preserve">Financial relevance</w:t>
            </w:r>
          </w:p>
        </w:tc>
      </w:tr>
      <w:tr>
        <w:trPr>
          <w:cantSplit/>
        </w:trPr>
        <w:tc>
          <w:tcPr>
            <w:tcW w:w="2390" w:type="dxa"/>
          </w:tcPr>
          <w:p>
            <w:pPr>
              <w:pStyle w:val="Compact"/>
              <w:spacing w:before="0" w:after="0" w:line="240" w:lineRule="auto"/>
              <w:jc w:val="left"/>
            </w:pPr>
            <w:r>
              <w:rPr>
                <w:rFonts w:ascii="Arial" w:hAnsi="Arial"/>
                <w:sz w:val="15"/>
              </w:rPr>
              <w:t xml:space="preserve">Altyn Bank (ex-HSBC Kazakhstan)</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~40% (associate); China CITIC 50.1%, Shuangwei 9.9%</w:t>
            </w:r>
          </w:p>
        </w:tc>
        <w:tc>
          <w:tcPr>
            <w:tcW w:w="2245" w:type="dxa"/>
          </w:tcPr>
          <w:p>
            <w:pPr>
              <w:pStyle w:val="Compact"/>
              <w:spacing w:before="0" w:after="0" w:line="240" w:lineRule="auto"/>
              <w:jc w:val="left"/>
            </w:pPr>
            <w:r>
              <w:rPr>
                <w:rFonts w:ascii="Arial" w:hAnsi="Arial"/>
                <w:sz w:val="15"/>
              </w:rPr>
              <w:t xml:space="preserve">Belt-and-Road and China trade-finance link; Halyk’s CEO sits on its board</w:t>
            </w:r>
          </w:p>
        </w:tc>
        <w:tc>
          <w:tcPr>
            <w:tcW w:w="2564" w:type="dxa"/>
          </w:tcPr>
          <w:p>
            <w:pPr>
              <w:pStyle w:val="Compact"/>
              <w:spacing w:before="0" w:after="0" w:line="240" w:lineRule="auto"/>
              <w:jc w:val="left"/>
            </w:pPr>
            <w:r>
              <w:rPr>
                <w:rFonts w:ascii="Arial" w:hAnsi="Arial"/>
                <w:sz w:val="15"/>
              </w:rPr>
              <w:t xml:space="preserve">Small: assets ~US$1.2bn (2017); equity-accounted income immaterial (&lt;1% of NI) [e]</w:t>
            </w:r>
          </w:p>
        </w:tc>
      </w:tr>
      <w:tr>
        <w:trPr>
          <w:cantSplit/>
        </w:trPr>
        <w:tc>
          <w:tcPr>
            <w:tcW w:w="2390" w:type="dxa"/>
          </w:tcPr>
          <w:p>
            <w:pPr>
              <w:pStyle w:val="Compact"/>
              <w:spacing w:before="0" w:after="0" w:line="240" w:lineRule="auto"/>
              <w:jc w:val="left"/>
            </w:pPr>
            <w:r>
              <w:rPr>
                <w:rFonts w:ascii="Arial" w:hAnsi="Arial"/>
                <w:sz w:val="15"/>
              </w:rPr>
              <w:t xml:space="preserve">Halyk-Life</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100% [u]</w:t>
            </w:r>
          </w:p>
        </w:tc>
        <w:tc>
          <w:tcPr>
            <w:tcW w:w="2245" w:type="dxa"/>
          </w:tcPr>
          <w:p>
            <w:pPr>
              <w:pStyle w:val="Compact"/>
              <w:spacing w:before="0" w:after="0" w:line="240" w:lineRule="auto"/>
              <w:jc w:val="left"/>
            </w:pPr>
            <w:r>
              <w:rPr>
                <w:rFonts w:ascii="Arial" w:hAnsi="Arial"/>
                <w:sz w:val="15"/>
              </w:rPr>
              <w:t xml:space="preserve">Bancassurance; annuities; credit life</w:t>
            </w:r>
          </w:p>
        </w:tc>
        <w:tc>
          <w:tcPr>
            <w:tcW w:w="2564" w:type="dxa"/>
          </w:tcPr>
          <w:p>
            <w:pPr>
              <w:pStyle w:val="Compact"/>
              <w:spacing w:before="0" w:after="0" w:line="240" w:lineRule="auto"/>
              <w:jc w:val="left"/>
            </w:pPr>
            <w:r>
              <w:rPr>
                <w:rFonts w:ascii="Arial" w:hAnsi="Arial"/>
                <w:sz w:val="15"/>
              </w:rPr>
              <w:t xml:space="preserve">Main contributor to net insurance income (KZT63bn in 2025)</w:t>
            </w:r>
          </w:p>
        </w:tc>
      </w:tr>
      <w:tr>
        <w:trPr>
          <w:cantSplit/>
        </w:trPr>
        <w:tc>
          <w:tcPr>
            <w:tcW w:w="2390" w:type="dxa"/>
          </w:tcPr>
          <w:p>
            <w:pPr>
              <w:pStyle w:val="Compact"/>
              <w:spacing w:before="0" w:after="0" w:line="240" w:lineRule="auto"/>
              <w:jc w:val="left"/>
            </w:pPr>
            <w:r>
              <w:rPr>
                <w:rFonts w:ascii="Arial" w:hAnsi="Arial"/>
                <w:sz w:val="15"/>
              </w:rPr>
              <w:t xml:space="preserve">Halyk Insurance Company</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100% [u]</w:t>
            </w:r>
          </w:p>
        </w:tc>
        <w:tc>
          <w:tcPr>
            <w:tcW w:w="2245" w:type="dxa"/>
          </w:tcPr>
          <w:p>
            <w:pPr>
              <w:pStyle w:val="Compact"/>
              <w:spacing w:before="0" w:after="0" w:line="240" w:lineRule="auto"/>
              <w:jc w:val="left"/>
            </w:pPr>
            <w:r>
              <w:rPr>
                <w:rFonts w:ascii="Arial" w:hAnsi="Arial"/>
                <w:sz w:val="15"/>
              </w:rPr>
              <w:t xml:space="preserve">Non-life, OSAGO, corporate</w:t>
            </w:r>
          </w:p>
        </w:tc>
        <w:tc>
          <w:tcPr>
            <w:tcW w:w="2564" w:type="dxa"/>
          </w:tcPr>
          <w:p>
            <w:pPr>
              <w:pStyle w:val="Compact"/>
              <w:spacing w:before="0" w:after="0" w:line="240" w:lineRule="auto"/>
              <w:jc w:val="left"/>
            </w:pPr>
            <w:r>
              <w:rPr>
                <w:rFonts w:ascii="Arial" w:hAnsi="Arial"/>
                <w:sz w:val="15"/>
              </w:rPr>
              <w:t xml:space="preserve">Loss in 2Q26</w:t>
            </w:r>
          </w:p>
        </w:tc>
      </w:tr>
      <w:tr>
        <w:trPr>
          <w:cantSplit/>
        </w:trPr>
        <w:tc>
          <w:tcPr>
            <w:tcW w:w="2390" w:type="dxa"/>
          </w:tcPr>
          <w:p>
            <w:pPr>
              <w:pStyle w:val="Compact"/>
              <w:spacing w:before="0" w:after="0" w:line="240" w:lineRule="auto"/>
              <w:jc w:val="left"/>
            </w:pPr>
            <w:r>
              <w:rPr>
                <w:rFonts w:ascii="Arial" w:hAnsi="Arial"/>
                <w:sz w:val="15"/>
              </w:rPr>
              <w:t xml:space="preserve">Halyk Finance; Halyk Global Markets (AIFC)</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100% [u]</w:t>
            </w:r>
          </w:p>
        </w:tc>
        <w:tc>
          <w:tcPr>
            <w:tcW w:w="2245" w:type="dxa"/>
          </w:tcPr>
          <w:p>
            <w:pPr>
              <w:pStyle w:val="Compact"/>
              <w:spacing w:before="0" w:after="0" w:line="240" w:lineRule="auto"/>
              <w:jc w:val="left"/>
            </w:pPr>
            <w:r>
              <w:rPr>
                <w:rFonts w:ascii="Arial" w:hAnsi="Arial"/>
                <w:sz w:val="15"/>
              </w:rPr>
              <w:t xml:space="preserve">Brokerage, ECM/DCM, asset management; ran the domestic leg of the 2025 SPO</w:t>
            </w:r>
          </w:p>
        </w:tc>
        <w:tc>
          <w:tcPr>
            <w:tcW w:w="2564" w:type="dxa"/>
          </w:tcPr>
          <w:p>
            <w:pPr>
              <w:pStyle w:val="Compact"/>
              <w:spacing w:before="0" w:after="0" w:line="240" w:lineRule="auto"/>
              <w:jc w:val="left"/>
            </w:pPr>
            <w:r>
              <w:rPr>
                <w:rFonts w:ascii="Arial" w:hAnsi="Arial"/>
                <w:sz w:val="15"/>
              </w:rPr>
              <w:t xml:space="preserve">Small</w:t>
            </w:r>
          </w:p>
        </w:tc>
      </w:tr>
      <w:tr>
        <w:trPr>
          <w:cantSplit/>
        </w:trPr>
        <w:tc>
          <w:tcPr>
            <w:tcW w:w="2390" w:type="dxa"/>
          </w:tcPr>
          <w:p>
            <w:pPr>
              <w:pStyle w:val="Compact"/>
              <w:spacing w:before="0" w:after="0" w:line="240" w:lineRule="auto"/>
              <w:jc w:val="left"/>
            </w:pPr>
            <w:r>
              <w:rPr>
                <w:rFonts w:ascii="Arial" w:hAnsi="Arial"/>
                <w:sz w:val="15"/>
              </w:rPr>
              <w:t xml:space="preserve">Halyk Leasing</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100% [u]</w:t>
            </w:r>
          </w:p>
        </w:tc>
        <w:tc>
          <w:tcPr>
            <w:tcW w:w="2245" w:type="dxa"/>
          </w:tcPr>
          <w:p>
            <w:pPr>
              <w:pStyle w:val="Compact"/>
              <w:spacing w:before="0" w:after="0" w:line="240" w:lineRule="auto"/>
              <w:jc w:val="left"/>
            </w:pPr>
            <w:r>
              <w:rPr>
                <w:rFonts w:ascii="Arial" w:hAnsi="Arial"/>
                <w:sz w:val="15"/>
              </w:rPr>
              <w:t xml:space="preserve">Equipment and auto leasing</w:t>
            </w:r>
          </w:p>
        </w:tc>
        <w:tc>
          <w:tcPr>
            <w:tcW w:w="2564" w:type="dxa"/>
          </w:tcPr>
          <w:p>
            <w:pPr>
              <w:pStyle w:val="Compact"/>
              <w:spacing w:before="0" w:after="0" w:line="240" w:lineRule="auto"/>
              <w:jc w:val="left"/>
            </w:pPr>
            <w:r>
              <w:rPr>
                <w:rFonts w:ascii="Arial" w:hAnsi="Arial"/>
                <w:sz w:val="15"/>
              </w:rPr>
              <w:t xml:space="preserve">Small</w:t>
            </w:r>
          </w:p>
        </w:tc>
      </w:tr>
      <w:tr>
        <w:trPr>
          <w:cantSplit/>
        </w:trPr>
        <w:tc>
          <w:tcPr>
            <w:tcW w:w="2390" w:type="dxa"/>
          </w:tcPr>
          <w:p>
            <w:pPr>
              <w:pStyle w:val="Compact"/>
              <w:spacing w:before="0" w:after="0" w:line="240" w:lineRule="auto"/>
              <w:jc w:val="left"/>
            </w:pPr>
            <w:r>
              <w:rPr>
                <w:rFonts w:ascii="Arial" w:hAnsi="Arial"/>
                <w:sz w:val="15"/>
              </w:rPr>
              <w:t xml:space="preserve">Halyk Bank Georgia</w:t>
            </w:r>
          </w:p>
        </w:tc>
        <w:tc>
          <w:tcPr>
            <w:tcW w:w="1171" w:type="dxa"/>
          </w:tcPr>
          <w:p>
            <w:pPr>
              <w:pStyle w:val="Compact"/>
              <w:spacing w:before="0" w:after="0" w:line="240" w:lineRule="auto"/>
              <w:jc w:val="left"/>
            </w:pPr>
            <w:r>
              <w:rPr>
                <w:rFonts w:ascii="Arial" w:hAnsi="Arial"/>
                <w:sz w:val="15"/>
              </w:rPr>
              <w:t xml:space="preserve">Georgia</w:t>
            </w:r>
          </w:p>
        </w:tc>
        <w:tc>
          <w:tcPr>
            <w:tcW w:w="1606" w:type="dxa"/>
          </w:tcPr>
          <w:p>
            <w:pPr>
              <w:pStyle w:val="Compact"/>
              <w:spacing w:before="0" w:after="0" w:line="240" w:lineRule="auto"/>
              <w:jc w:val="left"/>
            </w:pPr>
            <w:r>
              <w:rPr>
                <w:rFonts w:ascii="Arial" w:hAnsi="Arial"/>
                <w:sz w:val="15"/>
              </w:rPr>
              <w:t xml:space="preserve">100%</w:t>
            </w:r>
          </w:p>
        </w:tc>
        <w:tc>
          <w:tcPr>
            <w:tcW w:w="2245" w:type="dxa"/>
          </w:tcPr>
          <w:p>
            <w:pPr>
              <w:pStyle w:val="Compact"/>
              <w:spacing w:before="0" w:after="0" w:line="240" w:lineRule="auto"/>
              <w:jc w:val="left"/>
            </w:pPr>
            <w:r>
              <w:rPr>
                <w:rFonts w:ascii="Arial" w:hAnsi="Arial"/>
                <w:sz w:val="15"/>
              </w:rPr>
              <w:t xml:space="preserve">Small foreign presence</w:t>
            </w:r>
          </w:p>
        </w:tc>
        <w:tc>
          <w:tcPr>
            <w:tcW w:w="2564" w:type="dxa"/>
          </w:tcPr>
          <w:p>
            <w:pPr>
              <w:pStyle w:val="Compact"/>
              <w:spacing w:before="0" w:after="0" w:line="240" w:lineRule="auto"/>
              <w:jc w:val="left"/>
            </w:pPr>
            <w:r>
              <w:rPr>
                <w:rFonts w:ascii="Arial" w:hAnsi="Arial"/>
                <w:sz w:val="15"/>
              </w:rPr>
              <w:t xml:space="preserve">&lt;1% of NI [e]</w:t>
            </w:r>
          </w:p>
        </w:tc>
      </w:tr>
      <w:tr>
        <w:trPr>
          <w:cantSplit/>
        </w:trPr>
        <w:tc>
          <w:tcPr>
            <w:tcW w:w="2390" w:type="dxa"/>
          </w:tcPr>
          <w:p>
            <w:pPr>
              <w:pStyle w:val="Compact"/>
              <w:spacing w:before="0" w:after="0" w:line="240" w:lineRule="auto"/>
              <w:jc w:val="left"/>
            </w:pPr>
            <w:r>
              <w:rPr>
                <w:rFonts w:ascii="Arial" w:hAnsi="Arial"/>
                <w:sz w:val="15"/>
              </w:rPr>
              <w:t xml:space="preserve">Tenge Bank</w:t>
            </w:r>
          </w:p>
        </w:tc>
        <w:tc>
          <w:tcPr>
            <w:tcW w:w="1171" w:type="dxa"/>
          </w:tcPr>
          <w:p>
            <w:pPr>
              <w:pStyle w:val="Compact"/>
              <w:spacing w:before="0" w:after="0" w:line="240" w:lineRule="auto"/>
              <w:jc w:val="left"/>
            </w:pPr>
            <w:r>
              <w:rPr>
                <w:rFonts w:ascii="Arial" w:hAnsi="Arial"/>
                <w:sz w:val="15"/>
              </w:rPr>
              <w:t xml:space="preserve">Uzbekistan</w:t>
            </w:r>
          </w:p>
        </w:tc>
        <w:tc>
          <w:tcPr>
            <w:tcW w:w="1606" w:type="dxa"/>
          </w:tcPr>
          <w:p>
            <w:pPr>
              <w:pStyle w:val="Compact"/>
              <w:spacing w:before="0" w:after="0" w:line="240" w:lineRule="auto"/>
              <w:jc w:val="left"/>
            </w:pPr>
            <w:r>
              <w:rPr>
                <w:rFonts w:ascii="Arial" w:hAnsi="Arial"/>
                <w:sz w:val="15"/>
              </w:rPr>
              <w:t xml:space="preserve">100% (49% sale lapsed)</w:t>
            </w:r>
          </w:p>
        </w:tc>
        <w:tc>
          <w:tcPr>
            <w:tcW w:w="2245" w:type="dxa"/>
          </w:tcPr>
          <w:p>
            <w:pPr>
              <w:pStyle w:val="Compact"/>
              <w:spacing w:before="0" w:after="0" w:line="240" w:lineRule="auto"/>
              <w:jc w:val="left"/>
            </w:pPr>
            <w:r>
              <w:rPr>
                <w:rFonts w:ascii="Arial" w:hAnsi="Arial"/>
                <w:sz w:val="15"/>
              </w:rPr>
              <w:t xml:space="preserve">Platform for Uzbekistan</w:t>
            </w:r>
          </w:p>
        </w:tc>
        <w:tc>
          <w:tcPr>
            <w:tcW w:w="2564" w:type="dxa"/>
          </w:tcPr>
          <w:p>
            <w:pPr>
              <w:pStyle w:val="Compact"/>
              <w:spacing w:before="0" w:after="0" w:line="240" w:lineRule="auto"/>
              <w:jc w:val="left"/>
            </w:pPr>
            <w:r>
              <w:rPr>
                <w:rFonts w:ascii="Arial" w:hAnsi="Arial"/>
                <w:sz w:val="15"/>
              </w:rPr>
              <w:t xml:space="preserve">2023 NI ~KZT5.7bn; assets ~UZS8.1trn (2024)</w:t>
            </w:r>
          </w:p>
        </w:tc>
      </w:tr>
      <w:tr>
        <w:trPr>
          <w:cantSplit/>
        </w:trPr>
        <w:tc>
          <w:tcPr>
            <w:tcW w:w="2390" w:type="dxa"/>
          </w:tcPr>
          <w:p>
            <w:pPr>
              <w:pStyle w:val="Compact"/>
              <w:spacing w:before="0" w:after="0" w:line="240" w:lineRule="auto"/>
              <w:jc w:val="left"/>
            </w:pPr>
            <w:r>
              <w:rPr>
                <w:rFonts w:ascii="Arial" w:hAnsi="Arial"/>
                <w:sz w:val="15"/>
              </w:rPr>
              <w:t xml:space="preserve">Click (proposed)</w:t>
            </w:r>
          </w:p>
        </w:tc>
        <w:tc>
          <w:tcPr>
            <w:tcW w:w="1171" w:type="dxa"/>
          </w:tcPr>
          <w:p>
            <w:pPr>
              <w:pStyle w:val="Compact"/>
              <w:spacing w:before="0" w:after="0" w:line="240" w:lineRule="auto"/>
              <w:jc w:val="left"/>
            </w:pPr>
            <w:r>
              <w:rPr>
                <w:rFonts w:ascii="Arial" w:hAnsi="Arial"/>
                <w:sz w:val="15"/>
              </w:rPr>
              <w:t xml:space="preserve">Uzbekistan</w:t>
            </w:r>
          </w:p>
        </w:tc>
        <w:tc>
          <w:tcPr>
            <w:tcW w:w="1606" w:type="dxa"/>
          </w:tcPr>
          <w:p>
            <w:pPr>
              <w:pStyle w:val="Compact"/>
              <w:spacing w:before="0" w:after="0" w:line="240" w:lineRule="auto"/>
              <w:jc w:val="left"/>
            </w:pPr>
            <w:r>
              <w:rPr>
                <w:rFonts w:ascii="Arial" w:hAnsi="Arial"/>
                <w:sz w:val="15"/>
              </w:rPr>
              <w:t xml:space="preserve">0% (49% deal lapsed)</w:t>
            </w:r>
          </w:p>
        </w:tc>
        <w:tc>
          <w:tcPr>
            <w:tcW w:w="2245" w:type="dxa"/>
          </w:tcPr>
          <w:p>
            <w:pPr>
              <w:pStyle w:val="Compact"/>
              <w:spacing w:before="0" w:after="0" w:line="240" w:lineRule="auto"/>
              <w:jc w:val="left"/>
            </w:pPr>
            <w:r>
              <w:rPr>
                <w:rFonts w:ascii="Arial" w:hAnsi="Arial"/>
                <w:sz w:val="15"/>
              </w:rPr>
              <w:t xml:space="preserve">Payments super-app with 20m+ users</w:t>
            </w:r>
          </w:p>
        </w:tc>
        <w:tc>
          <w:tcPr>
            <w:tcW w:w="2564" w:type="dxa"/>
          </w:tcPr>
          <w:p>
            <w:pPr>
              <w:pStyle w:val="Compact"/>
              <w:spacing w:before="0" w:after="0" w:line="240" w:lineRule="auto"/>
              <w:jc w:val="left"/>
            </w:pPr>
            <w:r>
              <w:rPr>
                <w:rFonts w:ascii="Arial" w:hAnsi="Arial"/>
                <w:sz w:val="15"/>
              </w:rPr>
              <w:t xml:space="preserve">US$176m if revived</w:t>
            </w:r>
          </w:p>
        </w:tc>
      </w:tr>
      <w:tr>
        <w:trPr>
          <w:cantSplit/>
        </w:trPr>
        <w:tc>
          <w:tcPr>
            <w:tcW w:w="2390" w:type="dxa"/>
          </w:tcPr>
          <w:p>
            <w:pPr>
              <w:pStyle w:val="Compact"/>
              <w:spacing w:before="0" w:after="0" w:line="240" w:lineRule="auto"/>
              <w:jc w:val="left"/>
            </w:pPr>
            <w:r>
              <w:rPr>
                <w:rFonts w:ascii="Arial" w:hAnsi="Arial"/>
                <w:sz w:val="15"/>
              </w:rPr>
              <w:t xml:space="preserve">Stressed-asset SPVs (legacy Kazkom/BTA assets)</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100% [u]</w:t>
            </w:r>
          </w:p>
        </w:tc>
        <w:tc>
          <w:tcPr>
            <w:tcW w:w="2245" w:type="dxa"/>
          </w:tcPr>
          <w:p>
            <w:pPr>
              <w:pStyle w:val="Compact"/>
              <w:spacing w:before="0" w:after="0" w:line="240" w:lineRule="auto"/>
              <w:jc w:val="left"/>
            </w:pPr>
            <w:r>
              <w:rPr>
                <w:rFonts w:ascii="Arial" w:hAnsi="Arial"/>
                <w:sz w:val="15"/>
              </w:rPr>
              <w:t xml:space="preserve">Workout vehicles</w:t>
            </w:r>
          </w:p>
        </w:tc>
        <w:tc>
          <w:tcPr>
            <w:tcW w:w="2564" w:type="dxa"/>
          </w:tcPr>
          <w:p>
            <w:pPr>
              <w:pStyle w:val="Compact"/>
              <w:spacing w:before="0" w:after="0" w:line="240" w:lineRule="auto"/>
              <w:jc w:val="left"/>
            </w:pPr>
            <w:r>
              <w:rPr>
                <w:rFonts w:ascii="Arial" w:hAnsi="Arial"/>
                <w:sz w:val="15"/>
              </w:rPr>
              <w:t xml:space="preserve">One-off gains (1Q25)</w:t>
            </w:r>
          </w:p>
        </w:tc>
      </w:tr>
      <w:tr>
        <w:trPr>
          <w:cantSplit/>
        </w:trPr>
        <w:tc>
          <w:tcPr>
            <w:tcW w:w="2390" w:type="dxa"/>
          </w:tcPr>
          <w:p>
            <w:pPr>
              <w:pStyle w:val="Compact"/>
              <w:spacing w:before="0" w:after="0" w:line="240" w:lineRule="auto"/>
              <w:jc w:val="left"/>
            </w:pPr>
            <w:r>
              <w:rPr>
                <w:rFonts w:ascii="Arial" w:hAnsi="Arial"/>
                <w:sz w:val="15"/>
              </w:rPr>
              <w:t xml:space="preserve">Market infrastructure stakes (KASE, First Credit Bureau)</w:t>
            </w:r>
          </w:p>
        </w:tc>
        <w:tc>
          <w:tcPr>
            <w:tcW w:w="1171" w:type="dxa"/>
          </w:tcPr>
          <w:p>
            <w:pPr>
              <w:pStyle w:val="Compact"/>
              <w:spacing w:before="0" w:after="0" w:line="240" w:lineRule="auto"/>
              <w:jc w:val="left"/>
            </w:pPr>
            <w:r>
              <w:rPr>
                <w:rFonts w:ascii="Arial" w:hAnsi="Arial"/>
                <w:sz w:val="15"/>
              </w:rPr>
              <w:t xml:space="preserve">Kazakhstan</w:t>
            </w:r>
          </w:p>
        </w:tc>
        <w:tc>
          <w:tcPr>
            <w:tcW w:w="1606" w:type="dxa"/>
          </w:tcPr>
          <w:p>
            <w:pPr>
              <w:pStyle w:val="Compact"/>
              <w:spacing w:before="0" w:after="0" w:line="240" w:lineRule="auto"/>
              <w:jc w:val="left"/>
            </w:pPr>
            <w:r>
              <w:rPr>
                <w:rFonts w:ascii="Arial" w:hAnsi="Arial"/>
                <w:sz w:val="15"/>
              </w:rPr>
              <w:t xml:space="preserve">Minority [u]</w:t>
            </w:r>
          </w:p>
        </w:tc>
        <w:tc>
          <w:tcPr>
            <w:tcW w:w="2245" w:type="dxa"/>
          </w:tcPr>
          <w:p>
            <w:pPr>
              <w:pStyle w:val="Compact"/>
              <w:spacing w:before="0" w:after="0" w:line="240" w:lineRule="auto"/>
              <w:jc w:val="left"/>
            </w:pPr>
            <w:r>
              <w:rPr>
                <w:rFonts w:ascii="Arial" w:hAnsi="Arial"/>
                <w:sz w:val="15"/>
              </w:rPr>
              <w:t xml:space="preserve">Ecosystem</w:t>
            </w:r>
          </w:p>
        </w:tc>
        <w:tc>
          <w:tcPr>
            <w:tcW w:w="2564" w:type="dxa"/>
          </w:tcPr>
          <w:p>
            <w:pPr>
              <w:pStyle w:val="Compact"/>
              <w:spacing w:before="0" w:after="0" w:line="240" w:lineRule="auto"/>
              <w:jc w:val="left"/>
            </w:pPr>
            <w:r>
              <w:rPr>
                <w:rFonts w:ascii="Arial" w:hAnsi="Arial"/>
                <w:sz w:val="15"/>
              </w:rPr>
              <w:t xml:space="preserve">Immaterial</w:t>
            </w:r>
          </w:p>
        </w:tc>
      </w:tr>
    </w:tbl>
    <w:p>
      <w:pPr>
        <w:pStyle w:val="BodyText"/>
      </w:pPr>
      <w:r>
        <w:t xml:space="preserve">Halyk’s value is almost entirely the Kazakh parent bank. Unlike our holdco-discount cases, there is</w:t>
      </w:r>
      <w:r>
        <w:t xml:space="preserve"> </w:t>
      </w:r>
      <w:r>
        <w:rPr>
          <w:bCs/>
          <w:b/>
        </w:rPr>
        <w:t xml:space="preserve">no hidden listed stake</w:t>
      </w:r>
      <w:r>
        <w:t xml:space="preserve"> </w:t>
      </w:r>
      <w:r>
        <w:t xml:space="preserve">to unlock here.</w:t>
      </w:r>
    </w:p>
    <w:bookmarkEnd w:id="102"/>
    <w:bookmarkStart w:id="106" w:name="X4543227266d9a8fca41b47a85f4240d4e94cf7a"/>
    <w:p>
      <w:pPr>
        <w:pStyle w:val="Heading1"/>
      </w:pPr>
      <w:r>
        <w:t xml:space="preserve">Capital returns: dividends, buybacks and treasury shares (last five years)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815"/>
        <w:gridCol w:w="710"/>
        <w:gridCol w:w="1521"/>
        <w:gridCol w:w="954"/>
        <w:gridCol w:w="599"/>
        <w:gridCol w:w="671"/>
        <w:gridCol w:w="2069"/>
        <w:gridCol w:w="1460"/>
        <w:gridCol w:w="1175"/>
      </w:tblGrid>
      <w:tr>
        <w:trPr>
          <w:tblHeader w:val="true"/>
          <w:cantSplit/>
          <w:tblHeader w:val="true"/>
        </w:trPr>
        <w:tc>
          <w:tcPr>
            <w:tcW w:w="815" w:type="dxa"/>
            <w:shd w:val="clear" w:color="auto" w:fill="13213F"/>
          </w:tcPr>
          <w:p>
            <w:pPr>
              <w:pStyle w:val="Compact"/>
              <w:spacing w:before="0" w:after="0" w:line="240" w:lineRule="auto"/>
              <w:jc w:val="left"/>
            </w:pPr>
            <w:r>
              <w:rPr>
                <w:rFonts w:ascii="Arial" w:hAnsi="Arial"/>
                <w:b/>
                <w:color w:val="FFFFFF"/>
                <w:sz w:val="15"/>
              </w:rPr>
              <w:t xml:space="preserve">Calendar year paid</w:t>
            </w:r>
          </w:p>
        </w:tc>
        <w:tc>
          <w:tcPr>
            <w:tcW w:w="710" w:type="dxa"/>
            <w:shd w:val="clear" w:color="auto" w:fill="13213F"/>
          </w:tcPr>
          <w:p>
            <w:pPr>
              <w:pStyle w:val="Compact"/>
              <w:spacing w:before="0" w:after="0" w:line="240" w:lineRule="auto"/>
              <w:jc w:val="left"/>
            </w:pPr>
            <w:r>
              <w:rPr>
                <w:rFonts w:ascii="Arial" w:hAnsi="Arial"/>
                <w:b/>
                <w:color w:val="FFFFFF"/>
                <w:sz w:val="15"/>
              </w:rPr>
              <w:t xml:space="preserve">For fiscal year</w:t>
            </w:r>
          </w:p>
        </w:tc>
        <w:tc>
          <w:tcPr>
            <w:tcW w:w="1521" w:type="dxa"/>
            <w:shd w:val="clear" w:color="auto" w:fill="13213F"/>
          </w:tcPr>
          <w:p>
            <w:pPr>
              <w:pStyle w:val="Compact"/>
              <w:spacing w:before="0" w:after="0" w:line="240" w:lineRule="auto"/>
              <w:jc w:val="left"/>
            </w:pPr>
            <w:r>
              <w:rPr>
                <w:rFonts w:ascii="Arial" w:hAnsi="Arial"/>
                <w:b/>
                <w:color w:val="FFFFFF"/>
                <w:sz w:val="15"/>
              </w:rPr>
              <w:t xml:space="preserve">DPS (KZT)</w:t>
            </w:r>
          </w:p>
        </w:tc>
        <w:tc>
          <w:tcPr>
            <w:tcW w:w="954" w:type="dxa"/>
            <w:shd w:val="clear" w:color="auto" w:fill="13213F"/>
          </w:tcPr>
          <w:p>
            <w:pPr>
              <w:pStyle w:val="Compact"/>
              <w:spacing w:before="0" w:after="0" w:line="240" w:lineRule="auto"/>
              <w:jc w:val="left"/>
            </w:pPr>
            <w:r>
              <w:rPr>
                <w:rFonts w:ascii="Arial" w:hAnsi="Arial"/>
                <w:b/>
                <w:color w:val="FFFFFF"/>
                <w:sz w:val="15"/>
              </w:rPr>
              <w:t xml:space="preserve">Per GDR (US$, approx.)</w:t>
            </w:r>
          </w:p>
        </w:tc>
        <w:tc>
          <w:tcPr>
            <w:tcW w:w="599" w:type="dxa"/>
            <w:shd w:val="clear" w:color="auto" w:fill="13213F"/>
          </w:tcPr>
          <w:p>
            <w:pPr>
              <w:pStyle w:val="Compact"/>
              <w:spacing w:before="0" w:after="0" w:line="240" w:lineRule="auto"/>
              <w:jc w:val="left"/>
            </w:pPr>
            <w:r>
              <w:rPr>
                <w:rFonts w:ascii="Arial" w:hAnsi="Arial"/>
                <w:b/>
                <w:color w:val="FFFFFF"/>
                <w:sz w:val="15"/>
              </w:rPr>
              <w:t xml:space="preserve">Total (KZT bn)</w:t>
            </w:r>
          </w:p>
        </w:tc>
        <w:tc>
          <w:tcPr>
            <w:tcW w:w="671" w:type="dxa"/>
            <w:shd w:val="clear" w:color="auto" w:fill="13213F"/>
          </w:tcPr>
          <w:p>
            <w:pPr>
              <w:pStyle w:val="Compact"/>
              <w:spacing w:before="0" w:after="0" w:line="240" w:lineRule="auto"/>
              <w:jc w:val="left"/>
            </w:pPr>
            <w:r>
              <w:rPr>
                <w:rFonts w:ascii="Arial" w:hAnsi="Arial"/>
                <w:b/>
                <w:color w:val="FFFFFF"/>
                <w:sz w:val="15"/>
              </w:rPr>
              <w:t xml:space="preserve">Payout</w:t>
            </w:r>
          </w:p>
        </w:tc>
        <w:tc>
          <w:tcPr>
            <w:tcW w:w="2069" w:type="dxa"/>
            <w:shd w:val="clear" w:color="auto" w:fill="13213F"/>
          </w:tcPr>
          <w:p>
            <w:pPr>
              <w:pStyle w:val="Compact"/>
              <w:spacing w:before="0" w:after="0" w:line="240" w:lineRule="auto"/>
              <w:jc w:val="left"/>
            </w:pPr>
            <w:r>
              <w:rPr>
                <w:rFonts w:ascii="Arial" w:hAnsi="Arial"/>
                <w:b/>
                <w:color w:val="FFFFFF"/>
                <w:sz w:val="15"/>
              </w:rPr>
              <w:t xml:space="preserve">Buybacks</w:t>
            </w:r>
          </w:p>
        </w:tc>
        <w:tc>
          <w:tcPr>
            <w:tcW w:w="1460" w:type="dxa"/>
            <w:shd w:val="clear" w:color="auto" w:fill="13213F"/>
          </w:tcPr>
          <w:p>
            <w:pPr>
              <w:pStyle w:val="Compact"/>
              <w:spacing w:before="0" w:after="0" w:line="240" w:lineRule="auto"/>
              <w:jc w:val="left"/>
            </w:pPr>
            <w:r>
              <w:rPr>
                <w:rFonts w:ascii="Arial" w:hAnsi="Arial"/>
                <w:b/>
                <w:color w:val="FFFFFF"/>
                <w:sz w:val="15"/>
              </w:rPr>
              <w:t xml:space="preserve">Treasury shares (period-end)</w:t>
            </w:r>
          </w:p>
        </w:tc>
        <w:tc>
          <w:tcPr>
            <w:tcW w:w="1175" w:type="dxa"/>
            <w:shd w:val="clear" w:color="auto" w:fill="13213F"/>
          </w:tcPr>
          <w:p>
            <w:pPr>
              <w:pStyle w:val="Compact"/>
              <w:spacing w:before="0" w:after="0" w:line="240" w:lineRule="auto"/>
              <w:jc w:val="left"/>
            </w:pPr>
            <w:r>
              <w:rPr>
                <w:rFonts w:ascii="Arial" w:hAnsi="Arial"/>
                <w:b/>
                <w:color w:val="FFFFFF"/>
                <w:sz w:val="15"/>
              </w:rPr>
              <w:t xml:space="preserve">Cancellations</w:t>
            </w:r>
          </w:p>
        </w:tc>
      </w:tr>
      <w:tr>
        <w:trPr>
          <w:cantSplit/>
        </w:trPr>
        <w:tc>
          <w:tcPr>
            <w:tcW w:w="815" w:type="dxa"/>
          </w:tcPr>
          <w:p>
            <w:pPr>
              <w:pStyle w:val="Compact"/>
              <w:spacing w:before="0" w:after="0" w:line="240" w:lineRule="auto"/>
              <w:jc w:val="left"/>
            </w:pPr>
            <w:r>
              <w:rPr>
                <w:rFonts w:ascii="Arial" w:hAnsi="Arial"/>
                <w:sz w:val="15"/>
              </w:rPr>
              <w:t xml:space="preserve">2021</w:t>
            </w:r>
          </w:p>
        </w:tc>
        <w:tc>
          <w:tcPr>
            <w:tcW w:w="710" w:type="dxa"/>
          </w:tcPr>
          <w:p>
            <w:pPr>
              <w:pStyle w:val="Compact"/>
              <w:spacing w:before="0" w:after="0" w:line="240" w:lineRule="auto"/>
              <w:jc w:val="left"/>
            </w:pPr>
            <w:r>
              <w:rPr>
                <w:rFonts w:ascii="Arial" w:hAnsi="Arial"/>
                <w:sz w:val="15"/>
              </w:rPr>
              <w:t xml:space="preserve">FY2020</w:t>
            </w:r>
          </w:p>
        </w:tc>
        <w:tc>
          <w:tcPr>
            <w:tcW w:w="1521" w:type="dxa"/>
          </w:tcPr>
          <w:p>
            <w:pPr>
              <w:pStyle w:val="Compact"/>
              <w:spacing w:before="0" w:after="0" w:line="240" w:lineRule="auto"/>
              <w:jc w:val="left"/>
            </w:pPr>
            <w:r>
              <w:rPr>
                <w:rFonts w:ascii="Arial" w:hAnsi="Arial"/>
                <w:sz w:val="15"/>
              </w:rPr>
              <w:t xml:space="preserve">18.00</w:t>
            </w:r>
          </w:p>
        </w:tc>
        <w:tc>
          <w:tcPr>
            <w:tcW w:w="954" w:type="dxa"/>
          </w:tcPr>
          <w:p>
            <w:pPr>
              <w:pStyle w:val="Compact"/>
              <w:spacing w:before="0" w:after="0" w:line="240" w:lineRule="auto"/>
              <w:jc w:val="left"/>
            </w:pPr>
            <w:r>
              <w:rPr>
                <w:rFonts w:ascii="Arial" w:hAnsi="Arial"/>
                <w:sz w:val="15"/>
              </w:rPr>
              <w:t xml:space="preserve">~1.7</w:t>
            </w:r>
          </w:p>
        </w:tc>
        <w:tc>
          <w:tcPr>
            <w:tcW w:w="599" w:type="dxa"/>
          </w:tcPr>
          <w:p>
            <w:pPr>
              <w:pStyle w:val="Compact"/>
              <w:spacing w:before="0" w:after="0" w:line="240" w:lineRule="auto"/>
              <w:jc w:val="left"/>
            </w:pPr>
            <w:r>
              <w:rPr>
                <w:rFonts w:ascii="Arial" w:hAnsi="Arial"/>
                <w:sz w:val="15"/>
              </w:rPr>
              <w:t xml:space="preserve">~210 [e]</w:t>
            </w:r>
          </w:p>
        </w:tc>
        <w:tc>
          <w:tcPr>
            <w:tcW w:w="671" w:type="dxa"/>
          </w:tcPr>
          <w:p>
            <w:pPr>
              <w:pStyle w:val="Compact"/>
              <w:spacing w:before="0" w:after="0" w:line="240" w:lineRule="auto"/>
              <w:jc w:val="left"/>
            </w:pPr>
            <w:r>
              <w:rPr>
                <w:rFonts w:ascii="Arial" w:hAnsi="Arial"/>
                <w:sz w:val="15"/>
              </w:rPr>
              <w:t xml:space="preserve">~60% [e]</w:t>
            </w:r>
          </w:p>
        </w:tc>
        <w:tc>
          <w:tcPr>
            <w:tcW w:w="2069" w:type="dxa"/>
          </w:tcPr>
          <w:p>
            <w:pPr>
              <w:pStyle w:val="Compact"/>
              <w:spacing w:before="0" w:after="0" w:line="240" w:lineRule="auto"/>
              <w:jc w:val="left"/>
            </w:pPr>
            <w:r>
              <w:rPr>
                <w:rFonts w:ascii="Arial" w:hAnsi="Arial"/>
                <w:sz w:val="15"/>
              </w:rPr>
              <w:t xml:space="preserve">None found</w:t>
            </w:r>
          </w:p>
        </w:tc>
        <w:tc>
          <w:tcPr>
            <w:tcW w:w="1460" w:type="dxa"/>
          </w:tcPr>
          <w:p>
            <w:pPr>
              <w:pStyle w:val="Compact"/>
              <w:spacing w:before="0" w:after="0" w:line="240" w:lineRule="auto"/>
              <w:jc w:val="left"/>
            </w:pPr>
            <w:r>
              <w:rPr>
                <w:rFonts w:ascii="Arial" w:hAnsi="Arial"/>
                <w:sz w:val="15"/>
              </w:rPr>
              <w:t xml:space="preserve">~1.76bn [d] (end-2020)</w:t>
            </w:r>
          </w:p>
        </w:tc>
        <w:tc>
          <w:tcPr>
            <w:tcW w:w="1175" w:type="dxa"/>
          </w:tcPr>
          <w:p>
            <w:pPr>
              <w:pStyle w:val="Compact"/>
              <w:spacing w:before="0" w:after="0" w:line="240" w:lineRule="auto"/>
              <w:jc w:val="left"/>
            </w:pPr>
            <w:r>
              <w:rPr>
                <w:rFonts w:ascii="Arial" w:hAnsi="Arial"/>
                <w:sz w:val="15"/>
              </w:rPr>
              <w:t xml:space="preserve">None</w:t>
            </w:r>
          </w:p>
        </w:tc>
      </w:tr>
      <w:tr>
        <w:trPr>
          <w:cantSplit/>
        </w:trPr>
        <w:tc>
          <w:tcPr>
            <w:tcW w:w="815" w:type="dxa"/>
          </w:tcPr>
          <w:p>
            <w:pPr>
              <w:pStyle w:val="Compact"/>
              <w:spacing w:before="0" w:after="0" w:line="240" w:lineRule="auto"/>
              <w:jc w:val="left"/>
            </w:pPr>
            <w:r>
              <w:rPr>
                <w:rFonts w:ascii="Arial" w:hAnsi="Arial"/>
                <w:sz w:val="15"/>
              </w:rPr>
              <w:t xml:space="preserve">2022</w:t>
            </w:r>
          </w:p>
        </w:tc>
        <w:tc>
          <w:tcPr>
            <w:tcW w:w="710" w:type="dxa"/>
          </w:tcPr>
          <w:p>
            <w:pPr>
              <w:pStyle w:val="Compact"/>
              <w:spacing w:before="0" w:after="0" w:line="240" w:lineRule="auto"/>
              <w:jc w:val="left"/>
            </w:pPr>
            <w:r>
              <w:rPr>
                <w:rFonts w:ascii="Arial" w:hAnsi="Arial"/>
                <w:sz w:val="15"/>
              </w:rPr>
              <w:t xml:space="preserve">FY2021</w:t>
            </w:r>
          </w:p>
        </w:tc>
        <w:tc>
          <w:tcPr>
            <w:tcW w:w="1521" w:type="dxa"/>
          </w:tcPr>
          <w:p>
            <w:pPr>
              <w:pStyle w:val="Compact"/>
              <w:spacing w:before="0" w:after="0" w:line="240" w:lineRule="auto"/>
              <w:jc w:val="left"/>
            </w:pPr>
            <w:r>
              <w:rPr>
                <w:rFonts w:ascii="Arial" w:hAnsi="Arial"/>
                <w:sz w:val="15"/>
              </w:rPr>
              <w:t xml:space="preserve">12.71 (Oct-22, after the AGM first proposed nil)</w:t>
            </w:r>
          </w:p>
        </w:tc>
        <w:tc>
          <w:tcPr>
            <w:tcW w:w="954" w:type="dxa"/>
          </w:tcPr>
          <w:p>
            <w:pPr>
              <w:pStyle w:val="Compact"/>
              <w:spacing w:before="0" w:after="0" w:line="240" w:lineRule="auto"/>
              <w:jc w:val="left"/>
            </w:pPr>
            <w:r>
              <w:rPr>
                <w:rFonts w:ascii="Arial" w:hAnsi="Arial"/>
                <w:sz w:val="15"/>
              </w:rPr>
              <w:t xml:space="preserve">~1.1</w:t>
            </w:r>
          </w:p>
        </w:tc>
        <w:tc>
          <w:tcPr>
            <w:tcW w:w="599" w:type="dxa"/>
          </w:tcPr>
          <w:p>
            <w:pPr>
              <w:pStyle w:val="Compact"/>
              <w:spacing w:before="0" w:after="0" w:line="240" w:lineRule="auto"/>
              <w:jc w:val="left"/>
            </w:pPr>
            <w:r>
              <w:rPr>
                <w:rFonts w:ascii="Arial" w:hAnsi="Arial"/>
                <w:sz w:val="15"/>
              </w:rPr>
              <w:t xml:space="preserve">138</w:t>
            </w:r>
          </w:p>
        </w:tc>
        <w:tc>
          <w:tcPr>
            <w:tcW w:w="671" w:type="dxa"/>
          </w:tcPr>
          <w:p>
            <w:pPr>
              <w:pStyle w:val="Compact"/>
              <w:spacing w:before="0" w:after="0" w:line="240" w:lineRule="auto"/>
              <w:jc w:val="left"/>
            </w:pPr>
            <w:r>
              <w:rPr>
                <w:rFonts w:ascii="Arial" w:hAnsi="Arial"/>
                <w:sz w:val="15"/>
              </w:rPr>
              <w:t xml:space="preserve">30%</w:t>
            </w:r>
          </w:p>
        </w:tc>
        <w:tc>
          <w:tcPr>
            <w:tcW w:w="2069" w:type="dxa"/>
          </w:tcPr>
          <w:p>
            <w:pPr>
              <w:pStyle w:val="Compact"/>
              <w:spacing w:before="0" w:after="0" w:line="240" w:lineRule="auto"/>
              <w:jc w:val="left"/>
            </w:pPr>
            <w:r>
              <w:rPr>
                <w:rFonts w:ascii="Arial" w:hAnsi="Arial"/>
                <w:sz w:val="15"/>
              </w:rPr>
              <w:t xml:space="preserve">None found</w:t>
            </w:r>
          </w:p>
        </w:tc>
        <w:tc>
          <w:tcPr>
            <w:tcW w:w="1460" w:type="dxa"/>
          </w:tcPr>
          <w:p>
            <w:pPr>
              <w:pStyle w:val="Compact"/>
              <w:spacing w:before="0" w:after="0" w:line="240" w:lineRule="auto"/>
              <w:jc w:val="left"/>
            </w:pPr>
            <w:r>
              <w:rPr>
                <w:rFonts w:ascii="Arial" w:hAnsi="Arial"/>
                <w:sz w:val="15"/>
              </w:rPr>
              <w:t xml:space="preserve">Rising (buybacks of ~0.8bn shares between 2020 and 2022 [d])</w:t>
            </w:r>
          </w:p>
        </w:tc>
        <w:tc>
          <w:tcPr>
            <w:tcW w:w="1175" w:type="dxa"/>
          </w:tcPr>
          <w:p>
            <w:pPr>
              <w:pStyle w:val="Compact"/>
              <w:spacing w:before="0" w:after="0" w:line="240" w:lineRule="auto"/>
              <w:jc w:val="left"/>
            </w:pPr>
            <w:r>
              <w:rPr>
                <w:rFonts w:ascii="Arial" w:hAnsi="Arial"/>
                <w:sz w:val="15"/>
              </w:rPr>
              <w:t xml:space="preserve">None</w:t>
            </w:r>
          </w:p>
        </w:tc>
      </w:tr>
      <w:tr>
        <w:trPr>
          <w:cantSplit/>
        </w:trPr>
        <w:tc>
          <w:tcPr>
            <w:tcW w:w="815" w:type="dxa"/>
          </w:tcPr>
          <w:p>
            <w:pPr>
              <w:pStyle w:val="Compact"/>
              <w:spacing w:before="0" w:after="0" w:line="240" w:lineRule="auto"/>
              <w:jc w:val="left"/>
            </w:pPr>
            <w:r>
              <w:rPr>
                <w:rFonts w:ascii="Arial" w:hAnsi="Arial"/>
                <w:sz w:val="15"/>
              </w:rPr>
              <w:t xml:space="preserve">2023</w:t>
            </w:r>
          </w:p>
        </w:tc>
        <w:tc>
          <w:tcPr>
            <w:tcW w:w="710" w:type="dxa"/>
          </w:tcPr>
          <w:p>
            <w:pPr>
              <w:pStyle w:val="Compact"/>
              <w:spacing w:before="0" w:after="0" w:line="240" w:lineRule="auto"/>
              <w:jc w:val="left"/>
            </w:pPr>
            <w:r>
              <w:rPr>
                <w:rFonts w:ascii="Arial" w:hAnsi="Arial"/>
                <w:sz w:val="15"/>
              </w:rPr>
              <w:t xml:space="preserve">FY2022</w:t>
            </w:r>
          </w:p>
        </w:tc>
        <w:tc>
          <w:tcPr>
            <w:tcW w:w="1521" w:type="dxa"/>
          </w:tcPr>
          <w:p>
            <w:pPr>
              <w:pStyle w:val="Compact"/>
              <w:spacing w:before="0" w:after="0" w:line="240" w:lineRule="auto"/>
              <w:jc w:val="left"/>
            </w:pPr>
            <w:r>
              <w:rPr>
                <w:rFonts w:ascii="Arial" w:hAnsi="Arial"/>
                <w:sz w:val="15"/>
              </w:rPr>
              <w:t xml:space="preserve">25.38</w:t>
            </w:r>
          </w:p>
        </w:tc>
        <w:tc>
          <w:tcPr>
            <w:tcW w:w="954" w:type="dxa"/>
          </w:tcPr>
          <w:p>
            <w:pPr>
              <w:pStyle w:val="Compact"/>
              <w:spacing w:before="0" w:after="0" w:line="240" w:lineRule="auto"/>
              <w:jc w:val="left"/>
            </w:pPr>
            <w:r>
              <w:rPr>
                <w:rFonts w:ascii="Arial" w:hAnsi="Arial"/>
                <w:sz w:val="15"/>
              </w:rPr>
              <w:t xml:space="preserve">~2.25</w:t>
            </w:r>
          </w:p>
        </w:tc>
        <w:tc>
          <w:tcPr>
            <w:tcW w:w="599" w:type="dxa"/>
          </w:tcPr>
          <w:p>
            <w:pPr>
              <w:pStyle w:val="Compact"/>
              <w:spacing w:before="0" w:after="0" w:line="240" w:lineRule="auto"/>
              <w:jc w:val="left"/>
            </w:pPr>
            <w:r>
              <w:rPr>
                <w:rFonts w:ascii="Arial" w:hAnsi="Arial"/>
                <w:sz w:val="15"/>
              </w:rPr>
              <w:t xml:space="preserve">276</w:t>
            </w:r>
          </w:p>
        </w:tc>
        <w:tc>
          <w:tcPr>
            <w:tcW w:w="671" w:type="dxa"/>
          </w:tcPr>
          <w:p>
            <w:pPr>
              <w:pStyle w:val="Compact"/>
              <w:spacing w:before="0" w:after="0" w:line="240" w:lineRule="auto"/>
              <w:jc w:val="left"/>
            </w:pPr>
            <w:r>
              <w:rPr>
                <w:rFonts w:ascii="Arial" w:hAnsi="Arial"/>
                <w:sz w:val="15"/>
              </w:rPr>
              <w:t xml:space="preserve">50%</w:t>
            </w:r>
          </w:p>
        </w:tc>
        <w:tc>
          <w:tcPr>
            <w:tcW w:w="2069" w:type="dxa"/>
          </w:tcPr>
          <w:p>
            <w:pPr>
              <w:pStyle w:val="Compact"/>
              <w:spacing w:before="0" w:after="0" w:line="240" w:lineRule="auto"/>
              <w:jc w:val="left"/>
            </w:pPr>
            <w:r>
              <w:rPr>
                <w:rFonts w:ascii="Arial" w:hAnsi="Arial"/>
                <w:sz w:val="15"/>
              </w:rPr>
              <w:t xml:space="preserve">None found</w:t>
            </w:r>
          </w:p>
        </w:tc>
        <w:tc>
          <w:tcPr>
            <w:tcW w:w="1460" w:type="dxa"/>
          </w:tcPr>
          <w:p>
            <w:pPr>
              <w:pStyle w:val="Compact"/>
              <w:spacing w:before="0" w:after="0" w:line="240" w:lineRule="auto"/>
              <w:jc w:val="left"/>
            </w:pPr>
            <w:r>
              <w:rPr>
                <w:rFonts w:ascii="Arial" w:hAnsi="Arial"/>
                <w:sz w:val="15"/>
              </w:rPr>
              <w:t xml:space="preserve">~2.5bn [d]</w:t>
            </w:r>
          </w:p>
        </w:tc>
        <w:tc>
          <w:tcPr>
            <w:tcW w:w="1175" w:type="dxa"/>
          </w:tcPr>
          <w:p>
            <w:pPr>
              <w:pStyle w:val="Compact"/>
              <w:spacing w:before="0" w:after="0" w:line="240" w:lineRule="auto"/>
              <w:jc w:val="left"/>
            </w:pPr>
            <w:r>
              <w:rPr>
                <w:rFonts w:ascii="Arial" w:hAnsi="Arial"/>
                <w:sz w:val="15"/>
              </w:rPr>
              <w:t xml:space="preserve">None</w:t>
            </w:r>
          </w:p>
        </w:tc>
      </w:tr>
      <w:tr>
        <w:trPr>
          <w:cantSplit/>
        </w:trPr>
        <w:tc>
          <w:tcPr>
            <w:tcW w:w="815" w:type="dxa"/>
          </w:tcPr>
          <w:p>
            <w:pPr>
              <w:pStyle w:val="Compact"/>
              <w:spacing w:before="0" w:after="0" w:line="240" w:lineRule="auto"/>
              <w:jc w:val="left"/>
            </w:pPr>
            <w:r>
              <w:rPr>
                <w:rFonts w:ascii="Arial" w:hAnsi="Arial"/>
                <w:sz w:val="15"/>
              </w:rPr>
              <w:t xml:space="preserve">2024</w:t>
            </w:r>
          </w:p>
        </w:tc>
        <w:tc>
          <w:tcPr>
            <w:tcW w:w="710" w:type="dxa"/>
          </w:tcPr>
          <w:p>
            <w:pPr>
              <w:pStyle w:val="Compact"/>
              <w:spacing w:before="0" w:after="0" w:line="240" w:lineRule="auto"/>
              <w:jc w:val="left"/>
            </w:pPr>
            <w:r>
              <w:rPr>
                <w:rFonts w:ascii="Arial" w:hAnsi="Arial"/>
                <w:sz w:val="15"/>
              </w:rPr>
              <w:t xml:space="preserve">FY2023</w:t>
            </w:r>
          </w:p>
        </w:tc>
        <w:tc>
          <w:tcPr>
            <w:tcW w:w="1521" w:type="dxa"/>
          </w:tcPr>
          <w:p>
            <w:pPr>
              <w:pStyle w:val="Compact"/>
              <w:spacing w:before="0" w:after="0" w:line="240" w:lineRule="auto"/>
              <w:jc w:val="left"/>
            </w:pPr>
            <w:r>
              <w:rPr>
                <w:rFonts w:ascii="Arial" w:hAnsi="Arial"/>
                <w:sz w:val="15"/>
              </w:rPr>
              <w:t xml:space="preserve">25.43 (May/Jun) + 9.57 (Dec) =</w:t>
            </w:r>
            <w:r>
              <w:rPr>
                <w:rFonts w:ascii="Arial" w:hAnsi="Arial"/>
                <w:sz w:val="15"/>
              </w:rPr>
              <w:t xml:space="preserve"> </w:t>
            </w:r>
            <w:r>
              <w:rPr>
                <w:bCs/>
                <w:rFonts w:ascii="Arial" w:hAnsi="Arial"/>
                <w:b/>
                <w:sz w:val="15"/>
              </w:rPr>
              <w:t xml:space="preserve">35.00</w:t>
            </w:r>
          </w:p>
        </w:tc>
        <w:tc>
          <w:tcPr>
            <w:tcW w:w="954" w:type="dxa"/>
          </w:tcPr>
          <w:p>
            <w:pPr>
              <w:pStyle w:val="Compact"/>
              <w:spacing w:before="0" w:after="0" w:line="240" w:lineRule="auto"/>
              <w:jc w:val="left"/>
            </w:pPr>
            <w:r>
              <w:rPr>
                <w:rFonts w:ascii="Arial" w:hAnsi="Arial"/>
                <w:sz w:val="15"/>
              </w:rPr>
              <w:t xml:space="preserve">~2.3 + 0.75</w:t>
            </w:r>
          </w:p>
        </w:tc>
        <w:tc>
          <w:tcPr>
            <w:tcW w:w="599" w:type="dxa"/>
          </w:tcPr>
          <w:p>
            <w:pPr>
              <w:pStyle w:val="Compact"/>
              <w:spacing w:before="0" w:after="0" w:line="240" w:lineRule="auto"/>
              <w:jc w:val="left"/>
            </w:pPr>
            <w:r>
              <w:rPr>
                <w:rFonts w:ascii="Arial" w:hAnsi="Arial"/>
                <w:sz w:val="15"/>
              </w:rPr>
              <w:t xml:space="preserve">381</w:t>
            </w:r>
          </w:p>
        </w:tc>
        <w:tc>
          <w:tcPr>
            <w:tcW w:w="671" w:type="dxa"/>
          </w:tcPr>
          <w:p>
            <w:pPr>
              <w:pStyle w:val="Compact"/>
              <w:spacing w:before="0" w:after="0" w:line="240" w:lineRule="auto"/>
              <w:jc w:val="left"/>
            </w:pPr>
            <w:r>
              <w:rPr>
                <w:rFonts w:ascii="Arial" w:hAnsi="Arial"/>
                <w:sz w:val="15"/>
              </w:rPr>
              <w:t xml:space="preserve">55%</w:t>
            </w:r>
          </w:p>
        </w:tc>
        <w:tc>
          <w:tcPr>
            <w:tcW w:w="2069" w:type="dxa"/>
          </w:tcPr>
          <w:p>
            <w:pPr>
              <w:pStyle w:val="Compact"/>
              <w:spacing w:before="0" w:after="0" w:line="240" w:lineRule="auto"/>
              <w:jc w:val="left"/>
            </w:pPr>
            <w:r>
              <w:rPr>
                <w:rFonts w:ascii="Arial" w:hAnsi="Arial"/>
                <w:sz w:val="15"/>
              </w:rPr>
              <w:t xml:space="preserve">GDR buyback (up to US$50m) from 18-Sep-24 via Citi; ≥US$18m executed in 85 days</w:t>
            </w:r>
          </w:p>
        </w:tc>
        <w:tc>
          <w:tcPr>
            <w:tcW w:w="1460" w:type="dxa"/>
          </w:tcPr>
          <w:p>
            <w:pPr>
              <w:pStyle w:val="Compact"/>
              <w:spacing w:before="0" w:after="0" w:line="240" w:lineRule="auto"/>
              <w:jc w:val="left"/>
            </w:pPr>
            <w:r>
              <w:rPr>
                <w:rFonts w:ascii="Arial" w:hAnsi="Arial"/>
                <w:sz w:val="15"/>
              </w:rPr>
              <w:t xml:space="preserve">n/a</w:t>
            </w:r>
          </w:p>
        </w:tc>
        <w:tc>
          <w:tcPr>
            <w:tcW w:w="1175" w:type="dxa"/>
          </w:tcPr>
          <w:p>
            <w:pPr>
              <w:pStyle w:val="Compact"/>
              <w:spacing w:before="0" w:after="0" w:line="240" w:lineRule="auto"/>
              <w:jc w:val="left"/>
            </w:pPr>
            <w:r>
              <w:rPr>
                <w:rFonts w:ascii="Arial" w:hAnsi="Arial"/>
                <w:sz w:val="15"/>
              </w:rPr>
              <w:t xml:space="preserve">None</w:t>
            </w:r>
          </w:p>
        </w:tc>
      </w:tr>
      <w:tr>
        <w:trPr>
          <w:cantSplit/>
        </w:trPr>
        <w:tc>
          <w:tcPr>
            <w:tcW w:w="815" w:type="dxa"/>
          </w:tcPr>
          <w:p>
            <w:pPr>
              <w:pStyle w:val="Compact"/>
              <w:spacing w:before="0" w:after="0" w:line="240" w:lineRule="auto"/>
              <w:jc w:val="left"/>
            </w:pPr>
            <w:r>
              <w:rPr>
                <w:rFonts w:ascii="Arial" w:hAnsi="Arial"/>
                <w:sz w:val="15"/>
              </w:rPr>
              <w:t xml:space="preserve">2025</w:t>
            </w:r>
          </w:p>
        </w:tc>
        <w:tc>
          <w:tcPr>
            <w:tcW w:w="710" w:type="dxa"/>
          </w:tcPr>
          <w:p>
            <w:pPr>
              <w:pStyle w:val="Compact"/>
              <w:spacing w:before="0" w:after="0" w:line="240" w:lineRule="auto"/>
              <w:jc w:val="left"/>
            </w:pPr>
            <w:r>
              <w:rPr>
                <w:rFonts w:ascii="Arial" w:hAnsi="Arial"/>
                <w:sz w:val="15"/>
              </w:rPr>
              <w:t xml:space="preserve">FY2024</w:t>
            </w:r>
          </w:p>
        </w:tc>
        <w:tc>
          <w:tcPr>
            <w:tcW w:w="1521" w:type="dxa"/>
          </w:tcPr>
          <w:p>
            <w:pPr>
              <w:pStyle w:val="Compact"/>
              <w:spacing w:before="0" w:after="0" w:line="240" w:lineRule="auto"/>
              <w:jc w:val="left"/>
            </w:pPr>
            <w:r>
              <w:rPr>
                <w:rFonts w:ascii="Arial" w:hAnsi="Arial"/>
                <w:sz w:val="15"/>
              </w:rPr>
              <w:t xml:space="preserve">29.64 (Jun) + 21.00 (Sep) =</w:t>
            </w:r>
            <w:r>
              <w:rPr>
                <w:rFonts w:ascii="Arial" w:hAnsi="Arial"/>
                <w:sz w:val="15"/>
              </w:rPr>
              <w:t xml:space="preserve"> </w:t>
            </w:r>
            <w:r>
              <w:rPr>
                <w:bCs/>
                <w:rFonts w:ascii="Arial" w:hAnsi="Arial"/>
                <w:b/>
                <w:sz w:val="15"/>
              </w:rPr>
              <w:t xml:space="preserve">50.64</w:t>
            </w:r>
          </w:p>
        </w:tc>
        <w:tc>
          <w:tcPr>
            <w:tcW w:w="954" w:type="dxa"/>
          </w:tcPr>
          <w:p>
            <w:pPr>
              <w:pStyle w:val="Compact"/>
              <w:spacing w:before="0" w:after="0" w:line="240" w:lineRule="auto"/>
              <w:jc w:val="left"/>
            </w:pPr>
            <w:r>
              <w:rPr>
                <w:rFonts w:ascii="Arial" w:hAnsi="Arial"/>
                <w:sz w:val="15"/>
              </w:rPr>
              <w:t xml:space="preserve">~4.0</w:t>
            </w:r>
          </w:p>
        </w:tc>
        <w:tc>
          <w:tcPr>
            <w:tcW w:w="599" w:type="dxa"/>
          </w:tcPr>
          <w:p>
            <w:pPr>
              <w:pStyle w:val="Compact"/>
              <w:spacing w:before="0" w:after="0" w:line="240" w:lineRule="auto"/>
              <w:jc w:val="left"/>
            </w:pPr>
            <w:r>
              <w:rPr>
                <w:rFonts w:ascii="Arial" w:hAnsi="Arial"/>
                <w:sz w:val="15"/>
              </w:rPr>
              <w:t xml:space="preserve">552</w:t>
            </w:r>
          </w:p>
        </w:tc>
        <w:tc>
          <w:tcPr>
            <w:tcW w:w="671" w:type="dxa"/>
          </w:tcPr>
          <w:p>
            <w:pPr>
              <w:pStyle w:val="Compact"/>
              <w:spacing w:before="0" w:after="0" w:line="240" w:lineRule="auto"/>
              <w:jc w:val="left"/>
            </w:pPr>
            <w:r>
              <w:rPr>
                <w:rFonts w:ascii="Arial" w:hAnsi="Arial"/>
                <w:sz w:val="15"/>
              </w:rPr>
              <w:t xml:space="preserve">60%</w:t>
            </w:r>
          </w:p>
        </w:tc>
        <w:tc>
          <w:tcPr>
            <w:tcW w:w="2069" w:type="dxa"/>
          </w:tcPr>
          <w:p>
            <w:pPr>
              <w:pStyle w:val="Compact"/>
              <w:spacing w:before="0" w:after="0" w:line="240" w:lineRule="auto"/>
              <w:jc w:val="left"/>
            </w:pPr>
            <w:r>
              <w:rPr>
                <w:rFonts w:ascii="Arial" w:hAnsi="Arial"/>
                <w:sz w:val="15"/>
              </w:rPr>
              <w:t xml:space="preserve">2024 programme continued; new programme of up to</w:t>
            </w:r>
            <w:r>
              <w:rPr>
                <w:rFonts w:ascii="Arial" w:hAnsi="Arial"/>
                <w:sz w:val="15"/>
              </w:rPr>
              <w:t xml:space="preserve"> </w:t>
            </w:r>
            <w:r>
              <w:rPr>
                <w:bCs/>
                <w:rFonts w:ascii="Arial" w:hAnsi="Arial"/>
                <w:b/>
                <w:sz w:val="15"/>
              </w:rPr>
              <w:t xml:space="preserve">US$50m</w:t>
            </w:r>
            <w:r>
              <w:rPr>
                <w:rFonts w:ascii="Arial" w:hAnsi="Arial"/>
                <w:sz w:val="15"/>
              </w:rPr>
              <w:t xml:space="preserve"> </w:t>
            </w:r>
            <w:r>
              <w:rPr>
                <w:rFonts w:ascii="Arial" w:hAnsi="Arial"/>
                <w:sz w:val="15"/>
              </w:rPr>
              <w:t xml:space="preserve">(≤1% of shares) from 1-Oct-25</w:t>
            </w:r>
          </w:p>
        </w:tc>
        <w:tc>
          <w:tcPr>
            <w:tcW w:w="1460" w:type="dxa"/>
          </w:tcPr>
          <w:p>
            <w:pPr>
              <w:pStyle w:val="Compact"/>
              <w:spacing w:before="0" w:after="0" w:line="240" w:lineRule="auto"/>
              <w:jc w:val="left"/>
            </w:pPr>
            <w:r>
              <w:rPr>
                <w:rFonts w:ascii="Arial" w:hAnsi="Arial"/>
                <w:sz w:val="15"/>
              </w:rPr>
              <w:t xml:space="preserve">2,533.5m (1-Jul-25)</w:t>
            </w:r>
          </w:p>
        </w:tc>
        <w:tc>
          <w:tcPr>
            <w:tcW w:w="1175" w:type="dxa"/>
          </w:tcPr>
          <w:p>
            <w:pPr>
              <w:pStyle w:val="Compact"/>
              <w:spacing w:before="0" w:after="0" w:line="240" w:lineRule="auto"/>
              <w:jc w:val="left"/>
            </w:pPr>
            <w:r>
              <w:rPr>
                <w:rFonts w:ascii="Arial" w:hAnsi="Arial"/>
                <w:sz w:val="15"/>
              </w:rPr>
              <w:t xml:space="preserve">None</w:t>
            </w:r>
          </w:p>
        </w:tc>
      </w:tr>
      <w:tr>
        <w:trPr>
          <w:cantSplit/>
        </w:trPr>
        <w:tc>
          <w:tcPr>
            <w:tcW w:w="815" w:type="dxa"/>
          </w:tcPr>
          <w:p>
            <w:pPr>
              <w:pStyle w:val="Compact"/>
              <w:spacing w:before="0" w:after="0" w:line="240" w:lineRule="auto"/>
              <w:jc w:val="left"/>
            </w:pPr>
            <w:r>
              <w:rPr>
                <w:rFonts w:ascii="Arial" w:hAnsi="Arial"/>
                <w:sz w:val="15"/>
              </w:rPr>
              <w:t xml:space="preserve">2026</w:t>
            </w:r>
          </w:p>
        </w:tc>
        <w:tc>
          <w:tcPr>
            <w:tcW w:w="710" w:type="dxa"/>
          </w:tcPr>
          <w:p>
            <w:pPr>
              <w:pStyle w:val="Compact"/>
              <w:spacing w:before="0" w:after="0" w:line="240" w:lineRule="auto"/>
              <w:jc w:val="left"/>
            </w:pPr>
            <w:r>
              <w:rPr>
                <w:rFonts w:ascii="Arial" w:hAnsi="Arial"/>
                <w:sz w:val="15"/>
              </w:rPr>
              <w:t xml:space="preserve">FY2025</w:t>
            </w:r>
          </w:p>
        </w:tc>
        <w:tc>
          <w:tcPr>
            <w:tcW w:w="1521" w:type="dxa"/>
          </w:tcPr>
          <w:p>
            <w:pPr>
              <w:pStyle w:val="Compact"/>
              <w:spacing w:before="0" w:after="0" w:line="240" w:lineRule="auto"/>
              <w:jc w:val="left"/>
            </w:pPr>
            <w:r>
              <w:rPr>
                <w:rFonts w:ascii="Arial" w:hAnsi="Arial"/>
                <w:sz w:val="15"/>
              </w:rPr>
              <w:t xml:space="preserve">30.10 (May) + 28.09 (Sep) =</w:t>
            </w:r>
            <w:r>
              <w:rPr>
                <w:rFonts w:ascii="Arial" w:hAnsi="Arial"/>
                <w:sz w:val="15"/>
              </w:rPr>
              <w:t xml:space="preserve"> </w:t>
            </w:r>
            <w:r>
              <w:rPr>
                <w:bCs/>
                <w:rFonts w:ascii="Arial" w:hAnsi="Arial"/>
                <w:b/>
                <w:sz w:val="15"/>
              </w:rPr>
              <w:t xml:space="preserve">58.19</w:t>
            </w:r>
          </w:p>
        </w:tc>
        <w:tc>
          <w:tcPr>
            <w:tcW w:w="954" w:type="dxa"/>
          </w:tcPr>
          <w:p>
            <w:pPr>
              <w:pStyle w:val="Compact"/>
              <w:spacing w:before="0" w:after="0" w:line="240" w:lineRule="auto"/>
              <w:jc w:val="left"/>
            </w:pPr>
            <w:r>
              <w:rPr>
                <w:rFonts w:ascii="Arial" w:hAnsi="Arial"/>
                <w:sz w:val="15"/>
              </w:rPr>
              <w:t xml:space="preserve">2.56 + ~2.4</w:t>
            </w:r>
          </w:p>
        </w:tc>
        <w:tc>
          <w:tcPr>
            <w:tcW w:w="599" w:type="dxa"/>
          </w:tcPr>
          <w:p>
            <w:pPr>
              <w:pStyle w:val="Compact"/>
              <w:spacing w:before="0" w:after="0" w:line="240" w:lineRule="auto"/>
              <w:jc w:val="left"/>
            </w:pPr>
            <w:r>
              <w:rPr>
                <w:rFonts w:ascii="Arial" w:hAnsi="Arial"/>
                <w:sz w:val="15"/>
              </w:rPr>
              <w:t xml:space="preserve">~635</w:t>
            </w:r>
          </w:p>
        </w:tc>
        <w:tc>
          <w:tcPr>
            <w:tcW w:w="671" w:type="dxa"/>
          </w:tcPr>
          <w:p>
            <w:pPr>
              <w:pStyle w:val="Compact"/>
              <w:spacing w:before="0" w:after="0" w:line="240" w:lineRule="auto"/>
              <w:jc w:val="left"/>
            </w:pPr>
            <w:r>
              <w:rPr>
                <w:rFonts w:ascii="Arial" w:hAnsi="Arial"/>
                <w:sz w:val="15"/>
              </w:rPr>
              <w:t xml:space="preserve">~60%</w:t>
            </w:r>
          </w:p>
        </w:tc>
        <w:tc>
          <w:tcPr>
            <w:tcW w:w="2069" w:type="dxa"/>
          </w:tcPr>
          <w:p>
            <w:pPr>
              <w:pStyle w:val="Compact"/>
              <w:spacing w:before="0" w:after="0" w:line="240" w:lineRule="auto"/>
              <w:jc w:val="left"/>
            </w:pPr>
            <w:r>
              <w:rPr>
                <w:rFonts w:ascii="Arial" w:hAnsi="Arial"/>
                <w:sz w:val="15"/>
              </w:rPr>
              <w:t xml:space="preserve">Ongoing (e.g. ~31k GDRs at US$30.7 in Jul-26); programme term ended 1-Oct-26 (renewal TBC)</w:t>
            </w:r>
          </w:p>
        </w:tc>
        <w:tc>
          <w:tcPr>
            <w:tcW w:w="1460" w:type="dxa"/>
          </w:tcPr>
          <w:p>
            <w:pPr>
              <w:pStyle w:val="Compact"/>
              <w:spacing w:before="0" w:after="0" w:line="240" w:lineRule="auto"/>
              <w:jc w:val="left"/>
            </w:pPr>
            <w:r>
              <w:rPr>
                <w:rFonts w:ascii="Arial" w:hAnsi="Arial"/>
                <w:sz w:val="15"/>
              </w:rPr>
              <w:t xml:space="preserve">~2,538m (30-Jun-26)</w:t>
            </w:r>
          </w:p>
        </w:tc>
        <w:tc>
          <w:tcPr>
            <w:tcW w:w="1175" w:type="dxa"/>
          </w:tcPr>
          <w:p>
            <w:pPr>
              <w:pStyle w:val="Compact"/>
              <w:spacing w:before="0" w:after="0" w:line="240" w:lineRule="auto"/>
              <w:jc w:val="left"/>
            </w:pPr>
            <w:r>
              <w:rPr>
                <w:bCs/>
                <w:rFonts w:ascii="Arial" w:hAnsi="Arial"/>
                <w:b/>
                <w:sz w:val="15"/>
              </w:rPr>
              <w:t xml:space="preserve">None.</w:t>
            </w:r>
            <w:r>
              <w:rPr>
                <w:rFonts w:ascii="Arial" w:hAnsi="Arial"/>
                <w:sz w:val="15"/>
              </w:rPr>
              <w:t xml:space="preserve"> </w:t>
            </w:r>
            <w:r>
              <w:rPr>
                <w:rFonts w:ascii="Arial" w:hAnsi="Arial"/>
                <w:sz w:val="15"/>
              </w:rPr>
              <w:t xml:space="preserve">Issued shares unchanged at 13,447.5m</w:t>
            </w:r>
          </w:p>
        </w:tc>
      </w:tr>
    </w:tbl>
    <w:p>
      <w:pPr>
        <w:pStyle w:val="CaptionedFigure"/>
      </w:pPr>
      <w:r>
        <w:drawing>
          <wp:inline>
            <wp:extent cx="6008370" cy="2905657"/>
            <wp:effectExtent b="0" l="0" r="0" t="0"/>
            <wp:docPr descr="Dividend history and forecasts" title="" id="104" name="Picture"/>
            <a:graphic>
              <a:graphicData uri="http://schemas.openxmlformats.org/drawingml/2006/picture">
                <pic:pic>
                  <pic:nvPicPr>
                    <pic:cNvPr descr="HSBK_charts/dividends.png" id="105" name="Picture"/>
                    <pic:cNvPicPr>
                      <a:picLocks noChangeArrowheads="1" noChangeAspect="1"/>
                    </pic:cNvPicPr>
                  </pic:nvPicPr>
                  <pic:blipFill>
                    <a:blip r:embed="rId103"/>
                    <a:stretch>
                      <a:fillRect/>
                    </a:stretch>
                  </pic:blipFill>
                  <pic:spPr bwMode="auto">
                    <a:xfrm>
                      <a:off x="0" y="0"/>
                      <a:ext cx="6008370" cy="2905657"/>
                    </a:xfrm>
                    <a:prstGeom prst="rect">
                      <a:avLst/>
                    </a:prstGeom>
                    <a:noFill/>
                    <a:ln w="9525">
                      <a:noFill/>
                      <a:headEnd/>
                      <a:tailEnd/>
                    </a:ln>
                  </pic:spPr>
                </pic:pic>
              </a:graphicData>
            </a:graphic>
          </wp:inline>
        </w:drawing>
      </w:r>
    </w:p>
    <w:p>
      <w:pPr>
        <w:pStyle w:val="ImageCaption"/>
      </w:pPr>
      <w:r>
        <w:t xml:space="preserve">Dividend history and forecasts</w:t>
      </w:r>
    </w:p>
    <w:p>
      <w:pPr>
        <w:pStyle w:val="BodyText"/>
      </w:pPr>
      <w:r>
        <w:rPr>
          <w:bCs/>
          <w:b/>
        </w:rPr>
        <w:t xml:space="preserve">Observations.</w:t>
      </w:r>
    </w:p>
    <w:p>
      <w:pPr>
        <w:numPr>
          <w:ilvl w:val="0"/>
          <w:numId w:val="1096"/>
        </w:numPr>
        <w:pStyle w:val="Compact"/>
      </w:pPr>
      <w:r>
        <w:rPr>
          <w:bCs/>
          <w:b/>
        </w:rPr>
        <w:t xml:space="preserve">Dividends grew ~4.6x (FY21 → FY25),</w:t>
      </w:r>
      <w:r>
        <w:t xml:space="preserve"> </w:t>
      </w:r>
      <w:r>
        <w:t xml:space="preserve">and now return ~60% of profit.</w:t>
      </w:r>
    </w:p>
    <w:p>
      <w:pPr>
        <w:numPr>
          <w:ilvl w:val="0"/>
          <w:numId w:val="1096"/>
        </w:numPr>
        <w:pStyle w:val="Compact"/>
      </w:pPr>
      <w:r>
        <w:rPr>
          <w:bCs/>
          <w:b/>
        </w:rPr>
        <w:t xml:space="preserve">Buybacks are token.</w:t>
      </w:r>
      <w:r>
        <w:t xml:space="preserve"> </w:t>
      </w:r>
      <w:r>
        <w:t xml:space="preserve">About US$18–25m was executed against two US$50m caps, under 0.3% of market cap a year. They are a liquidity signal, not a capital tool.</w:t>
      </w:r>
    </w:p>
    <w:p>
      <w:pPr>
        <w:numPr>
          <w:ilvl w:val="0"/>
          <w:numId w:val="1096"/>
        </w:numPr>
        <w:pStyle w:val="Compact"/>
      </w:pPr>
      <w:r>
        <w:rPr>
          <w:bCs/>
          <w:b/>
        </w:rPr>
        <w:t xml:space="preserve">The 2.54bn treasury shares (19% of issued) have never been cancelled.</w:t>
      </w:r>
      <w:r>
        <w:t xml:space="preserve"> </w:t>
      </w:r>
      <w:r>
        <w:t xml:space="preserve">They accumulated through the 2011 Samruk-Kazyna buyback (213m shares), the 2021–22 repurchases (~0.8bn [d]) and earlier transactions whose origin is not fully disclosed. Cancelling them would not change per-share value, but it would remove a potential re-issuance overhang (management could re-sell treasury stock) and improve transparency.</w:t>
      </w:r>
    </w:p>
    <w:bookmarkEnd w:id="106"/>
    <w:bookmarkStart w:id="111" w:name="Xb066d6c9f18251ad48833c0e755d68a26d11fc7"/>
    <w:p>
      <w:pPr>
        <w:pStyle w:val="Heading1"/>
      </w:pPr>
      <w:r>
        <w:t xml:space="preserve">Adversarial analysis: bull case, bear case, pre-mortem and contrarian view</w:t>
      </w:r>
    </w:p>
    <w:bookmarkStart w:id="107" w:name="bull-case"/>
    <w:p>
      <w:pPr>
        <w:pStyle w:val="Heading2"/>
      </w:pPr>
      <w:r>
        <w:t xml:space="preserve">Bull case</w:t>
      </w:r>
    </w:p>
    <w:p>
      <w:pPr>
        <w:numPr>
          <w:ilvl w:val="0"/>
          <w:numId w:val="1097"/>
        </w:numPr>
        <w:pStyle w:val="Compact"/>
      </w:pPr>
      <w:r>
        <w:rPr>
          <w:bCs/>
          <w:b/>
        </w:rPr>
        <w:t xml:space="preserve">The moat is structural.</w:t>
      </w:r>
    </w:p>
    <w:p>
      <w:pPr>
        <w:numPr>
          <w:ilvl w:val="1"/>
          <w:numId w:val="1098"/>
        </w:numPr>
        <w:pStyle w:val="Compact"/>
      </w:pPr>
      <w:r>
        <w:t xml:space="preserve">About half of corporate lending and the largest payroll, pension and deposit franchise give Halyk the lowest funding cost and the most stable client base in the country.</w:t>
      </w:r>
    </w:p>
    <w:p>
      <w:pPr>
        <w:numPr>
          <w:ilvl w:val="1"/>
          <w:numId w:val="1098"/>
        </w:numPr>
        <w:pStyle w:val="Compact"/>
      </w:pPr>
      <w:r>
        <w:t xml:space="preserve">A 17–20% cost/income ratio is a cost moat that no competitor except Kaspi matches.</w:t>
      </w:r>
    </w:p>
    <w:p>
      <w:pPr>
        <w:numPr>
          <w:ilvl w:val="0"/>
          <w:numId w:val="1097"/>
        </w:numPr>
        <w:pStyle w:val="Compact"/>
      </w:pPr>
      <w:r>
        <w:rPr>
          <w:bCs/>
          <w:b/>
        </w:rPr>
        <w:t xml:space="preserve">The 2026 trough is regulatory and cyclical, not competitive.</w:t>
      </w:r>
    </w:p>
    <w:p>
      <w:pPr>
        <w:numPr>
          <w:ilvl w:val="1"/>
          <w:numId w:val="1099"/>
        </w:numPr>
        <w:pStyle w:val="Compact"/>
      </w:pPr>
      <w:r>
        <w:t xml:space="preserve">The MRR step-ups are now complete. The 2% retail buffer is phasing in. BNPL and unsecured lending have been re-based.</w:t>
      </w:r>
    </w:p>
    <w:p>
      <w:pPr>
        <w:numPr>
          <w:ilvl w:val="1"/>
          <w:numId w:val="1099"/>
        </w:numPr>
        <w:pStyle w:val="Compact"/>
      </w:pPr>
      <w:r>
        <w:t xml:space="preserve">From 2027 the comparisons are easy: fees +10% and insurance normalising. Lower rates cut deposit costs with a lag and revive loan demand.</w:t>
      </w:r>
    </w:p>
    <w:p>
      <w:pPr>
        <w:numPr>
          <w:ilvl w:val="1"/>
          <w:numId w:val="1099"/>
        </w:numPr>
        <w:pStyle w:val="Compact"/>
      </w:pPr>
      <w:r>
        <w:t xml:space="preserve">Credit costs should fall as the collector-sale moratorium lifts.</w:t>
      </w:r>
    </w:p>
    <w:p>
      <w:pPr>
        <w:numPr>
          <w:ilvl w:val="0"/>
          <w:numId w:val="1097"/>
        </w:numPr>
        <w:pStyle w:val="Compact"/>
      </w:pPr>
      <w:r>
        <w:rPr>
          <w:bCs/>
          <w:b/>
        </w:rPr>
        <w:t xml:space="preserve">Secular growth.</w:t>
      </w:r>
    </w:p>
    <w:p>
      <w:pPr>
        <w:numPr>
          <w:ilvl w:val="1"/>
          <w:numId w:val="1100"/>
        </w:numPr>
        <w:pStyle w:val="Compact"/>
      </w:pPr>
      <w:r>
        <w:t xml:space="preserve">Loans are only ~26% of GDP.</w:t>
      </w:r>
    </w:p>
    <w:p>
      <w:pPr>
        <w:numPr>
          <w:ilvl w:val="1"/>
          <w:numId w:val="1100"/>
        </w:numPr>
        <w:pStyle w:val="Compact"/>
      </w:pPr>
      <w:r>
        <w:t xml:space="preserve">Non-oil GDP is growing ~5%. State infrastructure capex (grid, power, renewables) suits Halyk’s corporate franchise.</w:t>
      </w:r>
    </w:p>
    <w:p>
      <w:pPr>
        <w:numPr>
          <w:ilvl w:val="1"/>
          <w:numId w:val="1100"/>
        </w:numPr>
        <w:pStyle w:val="Compact"/>
      </w:pPr>
      <w:r>
        <w:t xml:space="preserve">Islamic banking and Uzbekistan add optionality.</w:t>
      </w:r>
    </w:p>
    <w:p>
      <w:pPr>
        <w:numPr>
          <w:ilvl w:val="0"/>
          <w:numId w:val="1097"/>
        </w:numPr>
        <w:pStyle w:val="Compact"/>
      </w:pPr>
      <w:r>
        <w:rPr>
          <w:bCs/>
          <w:b/>
        </w:rPr>
        <w:t xml:space="preserve">Capital return and earnings surprise.</w:t>
      </w:r>
    </w:p>
    <w:p>
      <w:pPr>
        <w:numPr>
          <w:ilvl w:val="1"/>
          <w:numId w:val="1101"/>
        </w:numPr>
        <w:pStyle w:val="Compact"/>
      </w:pPr>
      <w:r>
        <w:t xml:space="preserve">At a 60% payout the yield is 13–15%.</w:t>
      </w:r>
    </w:p>
    <w:p>
      <w:pPr>
        <w:numPr>
          <w:ilvl w:val="1"/>
          <w:numId w:val="1101"/>
        </w:numPr>
        <w:pStyle w:val="Compact"/>
      </w:pPr>
      <w:r>
        <w:t xml:space="preserve">If NIM holds at ~6.8% rather than our 6.5%, 2027E EPS is ~5% higher.</w:t>
      </w:r>
    </w:p>
    <w:p>
      <w:pPr>
        <w:numPr>
          <w:ilvl w:val="1"/>
          <w:numId w:val="1101"/>
        </w:numPr>
        <w:pStyle w:val="Compact"/>
      </w:pPr>
      <w:r>
        <w:t xml:space="preserve">If management restores the</w:t>
      </w:r>
      <w:r>
        <w:t xml:space="preserve"> </w:t>
      </w:r>
      <w:r>
        <w:t xml:space="preserve">“</w:t>
      </w:r>
      <w:r>
        <w:t xml:space="preserve">usual 60%+</w:t>
      </w:r>
      <w:r>
        <w:t xml:space="preserve">”</w:t>
      </w:r>
      <w:r>
        <w:t xml:space="preserve"> </w:t>
      </w:r>
      <w:r>
        <w:t xml:space="preserve">and adds special dividends from its 700bp capital buffer, the yield rises further.</w:t>
      </w:r>
    </w:p>
    <w:p>
      <w:pPr>
        <w:numPr>
          <w:ilvl w:val="0"/>
          <w:numId w:val="1097"/>
        </w:numPr>
        <w:pStyle w:val="Compact"/>
      </w:pPr>
      <w:r>
        <w:rPr>
          <w:bCs/>
          <w:b/>
        </w:rPr>
        <w:t xml:space="preserve">Technical re-rating.</w:t>
      </w:r>
    </w:p>
    <w:p>
      <w:pPr>
        <w:numPr>
          <w:ilvl w:val="1"/>
          <w:numId w:val="1102"/>
        </w:numPr>
        <w:pStyle w:val="Compact"/>
      </w:pPr>
      <w:r>
        <w:t xml:space="preserve">Each ALMEX sell-down raises free float, and with it MSCI and FTSE weights.</w:t>
      </w:r>
    </w:p>
    <w:p>
      <w:pPr>
        <w:numPr>
          <w:ilvl w:val="1"/>
          <w:numId w:val="1102"/>
        </w:numPr>
        <w:pStyle w:val="Compact"/>
      </w:pPr>
      <w:r>
        <w:t xml:space="preserve">Sovereign upgrades (S&amp;P BBB in Aug-26) lower the cost of equity.</w:t>
      </w:r>
    </w:p>
    <w:p>
      <w:pPr>
        <w:numPr>
          <w:ilvl w:val="1"/>
          <w:numId w:val="1102"/>
        </w:numPr>
        <w:pStyle w:val="Compact"/>
      </w:pPr>
      <w:r>
        <w:t xml:space="preserve">A move to 1.5x book (still below the peer median) is worth ~US$50 per GDR.</w:t>
      </w:r>
    </w:p>
    <w:bookmarkEnd w:id="107"/>
    <w:bookmarkStart w:id="108" w:name="X20d78e618132c0c2cef024c5a6af6db13daf8b1"/>
    <w:p>
      <w:pPr>
        <w:pStyle w:val="Heading2"/>
      </w:pPr>
      <w:r>
        <w:t xml:space="preserve">Bear case: risks that could permanently impair the business</w:t>
      </w:r>
    </w:p>
    <w:p>
      <w:pPr>
        <w:numPr>
          <w:ilvl w:val="0"/>
          <w:numId w:val="1103"/>
        </w:numPr>
        <w:pStyle w:val="Compact"/>
      </w:pPr>
      <w:r>
        <w:rPr>
          <w:bCs/>
          <w:b/>
        </w:rPr>
        <w:t xml:space="preserve">The state taxes the franchise.</w:t>
      </w:r>
    </w:p>
    <w:p>
      <w:pPr>
        <w:numPr>
          <w:ilvl w:val="1"/>
          <w:numId w:val="1104"/>
        </w:numPr>
        <w:pStyle w:val="Compact"/>
      </w:pPr>
      <w:r>
        <w:t xml:space="preserve">Kazakhstan has shown it will reach into bank profits: the 2025 excess-profit tax, 25% bank CIT, VAT on fees, unremunerated reserves and GEIR caps.</w:t>
      </w:r>
    </w:p>
    <w:p>
      <w:pPr>
        <w:numPr>
          <w:ilvl w:val="1"/>
          <w:numId w:val="1104"/>
        </w:numPr>
        <w:pStyle w:val="Compact"/>
      </w:pPr>
      <w:r>
        <w:t xml:space="preserve">With oil revenues at risk (NBK assumes US$75 oil in 2027 and US$65 in 2028) and a fiscal deficit to close, the biggest, most profitable bank is the obvious source. A permanent</w:t>
      </w:r>
      <w:r>
        <w:t xml:space="preserve"> </w:t>
      </w:r>
      <w:r>
        <w:t xml:space="preserve">“</w:t>
      </w:r>
      <w:r>
        <w:t xml:space="preserve">bank levy</w:t>
      </w:r>
      <w:r>
        <w:t xml:space="preserve">”</w:t>
      </w:r>
      <w:r>
        <w:t xml:space="preserve"> </w:t>
      </w:r>
      <w:r>
        <w:t xml:space="preserve">or forced subsidised lending would compress the sustainable ROE from ~24% toward the high teens.</w:t>
      </w:r>
    </w:p>
    <w:p>
      <w:pPr>
        <w:numPr>
          <w:ilvl w:val="0"/>
          <w:numId w:val="1103"/>
        </w:numPr>
        <w:pStyle w:val="Compact"/>
      </w:pPr>
      <w:r>
        <w:rPr>
          <w:bCs/>
          <w:b/>
        </w:rPr>
        <w:t xml:space="preserve">Retail is lost to Kaspi (and Kim’s Alatau City Bank).</w:t>
      </w:r>
    </w:p>
    <w:p>
      <w:pPr>
        <w:numPr>
          <w:ilvl w:val="1"/>
          <w:numId w:val="1105"/>
        </w:numPr>
        <w:pStyle w:val="Compact"/>
      </w:pPr>
      <w:r>
        <w:t xml:space="preserve">Halyk’s retail-loan share (17.8%) is far below its asset share. Its Super App engagement (DAU/MAU 33%) trails Kaspi’s.</w:t>
      </w:r>
    </w:p>
    <w:p>
      <w:pPr>
        <w:numPr>
          <w:ilvl w:val="1"/>
          <w:numId w:val="1105"/>
        </w:numPr>
        <w:pStyle w:val="Compact"/>
      </w:pPr>
      <w:r>
        <w:t xml:space="preserve">The Kaspi co-founder now owns a full bank licence (ex-Jusan). If Kaspi-style execution moves into SME payments and deposits, Halyk’s low-cost retail funding, the real moat, erodes.</w:t>
      </w:r>
    </w:p>
    <w:p>
      <w:pPr>
        <w:numPr>
          <w:ilvl w:val="0"/>
          <w:numId w:val="1103"/>
        </w:numPr>
        <w:pStyle w:val="Compact"/>
      </w:pPr>
      <w:r>
        <w:rPr>
          <w:bCs/>
          <w:b/>
        </w:rPr>
        <w:t xml:space="preserve">Asset quality.</w:t>
      </w:r>
    </w:p>
    <w:p>
      <w:pPr>
        <w:numPr>
          <w:ilvl w:val="1"/>
          <w:numId w:val="1106"/>
        </w:numPr>
        <w:pStyle w:val="Compact"/>
      </w:pPr>
      <w:r>
        <w:t xml:space="preserve">Retail NPL 90+ is 9.2%, Stage 3 is 8.6% and Stage 3 coverage has fallen to 58%.</w:t>
      </w:r>
    </w:p>
    <w:p>
      <w:pPr>
        <w:numPr>
          <w:ilvl w:val="1"/>
          <w:numId w:val="1106"/>
        </w:numPr>
        <w:pStyle w:val="Compact"/>
      </w:pPr>
      <w:r>
        <w:t xml:space="preserve">If the</w:t>
      </w:r>
      <w:r>
        <w:t xml:space="preserve"> </w:t>
      </w:r>
      <w:r>
        <w:t xml:space="preserve">“</w:t>
      </w:r>
      <w:r>
        <w:t xml:space="preserve">mechanical</w:t>
      </w:r>
      <w:r>
        <w:t xml:space="preserve">”</w:t>
      </w:r>
      <w:r>
        <w:t xml:space="preserve"> </w:t>
      </w:r>
      <w:r>
        <w:t xml:space="preserve">explanation is wrong, 2026–27 credit costs could reach 2–2.5%, cutting ~KZT100–150bn a year from PBT.</w:t>
      </w:r>
    </w:p>
    <w:p>
      <w:pPr>
        <w:numPr>
          <w:ilvl w:val="0"/>
          <w:numId w:val="1103"/>
        </w:numPr>
        <w:pStyle w:val="Compact"/>
      </w:pPr>
      <w:r>
        <w:rPr>
          <w:bCs/>
          <w:b/>
        </w:rPr>
        <w:t xml:space="preserve">Margin compression and revenue deceleration.</w:t>
      </w:r>
    </w:p>
    <w:p>
      <w:pPr>
        <w:numPr>
          <w:ilvl w:val="1"/>
          <w:numId w:val="1107"/>
        </w:numPr>
        <w:pStyle w:val="Compact"/>
      </w:pPr>
      <w:r>
        <w:t xml:space="preserve">Assets reprice faster than deposits in an easing cycle.</w:t>
      </w:r>
    </w:p>
    <w:p>
      <w:pPr>
        <w:numPr>
          <w:ilvl w:val="1"/>
          <w:numId w:val="1107"/>
        </w:numPr>
        <w:pStyle w:val="Compact"/>
      </w:pPr>
      <w:r>
        <w:t xml:space="preserve">A further 150–200bp of cuts in 2027, with sticky deposit rates (Freedom’s aggressive pricing), could push NIM toward 6.0–6.2%, about 50bp below our forecast, worth ~KZT100bn of PBT.</w:t>
      </w:r>
    </w:p>
    <w:p>
      <w:pPr>
        <w:numPr>
          <w:ilvl w:val="0"/>
          <w:numId w:val="1103"/>
        </w:numPr>
        <w:pStyle w:val="Compact"/>
      </w:pPr>
      <w:r>
        <w:rPr>
          <w:bCs/>
          <w:b/>
        </w:rPr>
        <w:t xml:space="preserve">High expectations?</w:t>
      </w:r>
      <w:r>
        <w:t xml:space="preserve"> </w:t>
      </w:r>
      <w:r>
        <w:t xml:space="preserve">Not on P/E (4.5x). But the market already prices a full dividend recovery and ignores the political tail. After a +314% three-year run, the stock sits at the top of its own P/B range.</w:t>
      </w:r>
    </w:p>
    <w:bookmarkEnd w:id="108"/>
    <w:bookmarkStart w:id="109" w:name="Xa525bffcb5dfbeefbae6adbc66ede07e543d7f1"/>
    <w:p>
      <w:pPr>
        <w:pStyle w:val="Heading2"/>
      </w:pPr>
      <w:r>
        <w:t xml:space="preserve">Pre-mortem:</w:t>
      </w:r>
      <w:r>
        <w:t xml:space="preserve"> </w:t>
      </w:r>
      <w:r>
        <w:t xml:space="preserve">“</w:t>
      </w:r>
      <w:r>
        <w:t xml:space="preserve">It is October 2027, and Halyk GDRs are at US$22. What happened?</w:t>
      </w:r>
      <w:r>
        <w:t xml:space="preserve">”</w:t>
      </w:r>
    </w:p>
    <w:p>
      <w:pPr>
        <w:numPr>
          <w:ilvl w:val="0"/>
          <w:numId w:val="1108"/>
        </w:numPr>
        <w:pStyle w:val="Compact"/>
      </w:pPr>
      <w:r>
        <w:rPr>
          <w:bCs/>
          <w:b/>
        </w:rPr>
        <w:t xml:space="preserve">Earnings:</w:t>
      </w:r>
    </w:p>
    <w:p>
      <w:pPr>
        <w:numPr>
          <w:ilvl w:val="1"/>
          <w:numId w:val="1109"/>
        </w:numPr>
        <w:pStyle w:val="Compact"/>
      </w:pPr>
      <w:r>
        <w:t xml:space="preserve">9M26 missed again and the KZT1trn guidance was abandoned. FY26 net income came in at ~KZT870bn.</w:t>
      </w:r>
    </w:p>
    <w:p>
      <w:pPr>
        <w:numPr>
          <w:ilvl w:val="1"/>
          <w:numId w:val="1109"/>
        </w:numPr>
        <w:pStyle w:val="Compact"/>
      </w:pPr>
      <w:r>
        <w:t xml:space="preserve">In March 2027 management guided flat 2027 earnings as NIM fell to 6.2%.</w:t>
      </w:r>
    </w:p>
    <w:p>
      <w:pPr>
        <w:numPr>
          <w:ilvl w:val="1"/>
          <w:numId w:val="1109"/>
        </w:numPr>
        <w:pStyle w:val="Compact"/>
      </w:pPr>
      <w:r>
        <w:t xml:space="preserve">Retail write-offs after the moratorium ended took CoR to 2%.</w:t>
      </w:r>
    </w:p>
    <w:p>
      <w:pPr>
        <w:numPr>
          <w:ilvl w:val="0"/>
          <w:numId w:val="1108"/>
        </w:numPr>
        <w:pStyle w:val="Compact"/>
      </w:pPr>
      <w:r>
        <w:rPr>
          <w:bCs/>
          <w:b/>
        </w:rPr>
        <w:t xml:space="preserve">Supply:</w:t>
      </w:r>
      <w:r>
        <w:t xml:space="preserve"> </w:t>
      </w:r>
      <w:r>
        <w:t xml:space="preserve">ALMEX sold another 5–7% in December 2026 at a ~12% discount and signalled more.</w:t>
      </w:r>
    </w:p>
    <w:p>
      <w:pPr>
        <w:numPr>
          <w:ilvl w:val="0"/>
          <w:numId w:val="1108"/>
        </w:numPr>
        <w:pStyle w:val="Compact"/>
      </w:pPr>
      <w:r>
        <w:rPr>
          <w:bCs/>
          <w:b/>
        </w:rPr>
        <w:t xml:space="preserve">Dividend:</w:t>
      </w:r>
      <w:r>
        <w:t xml:space="preserve"> </w:t>
      </w:r>
      <w:r>
        <w:t xml:space="preserve">the board cut the payout to 50% to fund the 2% buffer and a new Pillar 2 add-on. FY26 DPS fell ~25% to ~KZT37.</w:t>
      </w:r>
    </w:p>
    <w:p>
      <w:pPr>
        <w:numPr>
          <w:ilvl w:val="0"/>
          <w:numId w:val="1108"/>
        </w:numPr>
        <w:pStyle w:val="Compact"/>
      </w:pPr>
      <w:r>
        <w:rPr>
          <w:bCs/>
          <w:b/>
        </w:rPr>
        <w:t xml:space="preserve">Macro:</w:t>
      </w:r>
      <w:r>
        <w:t xml:space="preserve"> </w:t>
      </w:r>
      <w:r>
        <w:t xml:space="preserve">oil fell to US$70, the tenge weakened to 520, and the government introduced a</w:t>
      </w:r>
      <w:r>
        <w:t xml:space="preserve"> </w:t>
      </w:r>
      <w:r>
        <w:t xml:space="preserve">“</w:t>
      </w:r>
      <w:r>
        <w:t xml:space="preserve">temporary solidarity levy</w:t>
      </w:r>
      <w:r>
        <w:t xml:space="preserve">”</w:t>
      </w:r>
      <w:r>
        <w:t xml:space="preserve"> </w:t>
      </w:r>
      <w:r>
        <w:t xml:space="preserve">on bank profits.</w:t>
      </w:r>
    </w:p>
    <w:p>
      <w:pPr>
        <w:numPr>
          <w:ilvl w:val="0"/>
          <w:numId w:val="1108"/>
        </w:numPr>
        <w:pStyle w:val="Compact"/>
      </w:pPr>
      <w:r>
        <w:rPr>
          <w:bCs/>
          <w:b/>
        </w:rPr>
        <w:t xml:space="preserve">Multiple:</w:t>
      </w:r>
      <w:r>
        <w:t xml:space="preserve"> </w:t>
      </w:r>
      <w:r>
        <w:t xml:space="preserve">P/B fell back to 0.85x, the 2022–24 average.</w:t>
      </w:r>
    </w:p>
    <w:p>
      <w:pPr>
        <w:pStyle w:val="FirstParagraph"/>
      </w:pPr>
      <w:r>
        <w:rPr>
          <w:bCs/>
          <w:b/>
        </w:rPr>
        <w:t xml:space="preserve">Probability:</w:t>
      </w:r>
      <w:r>
        <w:t xml:space="preserve"> </w:t>
      </w:r>
      <w:r>
        <w:t xml:space="preserve">~20–25%. This is our bear case.</w:t>
      </w:r>
    </w:p>
    <w:p>
      <w:pPr>
        <w:pStyle w:val="BodyText"/>
      </w:pPr>
      <w:r>
        <w:rPr>
          <w:bCs/>
          <w:b/>
        </w:rPr>
        <w:t xml:space="preserve">Early warning signs to monitor:</w:t>
      </w:r>
    </w:p>
    <w:p>
      <w:pPr>
        <w:numPr>
          <w:ilvl w:val="0"/>
          <w:numId w:val="1110"/>
        </w:numPr>
        <w:pStyle w:val="Compact"/>
      </w:pPr>
      <w:r>
        <w:t xml:space="preserve">9M26 NIM below 6.6%;</w:t>
      </w:r>
    </w:p>
    <w:p>
      <w:pPr>
        <w:numPr>
          <w:ilvl w:val="0"/>
          <w:numId w:val="1110"/>
        </w:numPr>
        <w:pStyle w:val="Compact"/>
      </w:pPr>
      <w:r>
        <w:t xml:space="preserve">any dividend-policy language change;</w:t>
      </w:r>
    </w:p>
    <w:p>
      <w:pPr>
        <w:numPr>
          <w:ilvl w:val="0"/>
          <w:numId w:val="1110"/>
        </w:numPr>
        <w:pStyle w:val="Compact"/>
      </w:pPr>
      <w:r>
        <w:t xml:space="preserve">ALMEX block terms;</w:t>
      </w:r>
    </w:p>
    <w:p>
      <w:pPr>
        <w:numPr>
          <w:ilvl w:val="0"/>
          <w:numId w:val="1110"/>
        </w:numPr>
        <w:pStyle w:val="Compact"/>
      </w:pPr>
      <w:r>
        <w:t xml:space="preserve">draft budget measures on bank taxation;</w:t>
      </w:r>
    </w:p>
    <w:p>
      <w:pPr>
        <w:numPr>
          <w:ilvl w:val="0"/>
          <w:numId w:val="1110"/>
        </w:numPr>
        <w:pStyle w:val="Compact"/>
      </w:pPr>
      <w:r>
        <w:t xml:space="preserve">retail NPL formation after May 2026.</w:t>
      </w:r>
    </w:p>
    <w:bookmarkEnd w:id="109"/>
    <w:bookmarkStart w:id="110" w:name="Xe019ba43ddf0cd98b245c609b6af6de54804614"/>
    <w:p>
      <w:pPr>
        <w:pStyle w:val="Heading2"/>
      </w:pPr>
      <w:r>
        <w:t xml:space="preserve">Contrarian view: what the market is refusing to see</w:t>
      </w:r>
    </w:p>
    <w:p>
      <w:pPr>
        <w:numPr>
          <w:ilvl w:val="0"/>
          <w:numId w:val="1111"/>
        </w:numPr>
        <w:pStyle w:val="Compact"/>
      </w:pPr>
      <w:r>
        <w:rPr>
          <w:bCs/>
          <w:b/>
        </w:rPr>
        <w:t xml:space="preserve">Consensus frames 2026 as</w:t>
      </w:r>
      <w:r>
        <w:rPr>
          <w:bCs/>
          <w:b/>
        </w:rPr>
        <w:t xml:space="preserve"> </w:t>
      </w:r>
      <w:r>
        <w:rPr>
          <w:bCs/>
          <w:b/>
        </w:rPr>
        <w:t xml:space="preserve">“</w:t>
      </w:r>
      <w:r>
        <w:rPr>
          <w:bCs/>
          <w:b/>
        </w:rPr>
        <w:t xml:space="preserve">regulation plus rate cuts = falling earnings</w:t>
      </w:r>
      <w:r>
        <w:rPr>
          <w:bCs/>
          <w:b/>
        </w:rPr>
        <w:t xml:space="preserve">”</w:t>
      </w:r>
      <w:r>
        <w:rPr>
          <w:bCs/>
          <w:b/>
        </w:rPr>
        <w:t xml:space="preserve">.</w:t>
      </w:r>
      <w:r>
        <w:t xml:space="preserve"> </w:t>
      </w:r>
      <w:r>
        <w:t xml:space="preserve">We think the market underestimates two things.</w:t>
      </w:r>
    </w:p>
    <w:p>
      <w:pPr>
        <w:numPr>
          <w:ilvl w:val="0"/>
          <w:numId w:val="1111"/>
        </w:numPr>
        <w:pStyle w:val="Compact"/>
      </w:pPr>
      <w:r>
        <w:rPr>
          <w:bCs/>
          <w:b/>
        </w:rPr>
        <w:t xml:space="preserve">1. Excess capital.</w:t>
      </w:r>
    </w:p>
    <w:p>
      <w:pPr>
        <w:numPr>
          <w:ilvl w:val="1"/>
          <w:numId w:val="1112"/>
        </w:numPr>
        <w:pStyle w:val="Compact"/>
      </w:pPr>
      <w:r>
        <w:t xml:space="preserve">Halyk runs a 19% CET1, all common equity, and a 16.5% equity/assets ratio. That is ~700bp over the regulatory minimum, roughly</w:t>
      </w:r>
      <w:r>
        <w:t xml:space="preserve"> </w:t>
      </w:r>
      <w:r>
        <w:rPr>
          <w:bCs/>
          <w:b/>
        </w:rPr>
        <w:t xml:space="preserve">KZT800–900bn of surplus capital [e] (~20% of market cap)</w:t>
      </w:r>
      <w:r>
        <w:t xml:space="preserve">, even after the new buffers.</w:t>
      </w:r>
    </w:p>
    <w:p>
      <w:pPr>
        <w:numPr>
          <w:ilvl w:val="1"/>
          <w:numId w:val="1112"/>
        </w:numPr>
        <w:pStyle w:val="Compact"/>
      </w:pPr>
      <w:r>
        <w:t xml:space="preserve">Kazakhstan’s rules, not economics, keep it on the balance sheet.</w:t>
      </w:r>
    </w:p>
    <w:p>
      <w:pPr>
        <w:numPr>
          <w:ilvl w:val="1"/>
          <w:numId w:val="1112"/>
        </w:numPr>
        <w:pStyle w:val="Compact"/>
      </w:pPr>
      <w:r>
        <w:t xml:space="preserve">If ALMEX wants to sell down to 51% at good prices, the best tool is a</w:t>
      </w:r>
      <w:r>
        <w:t xml:space="preserve"> </w:t>
      </w:r>
      <w:r>
        <w:rPr>
          <w:bCs/>
          <w:b/>
        </w:rPr>
        <w:t xml:space="preserve">special dividend or tender</w:t>
      </w:r>
      <w:r>
        <w:t xml:space="preserve"> </w:t>
      </w:r>
      <w:r>
        <w:t xml:space="preserve">that returns surplus capital (ALMEX gets 62% of it).</w:t>
      </w:r>
    </w:p>
    <w:p>
      <w:pPr>
        <w:numPr>
          <w:ilvl w:val="1"/>
          <w:numId w:val="1112"/>
        </w:numPr>
        <w:pStyle w:val="Compact"/>
      </w:pPr>
      <w:r>
        <w:t xml:space="preserve">The contrarian bull scenario is a capital-return event, not an earnings recovery.</w:t>
      </w:r>
    </w:p>
    <w:p>
      <w:pPr>
        <w:numPr>
          <w:ilvl w:val="0"/>
          <w:numId w:val="1111"/>
        </w:numPr>
        <w:pStyle w:val="Compact"/>
      </w:pPr>
      <w:r>
        <w:rPr>
          <w:bCs/>
          <w:b/>
        </w:rPr>
        <w:t xml:space="preserve">2. The market extrapolates the 30%+ ROE era into the cost of equity, not into the earnings.</w:t>
      </w:r>
    </w:p>
    <w:p>
      <w:pPr>
        <w:numPr>
          <w:ilvl w:val="1"/>
          <w:numId w:val="1113"/>
        </w:numPr>
        <w:pStyle w:val="Compact"/>
      </w:pPr>
      <w:r>
        <w:t xml:space="preserve">At 1.08x book the market implies a sustainable ROE of only ~20% at a 19.5% cost of equity.</w:t>
      </w:r>
    </w:p>
    <w:p>
      <w:pPr>
        <w:numPr>
          <w:ilvl w:val="1"/>
          <w:numId w:val="1113"/>
        </w:numPr>
        <w:pStyle w:val="Compact"/>
      </w:pPr>
      <w:r>
        <w:t xml:space="preserve">Even our</w:t>
      </w:r>
      <w:r>
        <w:t xml:space="preserve"> </w:t>
      </w:r>
      <w:r>
        <w:t xml:space="preserve">“</w:t>
      </w:r>
      <w:r>
        <w:t xml:space="preserve">trough</w:t>
      </w:r>
      <w:r>
        <w:t xml:space="preserve">”</w:t>
      </w:r>
      <w:r>
        <w:t xml:space="preserve"> </w:t>
      </w:r>
      <w:r>
        <w:t xml:space="preserve">ROE is 24–25%.</w:t>
      </w:r>
    </w:p>
    <w:p>
      <w:pPr>
        <w:numPr>
          <w:ilvl w:val="0"/>
          <w:numId w:val="1111"/>
        </w:numPr>
        <w:pStyle w:val="Compact"/>
      </w:pPr>
      <w:r>
        <w:rPr>
          <w:bCs/>
          <w:b/>
        </w:rPr>
        <w:t xml:space="preserve">The contrarian bear view (also under-discussed).</w:t>
      </w:r>
    </w:p>
    <w:p>
      <w:pPr>
        <w:numPr>
          <w:ilvl w:val="1"/>
          <w:numId w:val="1114"/>
        </w:numPr>
        <w:pStyle w:val="Compact"/>
      </w:pPr>
      <w:r>
        <w:t xml:space="preserve">The real risk is not Kaspi but</w:t>
      </w:r>
      <w:r>
        <w:t xml:space="preserve"> </w:t>
      </w:r>
      <w:r>
        <w:rPr>
          <w:bCs/>
          <w:b/>
        </w:rPr>
        <w:t xml:space="preserve">policy</w:t>
      </w:r>
      <w:r>
        <w:t xml:space="preserve">. A state that introduced a one-year excess-profit tax in 2025 can introduce a permanent one.</w:t>
      </w:r>
    </w:p>
    <w:p>
      <w:pPr>
        <w:numPr>
          <w:ilvl w:val="1"/>
          <w:numId w:val="1114"/>
        </w:numPr>
        <w:pStyle w:val="Compact"/>
      </w:pPr>
      <w:r>
        <w:t xml:space="preserve">The asset-recovery commission includes one of Halyk’s own independent directors. The owners’ political protection is narrower than in the Nazarbayev era.</w:t>
      </w:r>
    </w:p>
    <w:p>
      <w:pPr>
        <w:numPr>
          <w:ilvl w:val="1"/>
          <w:numId w:val="1114"/>
        </w:numPr>
        <w:pStyle w:val="Compact"/>
      </w:pPr>
      <w:r>
        <w:rPr>
          <w:bCs/>
          <w:b/>
        </w:rPr>
        <w:t xml:space="preserve">That is why we size this as medium conviction and accumulate on overhang events rather than chase.</w:t>
      </w:r>
    </w:p>
    <w:bookmarkEnd w:id="110"/>
    <w:bookmarkEnd w:id="111"/>
    <w:bookmarkStart w:id="115" w:name="scenario-analysis"/>
    <w:p>
      <w:pPr>
        <w:pStyle w:val="Heading1"/>
      </w:pPr>
      <w:r>
        <w:t xml:space="preserve">Scenario analysis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3288"/>
        <w:gridCol w:w="2109"/>
        <w:gridCol w:w="2229"/>
        <w:gridCol w:w="2350"/>
      </w:tblGrid>
      <w:tr>
        <w:trPr>
          <w:tblHeader w:val="true"/>
          <w:cantSplit/>
          <w:tblHeader w:val="true"/>
        </w:trPr>
        <w:tc>
          <w:tcPr>
            <w:tcW w:w="3288" w:type="dxa"/>
            <w:shd w:val="clear" w:color="auto" w:fill="13213F"/>
          </w:tcPr>
          <w:p>
            <w:pPr>
              <w:pStyle w:val="Compact"/>
              <w:spacing w:before="0" w:after="0" w:line="240" w:lineRule="auto"/>
              <w:jc w:val="left"/>
            </w:pPr>
            <w:r>
              <w:rPr>
                <w:rFonts w:ascii="Arial" w:hAnsi="Arial"/>
                <w:b/>
                <w:color w:val="FFFFFF"/>
                <w:sz w:val="15"/>
              </w:rPr>
              <w:t xml:space="preserve">Assumption (12-month view, 2027E basis)</w:t>
            </w:r>
          </w:p>
        </w:tc>
        <w:tc>
          <w:tcPr>
            <w:tcW w:w="2109" w:type="dxa"/>
            <w:shd w:val="clear" w:color="auto" w:fill="13213F"/>
          </w:tcPr>
          <w:p>
            <w:pPr>
              <w:pStyle w:val="Compact"/>
              <w:spacing w:before="0" w:after="0" w:line="240" w:lineRule="auto"/>
              <w:jc w:val="left"/>
            </w:pPr>
            <w:r>
              <w:rPr>
                <w:rFonts w:ascii="Arial" w:hAnsi="Arial"/>
                <w:b/>
                <w:color w:val="FFFFFF"/>
                <w:sz w:val="15"/>
              </w:rPr>
              <w:t xml:space="preserve">Bear (25%)</w:t>
            </w:r>
          </w:p>
        </w:tc>
        <w:tc>
          <w:tcPr>
            <w:tcW w:w="2229" w:type="dxa"/>
            <w:shd w:val="clear" w:color="auto" w:fill="13213F"/>
          </w:tcPr>
          <w:p>
            <w:pPr>
              <w:pStyle w:val="Compact"/>
              <w:spacing w:before="0" w:after="0" w:line="240" w:lineRule="auto"/>
              <w:jc w:val="left"/>
            </w:pPr>
            <w:r>
              <w:rPr>
                <w:rFonts w:ascii="Arial" w:hAnsi="Arial"/>
                <w:b/>
                <w:color w:val="FFFFFF"/>
                <w:sz w:val="15"/>
              </w:rPr>
              <w:t xml:space="preserve">Base (50%)</w:t>
            </w:r>
          </w:p>
        </w:tc>
        <w:tc>
          <w:tcPr>
            <w:tcW w:w="2350" w:type="dxa"/>
            <w:shd w:val="clear" w:color="auto" w:fill="13213F"/>
          </w:tcPr>
          <w:p>
            <w:pPr>
              <w:pStyle w:val="Compact"/>
              <w:spacing w:before="0" w:after="0" w:line="240" w:lineRule="auto"/>
              <w:jc w:val="left"/>
            </w:pPr>
            <w:r>
              <w:rPr>
                <w:rFonts w:ascii="Arial" w:hAnsi="Arial"/>
                <w:b/>
                <w:color w:val="FFFFFF"/>
                <w:sz w:val="15"/>
              </w:rPr>
              <w:t xml:space="preserve">Bull (25%)</w:t>
            </w:r>
          </w:p>
        </w:tc>
      </w:tr>
      <w:tr>
        <w:trPr>
          <w:cantSplit/>
        </w:trPr>
        <w:tc>
          <w:tcPr>
            <w:tcW w:w="3288" w:type="dxa"/>
          </w:tcPr>
          <w:p>
            <w:pPr>
              <w:pStyle w:val="Compact"/>
              <w:spacing w:before="0" w:after="0" w:line="240" w:lineRule="auto"/>
              <w:jc w:val="left"/>
            </w:pPr>
            <w:r>
              <w:rPr>
                <w:rFonts w:ascii="Arial" w:hAnsi="Arial"/>
                <w:sz w:val="15"/>
              </w:rPr>
              <w:t xml:space="preserve">Net loan growth 2027</w:t>
            </w:r>
          </w:p>
        </w:tc>
        <w:tc>
          <w:tcPr>
            <w:tcW w:w="2109" w:type="dxa"/>
          </w:tcPr>
          <w:p>
            <w:pPr>
              <w:pStyle w:val="Compact"/>
              <w:spacing w:before="0" w:after="0" w:line="240" w:lineRule="auto"/>
              <w:jc w:val="left"/>
            </w:pPr>
            <w:r>
              <w:rPr>
                <w:rFonts w:ascii="Arial" w:hAnsi="Arial"/>
                <w:sz w:val="15"/>
              </w:rPr>
              <w:t xml:space="preserve">+5%</w:t>
            </w:r>
          </w:p>
        </w:tc>
        <w:tc>
          <w:tcPr>
            <w:tcW w:w="2229" w:type="dxa"/>
          </w:tcPr>
          <w:p>
            <w:pPr>
              <w:pStyle w:val="Compact"/>
              <w:spacing w:before="0" w:after="0" w:line="240" w:lineRule="auto"/>
              <w:jc w:val="left"/>
            </w:pPr>
            <w:r>
              <w:rPr>
                <w:rFonts w:ascii="Arial" w:hAnsi="Arial"/>
                <w:sz w:val="15"/>
              </w:rPr>
              <w:t xml:space="preserve">+11%</w:t>
            </w:r>
          </w:p>
        </w:tc>
        <w:tc>
          <w:tcPr>
            <w:tcW w:w="2350" w:type="dxa"/>
          </w:tcPr>
          <w:p>
            <w:pPr>
              <w:pStyle w:val="Compact"/>
              <w:spacing w:before="0" w:after="0" w:line="240" w:lineRule="auto"/>
              <w:jc w:val="left"/>
            </w:pPr>
            <w:r>
              <w:rPr>
                <w:rFonts w:ascii="Arial" w:hAnsi="Arial"/>
                <w:sz w:val="15"/>
              </w:rPr>
              <w:t xml:space="preserve">+14%</w:t>
            </w:r>
          </w:p>
        </w:tc>
      </w:tr>
      <w:tr>
        <w:trPr>
          <w:cantSplit/>
        </w:trPr>
        <w:tc>
          <w:tcPr>
            <w:tcW w:w="3288" w:type="dxa"/>
          </w:tcPr>
          <w:p>
            <w:pPr>
              <w:pStyle w:val="Compact"/>
              <w:spacing w:before="0" w:after="0" w:line="240" w:lineRule="auto"/>
              <w:jc w:val="left"/>
            </w:pPr>
            <w:r>
              <w:rPr>
                <w:rFonts w:ascii="Arial" w:hAnsi="Arial"/>
                <w:sz w:val="15"/>
              </w:rPr>
              <w:t xml:space="preserve">NIM 2027</w:t>
            </w:r>
          </w:p>
        </w:tc>
        <w:tc>
          <w:tcPr>
            <w:tcW w:w="2109" w:type="dxa"/>
          </w:tcPr>
          <w:p>
            <w:pPr>
              <w:pStyle w:val="Compact"/>
              <w:spacing w:before="0" w:after="0" w:line="240" w:lineRule="auto"/>
              <w:jc w:val="left"/>
            </w:pPr>
            <w:r>
              <w:rPr>
                <w:rFonts w:ascii="Arial" w:hAnsi="Arial"/>
                <w:sz w:val="15"/>
              </w:rPr>
              <w:t xml:space="preserve">6.1%</w:t>
            </w:r>
          </w:p>
        </w:tc>
        <w:tc>
          <w:tcPr>
            <w:tcW w:w="2229" w:type="dxa"/>
          </w:tcPr>
          <w:p>
            <w:pPr>
              <w:pStyle w:val="Compact"/>
              <w:spacing w:before="0" w:after="0" w:line="240" w:lineRule="auto"/>
              <w:jc w:val="left"/>
            </w:pPr>
            <w:r>
              <w:rPr>
                <w:rFonts w:ascii="Arial" w:hAnsi="Arial"/>
                <w:sz w:val="15"/>
              </w:rPr>
              <w:t xml:space="preserve">6.5%</w:t>
            </w:r>
          </w:p>
        </w:tc>
        <w:tc>
          <w:tcPr>
            <w:tcW w:w="2350" w:type="dxa"/>
          </w:tcPr>
          <w:p>
            <w:pPr>
              <w:pStyle w:val="Compact"/>
              <w:spacing w:before="0" w:after="0" w:line="240" w:lineRule="auto"/>
              <w:jc w:val="left"/>
            </w:pPr>
            <w:r>
              <w:rPr>
                <w:rFonts w:ascii="Arial" w:hAnsi="Arial"/>
                <w:sz w:val="15"/>
              </w:rPr>
              <w:t xml:space="preserve">6.9%</w:t>
            </w:r>
          </w:p>
        </w:tc>
      </w:tr>
      <w:tr>
        <w:trPr>
          <w:cantSplit/>
        </w:trPr>
        <w:tc>
          <w:tcPr>
            <w:tcW w:w="3288" w:type="dxa"/>
          </w:tcPr>
          <w:p>
            <w:pPr>
              <w:pStyle w:val="Compact"/>
              <w:spacing w:before="0" w:after="0" w:line="240" w:lineRule="auto"/>
              <w:jc w:val="left"/>
            </w:pPr>
            <w:r>
              <w:rPr>
                <w:rFonts w:ascii="Arial" w:hAnsi="Arial"/>
                <w:sz w:val="15"/>
              </w:rPr>
              <w:t xml:space="preserve">Cost of risk</w:t>
            </w:r>
          </w:p>
        </w:tc>
        <w:tc>
          <w:tcPr>
            <w:tcW w:w="2109" w:type="dxa"/>
          </w:tcPr>
          <w:p>
            <w:pPr>
              <w:pStyle w:val="Compact"/>
              <w:spacing w:before="0" w:after="0" w:line="240" w:lineRule="auto"/>
              <w:jc w:val="left"/>
            </w:pPr>
            <w:r>
              <w:rPr>
                <w:rFonts w:ascii="Arial" w:hAnsi="Arial"/>
                <w:sz w:val="15"/>
              </w:rPr>
              <w:t xml:space="preserve">2.1%</w:t>
            </w:r>
          </w:p>
        </w:tc>
        <w:tc>
          <w:tcPr>
            <w:tcW w:w="2229" w:type="dxa"/>
          </w:tcPr>
          <w:p>
            <w:pPr>
              <w:pStyle w:val="Compact"/>
              <w:spacing w:before="0" w:after="0" w:line="240" w:lineRule="auto"/>
              <w:jc w:val="left"/>
            </w:pPr>
            <w:r>
              <w:rPr>
                <w:rFonts w:ascii="Arial" w:hAnsi="Arial"/>
                <w:sz w:val="15"/>
              </w:rPr>
              <w:t xml:space="preserve">1.5%</w:t>
            </w:r>
          </w:p>
        </w:tc>
        <w:tc>
          <w:tcPr>
            <w:tcW w:w="2350" w:type="dxa"/>
          </w:tcPr>
          <w:p>
            <w:pPr>
              <w:pStyle w:val="Compact"/>
              <w:spacing w:before="0" w:after="0" w:line="240" w:lineRule="auto"/>
              <w:jc w:val="left"/>
            </w:pPr>
            <w:r>
              <w:rPr>
                <w:rFonts w:ascii="Arial" w:hAnsi="Arial"/>
                <w:sz w:val="15"/>
              </w:rPr>
              <w:t xml:space="preserve">1.2%</w:t>
            </w:r>
          </w:p>
        </w:tc>
      </w:tr>
      <w:tr>
        <w:trPr>
          <w:cantSplit/>
        </w:trPr>
        <w:tc>
          <w:tcPr>
            <w:tcW w:w="3288" w:type="dxa"/>
            <w:shd w:val="clear" w:color="auto" w:fill="F2F4F8"/>
          </w:tcPr>
          <w:p>
            <w:pPr>
              <w:pStyle w:val="Compact"/>
              <w:spacing w:before="0" w:after="0" w:line="240" w:lineRule="auto"/>
              <w:jc w:val="left"/>
            </w:pPr>
            <w:r>
              <w:rPr>
                <w:rFonts w:ascii="Arial" w:hAnsi="Arial"/>
                <w:sz w:val="15"/>
              </w:rPr>
              <w:t xml:space="preserve">Net income 2027E (KZT bn)</w:t>
            </w:r>
          </w:p>
        </w:tc>
        <w:tc>
          <w:tcPr>
            <w:tcW w:w="2109" w:type="dxa"/>
            <w:shd w:val="clear" w:color="auto" w:fill="F2F4F8"/>
          </w:tcPr>
          <w:p>
            <w:pPr>
              <w:pStyle w:val="Compact"/>
              <w:spacing w:before="0" w:after="0" w:line="240" w:lineRule="auto"/>
              <w:jc w:val="left"/>
            </w:pPr>
            <w:r>
              <w:rPr>
                <w:rFonts w:ascii="Arial" w:hAnsi="Arial"/>
                <w:sz w:val="15"/>
              </w:rPr>
              <w:t xml:space="preserve">800</w:t>
            </w:r>
          </w:p>
        </w:tc>
        <w:tc>
          <w:tcPr>
            <w:tcW w:w="2229" w:type="dxa"/>
            <w:shd w:val="clear" w:color="auto" w:fill="F2F4F8"/>
          </w:tcPr>
          <w:p>
            <w:pPr>
              <w:pStyle w:val="Compact"/>
              <w:spacing w:before="0" w:after="0" w:line="240" w:lineRule="auto"/>
              <w:jc w:val="left"/>
            </w:pPr>
            <w:r>
              <w:rPr>
                <w:rFonts w:ascii="Arial" w:hAnsi="Arial"/>
                <w:sz w:val="15"/>
              </w:rPr>
              <w:t xml:space="preserve">984</w:t>
            </w:r>
          </w:p>
        </w:tc>
        <w:tc>
          <w:tcPr>
            <w:tcW w:w="2350" w:type="dxa"/>
            <w:shd w:val="clear" w:color="auto" w:fill="F2F4F8"/>
          </w:tcPr>
          <w:p>
            <w:pPr>
              <w:pStyle w:val="Compact"/>
              <w:spacing w:before="0" w:after="0" w:line="240" w:lineRule="auto"/>
              <w:jc w:val="left"/>
            </w:pPr>
            <w:r>
              <w:rPr>
                <w:rFonts w:ascii="Arial" w:hAnsi="Arial"/>
                <w:sz w:val="15"/>
              </w:rPr>
              <w:t xml:space="preserve">1,120</w:t>
            </w:r>
          </w:p>
        </w:tc>
      </w:tr>
      <w:tr>
        <w:trPr>
          <w:cantSplit/>
        </w:trPr>
        <w:tc>
          <w:tcPr>
            <w:tcW w:w="3288" w:type="dxa"/>
          </w:tcPr>
          <w:p>
            <w:pPr>
              <w:pStyle w:val="Compact"/>
              <w:spacing w:before="0" w:after="0" w:line="240" w:lineRule="auto"/>
              <w:jc w:val="left"/>
            </w:pPr>
            <w:r>
              <w:rPr>
                <w:rFonts w:ascii="Arial" w:hAnsi="Arial"/>
                <w:sz w:val="15"/>
              </w:rPr>
              <w:t xml:space="preserve">EPS 2027E (KZT)</w:t>
            </w:r>
          </w:p>
        </w:tc>
        <w:tc>
          <w:tcPr>
            <w:tcW w:w="2109" w:type="dxa"/>
          </w:tcPr>
          <w:p>
            <w:pPr>
              <w:pStyle w:val="Compact"/>
              <w:spacing w:before="0" w:after="0" w:line="240" w:lineRule="auto"/>
              <w:jc w:val="left"/>
            </w:pPr>
            <w:r>
              <w:rPr>
                <w:rFonts w:ascii="Arial" w:hAnsi="Arial"/>
                <w:sz w:val="15"/>
              </w:rPr>
              <w:t xml:space="preserve">73</w:t>
            </w:r>
          </w:p>
        </w:tc>
        <w:tc>
          <w:tcPr>
            <w:tcW w:w="2229" w:type="dxa"/>
          </w:tcPr>
          <w:p>
            <w:pPr>
              <w:pStyle w:val="Compact"/>
              <w:spacing w:before="0" w:after="0" w:line="240" w:lineRule="auto"/>
              <w:jc w:val="left"/>
            </w:pPr>
            <w:r>
              <w:rPr>
                <w:rFonts w:ascii="Arial" w:hAnsi="Arial"/>
                <w:sz w:val="15"/>
              </w:rPr>
              <w:t xml:space="preserve">90</w:t>
            </w:r>
          </w:p>
        </w:tc>
        <w:tc>
          <w:tcPr>
            <w:tcW w:w="2350" w:type="dxa"/>
          </w:tcPr>
          <w:p>
            <w:pPr>
              <w:pStyle w:val="Compact"/>
              <w:spacing w:before="0" w:after="0" w:line="240" w:lineRule="auto"/>
              <w:jc w:val="left"/>
            </w:pPr>
            <w:r>
              <w:rPr>
                <w:rFonts w:ascii="Arial" w:hAnsi="Arial"/>
                <w:sz w:val="15"/>
              </w:rPr>
              <w:t xml:space="preserve">103</w:t>
            </w:r>
          </w:p>
        </w:tc>
      </w:tr>
      <w:tr>
        <w:trPr>
          <w:cantSplit/>
        </w:trPr>
        <w:tc>
          <w:tcPr>
            <w:tcW w:w="3288" w:type="dxa"/>
          </w:tcPr>
          <w:p>
            <w:pPr>
              <w:pStyle w:val="Compact"/>
              <w:spacing w:before="0" w:after="0" w:line="240" w:lineRule="auto"/>
              <w:jc w:val="left"/>
            </w:pPr>
            <w:r>
              <w:rPr>
                <w:rFonts w:ascii="Arial" w:hAnsi="Arial"/>
                <w:sz w:val="15"/>
              </w:rPr>
              <w:t xml:space="preserve">ROE</w:t>
            </w:r>
          </w:p>
        </w:tc>
        <w:tc>
          <w:tcPr>
            <w:tcW w:w="2109" w:type="dxa"/>
          </w:tcPr>
          <w:p>
            <w:pPr>
              <w:pStyle w:val="Compact"/>
              <w:spacing w:before="0" w:after="0" w:line="240" w:lineRule="auto"/>
              <w:jc w:val="left"/>
            </w:pPr>
            <w:r>
              <w:rPr>
                <w:rFonts w:ascii="Arial" w:hAnsi="Arial"/>
                <w:sz w:val="15"/>
              </w:rPr>
              <w:t xml:space="preserve">~20%</w:t>
            </w:r>
          </w:p>
        </w:tc>
        <w:tc>
          <w:tcPr>
            <w:tcW w:w="2229" w:type="dxa"/>
          </w:tcPr>
          <w:p>
            <w:pPr>
              <w:pStyle w:val="Compact"/>
              <w:spacing w:before="0" w:after="0" w:line="240" w:lineRule="auto"/>
              <w:jc w:val="left"/>
            </w:pPr>
            <w:r>
              <w:rPr>
                <w:rFonts w:ascii="Arial" w:hAnsi="Arial"/>
                <w:sz w:val="15"/>
              </w:rPr>
              <w:t xml:space="preserve">24.5%</w:t>
            </w:r>
          </w:p>
        </w:tc>
        <w:tc>
          <w:tcPr>
            <w:tcW w:w="2350" w:type="dxa"/>
          </w:tcPr>
          <w:p>
            <w:pPr>
              <w:pStyle w:val="Compact"/>
              <w:spacing w:before="0" w:after="0" w:line="240" w:lineRule="auto"/>
              <w:jc w:val="left"/>
            </w:pPr>
            <w:r>
              <w:rPr>
                <w:rFonts w:ascii="Arial" w:hAnsi="Arial"/>
                <w:sz w:val="15"/>
              </w:rPr>
              <w:t xml:space="preserve">~27%</w:t>
            </w:r>
          </w:p>
        </w:tc>
      </w:tr>
      <w:tr>
        <w:trPr>
          <w:cantSplit/>
        </w:trPr>
        <w:tc>
          <w:tcPr>
            <w:tcW w:w="3288" w:type="dxa"/>
          </w:tcPr>
          <w:p>
            <w:pPr>
              <w:pStyle w:val="Compact"/>
              <w:spacing w:before="0" w:after="0" w:line="240" w:lineRule="auto"/>
              <w:jc w:val="left"/>
            </w:pPr>
            <w:r>
              <w:rPr>
                <w:rFonts w:ascii="Arial" w:hAnsi="Arial"/>
                <w:sz w:val="15"/>
              </w:rPr>
              <w:t xml:space="preserve">Payout / DPS FY26</w:t>
            </w:r>
          </w:p>
        </w:tc>
        <w:tc>
          <w:tcPr>
            <w:tcW w:w="2109" w:type="dxa"/>
          </w:tcPr>
          <w:p>
            <w:pPr>
              <w:pStyle w:val="Compact"/>
              <w:spacing w:before="0" w:after="0" w:line="240" w:lineRule="auto"/>
              <w:jc w:val="left"/>
            </w:pPr>
            <w:r>
              <w:rPr>
                <w:rFonts w:ascii="Arial" w:hAnsi="Arial"/>
                <w:sz w:val="15"/>
              </w:rPr>
              <w:t xml:space="preserve">50% / ~KZT37</w:t>
            </w:r>
          </w:p>
        </w:tc>
        <w:tc>
          <w:tcPr>
            <w:tcW w:w="2229" w:type="dxa"/>
          </w:tcPr>
          <w:p>
            <w:pPr>
              <w:pStyle w:val="Compact"/>
              <w:spacing w:before="0" w:after="0" w:line="240" w:lineRule="auto"/>
              <w:jc w:val="left"/>
            </w:pPr>
            <w:r>
              <w:rPr>
                <w:rFonts w:ascii="Arial" w:hAnsi="Arial"/>
                <w:sz w:val="15"/>
              </w:rPr>
              <w:t xml:space="preserve">60% / KZT49.5</w:t>
            </w:r>
          </w:p>
        </w:tc>
        <w:tc>
          <w:tcPr>
            <w:tcW w:w="2350" w:type="dxa"/>
          </w:tcPr>
          <w:p>
            <w:pPr>
              <w:pStyle w:val="Compact"/>
              <w:spacing w:before="0" w:after="0" w:line="240" w:lineRule="auto"/>
              <w:jc w:val="left"/>
            </w:pPr>
            <w:r>
              <w:rPr>
                <w:rFonts w:ascii="Arial" w:hAnsi="Arial"/>
                <w:sz w:val="15"/>
              </w:rPr>
              <w:t xml:space="preserve">65% + special / ~KZT60+</w:t>
            </w:r>
          </w:p>
        </w:tc>
      </w:tr>
      <w:tr>
        <w:trPr>
          <w:cantSplit/>
        </w:trPr>
        <w:tc>
          <w:tcPr>
            <w:tcW w:w="3288" w:type="dxa"/>
          </w:tcPr>
          <w:p>
            <w:pPr>
              <w:pStyle w:val="Compact"/>
              <w:spacing w:before="0" w:after="0" w:line="240" w:lineRule="auto"/>
              <w:jc w:val="left"/>
            </w:pPr>
            <w:r>
              <w:rPr>
                <w:rFonts w:ascii="Arial" w:hAnsi="Arial"/>
                <w:sz w:val="15"/>
              </w:rPr>
              <w:t xml:space="preserve">Exit multiple</w:t>
            </w:r>
          </w:p>
        </w:tc>
        <w:tc>
          <w:tcPr>
            <w:tcW w:w="2109" w:type="dxa"/>
          </w:tcPr>
          <w:p>
            <w:pPr>
              <w:pStyle w:val="Compact"/>
              <w:spacing w:before="0" w:after="0" w:line="240" w:lineRule="auto"/>
              <w:jc w:val="left"/>
            </w:pPr>
            <w:r>
              <w:rPr>
                <w:rFonts w:ascii="Arial" w:hAnsi="Arial"/>
                <w:sz w:val="15"/>
              </w:rPr>
              <w:t xml:space="preserve">0.85x P/B (4.2x P/E)</w:t>
            </w:r>
          </w:p>
        </w:tc>
        <w:tc>
          <w:tcPr>
            <w:tcW w:w="2229" w:type="dxa"/>
          </w:tcPr>
          <w:p>
            <w:pPr>
              <w:pStyle w:val="Compact"/>
              <w:spacing w:before="0" w:after="0" w:line="240" w:lineRule="auto"/>
              <w:jc w:val="left"/>
            </w:pPr>
            <w:r>
              <w:rPr>
                <w:rFonts w:ascii="Arial" w:hAnsi="Arial"/>
                <w:sz w:val="15"/>
              </w:rPr>
              <w:t xml:space="preserve">1.14x P/B (4.9x P/E)</w:t>
            </w:r>
          </w:p>
        </w:tc>
        <w:tc>
          <w:tcPr>
            <w:tcW w:w="2350" w:type="dxa"/>
          </w:tcPr>
          <w:p>
            <w:pPr>
              <w:pStyle w:val="Compact"/>
              <w:spacing w:before="0" w:after="0" w:line="240" w:lineRule="auto"/>
              <w:jc w:val="left"/>
            </w:pPr>
            <w:r>
              <w:rPr>
                <w:rFonts w:ascii="Arial" w:hAnsi="Arial"/>
                <w:sz w:val="15"/>
              </w:rPr>
              <w:t xml:space="preserve">1.6x P/B (6.2x P/E)</w:t>
            </w:r>
          </w:p>
        </w:tc>
      </w:tr>
      <w:tr>
        <w:trPr>
          <w:cantSplit/>
        </w:trPr>
        <w:tc>
          <w:tcPr>
            <w:tcW w:w="3288" w:type="dxa"/>
          </w:tcPr>
          <w:p>
            <w:pPr>
              <w:pStyle w:val="Compact"/>
              <w:spacing w:before="0" w:after="0" w:line="240" w:lineRule="auto"/>
              <w:jc w:val="left"/>
            </w:pPr>
            <w:r>
              <w:rPr>
                <w:rFonts w:ascii="Arial" w:hAnsi="Arial"/>
                <w:sz w:val="15"/>
              </w:rPr>
              <w:t xml:space="preserve">USD/KZT</w:t>
            </w:r>
          </w:p>
        </w:tc>
        <w:tc>
          <w:tcPr>
            <w:tcW w:w="2109" w:type="dxa"/>
          </w:tcPr>
          <w:p>
            <w:pPr>
              <w:pStyle w:val="Compact"/>
              <w:spacing w:before="0" w:after="0" w:line="240" w:lineRule="auto"/>
              <w:jc w:val="left"/>
            </w:pPr>
            <w:r>
              <w:rPr>
                <w:rFonts w:ascii="Arial" w:hAnsi="Arial"/>
                <w:sz w:val="15"/>
              </w:rPr>
              <w:t xml:space="preserve">520</w:t>
            </w:r>
          </w:p>
        </w:tc>
        <w:tc>
          <w:tcPr>
            <w:tcW w:w="2229" w:type="dxa"/>
          </w:tcPr>
          <w:p>
            <w:pPr>
              <w:pStyle w:val="Compact"/>
              <w:spacing w:before="0" w:after="0" w:line="240" w:lineRule="auto"/>
              <w:jc w:val="left"/>
            </w:pPr>
            <w:r>
              <w:rPr>
                <w:rFonts w:ascii="Arial" w:hAnsi="Arial"/>
                <w:sz w:val="15"/>
              </w:rPr>
              <w:t xml:space="preserve">465</w:t>
            </w:r>
          </w:p>
        </w:tc>
        <w:tc>
          <w:tcPr>
            <w:tcW w:w="2350" w:type="dxa"/>
          </w:tcPr>
          <w:p>
            <w:pPr>
              <w:pStyle w:val="Compact"/>
              <w:spacing w:before="0" w:after="0" w:line="240" w:lineRule="auto"/>
              <w:jc w:val="left"/>
            </w:pPr>
            <w:r>
              <w:rPr>
                <w:rFonts w:ascii="Arial" w:hAnsi="Arial"/>
                <w:sz w:val="15"/>
              </w:rPr>
              <w:t xml:space="preserve">450</w:t>
            </w:r>
          </w:p>
        </w:tc>
      </w:tr>
      <w:tr>
        <w:trPr>
          <w:cantSplit/>
        </w:trPr>
        <w:tc>
          <w:tcPr>
            <w:tcW w:w="3288" w:type="dxa"/>
          </w:tcPr>
          <w:p>
            <w:pPr>
              <w:pStyle w:val="Compact"/>
              <w:spacing w:before="0" w:after="0" w:line="240" w:lineRule="auto"/>
              <w:jc w:val="left"/>
            </w:pPr>
            <w:r>
              <w:rPr>
                <w:bCs/>
                <w:rFonts w:ascii="Arial" w:hAnsi="Arial"/>
                <w:b/>
                <w:sz w:val="15"/>
              </w:rPr>
              <w:t xml:space="preserve">Value per GDR</w:t>
            </w:r>
          </w:p>
        </w:tc>
        <w:tc>
          <w:tcPr>
            <w:tcW w:w="2109" w:type="dxa"/>
          </w:tcPr>
          <w:p>
            <w:pPr>
              <w:pStyle w:val="Compact"/>
              <w:spacing w:before="0" w:after="0" w:line="240" w:lineRule="auto"/>
              <w:jc w:val="left"/>
            </w:pPr>
            <w:r>
              <w:rPr>
                <w:bCs/>
                <w:rFonts w:ascii="Arial" w:hAnsi="Arial"/>
                <w:b/>
                <w:sz w:val="15"/>
              </w:rPr>
              <w:t xml:space="preserve">US$23.5 (−29%)</w:t>
            </w:r>
          </w:p>
        </w:tc>
        <w:tc>
          <w:tcPr>
            <w:tcW w:w="2229" w:type="dxa"/>
          </w:tcPr>
          <w:p>
            <w:pPr>
              <w:pStyle w:val="Compact"/>
              <w:spacing w:before="0" w:after="0" w:line="240" w:lineRule="auto"/>
              <w:jc w:val="left"/>
            </w:pPr>
            <w:r>
              <w:rPr>
                <w:bCs/>
                <w:rFonts w:ascii="Arial" w:hAnsi="Arial"/>
                <w:b/>
                <w:sz w:val="15"/>
              </w:rPr>
              <w:t xml:space="preserve">US$38.0 (+14%)</w:t>
            </w:r>
          </w:p>
        </w:tc>
        <w:tc>
          <w:tcPr>
            <w:tcW w:w="2350" w:type="dxa"/>
          </w:tcPr>
          <w:p>
            <w:pPr>
              <w:pStyle w:val="Compact"/>
              <w:spacing w:before="0" w:after="0" w:line="240" w:lineRule="auto"/>
              <w:jc w:val="left"/>
            </w:pPr>
            <w:r>
              <w:rPr>
                <w:bCs/>
                <w:rFonts w:ascii="Arial" w:hAnsi="Arial"/>
                <w:b/>
                <w:sz w:val="15"/>
              </w:rPr>
              <w:t xml:space="preserve">US$56.2 (+69%)</w:t>
            </w:r>
          </w:p>
        </w:tc>
      </w:tr>
      <w:tr>
        <w:trPr>
          <w:cantSplit/>
        </w:trPr>
        <w:tc>
          <w:tcPr>
            <w:tcW w:w="3288" w:type="dxa"/>
          </w:tcPr>
          <w:p>
            <w:pPr>
              <w:pStyle w:val="Compact"/>
              <w:spacing w:before="0" w:after="0" w:line="240" w:lineRule="auto"/>
              <w:jc w:val="left"/>
            </w:pPr>
            <w:r>
              <w:rPr>
                <w:rFonts w:ascii="Arial" w:hAnsi="Arial"/>
                <w:sz w:val="15"/>
              </w:rPr>
              <w:t xml:space="preserve">Plus 12-month dividends (US$)</w:t>
            </w:r>
          </w:p>
        </w:tc>
        <w:tc>
          <w:tcPr>
            <w:tcW w:w="2109" w:type="dxa"/>
          </w:tcPr>
          <w:p>
            <w:pPr>
              <w:pStyle w:val="Compact"/>
              <w:spacing w:before="0" w:after="0" w:line="240" w:lineRule="auto"/>
              <w:jc w:val="left"/>
            </w:pPr>
            <w:r>
              <w:rPr>
                <w:rFonts w:ascii="Arial" w:hAnsi="Arial"/>
                <w:sz w:val="15"/>
              </w:rPr>
              <w:t xml:space="preserve">~3.0</w:t>
            </w:r>
          </w:p>
        </w:tc>
        <w:tc>
          <w:tcPr>
            <w:tcW w:w="2229" w:type="dxa"/>
          </w:tcPr>
          <w:p>
            <w:pPr>
              <w:pStyle w:val="Compact"/>
              <w:spacing w:before="0" w:after="0" w:line="240" w:lineRule="auto"/>
              <w:jc w:val="left"/>
            </w:pPr>
            <w:r>
              <w:rPr>
                <w:rFonts w:ascii="Arial" w:hAnsi="Arial"/>
                <w:sz w:val="15"/>
              </w:rPr>
              <w:t xml:space="preserve">~4.3</w:t>
            </w:r>
          </w:p>
        </w:tc>
        <w:tc>
          <w:tcPr>
            <w:tcW w:w="2350" w:type="dxa"/>
          </w:tcPr>
          <w:p>
            <w:pPr>
              <w:pStyle w:val="Compact"/>
              <w:spacing w:before="0" w:after="0" w:line="240" w:lineRule="auto"/>
              <w:jc w:val="left"/>
            </w:pPr>
            <w:r>
              <w:rPr>
                <w:rFonts w:ascii="Arial" w:hAnsi="Arial"/>
                <w:sz w:val="15"/>
              </w:rPr>
              <w:t xml:space="preserve">~5.0+</w:t>
            </w:r>
          </w:p>
        </w:tc>
      </w:tr>
    </w:tbl>
    <w:p>
      <w:pPr>
        <w:pStyle w:val="CaptionedFigure"/>
      </w:pPr>
      <w:r>
        <w:drawing>
          <wp:inline>
            <wp:extent cx="5375910" cy="2868093"/>
            <wp:effectExtent b="0" l="0" r="0" t="0"/>
            <wp:docPr descr="Scenario values" title="" id="113" name="Picture"/>
            <a:graphic>
              <a:graphicData uri="http://schemas.openxmlformats.org/drawingml/2006/picture">
                <pic:pic>
                  <pic:nvPicPr>
                    <pic:cNvPr descr="HSBK_charts/scenarios.png" id="114" name="Picture"/>
                    <pic:cNvPicPr>
                      <a:picLocks noChangeArrowheads="1" noChangeAspect="1"/>
                    </pic:cNvPicPr>
                  </pic:nvPicPr>
                  <pic:blipFill>
                    <a:blip r:embed="rId112"/>
                    <a:stretch>
                      <a:fillRect/>
                    </a:stretch>
                  </pic:blipFill>
                  <pic:spPr bwMode="auto">
                    <a:xfrm>
                      <a:off x="0" y="0"/>
                      <a:ext cx="5375910" cy="2868093"/>
                    </a:xfrm>
                    <a:prstGeom prst="rect">
                      <a:avLst/>
                    </a:prstGeom>
                    <a:noFill/>
                    <a:ln w="9525">
                      <a:noFill/>
                      <a:headEnd/>
                      <a:tailEnd/>
                    </a:ln>
                  </pic:spPr>
                </pic:pic>
              </a:graphicData>
            </a:graphic>
          </wp:inline>
        </w:drawing>
      </w:r>
    </w:p>
    <w:p>
      <w:pPr>
        <w:pStyle w:val="ImageCaption"/>
      </w:pPr>
      <w:r>
        <w:t xml:space="preserve">Scenario values</w:t>
      </w:r>
    </w:p>
    <w:p>
      <w:pPr>
        <w:numPr>
          <w:ilvl w:val="0"/>
          <w:numId w:val="1115"/>
        </w:numPr>
        <w:pStyle w:val="Compact"/>
      </w:pPr>
      <w:r>
        <w:rPr>
          <w:bCs/>
          <w:b/>
        </w:rPr>
        <w:t xml:space="preserve">Probability-weighted value:</w:t>
      </w:r>
      <w:r>
        <w:t xml:space="preserve"> </w:t>
      </w:r>
      <w:r>
        <w:rPr>
          <w:bCs/>
          <w:b/>
        </w:rPr>
        <w:t xml:space="preserve">US$38.9 (+17%)</w:t>
      </w:r>
      <w:r>
        <w:t xml:space="preserve">, plus ~US$4.2 of dividends.</w:t>
      </w:r>
    </w:p>
    <w:p>
      <w:pPr>
        <w:numPr>
          <w:ilvl w:val="0"/>
          <w:numId w:val="1115"/>
        </w:numPr>
        <w:pStyle w:val="Compact"/>
      </w:pPr>
      <w:r>
        <w:rPr>
          <w:bCs/>
          <w:b/>
        </w:rPr>
        <w:t xml:space="preserve">The skew</w:t>
      </w:r>
      <w:r>
        <w:t xml:space="preserve"> </w:t>
      </w:r>
      <w:r>
        <w:t xml:space="preserve">is about 2.4:1 upside to downside in price terms. The dividend cushions the bear case: even there, a ~9% yield on today’s price.</w:t>
      </w:r>
    </w:p>
    <w:bookmarkEnd w:id="115"/>
    <w:bookmarkStart w:id="116" w:name="Xe2e1862c1462a40fd6b1bfdbfdf9bb59a9c0192"/>
    <w:p>
      <w:pPr>
        <w:pStyle w:val="Heading1"/>
      </w:pPr>
      <w:r>
        <w:t xml:space="preserve">Fifteen questions for the CEO and Chairman (ordered by information value)</w:t>
      </w:r>
    </w:p>
    <w:p>
      <w:pPr>
        <w:numPr>
          <w:ilvl w:val="0"/>
          <w:numId w:val="1116"/>
        </w:numPr>
        <w:pStyle w:val="Compact"/>
      </w:pPr>
      <w:r>
        <w:t xml:space="preserve">With 225bp of rate cuts already, the full-year MRR effect in 2027 and the deposit book repricing with a lag,</w:t>
      </w:r>
      <w:r>
        <w:t xml:space="preserve"> </w:t>
      </w:r>
      <w:r>
        <w:rPr>
          <w:bCs/>
          <w:b/>
        </w:rPr>
        <w:t xml:space="preserve">where and when does NIM trough?</w:t>
      </w:r>
      <w:r>
        <w:t xml:space="preserve"> </w:t>
      </w:r>
      <w:r>
        <w:t xml:space="preserve">What share of loans and securities reprices within six months, against deposits?</w:t>
      </w:r>
    </w:p>
    <w:p>
      <w:pPr>
        <w:numPr>
          <w:ilvl w:val="0"/>
          <w:numId w:val="1116"/>
        </w:numPr>
        <w:pStyle w:val="Compact"/>
      </w:pPr>
      <w:r>
        <w:t xml:space="preserve">1H26 annualises to ~KZT900bn of net income.</w:t>
      </w:r>
      <w:r>
        <w:t xml:space="preserve"> </w:t>
      </w:r>
      <w:r>
        <w:rPr>
          <w:bCs/>
          <w:b/>
        </w:rPr>
        <w:t xml:space="preserve">Is the KZT1.0trn target still achievable?</w:t>
      </w:r>
      <w:r>
        <w:t xml:space="preserve"> </w:t>
      </w:r>
      <w:r>
        <w:t xml:space="preserve">If not, which line closes the gap: provisions, FX, insurance or fees?</w:t>
      </w:r>
    </w:p>
    <w:p>
      <w:pPr>
        <w:numPr>
          <w:ilvl w:val="0"/>
          <w:numId w:val="1116"/>
        </w:numPr>
        <w:pStyle w:val="Compact"/>
      </w:pPr>
      <w:r>
        <w:rPr>
          <w:bCs/>
          <w:b/>
        </w:rPr>
        <w:t xml:space="preserve">ALMEX’s lock-up ends around 25 November.</w:t>
      </w:r>
      <w:r>
        <w:t xml:space="preserve"> </w:t>
      </w:r>
      <w:r>
        <w:t xml:space="preserve">Do the controlling shareholders intend to sell further, in what size and format? Would the bank participate (a buyback or tender), as it did with Samruk-Kazyna’s stake in 2011?</w:t>
      </w:r>
    </w:p>
    <w:p>
      <w:pPr>
        <w:numPr>
          <w:ilvl w:val="0"/>
          <w:numId w:val="1116"/>
        </w:numPr>
        <w:pStyle w:val="Compact"/>
      </w:pPr>
      <w:r>
        <w:t xml:space="preserve">Excluding the paused collector sales,</w:t>
      </w:r>
      <w:r>
        <w:t xml:space="preserve"> </w:t>
      </w:r>
      <w:r>
        <w:rPr>
          <w:bCs/>
          <w:b/>
        </w:rPr>
        <w:t xml:space="preserve">what is the underlying retail NPL formation rate?</w:t>
      </w:r>
      <w:r>
        <w:t xml:space="preserve"> </w:t>
      </w:r>
      <w:r>
        <w:t xml:space="preserve">How much of the KZT715bn of NPL 90+ will be sold or written off, and at what price relative to carrying value?</w:t>
      </w:r>
    </w:p>
    <w:p>
      <w:pPr>
        <w:numPr>
          <w:ilvl w:val="0"/>
          <w:numId w:val="1116"/>
        </w:numPr>
        <w:pStyle w:val="Compact"/>
      </w:pPr>
      <w:r>
        <w:rPr>
          <w:bCs/>
          <w:b/>
        </w:rPr>
        <w:t xml:space="preserve">What capital level do you run the bank to,</w:t>
      </w:r>
      <w:r>
        <w:t xml:space="preserve"> </w:t>
      </w:r>
      <w:r>
        <w:t xml:space="preserve">including the 2% retail buffer and the Pillar 2 add-on? Will you commit to returning capital above that level through special dividends or larger buybacks, and to cancelling the 2.54bn treasury shares?</w:t>
      </w:r>
    </w:p>
    <w:p>
      <w:pPr>
        <w:numPr>
          <w:ilvl w:val="0"/>
          <w:numId w:val="1116"/>
        </w:numPr>
        <w:pStyle w:val="Compact"/>
      </w:pPr>
      <w:r>
        <w:t xml:space="preserve">Is 60% the floor for the payout?</w:t>
      </w:r>
      <w:r>
        <w:t xml:space="preserve"> </w:t>
      </w:r>
      <w:r>
        <w:rPr>
          <w:bCs/>
          <w:b/>
        </w:rPr>
        <w:t xml:space="preserve">Would you hold DPS in tenge</w:t>
      </w:r>
      <w:r>
        <w:t xml:space="preserve"> </w:t>
      </w:r>
      <w:r>
        <w:t xml:space="preserve">if 2027 earnings are flat?</w:t>
      </w:r>
    </w:p>
    <w:p>
      <w:pPr>
        <w:numPr>
          <w:ilvl w:val="0"/>
          <w:numId w:val="1116"/>
        </w:numPr>
        <w:pStyle w:val="Compact"/>
      </w:pPr>
      <w:r>
        <w:t xml:space="preserve">What is the 2026–27</w:t>
      </w:r>
      <w:r>
        <w:t xml:space="preserve"> </w:t>
      </w:r>
      <w:r>
        <w:rPr>
          <w:bCs/>
          <w:b/>
        </w:rPr>
        <w:t xml:space="preserve">effective tax rate</w:t>
      </w:r>
      <w:r>
        <w:t xml:space="preserve">? What share of profit qualifies for the 20% business-lending rate rather than 25%? How exposed are you to a revival of the excess-profit tax?</w:t>
      </w:r>
    </w:p>
    <w:p>
      <w:pPr>
        <w:numPr>
          <w:ilvl w:val="0"/>
          <w:numId w:val="1116"/>
        </w:numPr>
        <w:pStyle w:val="Compact"/>
      </w:pPr>
      <w:r>
        <w:t xml:space="preserve">Where precisely are you</w:t>
      </w:r>
      <w:r>
        <w:t xml:space="preserve"> </w:t>
      </w:r>
      <w:r>
        <w:rPr>
          <w:bCs/>
          <w:b/>
        </w:rPr>
        <w:t xml:space="preserve">losing to Kaspi</w:t>
      </w:r>
      <w:r>
        <w:t xml:space="preserve">, and to Alatau City Bank under Vyacheslav Kim, in retail, SME and payments? What would take Super App DAU/MAU from 33% toward Kaspi’s level?</w:t>
      </w:r>
    </w:p>
    <w:p>
      <w:pPr>
        <w:numPr>
          <w:ilvl w:val="0"/>
          <w:numId w:val="1116"/>
        </w:numPr>
        <w:pStyle w:val="Compact"/>
      </w:pPr>
      <w:r>
        <w:t xml:space="preserve">As sovereign upgrades open cheaper Eurobond and DBK/Baiterek funding to large corporates,</w:t>
      </w:r>
      <w:r>
        <w:t xml:space="preserve"> </w:t>
      </w:r>
      <w:r>
        <w:rPr>
          <w:bCs/>
          <w:b/>
        </w:rPr>
        <w:t xml:space="preserve">how concentrated is your corporate book</w:t>
      </w:r>
      <w:r>
        <w:t xml:space="preserve"> </w:t>
      </w:r>
      <w:r>
        <w:t xml:space="preserve">(top 20 borrowers, quasi-state share)? How do you defend pricing?</w:t>
      </w:r>
    </w:p>
    <w:p>
      <w:pPr>
        <w:numPr>
          <w:ilvl w:val="0"/>
          <w:numId w:val="1116"/>
        </w:numPr>
        <w:pStyle w:val="Compact"/>
      </w:pPr>
      <w:r>
        <w:t xml:space="preserve">Why did the</w:t>
      </w:r>
      <w:r>
        <w:t xml:space="preserve"> </w:t>
      </w:r>
      <w:r>
        <w:rPr>
          <w:bCs/>
          <w:b/>
        </w:rPr>
        <w:t xml:space="preserve">Click/Uzbekistan</w:t>
      </w:r>
      <w:r>
        <w:t xml:space="preserve"> </w:t>
      </w:r>
      <w:r>
        <w:t xml:space="preserve">transaction lapse, and on what terms would you revisit it? What is the capital limit for foreign expansion?</w:t>
      </w:r>
    </w:p>
    <w:p>
      <w:pPr>
        <w:numPr>
          <w:ilvl w:val="0"/>
          <w:numId w:val="1116"/>
        </w:numPr>
        <w:pStyle w:val="Compact"/>
      </w:pPr>
      <w:r>
        <w:t xml:space="preserve">What caused the</w:t>
      </w:r>
      <w:r>
        <w:t xml:space="preserve"> </w:t>
      </w:r>
      <w:r>
        <w:rPr>
          <w:bCs/>
          <w:b/>
        </w:rPr>
        <w:t xml:space="preserve">2Q26 insurance loss</w:t>
      </w:r>
      <w:r>
        <w:t xml:space="preserve"> </w:t>
      </w:r>
      <w:r>
        <w:t xml:space="preserve">(OSAGO tariffs, the model change)? What is normalised insurance profit?</w:t>
      </w:r>
    </w:p>
    <w:p>
      <w:pPr>
        <w:numPr>
          <w:ilvl w:val="0"/>
          <w:numId w:val="1116"/>
        </w:numPr>
        <w:pStyle w:val="Compact"/>
      </w:pPr>
      <w:r>
        <w:t xml:space="preserve">Why was the auditor changed to</w:t>
      </w:r>
      <w:r>
        <w:t xml:space="preserve"> </w:t>
      </w:r>
      <w:r>
        <w:rPr>
          <w:bCs/>
          <w:b/>
        </w:rPr>
        <w:t xml:space="preserve">EY</w:t>
      </w:r>
      <w:r>
        <w:t xml:space="preserve"> </w:t>
      </w:r>
      <w:r>
        <w:t xml:space="preserve">with effect from the 9M26 review rather than at a year-end? Were there any disagreements with the predecessor auditor?</w:t>
      </w:r>
    </w:p>
    <w:p>
      <w:pPr>
        <w:numPr>
          <w:ilvl w:val="0"/>
          <w:numId w:val="1116"/>
        </w:numPr>
        <w:pStyle w:val="Compact"/>
      </w:pPr>
      <w:r>
        <w:t xml:space="preserve">Why was the Chairman</w:t>
      </w:r>
      <w:r>
        <w:t xml:space="preserve"> </w:t>
      </w:r>
      <w:r>
        <w:rPr>
          <w:bCs/>
          <w:b/>
        </w:rPr>
        <w:t xml:space="preserve">reclassified as non-independent</w:t>
      </w:r>
      <w:r>
        <w:t xml:space="preserve">? Will the board return to an independent majority and disclose individual pay and a TSR-linked LTIP?</w:t>
      </w:r>
    </w:p>
    <w:p>
      <w:pPr>
        <w:numPr>
          <w:ilvl w:val="0"/>
          <w:numId w:val="1116"/>
        </w:numPr>
        <w:pStyle w:val="Compact"/>
      </w:pPr>
      <w:r>
        <w:t xml:space="preserve">After 18 years under the current CEO,</w:t>
      </w:r>
      <w:r>
        <w:t xml:space="preserve"> </w:t>
      </w:r>
      <w:r>
        <w:rPr>
          <w:bCs/>
          <w:b/>
        </w:rPr>
        <w:t xml:space="preserve">what is the succession plan,</w:t>
      </w:r>
      <w:r>
        <w:t xml:space="preserve"> </w:t>
      </w:r>
      <w:r>
        <w:t xml:space="preserve">and who are the internal candidates?</w:t>
      </w:r>
    </w:p>
    <w:p>
      <w:pPr>
        <w:numPr>
          <w:ilvl w:val="0"/>
          <w:numId w:val="1116"/>
        </w:numPr>
        <w:pStyle w:val="Compact"/>
      </w:pPr>
      <w:r>
        <w:t xml:space="preserve">How does the board stress-test the dividend against</w:t>
      </w:r>
      <w:r>
        <w:t xml:space="preserve"> </w:t>
      </w:r>
      <w:r>
        <w:rPr>
          <w:bCs/>
          <w:b/>
        </w:rPr>
        <w:t xml:space="preserve">quasi-fiscal risk</w:t>
      </w:r>
      <w:r>
        <w:t xml:space="preserve">: profit levies, rate caps, directed lending? What dialogue do you have with the government on these measures?</w:t>
      </w:r>
    </w:p>
    <w:bookmarkEnd w:id="116"/>
    <w:bookmarkStart w:id="120" w:name="short-seller-and-forensic-review"/>
    <w:p>
      <w:pPr>
        <w:pStyle w:val="Heading1"/>
      </w:pPr>
      <w:r>
        <w:t xml:space="preserve">Short-seller and forensic review</w:t>
      </w:r>
    </w:p>
    <w:bookmarkStart w:id="117" w:name="dismantling-the-bull-case"/>
    <w:p>
      <w:pPr>
        <w:pStyle w:val="Heading2"/>
      </w:pPr>
      <w:r>
        <w:t xml:space="preserve">Dismantling the bull case</w:t>
      </w:r>
    </w:p>
    <w:p>
      <w:pPr>
        <w:numPr>
          <w:ilvl w:val="0"/>
          <w:numId w:val="1117"/>
        </w:numPr>
        <w:pStyle w:val="Compact"/>
      </w:pPr>
      <w:r>
        <w:rPr>
          <w:bCs/>
          <w:b/>
        </w:rPr>
        <w:t xml:space="preserve">What could structurally break the way Halyk makes money?</w:t>
      </w:r>
      <w:r>
        <w:t xml:space="preserve"> </w:t>
      </w:r>
      <w:r>
        <w:t xml:space="preserve">The spread business depends on three subsidies the state can withdraw at will:</w:t>
      </w:r>
    </w:p>
    <w:p>
      <w:pPr>
        <w:numPr>
          <w:ilvl w:val="1"/>
          <w:numId w:val="1118"/>
        </w:numPr>
        <w:pStyle w:val="Compact"/>
      </w:pPr>
      <w:r>
        <w:t xml:space="preserve">a high policy rate earned on idle liquidity (NBK notes);</w:t>
      </w:r>
    </w:p>
    <w:p>
      <w:pPr>
        <w:numPr>
          <w:ilvl w:val="1"/>
          <w:numId w:val="1118"/>
        </w:numPr>
        <w:pStyle w:val="Compact"/>
      </w:pPr>
      <w:r>
        <w:t xml:space="preserve">a deposit base that pays ~10% while the policy rate is 15.75–18%;</w:t>
      </w:r>
    </w:p>
    <w:p>
      <w:pPr>
        <w:numPr>
          <w:ilvl w:val="1"/>
          <w:numId w:val="1118"/>
        </w:numPr>
        <w:pStyle w:val="Compact"/>
      </w:pPr>
      <w:r>
        <w:t xml:space="preserve">a light tax regime.</w:t>
      </w:r>
    </w:p>
    <w:p>
      <w:pPr>
        <w:numPr>
          <w:ilvl w:val="1"/>
          <w:numId w:val="1119"/>
        </w:numPr>
        <w:pStyle w:val="Compact"/>
      </w:pPr>
      <w:r>
        <w:t xml:space="preserve">All three are now moving against the bank at once: rate cuts, MRR sterilisation and a 25% CIT. 2021–25 earnings were a rate-cycle windfall dressed up as a franchise.</w:t>
      </w:r>
    </w:p>
    <w:p>
      <w:pPr>
        <w:numPr>
          <w:ilvl w:val="0"/>
          <w:numId w:val="1117"/>
        </w:numPr>
        <w:pStyle w:val="Compact"/>
      </w:pPr>
      <w:r>
        <w:rPr>
          <w:bCs/>
          <w:b/>
        </w:rPr>
        <w:t xml:space="preserve">Revenue concentration.</w:t>
      </w:r>
    </w:p>
    <w:p>
      <w:pPr>
        <w:numPr>
          <w:ilvl w:val="1"/>
          <w:numId w:val="1120"/>
        </w:numPr>
        <w:pStyle w:val="Compact"/>
      </w:pPr>
      <w:r>
        <w:t xml:space="preserve">About half of loans are corporate, concentrated in a small number of state-linked and resource groups that Halyk does not name.</w:t>
      </w:r>
    </w:p>
    <w:p>
      <w:pPr>
        <w:numPr>
          <w:ilvl w:val="1"/>
          <w:numId w:val="1120"/>
        </w:numPr>
        <w:pStyle w:val="Compact"/>
      </w:pPr>
      <w:r>
        <w:t xml:space="preserve">As the sovereign is upgraded, those groups gain access to cheaper Eurobond and DBK funding. Every refinancing elsewhere takes high-quality spread out of the book and leaves the riskier retail book behind.</w:t>
      </w:r>
    </w:p>
    <w:p>
      <w:pPr>
        <w:numPr>
          <w:ilvl w:val="1"/>
          <w:numId w:val="1120"/>
        </w:numPr>
        <w:pStyle w:val="Compact"/>
      </w:pPr>
      <w:r>
        <w:t xml:space="preserve">Separately, ~73% of revenue is NII. The fee base is shrinking (−20% in 1H26).</w:t>
      </w:r>
    </w:p>
    <w:p>
      <w:pPr>
        <w:numPr>
          <w:ilvl w:val="0"/>
          <w:numId w:val="1117"/>
        </w:numPr>
        <w:pStyle w:val="Compact"/>
      </w:pPr>
      <w:r>
        <w:rPr>
          <w:bCs/>
          <w:b/>
        </w:rPr>
        <w:t xml:space="preserve">Why the moat is weaker than bulls think.</w:t>
      </w:r>
    </w:p>
    <w:p>
      <w:pPr>
        <w:numPr>
          <w:ilvl w:val="1"/>
          <w:numId w:val="1121"/>
        </w:numPr>
        <w:pStyle w:val="Compact"/>
      </w:pPr>
      <w:r>
        <w:t xml:space="preserve">Halyk’s retail moat is heritage, not product. Kaspi won the young consumer and the payment habit.</w:t>
      </w:r>
    </w:p>
    <w:p>
      <w:pPr>
        <w:numPr>
          <w:ilvl w:val="1"/>
          <w:numId w:val="1121"/>
        </w:numPr>
        <w:pStyle w:val="Compact"/>
      </w:pPr>
      <w:r>
        <w:t xml:space="preserve">Mortgage portability (introduced October 2026) and app-based banking reduce retail switching costs.</w:t>
      </w:r>
    </w:p>
    <w:p>
      <w:pPr>
        <w:numPr>
          <w:ilvl w:val="1"/>
          <w:numId w:val="1121"/>
        </w:numPr>
        <w:pStyle w:val="Compact"/>
      </w:pPr>
      <w:r>
        <w:t xml:space="preserve">Its corporate moat is partly a state-relationship moat, which works only as long as the owners’ political standing holds.</w:t>
      </w:r>
    </w:p>
    <w:p>
      <w:pPr>
        <w:numPr>
          <w:ilvl w:val="0"/>
          <w:numId w:val="1117"/>
        </w:numPr>
        <w:pStyle w:val="Compact"/>
      </w:pPr>
      <w:r>
        <w:rPr>
          <w:bCs/>
          <w:b/>
        </w:rPr>
        <w:t xml:space="preserve">The most dangerous competitor bulls underestimate: Kaspi’s founders, now with a second, full-service bank.</w:t>
      </w:r>
    </w:p>
    <w:p>
      <w:pPr>
        <w:numPr>
          <w:ilvl w:val="1"/>
          <w:numId w:val="1122"/>
        </w:numPr>
        <w:pStyle w:val="Compact"/>
      </w:pPr>
      <w:r>
        <w:t xml:space="preserve">Vyacheslav Kim bought Jusan (Alatau City Bank) in July 2025.</w:t>
      </w:r>
    </w:p>
    <w:p>
      <w:pPr>
        <w:numPr>
          <w:ilvl w:val="1"/>
          <w:numId w:val="1122"/>
        </w:numPr>
        <w:pStyle w:val="Compact"/>
      </w:pPr>
      <w:r>
        <w:t xml:space="preserve">A Kaspi-run balance-sheet bank aimed at SME and corporate deposits would attack Halyk’s cheapest funding with better technology.</w:t>
      </w:r>
    </w:p>
    <w:p>
      <w:pPr>
        <w:numPr>
          <w:ilvl w:val="1"/>
          <w:numId w:val="1122"/>
        </w:numPr>
        <w:pStyle w:val="Compact"/>
      </w:pPr>
      <w:r>
        <w:t xml:space="preserve">Freedom Bank (+15% YTD) is already buying deposits at high rates.</w:t>
      </w:r>
    </w:p>
    <w:p>
      <w:pPr>
        <w:numPr>
          <w:ilvl w:val="0"/>
          <w:numId w:val="1117"/>
        </w:numPr>
        <w:pStyle w:val="Compact"/>
      </w:pPr>
      <w:r>
        <w:rPr>
          <w:bCs/>
          <w:b/>
        </w:rPr>
        <w:t xml:space="preserve">The worst capital allocation decisions.</w:t>
      </w:r>
    </w:p>
    <w:p>
      <w:pPr>
        <w:numPr>
          <w:ilvl w:val="1"/>
          <w:numId w:val="1123"/>
        </w:numPr>
        <w:pStyle w:val="Compact"/>
      </w:pPr>
      <w:r>
        <w:t xml:space="preserve">Growing BNPL and unsecured retail aggressively into 2024–25, now producing a 9.2% retail NPL rate and a fee collapse.</w:t>
      </w:r>
    </w:p>
    <w:p>
      <w:pPr>
        <w:numPr>
          <w:ilvl w:val="1"/>
          <w:numId w:val="1123"/>
        </w:numPr>
        <w:pStyle w:val="Compact"/>
      </w:pPr>
      <w:r>
        <w:t xml:space="preserve">The KSF deposit accounting loss (~KZT145bn pre-tax in 2024).</w:t>
      </w:r>
    </w:p>
    <w:p>
      <w:pPr>
        <w:numPr>
          <w:ilvl w:val="1"/>
          <w:numId w:val="1123"/>
        </w:numPr>
        <w:pStyle w:val="Compact"/>
      </w:pPr>
      <w:r>
        <w:t xml:space="preserve">Agreeing to pay US$176m for 49% of an Uzbek payments app while selling 49% of its own bank for US$61m, a deal that then lapsed.</w:t>
      </w:r>
    </w:p>
    <w:p>
      <w:pPr>
        <w:numPr>
          <w:ilvl w:val="1"/>
          <w:numId w:val="1123"/>
        </w:numPr>
        <w:pStyle w:val="Compact"/>
      </w:pPr>
      <w:r>
        <w:t xml:space="preserve">Hoarding 2.54bn treasury shares and ~KZT800bn+ of surplus capital rather than returning it.</w:t>
      </w:r>
    </w:p>
    <w:p>
      <w:pPr>
        <w:numPr>
          <w:ilvl w:val="0"/>
          <w:numId w:val="1117"/>
        </w:numPr>
        <w:pStyle w:val="Compact"/>
      </w:pPr>
      <w:r>
        <w:rPr>
          <w:bCs/>
          <w:b/>
        </w:rPr>
        <w:t xml:space="preserve">Related parties and incentives.</w:t>
      </w:r>
    </w:p>
    <w:p>
      <w:pPr>
        <w:numPr>
          <w:ilvl w:val="1"/>
          <w:numId w:val="1124"/>
        </w:numPr>
        <w:pStyle w:val="Compact"/>
      </w:pPr>
      <w:r>
        <w:t xml:space="preserve">The controlling family relies on dividends: ALMEX’s holding pays out ~KZT462bn to its owners. That aligns payout with minorities, but also means the family prefers dividends to buybacks (which do not pay ALMEX cash).</w:t>
      </w:r>
    </w:p>
    <w:p>
      <w:pPr>
        <w:numPr>
          <w:ilvl w:val="1"/>
          <w:numId w:val="1124"/>
        </w:numPr>
        <w:pStyle w:val="Compact"/>
      </w:pPr>
      <w:r>
        <w:t xml:space="preserve">Management pay rose +55% (2022–25), is disclosed only in aggregate and has no visible TSR linkage.</w:t>
      </w:r>
    </w:p>
    <w:p>
      <w:pPr>
        <w:numPr>
          <w:ilvl w:val="1"/>
          <w:numId w:val="1124"/>
        </w:numPr>
        <w:pStyle w:val="Compact"/>
      </w:pPr>
      <w:r>
        <w:t xml:space="preserve">The related-party note could not be reviewed:</w:t>
      </w:r>
      <w:r>
        <w:t xml:space="preserve"> </w:t>
      </w:r>
      <w:r>
        <w:rPr>
          <w:bCs/>
          <w:b/>
        </w:rPr>
        <w:t xml:space="preserve">a gap, not a clean bill.</w:t>
      </w:r>
    </w:p>
    <w:p>
      <w:pPr>
        <w:numPr>
          <w:ilvl w:val="0"/>
          <w:numId w:val="1117"/>
        </w:numPr>
        <w:pStyle w:val="Compact"/>
      </w:pPr>
      <w:r>
        <w:rPr>
          <w:bCs/>
          <w:b/>
        </w:rPr>
        <w:t xml:space="preserve">What must hold to justify the current price?</w:t>
      </w:r>
    </w:p>
    <w:p>
      <w:pPr>
        <w:numPr>
          <w:ilvl w:val="1"/>
          <w:numId w:val="1125"/>
        </w:numPr>
        <w:pStyle w:val="Compact"/>
      </w:pPr>
      <w:r>
        <w:t xml:space="preserve">At 4.5x earnings and a 13% yield, the price assumes:</w:t>
      </w:r>
    </w:p>
    <w:p>
      <w:pPr>
        <w:numPr>
          <w:ilvl w:val="2"/>
          <w:numId w:val="1126"/>
        </w:numPr>
        <w:pStyle w:val="Compact"/>
      </w:pPr>
      <w:r>
        <w:t xml:space="preserve">a sustainable ~20% ROE;</w:t>
      </w:r>
    </w:p>
    <w:p>
      <w:pPr>
        <w:numPr>
          <w:ilvl w:val="2"/>
          <w:numId w:val="1126"/>
        </w:numPr>
        <w:pStyle w:val="Compact"/>
      </w:pPr>
      <w:r>
        <w:t xml:space="preserve">a 60% payout maintained;</w:t>
      </w:r>
    </w:p>
    <w:p>
      <w:pPr>
        <w:numPr>
          <w:ilvl w:val="2"/>
          <w:numId w:val="1126"/>
        </w:numPr>
        <w:pStyle w:val="Compact"/>
      </w:pPr>
      <w:r>
        <w:t xml:space="preserve">no permanent bank levy;</w:t>
      </w:r>
    </w:p>
    <w:p>
      <w:pPr>
        <w:numPr>
          <w:ilvl w:val="2"/>
          <w:numId w:val="1126"/>
        </w:numPr>
        <w:pStyle w:val="Compact"/>
      </w:pPr>
      <w:r>
        <w:t xml:space="preserve">an orderly ALMEX sell-down;</w:t>
      </w:r>
    </w:p>
    <w:p>
      <w:pPr>
        <w:numPr>
          <w:ilvl w:val="2"/>
          <w:numId w:val="1126"/>
        </w:numPr>
        <w:pStyle w:val="Compact"/>
      </w:pPr>
      <w:r>
        <w:t xml:space="preserve">the tenge broadly stable.</w:t>
      </w:r>
    </w:p>
    <w:p>
      <w:pPr>
        <w:numPr>
          <w:ilvl w:val="1"/>
          <w:numId w:val="1125"/>
        </w:numPr>
        <w:pStyle w:val="Compact"/>
      </w:pPr>
      <w:r>
        <w:t xml:space="preserve">In Gordon terms, KZT374 = KZT49.5 ÷ (19.5% − g) implies g of ~6%, i.e. </w:t>
      </w:r>
      <w:r>
        <w:rPr>
          <w:bCs/>
          <w:b/>
        </w:rPr>
        <w:t xml:space="preserve">negative real dividend growth</w:t>
      </w:r>
      <w:r>
        <w:t xml:space="preserve">. That is a low bar, which is why we are not short.</w:t>
      </w:r>
    </w:p>
    <w:p>
      <w:pPr>
        <w:numPr>
          <w:ilvl w:val="0"/>
          <w:numId w:val="1117"/>
        </w:numPr>
        <w:pStyle w:val="Compact"/>
      </w:pPr>
      <w:r>
        <w:rPr>
          <w:bCs/>
          <w:b/>
        </w:rPr>
        <w:t xml:space="preserve">What if growth disappoints by 20–30%?</w:t>
      </w:r>
    </w:p>
    <w:p>
      <w:pPr>
        <w:numPr>
          <w:ilvl w:val="1"/>
          <w:numId w:val="1127"/>
        </w:numPr>
        <w:pStyle w:val="Compact"/>
      </w:pPr>
      <w:r>
        <w:t xml:space="preserve">2027E EPS of KZT63–72 at today’s 4.1x forward P/E gives</w:t>
      </w:r>
      <w:r>
        <w:t xml:space="preserve"> </w:t>
      </w:r>
      <w:r>
        <w:rPr>
          <w:bCs/>
          <w:b/>
        </w:rPr>
        <w:t xml:space="preserve">KZT259–296, or US$22–26 per GDR (−23% to −33%)</w:t>
      </w:r>
      <w:r>
        <w:t xml:space="preserve">.</w:t>
      </w:r>
    </w:p>
    <w:p>
      <w:pPr>
        <w:numPr>
          <w:ilvl w:val="1"/>
          <w:numId w:val="1127"/>
        </w:numPr>
        <w:pStyle w:val="Compact"/>
      </w:pPr>
      <w:r>
        <w:t xml:space="preserve">The dividend at a 60% payout would drop to KZT38–43, still a 10–12% yield on today’s price. That is the floor argument.</w:t>
      </w:r>
    </w:p>
    <w:p>
      <w:pPr>
        <w:numPr>
          <w:ilvl w:val="0"/>
          <w:numId w:val="1117"/>
        </w:numPr>
        <w:pStyle w:val="Compact"/>
      </w:pPr>
      <w:r>
        <w:rPr>
          <w:bCs/>
          <w:b/>
        </w:rPr>
        <w:t xml:space="preserve">The single scenario that would permanently impair the business.</w:t>
      </w:r>
      <w:r>
        <w:t xml:space="preserve"> </w:t>
      </w:r>
      <w:r>
        <w:t xml:space="preserve">A political break with the owners, for example:</w:t>
      </w:r>
    </w:p>
    <w:p>
      <w:pPr>
        <w:numPr>
          <w:ilvl w:val="1"/>
          <w:numId w:val="1128"/>
        </w:numPr>
        <w:pStyle w:val="Compact"/>
      </w:pPr>
      <w:r>
        <w:t xml:space="preserve">an asset-recovery action against Nazarbayev-family holdings;</w:t>
      </w:r>
    </w:p>
    <w:p>
      <w:pPr>
        <w:numPr>
          <w:ilvl w:val="1"/>
          <w:numId w:val="1128"/>
        </w:numPr>
        <w:pStyle w:val="Compact"/>
      </w:pPr>
      <w:r>
        <w:t xml:space="preserve">a forced transfer of the ALMEX stake at a discount;</w:t>
      </w:r>
    </w:p>
    <w:p>
      <w:pPr>
        <w:numPr>
          <w:ilvl w:val="1"/>
          <w:numId w:val="1128"/>
        </w:numPr>
        <w:pStyle w:val="Compact"/>
      </w:pPr>
      <w:r>
        <w:t xml:space="preserve">Halyk being used as a quasi-fiscal instrument (directed lending, profit levies).</w:t>
      </w:r>
    </w:p>
    <w:p>
      <w:pPr>
        <w:numPr>
          <w:ilvl w:val="1"/>
          <w:numId w:val="1128"/>
        </w:numPr>
        <w:pStyle w:val="Compact"/>
      </w:pPr>
      <w:r>
        <w:rPr>
          <w:bCs/>
          <w:b/>
        </w:rPr>
        <w:t xml:space="preserve">Plausibility:</w:t>
      </w:r>
      <w:r>
        <w:t xml:space="preserve"> </w:t>
      </w:r>
      <w:r>
        <w:t xml:space="preserve">low, roughly 5–10% over three years. Tokayev’s government has left the Kulibayevs’ banking interests alone since 2022 and allowed an orderly market sell-down. But the risk is not zero, and it is not diversifiable.</w:t>
      </w:r>
    </w:p>
    <w:bookmarkEnd w:id="117"/>
    <w:bookmarkStart w:id="118" w:name="Xfe6de4b71fde0a94dd1dafdba7f4783d3c792e7"/>
    <w:p>
      <w:pPr>
        <w:pStyle w:val="Heading2"/>
      </w:pPr>
      <w:r>
        <w:t xml:space="preserve">Accounting and financial-statement red flags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550"/>
        <w:gridCol w:w="5676"/>
        <w:gridCol w:w="1751"/>
      </w:tblGrid>
      <w:tr>
        <w:trPr>
          <w:tblHeader w:val="true"/>
          <w:cantSplit/>
          <w:tblHeader w:val="true"/>
        </w:trPr>
        <w:tc>
          <w:tcPr>
            <w:tcW w:w="2550" w:type="dxa"/>
            <w:shd w:val="clear" w:color="auto" w:fill="13213F"/>
          </w:tcPr>
          <w:p>
            <w:pPr>
              <w:pStyle w:val="Compact"/>
              <w:spacing w:before="0" w:after="0" w:line="240" w:lineRule="auto"/>
              <w:jc w:val="left"/>
            </w:pPr>
            <w:r>
              <w:rPr>
                <w:rFonts w:ascii="Arial" w:hAnsi="Arial"/>
                <w:b/>
                <w:color w:val="FFFFFF"/>
                <w:sz w:val="15"/>
              </w:rPr>
              <w:t xml:space="preserve">Area</w:t>
            </w:r>
          </w:p>
        </w:tc>
        <w:tc>
          <w:tcPr>
            <w:tcW w:w="5676" w:type="dxa"/>
            <w:shd w:val="clear" w:color="auto" w:fill="13213F"/>
          </w:tcPr>
          <w:p>
            <w:pPr>
              <w:pStyle w:val="Compact"/>
              <w:spacing w:before="0" w:after="0" w:line="240" w:lineRule="auto"/>
              <w:jc w:val="left"/>
            </w:pPr>
            <w:r>
              <w:rPr>
                <w:rFonts w:ascii="Arial" w:hAnsi="Arial"/>
                <w:b/>
                <w:color w:val="FFFFFF"/>
                <w:sz w:val="15"/>
              </w:rPr>
              <w:t xml:space="preserve">Finding</w:t>
            </w:r>
          </w:p>
        </w:tc>
        <w:tc>
          <w:tcPr>
            <w:tcW w:w="1751" w:type="dxa"/>
            <w:shd w:val="clear" w:color="auto" w:fill="13213F"/>
          </w:tcPr>
          <w:p>
            <w:pPr>
              <w:pStyle w:val="Compact"/>
              <w:spacing w:before="0" w:after="0" w:line="240" w:lineRule="auto"/>
              <w:jc w:val="left"/>
            </w:pPr>
            <w:r>
              <w:rPr>
                <w:rFonts w:ascii="Arial" w:hAnsi="Arial"/>
                <w:b/>
                <w:color w:val="FFFFFF"/>
                <w:sz w:val="15"/>
              </w:rPr>
              <w:t xml:space="preserve">Risk</w:t>
            </w:r>
          </w:p>
        </w:tc>
      </w:tr>
      <w:tr>
        <w:trPr>
          <w:cantSplit/>
        </w:trPr>
        <w:tc>
          <w:tcPr>
            <w:tcW w:w="2550" w:type="dxa"/>
          </w:tcPr>
          <w:p>
            <w:pPr>
              <w:pStyle w:val="Compact"/>
              <w:spacing w:before="0" w:after="0" w:line="240" w:lineRule="auto"/>
              <w:jc w:val="left"/>
            </w:pPr>
            <w:r>
              <w:rPr>
                <w:bCs/>
                <w:rFonts w:ascii="Arial" w:hAnsi="Arial"/>
                <w:b/>
                <w:sz w:val="15"/>
              </w:rPr>
              <w:t xml:space="preserve">Revenue recognition</w:t>
            </w:r>
          </w:p>
        </w:tc>
        <w:tc>
          <w:tcPr>
            <w:tcW w:w="5676" w:type="dxa"/>
          </w:tcPr>
          <w:p>
            <w:pPr>
              <w:pStyle w:val="Compact"/>
              <w:spacing w:before="0" w:after="0" w:line="240" w:lineRule="auto"/>
              <w:jc w:val="left"/>
            </w:pPr>
            <w:r>
              <w:rPr>
                <w:rFonts w:ascii="Arial" w:hAnsi="Arial"/>
                <w:sz w:val="15"/>
              </w:rPr>
              <w:t xml:space="preserve">Interest accrues on Stage 3 loans (8.6% of the book) at net carrying value. Rising Stage 3 with falling coverage (58%) flatters NII.</w:t>
            </w:r>
          </w:p>
        </w:tc>
        <w:tc>
          <w:tcPr>
            <w:tcW w:w="1751" w:type="dxa"/>
          </w:tcPr>
          <w:p>
            <w:pPr>
              <w:pStyle w:val="Compact"/>
              <w:spacing w:before="0" w:after="0" w:line="240" w:lineRule="auto"/>
              <w:jc w:val="left"/>
            </w:pPr>
            <w:r>
              <w:rPr>
                <w:rFonts w:ascii="Arial" w:hAnsi="Arial"/>
                <w:sz w:val="15"/>
              </w:rPr>
              <w:t xml:space="preserve">Medium</w:t>
            </w:r>
          </w:p>
        </w:tc>
      </w:tr>
      <w:tr>
        <w:trPr>
          <w:cantSplit/>
        </w:trPr>
        <w:tc>
          <w:tcPr>
            <w:tcW w:w="2550" w:type="dxa"/>
          </w:tcPr>
          <w:p>
            <w:pPr>
              <w:pStyle w:val="Compact"/>
              <w:spacing w:before="0" w:after="0" w:line="240" w:lineRule="auto"/>
              <w:jc w:val="left"/>
            </w:pPr>
            <w:r>
              <w:rPr>
                <w:bCs/>
                <w:rFonts w:ascii="Arial" w:hAnsi="Arial"/>
                <w:b/>
                <w:sz w:val="15"/>
              </w:rPr>
              <w:t xml:space="preserve">Provisioning</w:t>
            </w:r>
          </w:p>
        </w:tc>
        <w:tc>
          <w:tcPr>
            <w:tcW w:w="5676" w:type="dxa"/>
          </w:tcPr>
          <w:p>
            <w:pPr>
              <w:pStyle w:val="Compact"/>
              <w:spacing w:before="0" w:after="0" w:line="240" w:lineRule="auto"/>
              <w:jc w:val="left"/>
            </w:pPr>
            <w:r>
              <w:rPr>
                <w:rFonts w:ascii="Arial" w:hAnsi="Arial"/>
                <w:sz w:val="15"/>
              </w:rPr>
              <w:t xml:space="preserve">ECL +69% but coverage of Stage 3 fell from ~73% to 58%. ARDFM flagged</w:t>
            </w:r>
            <w:r>
              <w:rPr>
                <w:rFonts w:ascii="Arial" w:hAnsi="Arial"/>
                <w:sz w:val="15"/>
              </w:rPr>
              <w:t xml:space="preserve"> </w:t>
            </w:r>
            <w:r>
              <w:rPr>
                <w:rFonts w:ascii="Arial" w:hAnsi="Arial"/>
                <w:sz w:val="15"/>
              </w:rPr>
              <w:t xml:space="preserve">“</w:t>
            </w:r>
            <w:r>
              <w:rPr>
                <w:rFonts w:ascii="Arial" w:hAnsi="Arial"/>
                <w:sz w:val="15"/>
              </w:rPr>
              <w:t xml:space="preserve">discrepancies in banks’ reserves of hundreds of billions of tenge</w:t>
            </w:r>
            <w:r>
              <w:rPr>
                <w:rFonts w:ascii="Arial" w:hAnsi="Arial"/>
                <w:sz w:val="15"/>
              </w:rPr>
              <w:t xml:space="preserve">”</w:t>
            </w:r>
            <w:r>
              <w:rPr>
                <w:rFonts w:ascii="Arial" w:hAnsi="Arial"/>
                <w:sz w:val="15"/>
              </w:rPr>
              <w:t xml:space="preserve"> </w:t>
            </w:r>
            <w:r>
              <w:rPr>
                <w:rFonts w:ascii="Arial" w:hAnsi="Arial"/>
                <w:sz w:val="15"/>
              </w:rPr>
              <w:t xml:space="preserve">in a February 2026 review (sector-wide) [u].</w:t>
            </w:r>
          </w:p>
        </w:tc>
        <w:tc>
          <w:tcPr>
            <w:tcW w:w="1751" w:type="dxa"/>
          </w:tcPr>
          <w:p>
            <w:pPr>
              <w:pStyle w:val="Compact"/>
              <w:spacing w:before="0" w:after="0" w:line="240" w:lineRule="auto"/>
              <w:jc w:val="left"/>
            </w:pPr>
            <w:r>
              <w:rPr>
                <w:bCs/>
                <w:rFonts w:ascii="Arial" w:hAnsi="Arial"/>
                <w:b/>
                <w:sz w:val="15"/>
              </w:rPr>
              <w:t xml:space="preserve">Medium–High</w:t>
            </w:r>
          </w:p>
        </w:tc>
      </w:tr>
      <w:tr>
        <w:trPr>
          <w:cantSplit/>
        </w:trPr>
        <w:tc>
          <w:tcPr>
            <w:tcW w:w="2550" w:type="dxa"/>
          </w:tcPr>
          <w:p>
            <w:pPr>
              <w:pStyle w:val="Compact"/>
              <w:spacing w:before="0" w:after="0" w:line="240" w:lineRule="auto"/>
              <w:jc w:val="left"/>
            </w:pPr>
            <w:r>
              <w:rPr>
                <w:bCs/>
                <w:rFonts w:ascii="Arial" w:hAnsi="Arial"/>
                <w:b/>
                <w:sz w:val="15"/>
              </w:rPr>
              <w:t xml:space="preserve">Recurring</w:t>
            </w:r>
            <w:r>
              <w:rPr>
                <w:bCs/>
                <w:rFonts w:ascii="Arial" w:hAnsi="Arial"/>
                <w:b/>
                <w:sz w:val="15"/>
              </w:rPr>
              <w:t xml:space="preserve"> </w:t>
            </w:r>
            <w:r>
              <w:rPr>
                <w:bCs/>
                <w:rFonts w:ascii="Arial" w:hAnsi="Arial"/>
                <w:b/>
                <w:sz w:val="15"/>
              </w:rPr>
              <w:t xml:space="preserve">“</w:t>
            </w:r>
            <w:r>
              <w:rPr>
                <w:bCs/>
                <w:rFonts w:ascii="Arial" w:hAnsi="Arial"/>
                <w:b/>
                <w:sz w:val="15"/>
              </w:rPr>
              <w:t xml:space="preserve">one-offs</w:t>
            </w:r>
            <w:r>
              <w:rPr>
                <w:bCs/>
                <w:rFonts w:ascii="Arial" w:hAnsi="Arial"/>
                <w:b/>
                <w:sz w:val="15"/>
              </w:rPr>
              <w:t xml:space="preserve">”</w:t>
            </w:r>
          </w:p>
        </w:tc>
        <w:tc>
          <w:tcPr>
            <w:tcW w:w="5676" w:type="dxa"/>
          </w:tcPr>
          <w:p>
            <w:pPr>
              <w:pStyle w:val="Compact"/>
              <w:spacing w:before="0" w:after="0" w:line="240" w:lineRule="auto"/>
              <w:jc w:val="left"/>
            </w:pPr>
            <w:r>
              <w:rPr>
                <w:rFonts w:ascii="Arial" w:hAnsi="Arial"/>
                <w:sz w:val="15"/>
              </w:rPr>
              <w:t xml:space="preserve">2024 KSF deposit loss; 1Q25 SPV workout gain; 2025 excess-profit tax; 2Q26 insurance model change. A one-off every year obscures the run-rate.</w:t>
            </w:r>
          </w:p>
        </w:tc>
        <w:tc>
          <w:tcPr>
            <w:tcW w:w="1751" w:type="dxa"/>
          </w:tcPr>
          <w:p>
            <w:pPr>
              <w:pStyle w:val="Compact"/>
              <w:spacing w:before="0" w:after="0" w:line="240" w:lineRule="auto"/>
              <w:jc w:val="left"/>
            </w:pPr>
            <w:r>
              <w:rPr>
                <w:rFonts w:ascii="Arial" w:hAnsi="Arial"/>
                <w:sz w:val="15"/>
              </w:rPr>
              <w:t xml:space="preserve">Medium</w:t>
            </w:r>
          </w:p>
        </w:tc>
      </w:tr>
      <w:tr>
        <w:trPr>
          <w:cantSplit/>
        </w:trPr>
        <w:tc>
          <w:tcPr>
            <w:tcW w:w="2550" w:type="dxa"/>
          </w:tcPr>
          <w:p>
            <w:pPr>
              <w:pStyle w:val="Compact"/>
              <w:spacing w:before="0" w:after="0" w:line="240" w:lineRule="auto"/>
              <w:jc w:val="left"/>
            </w:pPr>
            <w:r>
              <w:rPr>
                <w:bCs/>
                <w:rFonts w:ascii="Arial" w:hAnsi="Arial"/>
                <w:b/>
                <w:sz w:val="15"/>
              </w:rPr>
              <w:t xml:space="preserve">Segment reporting</w:t>
            </w:r>
          </w:p>
        </w:tc>
        <w:tc>
          <w:tcPr>
            <w:tcW w:w="5676" w:type="dxa"/>
          </w:tcPr>
          <w:p>
            <w:pPr>
              <w:pStyle w:val="Compact"/>
              <w:spacing w:before="0" w:after="0" w:line="240" w:lineRule="auto"/>
              <w:jc w:val="left"/>
            </w:pPr>
            <w:r>
              <w:rPr>
                <w:rFonts w:ascii="Arial" w:hAnsi="Arial"/>
                <w:sz w:val="15"/>
              </w:rPr>
              <w:t xml:space="preserve">Segment P&amp;L sits only in the audited IFRS note; press releases give growth rates and loan volumes only.</w:t>
            </w:r>
          </w:p>
        </w:tc>
        <w:tc>
          <w:tcPr>
            <w:tcW w:w="1751" w:type="dxa"/>
          </w:tcPr>
          <w:p>
            <w:pPr>
              <w:pStyle w:val="Compact"/>
              <w:spacing w:before="0" w:after="0" w:line="240" w:lineRule="auto"/>
              <w:jc w:val="left"/>
            </w:pPr>
            <w:r>
              <w:rPr>
                <w:rFonts w:ascii="Arial" w:hAnsi="Arial"/>
                <w:sz w:val="15"/>
              </w:rPr>
              <w:t xml:space="preserve">Medium</w:t>
            </w:r>
          </w:p>
        </w:tc>
      </w:tr>
      <w:tr>
        <w:trPr>
          <w:cantSplit/>
        </w:trPr>
        <w:tc>
          <w:tcPr>
            <w:tcW w:w="2550" w:type="dxa"/>
          </w:tcPr>
          <w:p>
            <w:pPr>
              <w:pStyle w:val="Compact"/>
              <w:spacing w:before="0" w:after="0" w:line="240" w:lineRule="auto"/>
              <w:jc w:val="left"/>
            </w:pPr>
            <w:r>
              <w:rPr>
                <w:bCs/>
                <w:rFonts w:ascii="Arial" w:hAnsi="Arial"/>
                <w:b/>
                <w:sz w:val="15"/>
              </w:rPr>
              <w:t xml:space="preserve">Restatements and reporting changes</w:t>
            </w:r>
          </w:p>
        </w:tc>
        <w:tc>
          <w:tcPr>
            <w:tcW w:w="5676" w:type="dxa"/>
          </w:tcPr>
          <w:p>
            <w:pPr>
              <w:pStyle w:val="Compact"/>
              <w:spacing w:before="0" w:after="0" w:line="240" w:lineRule="auto"/>
              <w:jc w:val="left"/>
            </w:pPr>
            <w:r>
              <w:rPr>
                <w:rFonts w:ascii="Arial" w:hAnsi="Arial"/>
                <w:sz w:val="15"/>
              </w:rPr>
              <w:t xml:space="preserve">IFRS 17 restated 2022 (NI 553.8 → 569.5). The FY24 release re-presented 2023 (NII 810.5 → 797.1; fees 100.4 → ~113.7; ROAE 32.5% → 32.1%). Reclassifications, not errors.</w:t>
            </w:r>
          </w:p>
        </w:tc>
        <w:tc>
          <w:tcPr>
            <w:tcW w:w="1751" w:type="dxa"/>
          </w:tcPr>
          <w:p>
            <w:pPr>
              <w:pStyle w:val="Compact"/>
              <w:spacing w:before="0" w:after="0" w:line="240" w:lineRule="auto"/>
              <w:jc w:val="left"/>
            </w:pPr>
            <w:r>
              <w:rPr>
                <w:rFonts w:ascii="Arial" w:hAnsi="Arial"/>
                <w:sz w:val="15"/>
              </w:rPr>
              <w:t xml:space="preserve">Low–Medium</w:t>
            </w:r>
          </w:p>
        </w:tc>
      </w:tr>
      <w:tr>
        <w:trPr>
          <w:cantSplit/>
        </w:trPr>
        <w:tc>
          <w:tcPr>
            <w:tcW w:w="2550" w:type="dxa"/>
          </w:tcPr>
          <w:p>
            <w:pPr>
              <w:pStyle w:val="Compact"/>
              <w:spacing w:before="0" w:after="0" w:line="240" w:lineRule="auto"/>
              <w:jc w:val="left"/>
            </w:pPr>
            <w:r>
              <w:rPr>
                <w:bCs/>
                <w:rFonts w:ascii="Arial" w:hAnsi="Arial"/>
                <w:b/>
                <w:sz w:val="15"/>
              </w:rPr>
              <w:t xml:space="preserve">Leases</w:t>
            </w:r>
          </w:p>
        </w:tc>
        <w:tc>
          <w:tcPr>
            <w:tcW w:w="5676" w:type="dxa"/>
          </w:tcPr>
          <w:p>
            <w:pPr>
              <w:pStyle w:val="Compact"/>
              <w:spacing w:before="0" w:after="0" w:line="240" w:lineRule="auto"/>
              <w:jc w:val="left"/>
            </w:pPr>
            <w:r>
              <w:rPr>
                <w:rFonts w:ascii="Arial" w:hAnsi="Arial"/>
                <w:sz w:val="15"/>
              </w:rPr>
              <w:t xml:space="preserve">Branch leases; immaterial.</w:t>
            </w:r>
          </w:p>
        </w:tc>
        <w:tc>
          <w:tcPr>
            <w:tcW w:w="1751" w:type="dxa"/>
          </w:tcPr>
          <w:p>
            <w:pPr>
              <w:pStyle w:val="Compact"/>
              <w:spacing w:before="0" w:after="0" w:line="240" w:lineRule="auto"/>
              <w:jc w:val="left"/>
            </w:pPr>
            <w:r>
              <w:rPr>
                <w:rFonts w:ascii="Arial" w:hAnsi="Arial"/>
                <w:sz w:val="15"/>
              </w:rPr>
              <w:t xml:space="preserve">Low</w:t>
            </w:r>
          </w:p>
        </w:tc>
      </w:tr>
      <w:tr>
        <w:trPr>
          <w:cantSplit/>
        </w:trPr>
        <w:tc>
          <w:tcPr>
            <w:tcW w:w="2550" w:type="dxa"/>
          </w:tcPr>
          <w:p>
            <w:pPr>
              <w:pStyle w:val="Compact"/>
              <w:spacing w:before="0" w:after="0" w:line="240" w:lineRule="auto"/>
              <w:jc w:val="left"/>
            </w:pPr>
            <w:r>
              <w:rPr>
                <w:bCs/>
                <w:rFonts w:ascii="Arial" w:hAnsi="Arial"/>
                <w:b/>
                <w:sz w:val="15"/>
              </w:rPr>
              <w:t xml:space="preserve">Related parties</w:t>
            </w:r>
          </w:p>
        </w:tc>
        <w:tc>
          <w:tcPr>
            <w:tcW w:w="5676" w:type="dxa"/>
          </w:tcPr>
          <w:p>
            <w:pPr>
              <w:pStyle w:val="Compact"/>
              <w:spacing w:before="0" w:after="0" w:line="240" w:lineRule="auto"/>
              <w:jc w:val="left"/>
            </w:pPr>
            <w:r>
              <w:rPr>
                <w:rFonts w:ascii="Arial" w:hAnsi="Arial"/>
                <w:sz w:val="15"/>
              </w:rPr>
              <w:t xml:space="preserve">Controlling family (ALMEX); associate Altyn Bank with board overlap. The note was not reviewed.</w:t>
            </w:r>
          </w:p>
        </w:tc>
        <w:tc>
          <w:tcPr>
            <w:tcW w:w="1751" w:type="dxa"/>
          </w:tcPr>
          <w:p>
            <w:pPr>
              <w:pStyle w:val="Compact"/>
              <w:spacing w:before="0" w:after="0" w:line="240" w:lineRule="auto"/>
              <w:jc w:val="left"/>
            </w:pPr>
            <w:r>
              <w:rPr>
                <w:rFonts w:ascii="Arial" w:hAnsi="Arial"/>
                <w:sz w:val="15"/>
              </w:rPr>
              <w:t xml:space="preserve">Medium (unverified)</w:t>
            </w:r>
          </w:p>
        </w:tc>
      </w:tr>
      <w:tr>
        <w:trPr>
          <w:cantSplit/>
        </w:trPr>
        <w:tc>
          <w:tcPr>
            <w:tcW w:w="2550" w:type="dxa"/>
          </w:tcPr>
          <w:p>
            <w:pPr>
              <w:pStyle w:val="Compact"/>
              <w:spacing w:before="0" w:after="0" w:line="240" w:lineRule="auto"/>
              <w:jc w:val="left"/>
            </w:pPr>
            <w:r>
              <w:rPr>
                <w:bCs/>
                <w:rFonts w:ascii="Arial" w:hAnsi="Arial"/>
                <w:b/>
                <w:sz w:val="15"/>
              </w:rPr>
              <w:t xml:space="preserve">Contingencies</w:t>
            </w:r>
          </w:p>
        </w:tc>
        <w:tc>
          <w:tcPr>
            <w:tcW w:w="5676" w:type="dxa"/>
          </w:tcPr>
          <w:p>
            <w:pPr>
              <w:pStyle w:val="Compact"/>
              <w:spacing w:before="0" w:after="0" w:line="240" w:lineRule="auto"/>
              <w:jc w:val="left"/>
            </w:pPr>
            <w:r>
              <w:rPr>
                <w:rFonts w:ascii="Arial" w:hAnsi="Arial"/>
                <w:sz w:val="15"/>
              </w:rPr>
              <w:t xml:space="preserve">Legacy Kazkom/BTA workout assets in SPVs; tax exposure under the new code; state-programme obligations.</w:t>
            </w:r>
          </w:p>
        </w:tc>
        <w:tc>
          <w:tcPr>
            <w:tcW w:w="1751" w:type="dxa"/>
          </w:tcPr>
          <w:p>
            <w:pPr>
              <w:pStyle w:val="Compact"/>
              <w:spacing w:before="0" w:after="0" w:line="240" w:lineRule="auto"/>
              <w:jc w:val="left"/>
            </w:pPr>
            <w:r>
              <w:rPr>
                <w:rFonts w:ascii="Arial" w:hAnsi="Arial"/>
                <w:sz w:val="15"/>
              </w:rPr>
              <w:t xml:space="preserve">Medium</w:t>
            </w:r>
          </w:p>
        </w:tc>
      </w:tr>
      <w:tr>
        <w:trPr>
          <w:cantSplit/>
        </w:trPr>
        <w:tc>
          <w:tcPr>
            <w:tcW w:w="2550" w:type="dxa"/>
          </w:tcPr>
          <w:p>
            <w:pPr>
              <w:pStyle w:val="Compact"/>
              <w:spacing w:before="0" w:after="0" w:line="240" w:lineRule="auto"/>
              <w:jc w:val="left"/>
            </w:pPr>
            <w:r>
              <w:rPr>
                <w:bCs/>
                <w:rFonts w:ascii="Arial" w:hAnsi="Arial"/>
                <w:b/>
                <w:sz w:val="15"/>
              </w:rPr>
              <w:t xml:space="preserve">Stock-based compensation</w:t>
            </w:r>
          </w:p>
        </w:tc>
        <w:tc>
          <w:tcPr>
            <w:tcW w:w="5676" w:type="dxa"/>
          </w:tcPr>
          <w:p>
            <w:pPr>
              <w:pStyle w:val="Compact"/>
              <w:spacing w:before="0" w:after="0" w:line="240" w:lineRule="auto"/>
              <w:jc w:val="left"/>
            </w:pPr>
            <w:r>
              <w:rPr>
                <w:rFonts w:ascii="Arial" w:hAnsi="Arial"/>
                <w:sz w:val="15"/>
              </w:rPr>
              <w:t xml:space="preserve">Minimal. Up to 1% of shares may be allotted to staff without pre-emptive rights (Dec-24 authority).</w:t>
            </w:r>
          </w:p>
        </w:tc>
        <w:tc>
          <w:tcPr>
            <w:tcW w:w="1751" w:type="dxa"/>
          </w:tcPr>
          <w:p>
            <w:pPr>
              <w:pStyle w:val="Compact"/>
              <w:spacing w:before="0" w:after="0" w:line="240" w:lineRule="auto"/>
              <w:jc w:val="left"/>
            </w:pPr>
            <w:r>
              <w:rPr>
                <w:rFonts w:ascii="Arial" w:hAnsi="Arial"/>
                <w:sz w:val="15"/>
              </w:rPr>
              <w:t xml:space="preserve">Low</w:t>
            </w:r>
          </w:p>
        </w:tc>
      </w:tr>
      <w:tr>
        <w:trPr>
          <w:cantSplit/>
        </w:trPr>
        <w:tc>
          <w:tcPr>
            <w:tcW w:w="2550" w:type="dxa"/>
          </w:tcPr>
          <w:p>
            <w:pPr>
              <w:pStyle w:val="Compact"/>
              <w:spacing w:before="0" w:after="0" w:line="240" w:lineRule="auto"/>
              <w:jc w:val="left"/>
            </w:pPr>
            <w:r>
              <w:rPr>
                <w:bCs/>
                <w:rFonts w:ascii="Arial" w:hAnsi="Arial"/>
                <w:b/>
                <w:sz w:val="15"/>
              </w:rPr>
              <w:t xml:space="preserve">Goodwill and intangibles</w:t>
            </w:r>
          </w:p>
        </w:tc>
        <w:tc>
          <w:tcPr>
            <w:tcW w:w="5676" w:type="dxa"/>
          </w:tcPr>
          <w:p>
            <w:pPr>
              <w:pStyle w:val="Compact"/>
              <w:spacing w:before="0" w:after="0" w:line="240" w:lineRule="auto"/>
              <w:jc w:val="left"/>
            </w:pPr>
            <w:r>
              <w:rPr>
                <w:rFonts w:ascii="Arial" w:hAnsi="Arial"/>
                <w:sz w:val="15"/>
              </w:rPr>
              <w:t xml:space="preserve">Immaterial relative to equity (Kazkom bought for a nominal sum) [u].</w:t>
            </w:r>
          </w:p>
        </w:tc>
        <w:tc>
          <w:tcPr>
            <w:tcW w:w="1751" w:type="dxa"/>
          </w:tcPr>
          <w:p>
            <w:pPr>
              <w:pStyle w:val="Compact"/>
              <w:spacing w:before="0" w:after="0" w:line="240" w:lineRule="auto"/>
              <w:jc w:val="left"/>
            </w:pPr>
            <w:r>
              <w:rPr>
                <w:rFonts w:ascii="Arial" w:hAnsi="Arial"/>
                <w:sz w:val="15"/>
              </w:rPr>
              <w:t xml:space="preserve">Low</w:t>
            </w:r>
          </w:p>
        </w:tc>
      </w:tr>
      <w:tr>
        <w:trPr>
          <w:cantSplit/>
        </w:trPr>
        <w:tc>
          <w:tcPr>
            <w:tcW w:w="2550" w:type="dxa"/>
          </w:tcPr>
          <w:p>
            <w:pPr>
              <w:pStyle w:val="Compact"/>
              <w:spacing w:before="0" w:after="0" w:line="240" w:lineRule="auto"/>
              <w:jc w:val="left"/>
            </w:pPr>
            <w:r>
              <w:rPr>
                <w:bCs/>
                <w:rFonts w:ascii="Arial" w:hAnsi="Arial"/>
                <w:b/>
                <w:sz w:val="15"/>
              </w:rPr>
              <w:t xml:space="preserve">Cash-flow statement</w:t>
            </w:r>
          </w:p>
        </w:tc>
        <w:tc>
          <w:tcPr>
            <w:tcW w:w="5676" w:type="dxa"/>
          </w:tcPr>
          <w:p>
            <w:pPr>
              <w:pStyle w:val="Compact"/>
              <w:spacing w:before="0" w:after="0" w:line="240" w:lineRule="auto"/>
              <w:jc w:val="left"/>
            </w:pPr>
            <w:r>
              <w:rPr>
                <w:rFonts w:ascii="Arial" w:hAnsi="Arial"/>
                <w:sz w:val="15"/>
              </w:rPr>
              <w:t xml:space="preserve">Bank operating cash flow is volatile and driven by deposit and loan flows. The dividend is covered by capital generation (ROE × retention ≥ RWA growth).</w:t>
            </w:r>
          </w:p>
        </w:tc>
        <w:tc>
          <w:tcPr>
            <w:tcW w:w="1751" w:type="dxa"/>
          </w:tcPr>
          <w:p>
            <w:pPr>
              <w:pStyle w:val="Compact"/>
              <w:spacing w:before="0" w:after="0" w:line="240" w:lineRule="auto"/>
              <w:jc w:val="left"/>
            </w:pPr>
            <w:r>
              <w:rPr>
                <w:rFonts w:ascii="Arial" w:hAnsi="Arial"/>
                <w:sz w:val="15"/>
              </w:rPr>
              <w:t xml:space="preserve">Low</w:t>
            </w:r>
          </w:p>
        </w:tc>
      </w:tr>
      <w:tr>
        <w:trPr>
          <w:cantSplit/>
        </w:trPr>
        <w:tc>
          <w:tcPr>
            <w:tcW w:w="2550" w:type="dxa"/>
          </w:tcPr>
          <w:p>
            <w:pPr>
              <w:pStyle w:val="Compact"/>
              <w:spacing w:before="0" w:after="0" w:line="240" w:lineRule="auto"/>
              <w:jc w:val="left"/>
            </w:pPr>
            <w:r>
              <w:rPr>
                <w:bCs/>
                <w:rFonts w:ascii="Arial" w:hAnsi="Arial"/>
                <w:b/>
                <w:sz w:val="15"/>
              </w:rPr>
              <w:t xml:space="preserve">Auditor</w:t>
            </w:r>
          </w:p>
        </w:tc>
        <w:tc>
          <w:tcPr>
            <w:tcW w:w="5676" w:type="dxa"/>
          </w:tcPr>
          <w:p>
            <w:pPr>
              <w:pStyle w:val="Compact"/>
              <w:spacing w:before="0" w:after="0" w:line="240" w:lineRule="auto"/>
              <w:jc w:val="left"/>
            </w:pPr>
            <w:r>
              <w:rPr>
                <w:rFonts w:ascii="Arial" w:hAnsi="Arial"/>
                <w:sz w:val="15"/>
              </w:rPr>
              <w:t xml:space="preserve">Moved to EY from the 9M26 review (EGM of 25-Sep-26) after the FY25 audit (Deloitte [u]). A mid-year switch is unusual.</w:t>
            </w:r>
          </w:p>
        </w:tc>
        <w:tc>
          <w:tcPr>
            <w:tcW w:w="1751" w:type="dxa"/>
          </w:tcPr>
          <w:p>
            <w:pPr>
              <w:pStyle w:val="Compact"/>
              <w:spacing w:before="0" w:after="0" w:line="240" w:lineRule="auto"/>
              <w:jc w:val="left"/>
            </w:pPr>
            <w:r>
              <w:rPr>
                <w:rFonts w:ascii="Arial" w:hAnsi="Arial"/>
                <w:sz w:val="15"/>
              </w:rPr>
              <w:t xml:space="preserve">Medium (needs explanation)</w:t>
            </w:r>
          </w:p>
        </w:tc>
      </w:tr>
    </w:tbl>
    <w:bookmarkEnd w:id="118"/>
    <w:bookmarkStart w:id="119" w:name="X4428266071bc4e64f5bb91d2a9a0123c80294c3"/>
    <w:p>
      <w:pPr>
        <w:pStyle w:val="Heading2"/>
      </w:pPr>
      <w:r>
        <w:t xml:space="preserve">Governance and forensic checklist (13 points)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493"/>
        <w:gridCol w:w="3116"/>
        <w:gridCol w:w="1267"/>
        <w:gridCol w:w="5100"/>
      </w:tblGrid>
      <w:tr>
        <w:trPr>
          <w:tblHeader w:val="true"/>
          <w:cantSplit/>
          <w:tblHeader w:val="true"/>
        </w:trPr>
        <w:tc>
          <w:tcPr>
            <w:tcW w:w="493" w:type="dxa"/>
            <w:shd w:val="clear" w:color="auto" w:fill="13213F"/>
          </w:tcPr>
          <w:p>
            <w:pPr>
              <w:pStyle w:val="Compact"/>
              <w:spacing w:before="0" w:after="0" w:line="240" w:lineRule="auto"/>
              <w:jc w:val="left"/>
            </w:pPr>
            <w:r>
              <w:rPr>
                <w:rFonts w:ascii="Arial" w:hAnsi="Arial"/>
                <w:b/>
                <w:color w:val="FFFFFF"/>
                <w:sz w:val="15"/>
              </w:rPr>
              <w:t xml:space="preserve">#</w:t>
            </w:r>
          </w:p>
        </w:tc>
        <w:tc>
          <w:tcPr>
            <w:tcW w:w="3116" w:type="dxa"/>
            <w:shd w:val="clear" w:color="auto" w:fill="13213F"/>
          </w:tcPr>
          <w:p>
            <w:pPr>
              <w:pStyle w:val="Compact"/>
              <w:spacing w:before="0" w:after="0" w:line="240" w:lineRule="auto"/>
              <w:jc w:val="left"/>
            </w:pPr>
            <w:r>
              <w:rPr>
                <w:rFonts w:ascii="Arial" w:hAnsi="Arial"/>
                <w:b/>
                <w:color w:val="FFFFFF"/>
                <w:sz w:val="15"/>
              </w:rPr>
              <w:t xml:space="preserve">Test</w:t>
            </w:r>
          </w:p>
        </w:tc>
        <w:tc>
          <w:tcPr>
            <w:tcW w:w="1267" w:type="dxa"/>
            <w:shd w:val="clear" w:color="auto" w:fill="13213F"/>
          </w:tcPr>
          <w:p>
            <w:pPr>
              <w:pStyle w:val="Compact"/>
              <w:spacing w:before="0" w:after="0" w:line="240" w:lineRule="auto"/>
              <w:jc w:val="left"/>
            </w:pPr>
            <w:r>
              <w:rPr>
                <w:rFonts w:ascii="Arial" w:hAnsi="Arial"/>
                <w:b/>
                <w:color w:val="FFFFFF"/>
                <w:sz w:val="15"/>
              </w:rPr>
              <w:t xml:space="preserve">Verdict</w:t>
            </w:r>
          </w:p>
        </w:tc>
        <w:tc>
          <w:tcPr>
            <w:tcW w:w="5100" w:type="dxa"/>
            <w:shd w:val="clear" w:color="auto" w:fill="13213F"/>
          </w:tcPr>
          <w:p>
            <w:pPr>
              <w:pStyle w:val="Compact"/>
              <w:spacing w:before="0" w:after="0" w:line="240" w:lineRule="auto"/>
              <w:jc w:val="left"/>
            </w:pPr>
            <w:r>
              <w:rPr>
                <w:rFonts w:ascii="Arial" w:hAnsi="Arial"/>
                <w:b/>
                <w:color w:val="FFFFFF"/>
                <w:sz w:val="15"/>
              </w:rPr>
              <w:t xml:space="preserve">Comment</w:t>
            </w:r>
          </w:p>
        </w:tc>
      </w:tr>
      <w:tr>
        <w:trPr>
          <w:cantSplit/>
        </w:trPr>
        <w:tc>
          <w:tcPr>
            <w:tcW w:w="493" w:type="dxa"/>
          </w:tcPr>
          <w:p>
            <w:pPr>
              <w:pStyle w:val="Compact"/>
              <w:spacing w:before="0" w:after="0" w:line="240" w:lineRule="auto"/>
              <w:jc w:val="left"/>
            </w:pPr>
            <w:r>
              <w:rPr>
                <w:rFonts w:ascii="Arial" w:hAnsi="Arial"/>
                <w:sz w:val="15"/>
              </w:rPr>
              <w:t xml:space="preserve">1</w:t>
            </w:r>
          </w:p>
        </w:tc>
        <w:tc>
          <w:tcPr>
            <w:tcW w:w="3116" w:type="dxa"/>
          </w:tcPr>
          <w:p>
            <w:pPr>
              <w:pStyle w:val="Compact"/>
              <w:spacing w:before="0" w:after="0" w:line="240" w:lineRule="auto"/>
              <w:jc w:val="left"/>
            </w:pPr>
            <w:r>
              <w:rPr>
                <w:rFonts w:ascii="Arial" w:hAnsi="Arial"/>
                <w:sz w:val="15"/>
              </w:rPr>
              <w:t xml:space="preserve">Quality of earnings</w:t>
            </w:r>
          </w:p>
        </w:tc>
        <w:tc>
          <w:tcPr>
            <w:tcW w:w="1267" w:type="dxa"/>
          </w:tcPr>
          <w:p>
            <w:pPr>
              <w:pStyle w:val="Compact"/>
              <w:spacing w:before="0" w:after="0" w:line="240" w:lineRule="auto"/>
              <w:jc w:val="left"/>
            </w:pPr>
            <w:r>
              <w:rPr>
                <w:bCs/>
                <w:rFonts w:ascii="Arial" w:hAnsi="Arial"/>
                <w:b/>
                <w:sz w:val="15"/>
              </w:rPr>
              <w:t xml:space="preserve">Amber</w:t>
            </w:r>
          </w:p>
        </w:tc>
        <w:tc>
          <w:tcPr>
            <w:tcW w:w="5100" w:type="dxa"/>
          </w:tcPr>
          <w:p>
            <w:pPr>
              <w:pStyle w:val="Compact"/>
              <w:spacing w:before="0" w:after="0" w:line="240" w:lineRule="auto"/>
              <w:jc w:val="left"/>
            </w:pPr>
            <w:r>
              <w:rPr>
                <w:rFonts w:ascii="Arial" w:hAnsi="Arial"/>
                <w:sz w:val="15"/>
              </w:rPr>
              <w:t xml:space="preserve">Core PPOP is solid, but</w:t>
            </w:r>
            <w:r>
              <w:rPr>
                <w:rFonts w:ascii="Arial" w:hAnsi="Arial"/>
                <w:sz w:val="15"/>
              </w:rPr>
              <w:t xml:space="preserve"> </w:t>
            </w:r>
            <w:r>
              <w:rPr>
                <w:rFonts w:ascii="Arial" w:hAnsi="Arial"/>
                <w:sz w:val="15"/>
              </w:rPr>
              <w:t xml:space="preserve">“</w:t>
            </w:r>
            <w:r>
              <w:rPr>
                <w:rFonts w:ascii="Arial" w:hAnsi="Arial"/>
                <w:sz w:val="15"/>
              </w:rPr>
              <w:t xml:space="preserve">one-offs</w:t>
            </w:r>
            <w:r>
              <w:rPr>
                <w:rFonts w:ascii="Arial" w:hAnsi="Arial"/>
                <w:sz w:val="15"/>
              </w:rPr>
              <w:t xml:space="preserve">”</w:t>
            </w:r>
            <w:r>
              <w:rPr>
                <w:rFonts w:ascii="Arial" w:hAnsi="Arial"/>
                <w:sz w:val="15"/>
              </w:rPr>
              <w:t xml:space="preserve"> </w:t>
            </w:r>
            <w:r>
              <w:rPr>
                <w:rFonts w:ascii="Arial" w:hAnsi="Arial"/>
                <w:sz w:val="15"/>
              </w:rPr>
              <w:t xml:space="preserve">recur and coverage is falling while NPLs double</w:t>
            </w:r>
          </w:p>
        </w:tc>
      </w:tr>
      <w:tr>
        <w:trPr>
          <w:cantSplit/>
        </w:trPr>
        <w:tc>
          <w:tcPr>
            <w:tcW w:w="493" w:type="dxa"/>
          </w:tcPr>
          <w:p>
            <w:pPr>
              <w:pStyle w:val="Compact"/>
              <w:spacing w:before="0" w:after="0" w:line="240" w:lineRule="auto"/>
              <w:jc w:val="left"/>
            </w:pPr>
            <w:r>
              <w:rPr>
                <w:rFonts w:ascii="Arial" w:hAnsi="Arial"/>
                <w:sz w:val="15"/>
              </w:rPr>
              <w:t xml:space="preserve">2</w:t>
            </w:r>
          </w:p>
        </w:tc>
        <w:tc>
          <w:tcPr>
            <w:tcW w:w="3116" w:type="dxa"/>
          </w:tcPr>
          <w:p>
            <w:pPr>
              <w:pStyle w:val="Compact"/>
              <w:spacing w:before="0" w:after="0" w:line="240" w:lineRule="auto"/>
              <w:jc w:val="left"/>
            </w:pPr>
            <w:r>
              <w:rPr>
                <w:rFonts w:ascii="Arial" w:hAnsi="Arial"/>
                <w:sz w:val="15"/>
              </w:rPr>
              <w:t xml:space="preserve">Constant reporting changes / restatements</w:t>
            </w:r>
          </w:p>
        </w:tc>
        <w:tc>
          <w:tcPr>
            <w:tcW w:w="1267" w:type="dxa"/>
          </w:tcPr>
          <w:p>
            <w:pPr>
              <w:pStyle w:val="Compact"/>
              <w:spacing w:before="0" w:after="0" w:line="240" w:lineRule="auto"/>
              <w:jc w:val="left"/>
            </w:pPr>
            <w:r>
              <w:rPr>
                <w:bCs/>
                <w:rFonts w:ascii="Arial" w:hAnsi="Arial"/>
                <w:b/>
                <w:sz w:val="15"/>
              </w:rPr>
              <w:t xml:space="preserve">Amber</w:t>
            </w:r>
          </w:p>
        </w:tc>
        <w:tc>
          <w:tcPr>
            <w:tcW w:w="5100" w:type="dxa"/>
          </w:tcPr>
          <w:p>
            <w:pPr>
              <w:pStyle w:val="Compact"/>
              <w:spacing w:before="0" w:after="0" w:line="240" w:lineRule="auto"/>
              <w:jc w:val="left"/>
            </w:pPr>
            <w:r>
              <w:rPr>
                <w:rFonts w:ascii="Arial" w:hAnsi="Arial"/>
                <w:sz w:val="15"/>
              </w:rPr>
              <w:t xml:space="preserve">IFRS 17 and 2023 re-presentation; consistent since</w:t>
            </w:r>
          </w:p>
        </w:tc>
      </w:tr>
      <w:tr>
        <w:trPr>
          <w:cantSplit/>
        </w:trPr>
        <w:tc>
          <w:tcPr>
            <w:tcW w:w="493" w:type="dxa"/>
          </w:tcPr>
          <w:p>
            <w:pPr>
              <w:pStyle w:val="Compact"/>
              <w:spacing w:before="0" w:after="0" w:line="240" w:lineRule="auto"/>
              <w:jc w:val="left"/>
            </w:pPr>
            <w:r>
              <w:rPr>
                <w:rFonts w:ascii="Arial" w:hAnsi="Arial"/>
                <w:sz w:val="15"/>
              </w:rPr>
              <w:t xml:space="preserve">3</w:t>
            </w:r>
          </w:p>
        </w:tc>
        <w:tc>
          <w:tcPr>
            <w:tcW w:w="3116" w:type="dxa"/>
          </w:tcPr>
          <w:p>
            <w:pPr>
              <w:pStyle w:val="Compact"/>
              <w:spacing w:before="0" w:after="0" w:line="240" w:lineRule="auto"/>
              <w:jc w:val="left"/>
            </w:pPr>
            <w:r>
              <w:rPr>
                <w:rFonts w:ascii="Arial" w:hAnsi="Arial"/>
                <w:sz w:val="15"/>
              </w:rPr>
              <w:t xml:space="preserve">Opaque or misleading reporting</w:t>
            </w:r>
          </w:p>
        </w:tc>
        <w:tc>
          <w:tcPr>
            <w:tcW w:w="1267" w:type="dxa"/>
          </w:tcPr>
          <w:p>
            <w:pPr>
              <w:pStyle w:val="Compact"/>
              <w:spacing w:before="0" w:after="0" w:line="240" w:lineRule="auto"/>
              <w:jc w:val="left"/>
            </w:pPr>
            <w:r>
              <w:rPr>
                <w:bCs/>
                <w:rFonts w:ascii="Arial" w:hAnsi="Arial"/>
                <w:b/>
                <w:sz w:val="15"/>
              </w:rPr>
              <w:t xml:space="preserve">Amber</w:t>
            </w:r>
          </w:p>
        </w:tc>
        <w:tc>
          <w:tcPr>
            <w:tcW w:w="5100" w:type="dxa"/>
          </w:tcPr>
          <w:p>
            <w:pPr>
              <w:pStyle w:val="Compact"/>
              <w:spacing w:before="0" w:after="0" w:line="240" w:lineRule="auto"/>
              <w:jc w:val="left"/>
            </w:pPr>
            <w:r>
              <w:rPr>
                <w:rFonts w:ascii="Arial" w:hAnsi="Arial"/>
                <w:sz w:val="15"/>
              </w:rPr>
              <w:t xml:space="preserve">Good quarterly disclosure and consensus publication; weak on segment P&amp;L, related parties and pay</w:t>
            </w:r>
          </w:p>
        </w:tc>
      </w:tr>
      <w:tr>
        <w:trPr>
          <w:cantSplit/>
        </w:trPr>
        <w:tc>
          <w:tcPr>
            <w:tcW w:w="493" w:type="dxa"/>
          </w:tcPr>
          <w:p>
            <w:pPr>
              <w:pStyle w:val="Compact"/>
              <w:spacing w:before="0" w:after="0" w:line="240" w:lineRule="auto"/>
              <w:jc w:val="left"/>
            </w:pPr>
            <w:r>
              <w:rPr>
                <w:rFonts w:ascii="Arial" w:hAnsi="Arial"/>
                <w:sz w:val="15"/>
              </w:rPr>
              <w:t xml:space="preserve">4</w:t>
            </w:r>
          </w:p>
        </w:tc>
        <w:tc>
          <w:tcPr>
            <w:tcW w:w="3116" w:type="dxa"/>
          </w:tcPr>
          <w:p>
            <w:pPr>
              <w:pStyle w:val="Compact"/>
              <w:spacing w:before="0" w:after="0" w:line="240" w:lineRule="auto"/>
              <w:jc w:val="left"/>
            </w:pPr>
            <w:r>
              <w:rPr>
                <w:rFonts w:ascii="Arial" w:hAnsi="Arial"/>
                <w:sz w:val="15"/>
              </w:rPr>
              <w:t xml:space="preserve">Organic growth transparency</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Growth is organic; M&amp;A minimal since 2017</w:t>
            </w:r>
          </w:p>
        </w:tc>
      </w:tr>
      <w:tr>
        <w:trPr>
          <w:cantSplit/>
        </w:trPr>
        <w:tc>
          <w:tcPr>
            <w:tcW w:w="493" w:type="dxa"/>
          </w:tcPr>
          <w:p>
            <w:pPr>
              <w:pStyle w:val="Compact"/>
              <w:spacing w:before="0" w:after="0" w:line="240" w:lineRule="auto"/>
              <w:jc w:val="left"/>
            </w:pPr>
            <w:r>
              <w:rPr>
                <w:rFonts w:ascii="Arial" w:hAnsi="Arial"/>
                <w:sz w:val="15"/>
              </w:rPr>
              <w:t xml:space="preserve">5</w:t>
            </w:r>
          </w:p>
        </w:tc>
        <w:tc>
          <w:tcPr>
            <w:tcW w:w="3116" w:type="dxa"/>
          </w:tcPr>
          <w:p>
            <w:pPr>
              <w:pStyle w:val="Compact"/>
              <w:spacing w:before="0" w:after="0" w:line="240" w:lineRule="auto"/>
              <w:jc w:val="left"/>
            </w:pPr>
            <w:r>
              <w:rPr>
                <w:rFonts w:ascii="Arial" w:hAnsi="Arial"/>
                <w:sz w:val="15"/>
              </w:rPr>
              <w:t xml:space="preserve">Selective disclosure (RNS vs press release)</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Same-day RNS, KASE and AIX releases; company-compiled consensus published</w:t>
            </w:r>
          </w:p>
        </w:tc>
      </w:tr>
      <w:tr>
        <w:trPr>
          <w:cantSplit/>
        </w:trPr>
        <w:tc>
          <w:tcPr>
            <w:tcW w:w="493" w:type="dxa"/>
          </w:tcPr>
          <w:p>
            <w:pPr>
              <w:pStyle w:val="Compact"/>
              <w:spacing w:before="0" w:after="0" w:line="240" w:lineRule="auto"/>
              <w:jc w:val="left"/>
            </w:pPr>
            <w:r>
              <w:rPr>
                <w:rFonts w:ascii="Arial" w:hAnsi="Arial"/>
                <w:sz w:val="15"/>
              </w:rPr>
              <w:t xml:space="preserve">6</w:t>
            </w:r>
          </w:p>
        </w:tc>
        <w:tc>
          <w:tcPr>
            <w:tcW w:w="3116" w:type="dxa"/>
          </w:tcPr>
          <w:p>
            <w:pPr>
              <w:pStyle w:val="Compact"/>
              <w:spacing w:before="0" w:after="0" w:line="240" w:lineRule="auto"/>
              <w:jc w:val="left"/>
            </w:pPr>
            <w:r>
              <w:rPr>
                <w:rFonts w:ascii="Arial" w:hAnsi="Arial"/>
                <w:sz w:val="15"/>
              </w:rPr>
              <w:t xml:space="preserve">Adversarial towards criticism</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No evidence; management engages on calls</w:t>
            </w:r>
          </w:p>
        </w:tc>
      </w:tr>
      <w:tr>
        <w:trPr>
          <w:cantSplit/>
        </w:trPr>
        <w:tc>
          <w:tcPr>
            <w:tcW w:w="493" w:type="dxa"/>
          </w:tcPr>
          <w:p>
            <w:pPr>
              <w:pStyle w:val="Compact"/>
              <w:spacing w:before="0" w:after="0" w:line="240" w:lineRule="auto"/>
              <w:jc w:val="left"/>
            </w:pPr>
            <w:r>
              <w:rPr>
                <w:rFonts w:ascii="Arial" w:hAnsi="Arial"/>
                <w:sz w:val="15"/>
              </w:rPr>
              <w:t xml:space="preserve">7</w:t>
            </w:r>
          </w:p>
        </w:tc>
        <w:tc>
          <w:tcPr>
            <w:tcW w:w="3116" w:type="dxa"/>
          </w:tcPr>
          <w:p>
            <w:pPr>
              <w:pStyle w:val="Compact"/>
              <w:spacing w:before="0" w:after="0" w:line="240" w:lineRule="auto"/>
              <w:jc w:val="left"/>
            </w:pPr>
            <w:r>
              <w:rPr>
                <w:rFonts w:ascii="Arial" w:hAnsi="Arial"/>
                <w:sz w:val="15"/>
              </w:rPr>
              <w:t xml:space="preserve">Dividend emphasis vs FCF support</w:t>
            </w:r>
          </w:p>
        </w:tc>
        <w:tc>
          <w:tcPr>
            <w:tcW w:w="1267" w:type="dxa"/>
          </w:tcPr>
          <w:p>
            <w:pPr>
              <w:pStyle w:val="Compact"/>
              <w:spacing w:before="0" w:after="0" w:line="240" w:lineRule="auto"/>
              <w:jc w:val="left"/>
            </w:pPr>
            <w:r>
              <w:rPr>
                <w:bCs/>
                <w:rFonts w:ascii="Arial" w:hAnsi="Arial"/>
                <w:b/>
                <w:sz w:val="15"/>
              </w:rPr>
              <w:t xml:space="preserve">Green/Amber</w:t>
            </w:r>
          </w:p>
        </w:tc>
        <w:tc>
          <w:tcPr>
            <w:tcW w:w="5100" w:type="dxa"/>
          </w:tcPr>
          <w:p>
            <w:pPr>
              <w:pStyle w:val="Compact"/>
              <w:spacing w:before="0" w:after="0" w:line="240" w:lineRule="auto"/>
              <w:jc w:val="left"/>
            </w:pPr>
            <w:r>
              <w:rPr>
                <w:rFonts w:ascii="Arial" w:hAnsi="Arial"/>
                <w:sz w:val="15"/>
              </w:rPr>
              <w:t xml:space="preserve">60% payout backed by capital generation; but management uses the dividend to anchor sentiment while earnings fall</w:t>
            </w:r>
          </w:p>
        </w:tc>
      </w:tr>
      <w:tr>
        <w:trPr>
          <w:cantSplit/>
        </w:trPr>
        <w:tc>
          <w:tcPr>
            <w:tcW w:w="493" w:type="dxa"/>
          </w:tcPr>
          <w:p>
            <w:pPr>
              <w:pStyle w:val="Compact"/>
              <w:spacing w:before="0" w:after="0" w:line="240" w:lineRule="auto"/>
              <w:jc w:val="left"/>
            </w:pPr>
            <w:r>
              <w:rPr>
                <w:rFonts w:ascii="Arial" w:hAnsi="Arial"/>
                <w:sz w:val="15"/>
              </w:rPr>
              <w:t xml:space="preserve">8</w:t>
            </w:r>
          </w:p>
        </w:tc>
        <w:tc>
          <w:tcPr>
            <w:tcW w:w="3116" w:type="dxa"/>
          </w:tcPr>
          <w:p>
            <w:pPr>
              <w:pStyle w:val="Compact"/>
              <w:spacing w:before="0" w:after="0" w:line="240" w:lineRule="auto"/>
              <w:jc w:val="left"/>
            </w:pPr>
            <w:r>
              <w:rPr>
                <w:rFonts w:ascii="Arial" w:hAnsi="Arial"/>
                <w:sz w:val="15"/>
              </w:rPr>
              <w:t xml:space="preserve">Management quality</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Long, successful tenure; key-person and succession risk</w:t>
            </w:r>
          </w:p>
        </w:tc>
      </w:tr>
      <w:tr>
        <w:trPr>
          <w:cantSplit/>
        </w:trPr>
        <w:tc>
          <w:tcPr>
            <w:tcW w:w="493" w:type="dxa"/>
          </w:tcPr>
          <w:p>
            <w:pPr>
              <w:pStyle w:val="Compact"/>
              <w:spacing w:before="0" w:after="0" w:line="240" w:lineRule="auto"/>
              <w:jc w:val="left"/>
            </w:pPr>
            <w:r>
              <w:rPr>
                <w:rFonts w:ascii="Arial" w:hAnsi="Arial"/>
                <w:sz w:val="15"/>
              </w:rPr>
              <w:t xml:space="preserve">9</w:t>
            </w:r>
          </w:p>
        </w:tc>
        <w:tc>
          <w:tcPr>
            <w:tcW w:w="3116" w:type="dxa"/>
          </w:tcPr>
          <w:p>
            <w:pPr>
              <w:pStyle w:val="Compact"/>
              <w:spacing w:before="0" w:after="0" w:line="240" w:lineRule="auto"/>
              <w:jc w:val="left"/>
            </w:pPr>
            <w:r>
              <w:rPr>
                <w:rFonts w:ascii="Arial" w:hAnsi="Arial"/>
                <w:sz w:val="15"/>
              </w:rPr>
              <w:t xml:space="preserve">Nomadic financiers chasing fads</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Shareholder base is ALMEX plus long-only frontier/EM funds; buyers of the 2025 placement held as the stock rose ~45% [e]</w:t>
            </w:r>
          </w:p>
        </w:tc>
      </w:tr>
      <w:tr>
        <w:trPr>
          <w:cantSplit/>
        </w:trPr>
        <w:tc>
          <w:tcPr>
            <w:tcW w:w="493" w:type="dxa"/>
          </w:tcPr>
          <w:p>
            <w:pPr>
              <w:pStyle w:val="Compact"/>
              <w:spacing w:before="0" w:after="0" w:line="240" w:lineRule="auto"/>
              <w:jc w:val="left"/>
            </w:pPr>
            <w:r>
              <w:rPr>
                <w:rFonts w:ascii="Arial" w:hAnsi="Arial"/>
                <w:sz w:val="15"/>
              </w:rPr>
              <w:t xml:space="preserve">10</w:t>
            </w:r>
          </w:p>
        </w:tc>
        <w:tc>
          <w:tcPr>
            <w:tcW w:w="3116" w:type="dxa"/>
          </w:tcPr>
          <w:p>
            <w:pPr>
              <w:pStyle w:val="Compact"/>
              <w:spacing w:before="0" w:after="0" w:line="240" w:lineRule="auto"/>
              <w:jc w:val="left"/>
            </w:pPr>
            <w:r>
              <w:rPr>
                <w:rFonts w:ascii="Arial" w:hAnsi="Arial"/>
                <w:sz w:val="15"/>
              </w:rPr>
              <w:t xml:space="preserve">Related-party transactions</w:t>
            </w:r>
          </w:p>
        </w:tc>
        <w:tc>
          <w:tcPr>
            <w:tcW w:w="1267" w:type="dxa"/>
          </w:tcPr>
          <w:p>
            <w:pPr>
              <w:pStyle w:val="Compact"/>
              <w:spacing w:before="0" w:after="0" w:line="240" w:lineRule="auto"/>
              <w:jc w:val="left"/>
            </w:pPr>
            <w:r>
              <w:rPr>
                <w:bCs/>
                <w:rFonts w:ascii="Arial" w:hAnsi="Arial"/>
                <w:b/>
                <w:sz w:val="15"/>
              </w:rPr>
              <w:t xml:space="preserve">Amber/Red</w:t>
            </w:r>
          </w:p>
        </w:tc>
        <w:tc>
          <w:tcPr>
            <w:tcW w:w="5100" w:type="dxa"/>
          </w:tcPr>
          <w:p>
            <w:pPr>
              <w:pStyle w:val="Compact"/>
              <w:spacing w:before="0" w:after="0" w:line="240" w:lineRule="auto"/>
              <w:jc w:val="left"/>
            </w:pPr>
            <w:r>
              <w:rPr>
                <w:rFonts w:ascii="Arial" w:hAnsi="Arial"/>
                <w:sz w:val="15"/>
              </w:rPr>
              <w:t xml:space="preserve">Politically exposed controlling family; note not reviewed; board chair links to the associate</w:t>
            </w:r>
          </w:p>
        </w:tc>
      </w:tr>
      <w:tr>
        <w:trPr>
          <w:cantSplit/>
        </w:trPr>
        <w:tc>
          <w:tcPr>
            <w:tcW w:w="493" w:type="dxa"/>
          </w:tcPr>
          <w:p>
            <w:pPr>
              <w:pStyle w:val="Compact"/>
              <w:spacing w:before="0" w:after="0" w:line="240" w:lineRule="auto"/>
              <w:jc w:val="left"/>
            </w:pPr>
            <w:r>
              <w:rPr>
                <w:rFonts w:ascii="Arial" w:hAnsi="Arial"/>
                <w:sz w:val="15"/>
              </w:rPr>
              <w:t xml:space="preserve">11</w:t>
            </w:r>
          </w:p>
        </w:tc>
        <w:tc>
          <w:tcPr>
            <w:tcW w:w="3116" w:type="dxa"/>
          </w:tcPr>
          <w:p>
            <w:pPr>
              <w:pStyle w:val="Compact"/>
              <w:spacing w:before="0" w:after="0" w:line="240" w:lineRule="auto"/>
              <w:jc w:val="left"/>
            </w:pPr>
            <w:r>
              <w:rPr>
                <w:rFonts w:ascii="Arial" w:hAnsi="Arial"/>
                <w:sz w:val="15"/>
              </w:rPr>
              <w:t xml:space="preserve">Regulatory risk</w:t>
            </w:r>
          </w:p>
        </w:tc>
        <w:tc>
          <w:tcPr>
            <w:tcW w:w="1267" w:type="dxa"/>
          </w:tcPr>
          <w:p>
            <w:pPr>
              <w:pStyle w:val="Compact"/>
              <w:spacing w:before="0" w:after="0" w:line="240" w:lineRule="auto"/>
              <w:jc w:val="left"/>
            </w:pPr>
            <w:r>
              <w:rPr>
                <w:bCs/>
                <w:rFonts w:ascii="Arial" w:hAnsi="Arial"/>
                <w:b/>
                <w:sz w:val="15"/>
              </w:rPr>
              <w:t xml:space="preserve">Red</w:t>
            </w:r>
          </w:p>
        </w:tc>
        <w:tc>
          <w:tcPr>
            <w:tcW w:w="5100" w:type="dxa"/>
          </w:tcPr>
          <w:p>
            <w:pPr>
              <w:pStyle w:val="Compact"/>
              <w:spacing w:before="0" w:after="0" w:line="240" w:lineRule="auto"/>
              <w:jc w:val="left"/>
            </w:pPr>
            <w:r>
              <w:rPr>
                <w:rFonts w:ascii="Arial" w:hAnsi="Arial"/>
                <w:sz w:val="15"/>
              </w:rPr>
              <w:t xml:space="preserve">Excess-profit tax precedent, 25% CIT, MRR, retail caps; the state is the biggest risk to returns</w:t>
            </w:r>
          </w:p>
        </w:tc>
      </w:tr>
      <w:tr>
        <w:trPr>
          <w:cantSplit/>
        </w:trPr>
        <w:tc>
          <w:tcPr>
            <w:tcW w:w="493" w:type="dxa"/>
          </w:tcPr>
          <w:p>
            <w:pPr>
              <w:pStyle w:val="Compact"/>
              <w:spacing w:before="0" w:after="0" w:line="240" w:lineRule="auto"/>
              <w:jc w:val="left"/>
            </w:pPr>
            <w:r>
              <w:rPr>
                <w:rFonts w:ascii="Arial" w:hAnsi="Arial"/>
                <w:sz w:val="15"/>
              </w:rPr>
              <w:t xml:space="preserve">12</w:t>
            </w:r>
          </w:p>
        </w:tc>
        <w:tc>
          <w:tcPr>
            <w:tcW w:w="3116" w:type="dxa"/>
          </w:tcPr>
          <w:p>
            <w:pPr>
              <w:pStyle w:val="Compact"/>
              <w:spacing w:before="0" w:after="0" w:line="240" w:lineRule="auto"/>
              <w:jc w:val="left"/>
            </w:pPr>
            <w:r>
              <w:rPr>
                <w:rFonts w:ascii="Arial" w:hAnsi="Arial"/>
                <w:sz w:val="15"/>
              </w:rPr>
              <w:t xml:space="preserve">Hidden liabilities</w:t>
            </w:r>
          </w:p>
        </w:tc>
        <w:tc>
          <w:tcPr>
            <w:tcW w:w="1267" w:type="dxa"/>
          </w:tcPr>
          <w:p>
            <w:pPr>
              <w:pStyle w:val="Compact"/>
              <w:spacing w:before="0" w:after="0" w:line="240" w:lineRule="auto"/>
              <w:jc w:val="left"/>
            </w:pPr>
            <w:r>
              <w:rPr>
                <w:bCs/>
                <w:rFonts w:ascii="Arial" w:hAnsi="Arial"/>
                <w:b/>
                <w:sz w:val="15"/>
              </w:rPr>
              <w:t xml:space="preserve">Amber</w:t>
            </w:r>
          </w:p>
        </w:tc>
        <w:tc>
          <w:tcPr>
            <w:tcW w:w="5100" w:type="dxa"/>
          </w:tcPr>
          <w:p>
            <w:pPr>
              <w:pStyle w:val="Compact"/>
              <w:spacing w:before="0" w:after="0" w:line="240" w:lineRule="auto"/>
              <w:jc w:val="left"/>
            </w:pPr>
            <w:r>
              <w:rPr>
                <w:rFonts w:ascii="Arial" w:hAnsi="Arial"/>
                <w:sz w:val="15"/>
              </w:rPr>
              <w:t xml:space="preserve">Insurance reserves (model change), legacy SPVs, potential tax disputes</w:t>
            </w:r>
          </w:p>
        </w:tc>
      </w:tr>
      <w:tr>
        <w:trPr>
          <w:cantSplit/>
        </w:trPr>
        <w:tc>
          <w:tcPr>
            <w:tcW w:w="493" w:type="dxa"/>
          </w:tcPr>
          <w:p>
            <w:pPr>
              <w:pStyle w:val="Compact"/>
              <w:spacing w:before="0" w:after="0" w:line="240" w:lineRule="auto"/>
              <w:jc w:val="left"/>
            </w:pPr>
            <w:r>
              <w:rPr>
                <w:rFonts w:ascii="Arial" w:hAnsi="Arial"/>
                <w:sz w:val="15"/>
              </w:rPr>
              <w:t xml:space="preserve">13</w:t>
            </w:r>
          </w:p>
        </w:tc>
        <w:tc>
          <w:tcPr>
            <w:tcW w:w="3116" w:type="dxa"/>
          </w:tcPr>
          <w:p>
            <w:pPr>
              <w:pStyle w:val="Compact"/>
              <w:spacing w:before="0" w:after="0" w:line="240" w:lineRule="auto"/>
              <w:jc w:val="left"/>
            </w:pPr>
            <w:r>
              <w:rPr>
                <w:rFonts w:ascii="Arial" w:hAnsi="Arial"/>
                <w:sz w:val="15"/>
              </w:rPr>
              <w:t xml:space="preserve">Terminally challenged balance sheet</w:t>
            </w:r>
          </w:p>
        </w:tc>
        <w:tc>
          <w:tcPr>
            <w:tcW w:w="1267" w:type="dxa"/>
          </w:tcPr>
          <w:p>
            <w:pPr>
              <w:pStyle w:val="Compact"/>
              <w:spacing w:before="0" w:after="0" w:line="240" w:lineRule="auto"/>
              <w:jc w:val="left"/>
            </w:pPr>
            <w:r>
              <w:rPr>
                <w:bCs/>
                <w:rFonts w:ascii="Arial" w:hAnsi="Arial"/>
                <w:b/>
                <w:sz w:val="15"/>
              </w:rPr>
              <w:t xml:space="preserve">Green</w:t>
            </w:r>
          </w:p>
        </w:tc>
        <w:tc>
          <w:tcPr>
            <w:tcW w:w="5100" w:type="dxa"/>
          </w:tcPr>
          <w:p>
            <w:pPr>
              <w:pStyle w:val="Compact"/>
              <w:spacing w:before="0" w:after="0" w:line="240" w:lineRule="auto"/>
              <w:jc w:val="left"/>
            </w:pPr>
            <w:r>
              <w:rPr>
                <w:rFonts w:ascii="Arial" w:hAnsi="Arial"/>
                <w:sz w:val="15"/>
              </w:rPr>
              <w:t xml:space="preserve">19% CET1, 16.5% equity/assets, loans/deposits &lt;100%</w:t>
            </w:r>
          </w:p>
        </w:tc>
      </w:tr>
    </w:tbl>
    <w:bookmarkEnd w:id="119"/>
    <w:bookmarkEnd w:id="120"/>
    <w:bookmarkStart w:id="123" w:name="X504b81d5fb94c61f27644976a2d55666a18e6c6"/>
    <w:p>
      <w:pPr>
        <w:pStyle w:val="Heading1"/>
      </w:pPr>
      <w:r>
        <w:t xml:space="preserve">Timeline of key events and catalyst calendar</w:t>
      </w:r>
    </w:p>
    <w:bookmarkStart w:id="121" w:name="key-past-events"/>
    <w:p>
      <w:pPr>
        <w:pStyle w:val="Heading2"/>
      </w:pPr>
      <w:r>
        <w:t xml:space="preserve">Key past events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2207"/>
        <w:gridCol w:w="7770"/>
      </w:tblGrid>
      <w:tr>
        <w:trPr>
          <w:tblHeader w:val="true"/>
          <w:cantSplit/>
          <w:tblHeader w:val="true"/>
        </w:trPr>
        <w:tc>
          <w:tcPr>
            <w:tcW w:w="2207" w:type="dxa"/>
            <w:shd w:val="clear" w:color="auto" w:fill="13213F"/>
          </w:tcPr>
          <w:p>
            <w:pPr>
              <w:pStyle w:val="Compact"/>
              <w:spacing w:before="0" w:after="0" w:line="240" w:lineRule="auto"/>
              <w:jc w:val="left"/>
            </w:pPr>
            <w:r>
              <w:rPr>
                <w:rFonts w:ascii="Arial" w:hAnsi="Arial"/>
                <w:b/>
                <w:color w:val="FFFFFF"/>
                <w:sz w:val="15"/>
              </w:rPr>
              <w:t xml:space="preserve">Date</w:t>
            </w:r>
          </w:p>
        </w:tc>
        <w:tc>
          <w:tcPr>
            <w:tcW w:w="7770" w:type="dxa"/>
            <w:shd w:val="clear" w:color="auto" w:fill="13213F"/>
          </w:tcPr>
          <w:p>
            <w:pPr>
              <w:pStyle w:val="Compact"/>
              <w:spacing w:before="0" w:after="0" w:line="240" w:lineRule="auto"/>
              <w:jc w:val="left"/>
            </w:pPr>
            <w:r>
              <w:rPr>
                <w:rFonts w:ascii="Arial" w:hAnsi="Arial"/>
                <w:b/>
                <w:color w:val="FFFFFF"/>
                <w:sz w:val="15"/>
              </w:rPr>
              <w:t xml:space="preserve">Event</w:t>
            </w:r>
          </w:p>
        </w:tc>
      </w:tr>
      <w:tr>
        <w:trPr>
          <w:cantSplit/>
        </w:trPr>
        <w:tc>
          <w:tcPr>
            <w:tcW w:w="2207" w:type="dxa"/>
          </w:tcPr>
          <w:p>
            <w:pPr>
              <w:pStyle w:val="Compact"/>
              <w:spacing w:before="0" w:after="0" w:line="240" w:lineRule="auto"/>
              <w:jc w:val="left"/>
            </w:pPr>
            <w:r>
              <w:rPr>
                <w:rFonts w:ascii="Arial" w:hAnsi="Arial"/>
                <w:sz w:val="15"/>
              </w:rPr>
              <w:t xml:space="preserve">Dec-2006</w:t>
            </w:r>
          </w:p>
        </w:tc>
        <w:tc>
          <w:tcPr>
            <w:tcW w:w="7770" w:type="dxa"/>
          </w:tcPr>
          <w:p>
            <w:pPr>
              <w:pStyle w:val="Compact"/>
              <w:spacing w:before="0" w:after="0" w:line="240" w:lineRule="auto"/>
              <w:jc w:val="left"/>
            </w:pPr>
            <w:r>
              <w:rPr>
                <w:rFonts w:ascii="Arial" w:hAnsi="Arial"/>
                <w:sz w:val="15"/>
              </w:rPr>
              <w:t xml:space="preserve">LSE GDR IPO at US$16 (US$680m raised)</w:t>
            </w:r>
          </w:p>
        </w:tc>
      </w:tr>
      <w:tr>
        <w:trPr>
          <w:cantSplit/>
        </w:trPr>
        <w:tc>
          <w:tcPr>
            <w:tcW w:w="2207" w:type="dxa"/>
          </w:tcPr>
          <w:p>
            <w:pPr>
              <w:pStyle w:val="Compact"/>
              <w:spacing w:before="0" w:after="0" w:line="240" w:lineRule="auto"/>
              <w:jc w:val="left"/>
            </w:pPr>
            <w:r>
              <w:rPr>
                <w:rFonts w:ascii="Arial" w:hAnsi="Arial"/>
                <w:sz w:val="15"/>
              </w:rPr>
              <w:t xml:space="preserve">Jan-2009</w:t>
            </w:r>
          </w:p>
        </w:tc>
        <w:tc>
          <w:tcPr>
            <w:tcW w:w="7770" w:type="dxa"/>
          </w:tcPr>
          <w:p>
            <w:pPr>
              <w:pStyle w:val="Compact"/>
              <w:spacing w:before="0" w:after="0" w:line="240" w:lineRule="auto"/>
              <w:jc w:val="left"/>
            </w:pPr>
            <w:r>
              <w:rPr>
                <w:rFonts w:ascii="Arial" w:hAnsi="Arial"/>
                <w:sz w:val="15"/>
              </w:rPr>
              <w:t xml:space="preserve">Umut Shayakhmetova becomes CEO; Samruk-Kazyna crisis stake</w:t>
            </w:r>
          </w:p>
        </w:tc>
      </w:tr>
      <w:tr>
        <w:trPr>
          <w:cantSplit/>
        </w:trPr>
        <w:tc>
          <w:tcPr>
            <w:tcW w:w="2207" w:type="dxa"/>
          </w:tcPr>
          <w:p>
            <w:pPr>
              <w:pStyle w:val="Compact"/>
              <w:spacing w:before="0" w:after="0" w:line="240" w:lineRule="auto"/>
              <w:jc w:val="left"/>
            </w:pPr>
            <w:r>
              <w:rPr>
                <w:rFonts w:ascii="Arial" w:hAnsi="Arial"/>
                <w:sz w:val="15"/>
              </w:rPr>
              <w:t xml:space="preserve">Mar-2011</w:t>
            </w:r>
          </w:p>
        </w:tc>
        <w:tc>
          <w:tcPr>
            <w:tcW w:w="7770" w:type="dxa"/>
          </w:tcPr>
          <w:p>
            <w:pPr>
              <w:pStyle w:val="Compact"/>
              <w:spacing w:before="0" w:after="0" w:line="240" w:lineRule="auto"/>
              <w:jc w:val="left"/>
            </w:pPr>
            <w:r>
              <w:rPr>
                <w:rFonts w:ascii="Arial" w:hAnsi="Arial"/>
                <w:sz w:val="15"/>
              </w:rPr>
              <w:t xml:space="preserve">Halyk and ALMEX buy back Samruk-Kazyna’s stake (KZT126.8 per share)</w:t>
            </w:r>
          </w:p>
        </w:tc>
      </w:tr>
      <w:tr>
        <w:trPr>
          <w:cantSplit/>
        </w:trPr>
        <w:tc>
          <w:tcPr>
            <w:tcW w:w="2207" w:type="dxa"/>
          </w:tcPr>
          <w:p>
            <w:pPr>
              <w:pStyle w:val="Compact"/>
              <w:spacing w:before="0" w:after="0" w:line="240" w:lineRule="auto"/>
              <w:jc w:val="left"/>
            </w:pPr>
            <w:r>
              <w:rPr>
                <w:rFonts w:ascii="Arial" w:hAnsi="Arial"/>
                <w:sz w:val="15"/>
              </w:rPr>
              <w:t xml:space="preserve">Dec-2014</w:t>
            </w:r>
          </w:p>
        </w:tc>
        <w:tc>
          <w:tcPr>
            <w:tcW w:w="7770" w:type="dxa"/>
          </w:tcPr>
          <w:p>
            <w:pPr>
              <w:pStyle w:val="Compact"/>
              <w:spacing w:before="0" w:after="0" w:line="240" w:lineRule="auto"/>
              <w:jc w:val="left"/>
            </w:pPr>
            <w:r>
              <w:rPr>
                <w:rFonts w:ascii="Arial" w:hAnsi="Arial"/>
                <w:sz w:val="15"/>
              </w:rPr>
              <w:t xml:space="preserve">Acquires HSBC Bank Kazakhstan (US$176m), renamed Altyn Bank</w:t>
            </w:r>
          </w:p>
        </w:tc>
      </w:tr>
      <w:tr>
        <w:trPr>
          <w:cantSplit/>
        </w:trPr>
        <w:tc>
          <w:tcPr>
            <w:tcW w:w="2207" w:type="dxa"/>
          </w:tcPr>
          <w:p>
            <w:pPr>
              <w:pStyle w:val="Compact"/>
              <w:spacing w:before="0" w:after="0" w:line="240" w:lineRule="auto"/>
              <w:jc w:val="left"/>
            </w:pPr>
            <w:r>
              <w:rPr>
                <w:rFonts w:ascii="Arial" w:hAnsi="Arial"/>
                <w:sz w:val="15"/>
              </w:rPr>
              <w:t xml:space="preserve">Jul-2017</w:t>
            </w:r>
          </w:p>
        </w:tc>
        <w:tc>
          <w:tcPr>
            <w:tcW w:w="7770" w:type="dxa"/>
          </w:tcPr>
          <w:p>
            <w:pPr>
              <w:pStyle w:val="Compact"/>
              <w:spacing w:before="0" w:after="0" w:line="240" w:lineRule="auto"/>
              <w:jc w:val="left"/>
            </w:pPr>
            <w:r>
              <w:rPr>
                <w:rFonts w:ascii="Arial" w:hAnsi="Arial"/>
                <w:sz w:val="15"/>
              </w:rPr>
              <w:t xml:space="preserve">Acquires 96.81% of Kazkommertsbank for KZT2 (state absorbs KZT2.4trn of BTA exposure)</w:t>
            </w:r>
          </w:p>
        </w:tc>
      </w:tr>
      <w:tr>
        <w:trPr>
          <w:cantSplit/>
        </w:trPr>
        <w:tc>
          <w:tcPr>
            <w:tcW w:w="2207" w:type="dxa"/>
          </w:tcPr>
          <w:p>
            <w:pPr>
              <w:pStyle w:val="Compact"/>
              <w:spacing w:before="0" w:after="0" w:line="240" w:lineRule="auto"/>
              <w:jc w:val="left"/>
            </w:pPr>
            <w:r>
              <w:rPr>
                <w:rFonts w:ascii="Arial" w:hAnsi="Arial"/>
                <w:sz w:val="15"/>
              </w:rPr>
              <w:t xml:space="preserve">Apr-2018</w:t>
            </w:r>
          </w:p>
        </w:tc>
        <w:tc>
          <w:tcPr>
            <w:tcW w:w="7770" w:type="dxa"/>
          </w:tcPr>
          <w:p>
            <w:pPr>
              <w:pStyle w:val="Compact"/>
              <w:spacing w:before="0" w:after="0" w:line="240" w:lineRule="auto"/>
              <w:jc w:val="left"/>
            </w:pPr>
            <w:r>
              <w:rPr>
                <w:rFonts w:ascii="Arial" w:hAnsi="Arial"/>
                <w:sz w:val="15"/>
              </w:rPr>
              <w:t xml:space="preserve">Sells 60% of Altyn Bank to China CITIC and Shuangwei</w:t>
            </w:r>
          </w:p>
        </w:tc>
      </w:tr>
      <w:tr>
        <w:trPr>
          <w:cantSplit/>
        </w:trPr>
        <w:tc>
          <w:tcPr>
            <w:tcW w:w="2207" w:type="dxa"/>
          </w:tcPr>
          <w:p>
            <w:pPr>
              <w:pStyle w:val="Compact"/>
              <w:spacing w:before="0" w:after="0" w:line="240" w:lineRule="auto"/>
              <w:jc w:val="left"/>
            </w:pPr>
            <w:r>
              <w:rPr>
                <w:rFonts w:ascii="Arial" w:hAnsi="Arial"/>
                <w:sz w:val="15"/>
              </w:rPr>
              <w:t xml:space="preserve">Dec-2018</w:t>
            </w:r>
          </w:p>
        </w:tc>
        <w:tc>
          <w:tcPr>
            <w:tcW w:w="7770" w:type="dxa"/>
          </w:tcPr>
          <w:p>
            <w:pPr>
              <w:pStyle w:val="Compact"/>
              <w:spacing w:before="0" w:after="0" w:line="240" w:lineRule="auto"/>
              <w:jc w:val="left"/>
            </w:pPr>
            <w:r>
              <w:rPr>
                <w:rFonts w:ascii="Arial" w:hAnsi="Arial"/>
                <w:sz w:val="15"/>
              </w:rPr>
              <w:t xml:space="preserve">Legal merger with Kazkommertsbank completed</w:t>
            </w:r>
          </w:p>
        </w:tc>
      </w:tr>
      <w:tr>
        <w:trPr>
          <w:cantSplit/>
        </w:trPr>
        <w:tc>
          <w:tcPr>
            <w:tcW w:w="2207" w:type="dxa"/>
          </w:tcPr>
          <w:p>
            <w:pPr>
              <w:pStyle w:val="Compact"/>
              <w:spacing w:before="0" w:after="0" w:line="240" w:lineRule="auto"/>
              <w:jc w:val="left"/>
            </w:pPr>
            <w:r>
              <w:rPr>
                <w:rFonts w:ascii="Arial" w:hAnsi="Arial"/>
                <w:sz w:val="15"/>
              </w:rPr>
              <w:t xml:space="preserve">Oct-2019</w:t>
            </w:r>
          </w:p>
        </w:tc>
        <w:tc>
          <w:tcPr>
            <w:tcW w:w="7770" w:type="dxa"/>
          </w:tcPr>
          <w:p>
            <w:pPr>
              <w:pStyle w:val="Compact"/>
              <w:spacing w:before="0" w:after="0" w:line="240" w:lineRule="auto"/>
              <w:jc w:val="left"/>
            </w:pPr>
            <w:r>
              <w:rPr>
                <w:rFonts w:ascii="Arial" w:hAnsi="Arial"/>
                <w:sz w:val="15"/>
              </w:rPr>
              <w:t xml:space="preserve">Secondary GDR offering at US$11.75</w:t>
            </w:r>
          </w:p>
        </w:tc>
      </w:tr>
      <w:tr>
        <w:trPr>
          <w:cantSplit/>
        </w:trPr>
        <w:tc>
          <w:tcPr>
            <w:tcW w:w="2207" w:type="dxa"/>
          </w:tcPr>
          <w:p>
            <w:pPr>
              <w:pStyle w:val="Compact"/>
              <w:spacing w:before="0" w:after="0" w:line="240" w:lineRule="auto"/>
              <w:jc w:val="left"/>
            </w:pPr>
            <w:r>
              <w:rPr>
                <w:rFonts w:ascii="Arial" w:hAnsi="Arial"/>
                <w:sz w:val="15"/>
              </w:rPr>
              <w:t xml:space="preserve">Jan-2022</w:t>
            </w:r>
          </w:p>
        </w:tc>
        <w:tc>
          <w:tcPr>
            <w:tcW w:w="7770" w:type="dxa"/>
          </w:tcPr>
          <w:p>
            <w:pPr>
              <w:pStyle w:val="Compact"/>
              <w:spacing w:before="0" w:after="0" w:line="240" w:lineRule="auto"/>
              <w:jc w:val="left"/>
            </w:pPr>
            <w:r>
              <w:rPr>
                <w:rFonts w:ascii="Arial" w:hAnsi="Arial"/>
                <w:sz w:val="15"/>
              </w:rPr>
              <w:t xml:space="preserve">“</w:t>
            </w:r>
            <w:r>
              <w:rPr>
                <w:rFonts w:ascii="Arial" w:hAnsi="Arial"/>
                <w:sz w:val="15"/>
              </w:rPr>
              <w:t xml:space="preserve">Bloody January</w:t>
            </w:r>
            <w:r>
              <w:rPr>
                <w:rFonts w:ascii="Arial" w:hAnsi="Arial"/>
                <w:sz w:val="15"/>
              </w:rPr>
              <w:t xml:space="preserve">”</w:t>
            </w:r>
            <w:r>
              <w:rPr>
                <w:rFonts w:ascii="Arial" w:hAnsi="Arial"/>
                <w:sz w:val="15"/>
              </w:rPr>
              <w:t xml:space="preserve"> </w:t>
            </w:r>
            <w:r>
              <w:rPr>
                <w:rFonts w:ascii="Arial" w:hAnsi="Arial"/>
                <w:sz w:val="15"/>
              </w:rPr>
              <w:t xml:space="preserve">unrest; GDR −16% to −20%</w:t>
            </w:r>
          </w:p>
        </w:tc>
      </w:tr>
      <w:tr>
        <w:trPr>
          <w:cantSplit/>
        </w:trPr>
        <w:tc>
          <w:tcPr>
            <w:tcW w:w="2207" w:type="dxa"/>
          </w:tcPr>
          <w:p>
            <w:pPr>
              <w:pStyle w:val="Compact"/>
              <w:spacing w:before="0" w:after="0" w:line="240" w:lineRule="auto"/>
              <w:jc w:val="left"/>
            </w:pPr>
            <w:r>
              <w:rPr>
                <w:rFonts w:ascii="Arial" w:hAnsi="Arial"/>
                <w:sz w:val="15"/>
              </w:rPr>
              <w:t xml:space="preserve">Feb/Mar-2022</w:t>
            </w:r>
          </w:p>
        </w:tc>
        <w:tc>
          <w:tcPr>
            <w:tcW w:w="7770" w:type="dxa"/>
          </w:tcPr>
          <w:p>
            <w:pPr>
              <w:pStyle w:val="Compact"/>
              <w:spacing w:before="0" w:after="0" w:line="240" w:lineRule="auto"/>
              <w:jc w:val="left"/>
            </w:pPr>
            <w:r>
              <w:rPr>
                <w:rFonts w:ascii="Arial" w:hAnsi="Arial"/>
                <w:sz w:val="15"/>
              </w:rPr>
              <w:t xml:space="preserve">Russia invades Ukraine; GDR −45% from end-2021 to the ~US$8.6 trough</w:t>
            </w:r>
          </w:p>
        </w:tc>
      </w:tr>
      <w:tr>
        <w:trPr>
          <w:cantSplit/>
        </w:trPr>
        <w:tc>
          <w:tcPr>
            <w:tcW w:w="2207" w:type="dxa"/>
          </w:tcPr>
          <w:p>
            <w:pPr>
              <w:pStyle w:val="Compact"/>
              <w:spacing w:before="0" w:after="0" w:line="240" w:lineRule="auto"/>
              <w:jc w:val="left"/>
            </w:pPr>
            <w:r>
              <w:rPr>
                <w:rFonts w:ascii="Arial" w:hAnsi="Arial"/>
                <w:sz w:val="15"/>
              </w:rPr>
              <w:t xml:space="preserve">Dec-2022</w:t>
            </w:r>
          </w:p>
        </w:tc>
        <w:tc>
          <w:tcPr>
            <w:tcW w:w="7770" w:type="dxa"/>
          </w:tcPr>
          <w:p>
            <w:pPr>
              <w:pStyle w:val="Compact"/>
              <w:spacing w:before="0" w:after="0" w:line="240" w:lineRule="auto"/>
              <w:jc w:val="left"/>
            </w:pPr>
            <w:r>
              <w:rPr>
                <w:rFonts w:ascii="Arial" w:hAnsi="Arial"/>
                <w:sz w:val="15"/>
              </w:rPr>
              <w:t xml:space="preserve">Exits Russia (Moskommertsbank) and Tajikistan</w:t>
            </w:r>
          </w:p>
        </w:tc>
      </w:tr>
      <w:tr>
        <w:trPr>
          <w:cantSplit/>
        </w:trPr>
        <w:tc>
          <w:tcPr>
            <w:tcW w:w="2207" w:type="dxa"/>
          </w:tcPr>
          <w:p>
            <w:pPr>
              <w:pStyle w:val="Compact"/>
              <w:spacing w:before="0" w:after="0" w:line="240" w:lineRule="auto"/>
              <w:jc w:val="left"/>
            </w:pPr>
            <w:r>
              <w:rPr>
                <w:rFonts w:ascii="Arial" w:hAnsi="Arial"/>
                <w:sz w:val="15"/>
              </w:rPr>
              <w:t xml:space="preserve">May/Dec-2023</w:t>
            </w:r>
          </w:p>
        </w:tc>
        <w:tc>
          <w:tcPr>
            <w:tcW w:w="7770" w:type="dxa"/>
          </w:tcPr>
          <w:p>
            <w:pPr>
              <w:pStyle w:val="Compact"/>
              <w:spacing w:before="0" w:after="0" w:line="240" w:lineRule="auto"/>
              <w:jc w:val="left"/>
            </w:pPr>
            <w:r>
              <w:rPr>
                <w:rFonts w:ascii="Arial" w:hAnsi="Arial"/>
                <w:sz w:val="15"/>
              </w:rPr>
              <w:t xml:space="preserve">Board renewals; Kulekeyev (asset-recovery commission) joins</w:t>
            </w:r>
          </w:p>
        </w:tc>
      </w:tr>
      <w:tr>
        <w:trPr>
          <w:cantSplit/>
        </w:trPr>
        <w:tc>
          <w:tcPr>
            <w:tcW w:w="2207" w:type="dxa"/>
          </w:tcPr>
          <w:p>
            <w:pPr>
              <w:pStyle w:val="Compact"/>
              <w:spacing w:before="0" w:after="0" w:line="240" w:lineRule="auto"/>
              <w:jc w:val="left"/>
            </w:pPr>
            <w:r>
              <w:rPr>
                <w:rFonts w:ascii="Arial" w:hAnsi="Arial"/>
                <w:sz w:val="15"/>
              </w:rPr>
              <w:t xml:space="preserve">1Q-2024</w:t>
            </w:r>
          </w:p>
        </w:tc>
        <w:tc>
          <w:tcPr>
            <w:tcW w:w="7770" w:type="dxa"/>
          </w:tcPr>
          <w:p>
            <w:pPr>
              <w:pStyle w:val="Compact"/>
              <w:spacing w:before="0" w:after="0" w:line="240" w:lineRule="auto"/>
              <w:jc w:val="left"/>
            </w:pPr>
            <w:r>
              <w:rPr>
                <w:rFonts w:ascii="Arial" w:hAnsi="Arial"/>
                <w:sz w:val="15"/>
              </w:rPr>
              <w:t xml:space="preserve">KZT66bn one-off loss on early repayment of the KSF deposit</w:t>
            </w:r>
          </w:p>
        </w:tc>
      </w:tr>
      <w:tr>
        <w:trPr>
          <w:cantSplit/>
        </w:trPr>
        <w:tc>
          <w:tcPr>
            <w:tcW w:w="2207" w:type="dxa"/>
          </w:tcPr>
          <w:p>
            <w:pPr>
              <w:pStyle w:val="Compact"/>
              <w:spacing w:before="0" w:after="0" w:line="240" w:lineRule="auto"/>
              <w:jc w:val="left"/>
            </w:pPr>
            <w:r>
              <w:rPr>
                <w:rFonts w:ascii="Arial" w:hAnsi="Arial"/>
                <w:sz w:val="15"/>
              </w:rPr>
              <w:t xml:space="preserve">Apr-2024</w:t>
            </w:r>
          </w:p>
        </w:tc>
        <w:tc>
          <w:tcPr>
            <w:tcW w:w="7770" w:type="dxa"/>
          </w:tcPr>
          <w:p>
            <w:pPr>
              <w:pStyle w:val="Compact"/>
              <w:spacing w:before="0" w:after="0" w:line="240" w:lineRule="auto"/>
              <w:jc w:val="left"/>
            </w:pPr>
            <w:r>
              <w:rPr>
                <w:rFonts w:ascii="Arial" w:hAnsi="Arial"/>
                <w:sz w:val="15"/>
              </w:rPr>
              <w:t xml:space="preserve">Exits Kyrgyzstan</w:t>
            </w:r>
          </w:p>
        </w:tc>
      </w:tr>
      <w:tr>
        <w:trPr>
          <w:cantSplit/>
        </w:trPr>
        <w:tc>
          <w:tcPr>
            <w:tcW w:w="2207" w:type="dxa"/>
          </w:tcPr>
          <w:p>
            <w:pPr>
              <w:pStyle w:val="Compact"/>
              <w:spacing w:before="0" w:after="0" w:line="240" w:lineRule="auto"/>
              <w:jc w:val="left"/>
            </w:pPr>
            <w:r>
              <w:rPr>
                <w:rFonts w:ascii="Arial" w:hAnsi="Arial"/>
                <w:sz w:val="15"/>
              </w:rPr>
              <w:t xml:space="preserve">Sep-2024</w:t>
            </w:r>
          </w:p>
        </w:tc>
        <w:tc>
          <w:tcPr>
            <w:tcW w:w="7770" w:type="dxa"/>
          </w:tcPr>
          <w:p>
            <w:pPr>
              <w:pStyle w:val="Compact"/>
              <w:spacing w:before="0" w:after="0" w:line="240" w:lineRule="auto"/>
              <w:jc w:val="left"/>
            </w:pPr>
            <w:r>
              <w:rPr>
                <w:rFonts w:ascii="Arial" w:hAnsi="Arial"/>
                <w:sz w:val="15"/>
              </w:rPr>
              <w:t xml:space="preserve">GDR buyback launched; Dec-2024 first second-tranche dividend (KZT9.57)</w:t>
            </w:r>
          </w:p>
        </w:tc>
      </w:tr>
      <w:tr>
        <w:trPr>
          <w:cantSplit/>
        </w:trPr>
        <w:tc>
          <w:tcPr>
            <w:tcW w:w="2207" w:type="dxa"/>
          </w:tcPr>
          <w:p>
            <w:pPr>
              <w:pStyle w:val="Compact"/>
              <w:spacing w:before="0" w:after="0" w:line="240" w:lineRule="auto"/>
              <w:jc w:val="left"/>
            </w:pPr>
            <w:r>
              <w:rPr>
                <w:rFonts w:ascii="Arial" w:hAnsi="Arial"/>
                <w:sz w:val="15"/>
              </w:rPr>
              <w:t xml:space="preserve">Mar-2025</w:t>
            </w:r>
          </w:p>
        </w:tc>
        <w:tc>
          <w:tcPr>
            <w:tcW w:w="7770" w:type="dxa"/>
          </w:tcPr>
          <w:p>
            <w:pPr>
              <w:pStyle w:val="Compact"/>
              <w:spacing w:before="0" w:after="0" w:line="240" w:lineRule="auto"/>
              <w:jc w:val="left"/>
            </w:pPr>
            <w:r>
              <w:rPr>
                <w:rFonts w:ascii="Arial" w:hAnsi="Arial"/>
                <w:sz w:val="15"/>
              </w:rPr>
              <w:t xml:space="preserve">NBK hikes to 16.5%; new deputy CEOs</w:t>
            </w:r>
          </w:p>
        </w:tc>
      </w:tr>
      <w:tr>
        <w:trPr>
          <w:cantSplit/>
        </w:trPr>
        <w:tc>
          <w:tcPr>
            <w:tcW w:w="2207" w:type="dxa"/>
          </w:tcPr>
          <w:p>
            <w:pPr>
              <w:pStyle w:val="Compact"/>
              <w:spacing w:before="0" w:after="0" w:line="240" w:lineRule="auto"/>
              <w:jc w:val="left"/>
            </w:pPr>
            <w:r>
              <w:rPr>
                <w:rFonts w:ascii="Arial" w:hAnsi="Arial"/>
                <w:sz w:val="15"/>
              </w:rPr>
              <w:t xml:space="preserve">Jul-2025</w:t>
            </w:r>
          </w:p>
        </w:tc>
        <w:tc>
          <w:tcPr>
            <w:tcW w:w="7770" w:type="dxa"/>
          </w:tcPr>
          <w:p>
            <w:pPr>
              <w:pStyle w:val="Compact"/>
              <w:spacing w:before="0" w:after="0" w:line="240" w:lineRule="auto"/>
              <w:jc w:val="left"/>
            </w:pPr>
            <w:r>
              <w:rPr>
                <w:rFonts w:ascii="Arial" w:hAnsi="Arial"/>
                <w:sz w:val="15"/>
              </w:rPr>
              <w:t xml:space="preserve">Click/Tenge Bank deal agreed (later lapsed)</w:t>
            </w:r>
          </w:p>
        </w:tc>
      </w:tr>
      <w:tr>
        <w:trPr>
          <w:cantSplit/>
        </w:trPr>
        <w:tc>
          <w:tcPr>
            <w:tcW w:w="2207" w:type="dxa"/>
          </w:tcPr>
          <w:p>
            <w:pPr>
              <w:pStyle w:val="Compact"/>
              <w:spacing w:before="0" w:after="0" w:line="240" w:lineRule="auto"/>
              <w:jc w:val="left"/>
            </w:pPr>
            <w:r>
              <w:rPr>
                <w:rFonts w:ascii="Arial" w:hAnsi="Arial"/>
                <w:sz w:val="15"/>
              </w:rPr>
              <w:t xml:space="preserve">Sep/Oct-2025</w:t>
            </w:r>
          </w:p>
        </w:tc>
        <w:tc>
          <w:tcPr>
            <w:tcW w:w="7770" w:type="dxa"/>
          </w:tcPr>
          <w:p>
            <w:pPr>
              <w:pStyle w:val="Compact"/>
              <w:spacing w:before="0" w:after="0" w:line="240" w:lineRule="auto"/>
              <w:jc w:val="left"/>
            </w:pPr>
            <w:r>
              <w:rPr>
                <w:rFonts w:ascii="Arial" w:hAnsi="Arial"/>
                <w:sz w:val="15"/>
              </w:rPr>
              <w:t xml:space="preserve">Second FY24 dividend (KZT21); NBK hikes to 18%; US$50m buyback</w:t>
            </w:r>
          </w:p>
        </w:tc>
      </w:tr>
      <w:tr>
        <w:trPr>
          <w:cantSplit/>
        </w:trPr>
        <w:tc>
          <w:tcPr>
            <w:tcW w:w="2207" w:type="dxa"/>
          </w:tcPr>
          <w:p>
            <w:pPr>
              <w:pStyle w:val="Compact"/>
              <w:spacing w:before="0" w:after="0" w:line="240" w:lineRule="auto"/>
              <w:jc w:val="left"/>
            </w:pPr>
            <w:r>
              <w:rPr>
                <w:rFonts w:ascii="Arial" w:hAnsi="Arial"/>
                <w:sz w:val="15"/>
              </w:rPr>
              <w:t xml:space="preserve">Nov-2025</w:t>
            </w:r>
          </w:p>
        </w:tc>
        <w:tc>
          <w:tcPr>
            <w:tcW w:w="7770" w:type="dxa"/>
          </w:tcPr>
          <w:p>
            <w:pPr>
              <w:pStyle w:val="Compact"/>
              <w:spacing w:before="0" w:after="0" w:line="240" w:lineRule="auto"/>
              <w:jc w:val="left"/>
            </w:pPr>
            <w:r>
              <w:rPr>
                <w:rFonts w:ascii="Arial" w:hAnsi="Arial"/>
                <w:sz w:val="15"/>
              </w:rPr>
              <w:t xml:space="preserve">ALMEX sells 7.6% at US$23 (US$475m); 365-day lock-up</w:t>
            </w:r>
          </w:p>
        </w:tc>
      </w:tr>
      <w:tr>
        <w:trPr>
          <w:cantSplit/>
        </w:trPr>
        <w:tc>
          <w:tcPr>
            <w:tcW w:w="2207" w:type="dxa"/>
          </w:tcPr>
          <w:p>
            <w:pPr>
              <w:pStyle w:val="Compact"/>
              <w:spacing w:before="0" w:after="0" w:line="240" w:lineRule="auto"/>
              <w:jc w:val="left"/>
            </w:pPr>
            <w:r>
              <w:rPr>
                <w:rFonts w:ascii="Arial" w:hAnsi="Arial"/>
                <w:sz w:val="15"/>
              </w:rPr>
              <w:t xml:space="preserve">1-Jan-2026</w:t>
            </w:r>
          </w:p>
        </w:tc>
        <w:tc>
          <w:tcPr>
            <w:tcW w:w="7770" w:type="dxa"/>
          </w:tcPr>
          <w:p>
            <w:pPr>
              <w:pStyle w:val="Compact"/>
              <w:spacing w:before="0" w:after="0" w:line="240" w:lineRule="auto"/>
              <w:jc w:val="left"/>
            </w:pPr>
            <w:r>
              <w:rPr>
                <w:rFonts w:ascii="Arial" w:hAnsi="Arial"/>
                <w:sz w:val="15"/>
              </w:rPr>
              <w:t xml:space="preserve">New Tax Code: bank CIT 25%, VAT 16%</w:t>
            </w:r>
          </w:p>
        </w:tc>
      </w:tr>
      <w:tr>
        <w:trPr>
          <w:cantSplit/>
        </w:trPr>
        <w:tc>
          <w:tcPr>
            <w:tcW w:w="2207" w:type="dxa"/>
          </w:tcPr>
          <w:p>
            <w:pPr>
              <w:pStyle w:val="Compact"/>
              <w:spacing w:before="0" w:after="0" w:line="240" w:lineRule="auto"/>
              <w:jc w:val="left"/>
            </w:pPr>
            <w:r>
              <w:rPr>
                <w:rFonts w:ascii="Arial" w:hAnsi="Arial"/>
                <w:sz w:val="15"/>
              </w:rPr>
              <w:t xml:space="preserve">19-Mar-2026</w:t>
            </w:r>
          </w:p>
        </w:tc>
        <w:tc>
          <w:tcPr>
            <w:tcW w:w="7770" w:type="dxa"/>
          </w:tcPr>
          <w:p>
            <w:pPr>
              <w:pStyle w:val="Compact"/>
              <w:spacing w:before="0" w:after="0" w:line="240" w:lineRule="auto"/>
              <w:jc w:val="left"/>
            </w:pPr>
            <w:r>
              <w:rPr>
                <w:rFonts w:ascii="Arial" w:hAnsi="Arial"/>
                <w:sz w:val="15"/>
              </w:rPr>
              <w:t xml:space="preserve">FY25 results (record); first guided profit decline (2026 ~KZT1trn)</w:t>
            </w:r>
          </w:p>
        </w:tc>
      </w:tr>
      <w:tr>
        <w:trPr>
          <w:cantSplit/>
        </w:trPr>
        <w:tc>
          <w:tcPr>
            <w:tcW w:w="2207" w:type="dxa"/>
          </w:tcPr>
          <w:p>
            <w:pPr>
              <w:pStyle w:val="Compact"/>
              <w:spacing w:before="0" w:after="0" w:line="240" w:lineRule="auto"/>
              <w:jc w:val="left"/>
            </w:pPr>
            <w:r>
              <w:rPr>
                <w:rFonts w:ascii="Arial" w:hAnsi="Arial"/>
                <w:sz w:val="15"/>
              </w:rPr>
              <w:t xml:space="preserve">Apr-2026</w:t>
            </w:r>
          </w:p>
        </w:tc>
        <w:tc>
          <w:tcPr>
            <w:tcW w:w="7770" w:type="dxa"/>
          </w:tcPr>
          <w:p>
            <w:pPr>
              <w:pStyle w:val="Compact"/>
              <w:spacing w:before="0" w:after="0" w:line="240" w:lineRule="auto"/>
              <w:jc w:val="left"/>
            </w:pPr>
            <w:r>
              <w:rPr>
                <w:rFonts w:ascii="Arial" w:hAnsi="Arial"/>
                <w:sz w:val="15"/>
              </w:rPr>
              <w:t xml:space="preserve">2% retail buffer starts; AGM elects new board; Almex Holding Ltd (AIFC) takes over ALMEX</w:t>
            </w:r>
          </w:p>
        </w:tc>
      </w:tr>
      <w:tr>
        <w:trPr>
          <w:cantSplit/>
        </w:trPr>
        <w:tc>
          <w:tcPr>
            <w:tcW w:w="2207" w:type="dxa"/>
          </w:tcPr>
          <w:p>
            <w:pPr>
              <w:pStyle w:val="Compact"/>
              <w:spacing w:before="0" w:after="0" w:line="240" w:lineRule="auto"/>
              <w:jc w:val="left"/>
            </w:pPr>
            <w:r>
              <w:rPr>
                <w:rFonts w:ascii="Arial" w:hAnsi="Arial"/>
                <w:sz w:val="15"/>
              </w:rPr>
              <w:t xml:space="preserve">5-Jun-2026</w:t>
            </w:r>
          </w:p>
        </w:tc>
        <w:tc>
          <w:tcPr>
            <w:tcW w:w="7770" w:type="dxa"/>
          </w:tcPr>
          <w:p>
            <w:pPr>
              <w:pStyle w:val="Compact"/>
              <w:spacing w:before="0" w:after="0" w:line="240" w:lineRule="auto"/>
              <w:jc w:val="left"/>
            </w:pPr>
            <w:r>
              <w:rPr>
                <w:rFonts w:ascii="Arial" w:hAnsi="Arial"/>
                <w:sz w:val="15"/>
              </w:rPr>
              <w:t xml:space="preserve">NBK begins cutting (18% → 17%)</w:t>
            </w:r>
          </w:p>
        </w:tc>
      </w:tr>
      <w:tr>
        <w:trPr>
          <w:cantSplit/>
        </w:trPr>
        <w:tc>
          <w:tcPr>
            <w:tcW w:w="2207" w:type="dxa"/>
          </w:tcPr>
          <w:p>
            <w:pPr>
              <w:pStyle w:val="Compact"/>
              <w:spacing w:before="0" w:after="0" w:line="240" w:lineRule="auto"/>
              <w:jc w:val="left"/>
            </w:pPr>
            <w:r>
              <w:rPr>
                <w:rFonts w:ascii="Arial" w:hAnsi="Arial"/>
                <w:sz w:val="15"/>
              </w:rPr>
              <w:t xml:space="preserve">18-Aug-2026</w:t>
            </w:r>
          </w:p>
        </w:tc>
        <w:tc>
          <w:tcPr>
            <w:tcW w:w="7770" w:type="dxa"/>
          </w:tcPr>
          <w:p>
            <w:pPr>
              <w:pStyle w:val="Compact"/>
              <w:spacing w:before="0" w:after="0" w:line="240" w:lineRule="auto"/>
              <w:jc w:val="left"/>
            </w:pPr>
            <w:r>
              <w:rPr>
                <w:rFonts w:ascii="Arial" w:hAnsi="Arial"/>
                <w:sz w:val="15"/>
              </w:rPr>
              <w:t xml:space="preserve">1H26: NI −15.3%; 2Q missed consensus by 14%; guidance kept</w:t>
            </w:r>
          </w:p>
        </w:tc>
      </w:tr>
      <w:tr>
        <w:trPr>
          <w:cantSplit/>
        </w:trPr>
        <w:tc>
          <w:tcPr>
            <w:tcW w:w="2207" w:type="dxa"/>
          </w:tcPr>
          <w:p>
            <w:pPr>
              <w:pStyle w:val="Compact"/>
              <w:spacing w:before="0" w:after="0" w:line="240" w:lineRule="auto"/>
              <w:jc w:val="left"/>
            </w:pPr>
            <w:r>
              <w:rPr>
                <w:rFonts w:ascii="Arial" w:hAnsi="Arial"/>
                <w:sz w:val="15"/>
              </w:rPr>
              <w:t xml:space="preserve">21-Aug-2026</w:t>
            </w:r>
          </w:p>
        </w:tc>
        <w:tc>
          <w:tcPr>
            <w:tcW w:w="7770" w:type="dxa"/>
          </w:tcPr>
          <w:p>
            <w:pPr>
              <w:pStyle w:val="Compact"/>
              <w:spacing w:before="0" w:after="0" w:line="240" w:lineRule="auto"/>
              <w:jc w:val="left"/>
            </w:pPr>
            <w:r>
              <w:rPr>
                <w:rFonts w:ascii="Arial" w:hAnsi="Arial"/>
                <w:sz w:val="15"/>
              </w:rPr>
              <w:t xml:space="preserve">S&amp;P upgrades Kazakhstan to BBB</w:t>
            </w:r>
          </w:p>
        </w:tc>
      </w:tr>
      <w:tr>
        <w:trPr>
          <w:cantSplit/>
        </w:trPr>
        <w:tc>
          <w:tcPr>
            <w:tcW w:w="2207" w:type="dxa"/>
          </w:tcPr>
          <w:p>
            <w:pPr>
              <w:pStyle w:val="Compact"/>
              <w:spacing w:before="0" w:after="0" w:line="240" w:lineRule="auto"/>
              <w:jc w:val="left"/>
            </w:pPr>
            <w:r>
              <w:rPr>
                <w:rFonts w:ascii="Arial" w:hAnsi="Arial"/>
                <w:sz w:val="15"/>
              </w:rPr>
              <w:t xml:space="preserve">Sep-2026</w:t>
            </w:r>
          </w:p>
        </w:tc>
        <w:tc>
          <w:tcPr>
            <w:tcW w:w="7770" w:type="dxa"/>
          </w:tcPr>
          <w:p>
            <w:pPr>
              <w:pStyle w:val="Compact"/>
              <w:spacing w:before="0" w:after="0" w:line="240" w:lineRule="auto"/>
              <w:jc w:val="left"/>
            </w:pPr>
            <w:r>
              <w:rPr>
                <w:rFonts w:ascii="Arial" w:hAnsi="Arial"/>
                <w:sz w:val="15"/>
              </w:rPr>
              <w:t xml:space="preserve">Second FY25 dividend (KZT28.09) paid 7-Sep; rating affirmations (Moody’s, Fitch; S&amp;P outlook positive); EGM 25-Sep: EY auditor, Islamic licence</w:t>
            </w:r>
          </w:p>
        </w:tc>
      </w:tr>
      <w:tr>
        <w:trPr>
          <w:cantSplit/>
        </w:trPr>
        <w:tc>
          <w:tcPr>
            <w:tcW w:w="2207" w:type="dxa"/>
          </w:tcPr>
          <w:p>
            <w:pPr>
              <w:pStyle w:val="Compact"/>
              <w:spacing w:before="0" w:after="0" w:line="240" w:lineRule="auto"/>
              <w:jc w:val="left"/>
            </w:pPr>
            <w:r>
              <w:rPr>
                <w:rFonts w:ascii="Arial" w:hAnsi="Arial"/>
                <w:sz w:val="15"/>
              </w:rPr>
              <w:t xml:space="preserve">23-Oct-2026</w:t>
            </w:r>
          </w:p>
        </w:tc>
        <w:tc>
          <w:tcPr>
            <w:tcW w:w="7770" w:type="dxa"/>
          </w:tcPr>
          <w:p>
            <w:pPr>
              <w:pStyle w:val="Compact"/>
              <w:spacing w:before="0" w:after="0" w:line="240" w:lineRule="auto"/>
              <w:jc w:val="left"/>
            </w:pPr>
            <w:r>
              <w:rPr>
                <w:rFonts w:ascii="Arial" w:hAnsi="Arial"/>
                <w:sz w:val="15"/>
              </w:rPr>
              <w:t xml:space="preserve">NBK cuts to 15.75% (−50bp)</w:t>
            </w:r>
          </w:p>
        </w:tc>
      </w:tr>
    </w:tbl>
    <w:bookmarkEnd w:id="121"/>
    <w:bookmarkStart w:id="122" w:name="upcoming-catalysts"/>
    <w:p>
      <w:pPr>
        <w:pStyle w:val="Heading2"/>
      </w:pPr>
      <w:r>
        <w:t xml:space="preserve">Upcoming catalysts</w:t>
      </w:r>
    </w:p>
    <w:tbl>
      <w:tblPr>
        <w:tblStyle w:val="Table"/>
        <w:tblLook w:firstRow="1" w:lastRow="0" w:firstColumn="0" w:lastColumn="0" w:noHBand="0" w:noVBand="0" w:val="0020"/>
        <w:jc w:val="left"/>
        <w:tblBorders>
          <w:top w:val="single" w:sz="4" w:color="C9CCD3"/>
          <w:bottom w:val="single" w:sz="4" w:color="C9CCD3"/>
          <w:insideH w:val="single" w:sz="4" w:color="C9CCD3"/>
          <w:left w:val="nil"/>
          <w:right w:val="nil"/>
          <w:insideV w:val="nil"/>
        </w:tblBorders>
        <w:tblCellMar>
          <w:top w:w="25" w:type="dxa"/>
          <w:bottom w:w="25" w:type="dxa"/>
          <w:left w:w="60" w:type="dxa"/>
          <w:right w:w="60" w:type="dxa"/>
        </w:tblCellMar>
        <w:tblW w:w="9978" w:type="dxa"/>
        <w:tblLayout w:type="fixed"/>
      </w:tblPr>
      <w:tblGrid>
        <w:gridCol w:w="1668"/>
        <w:gridCol w:w="3802"/>
        <w:gridCol w:w="3378"/>
        <w:gridCol w:w="1129"/>
      </w:tblGrid>
      <w:tr>
        <w:trPr>
          <w:tblHeader w:val="true"/>
          <w:cantSplit/>
          <w:tblHeader w:val="true"/>
        </w:trPr>
        <w:tc>
          <w:tcPr>
            <w:tcW w:w="1668" w:type="dxa"/>
            <w:shd w:val="clear" w:color="auto" w:fill="13213F"/>
          </w:tcPr>
          <w:p>
            <w:pPr>
              <w:pStyle w:val="Compact"/>
              <w:spacing w:before="0" w:after="0" w:line="240" w:lineRule="auto"/>
              <w:jc w:val="left"/>
            </w:pPr>
            <w:r>
              <w:rPr>
                <w:rFonts w:ascii="Arial" w:hAnsi="Arial"/>
                <w:b/>
                <w:color w:val="FFFFFF"/>
                <w:sz w:val="15"/>
              </w:rPr>
              <w:t xml:space="preserve">Timing</w:t>
            </w:r>
          </w:p>
        </w:tc>
        <w:tc>
          <w:tcPr>
            <w:tcW w:w="3802" w:type="dxa"/>
            <w:shd w:val="clear" w:color="auto" w:fill="13213F"/>
          </w:tcPr>
          <w:p>
            <w:pPr>
              <w:pStyle w:val="Compact"/>
              <w:spacing w:before="0" w:after="0" w:line="240" w:lineRule="auto"/>
              <w:jc w:val="left"/>
            </w:pPr>
            <w:r>
              <w:rPr>
                <w:rFonts w:ascii="Arial" w:hAnsi="Arial"/>
                <w:b/>
                <w:color w:val="FFFFFF"/>
                <w:sz w:val="15"/>
              </w:rPr>
              <w:t xml:space="preserve">Event</w:t>
            </w:r>
          </w:p>
        </w:tc>
        <w:tc>
          <w:tcPr>
            <w:tcW w:w="3378" w:type="dxa"/>
            <w:shd w:val="clear" w:color="auto" w:fill="13213F"/>
          </w:tcPr>
          <w:p>
            <w:pPr>
              <w:pStyle w:val="Compact"/>
              <w:spacing w:before="0" w:after="0" w:line="240" w:lineRule="auto"/>
              <w:jc w:val="left"/>
            </w:pPr>
            <w:r>
              <w:rPr>
                <w:rFonts w:ascii="Arial" w:hAnsi="Arial"/>
                <w:b/>
                <w:color w:val="FFFFFF"/>
                <w:sz w:val="15"/>
              </w:rPr>
              <w:t xml:space="preserve">What to watch</w:t>
            </w:r>
          </w:p>
        </w:tc>
        <w:tc>
          <w:tcPr>
            <w:tcW w:w="1129" w:type="dxa"/>
            <w:shd w:val="clear" w:color="auto" w:fill="13213F"/>
          </w:tcPr>
          <w:p>
            <w:pPr>
              <w:pStyle w:val="Compact"/>
              <w:spacing w:before="0" w:after="0" w:line="240" w:lineRule="auto"/>
              <w:jc w:val="left"/>
            </w:pPr>
            <w:r>
              <w:rPr>
                <w:rFonts w:ascii="Arial" w:hAnsi="Arial"/>
                <w:b/>
                <w:color w:val="FFFFFF"/>
                <w:sz w:val="15"/>
              </w:rPr>
              <w:t xml:space="preserve">Importance</w:t>
            </w:r>
          </w:p>
        </w:tc>
      </w:tr>
      <w:tr>
        <w:trPr>
          <w:cantSplit/>
        </w:trPr>
        <w:tc>
          <w:tcPr>
            <w:tcW w:w="1668" w:type="dxa"/>
          </w:tcPr>
          <w:p>
            <w:pPr>
              <w:pStyle w:val="Compact"/>
              <w:spacing w:before="0" w:after="0" w:line="240" w:lineRule="auto"/>
              <w:jc w:val="left"/>
            </w:pPr>
            <w:r>
              <w:rPr>
                <w:rFonts w:ascii="Arial" w:hAnsi="Arial"/>
                <w:sz w:val="15"/>
              </w:rPr>
              <w:t xml:space="preserve">Late Oct / early Nov 2026</w:t>
            </w:r>
          </w:p>
        </w:tc>
        <w:tc>
          <w:tcPr>
            <w:tcW w:w="3802" w:type="dxa"/>
          </w:tcPr>
          <w:p>
            <w:pPr>
              <w:pStyle w:val="Compact"/>
              <w:spacing w:before="0" w:after="0" w:line="240" w:lineRule="auto"/>
              <w:jc w:val="left"/>
            </w:pPr>
            <w:r>
              <w:rPr>
                <w:rFonts w:ascii="Arial" w:hAnsi="Arial"/>
                <w:sz w:val="15"/>
              </w:rPr>
              <w:t xml:space="preserve">9M26 results call invitation</w:t>
            </w:r>
          </w:p>
        </w:tc>
        <w:tc>
          <w:tcPr>
            <w:tcW w:w="3378" w:type="dxa"/>
          </w:tcPr>
          <w:p>
            <w:pPr>
              <w:pStyle w:val="Compact"/>
              <w:spacing w:before="0" w:after="0" w:line="240" w:lineRule="auto"/>
              <w:jc w:val="left"/>
            </w:pPr>
            <w:r>
              <w:rPr>
                <w:rFonts w:ascii="Arial" w:hAnsi="Arial"/>
                <w:sz w:val="15"/>
              </w:rPr>
              <w:t xml:space="preserve">Date confirmation</w:t>
            </w:r>
          </w:p>
        </w:tc>
        <w:tc>
          <w:tcPr>
            <w:tcW w:w="1129" w:type="dxa"/>
          </w:tcPr>
          <w:p>
            <w:pPr>
              <w:pStyle w:val="Compact"/>
              <w:spacing w:before="0" w:after="0" w:line="240" w:lineRule="auto"/>
              <w:jc w:val="left"/>
            </w:pPr>
            <w:r>
              <w:rPr>
                <w:rFonts w:ascii="Arial" w:hAnsi="Arial"/>
                <w:sz w:val="15"/>
              </w:rPr>
              <w:t xml:space="preserve">Low</w:t>
            </w:r>
          </w:p>
        </w:tc>
      </w:tr>
      <w:tr>
        <w:trPr>
          <w:cantSplit/>
        </w:trPr>
        <w:tc>
          <w:tcPr>
            <w:tcW w:w="1668" w:type="dxa"/>
          </w:tcPr>
          <w:p>
            <w:pPr>
              <w:pStyle w:val="Compact"/>
              <w:spacing w:before="0" w:after="0" w:line="240" w:lineRule="auto"/>
              <w:jc w:val="left"/>
            </w:pPr>
            <w:r>
              <w:rPr>
                <w:rFonts w:ascii="Arial" w:hAnsi="Arial"/>
                <w:sz w:val="15"/>
              </w:rPr>
              <w:t xml:space="preserve">9-Nov-2026</w:t>
            </w:r>
          </w:p>
        </w:tc>
        <w:tc>
          <w:tcPr>
            <w:tcW w:w="3802" w:type="dxa"/>
          </w:tcPr>
          <w:p>
            <w:pPr>
              <w:pStyle w:val="Compact"/>
              <w:spacing w:before="0" w:after="0" w:line="240" w:lineRule="auto"/>
              <w:jc w:val="left"/>
            </w:pPr>
            <w:r>
              <w:rPr>
                <w:rFonts w:ascii="Arial" w:hAnsi="Arial"/>
                <w:sz w:val="15"/>
              </w:rPr>
              <w:t xml:space="preserve">Kaspi.kz 3Q26 results</w:t>
            </w:r>
          </w:p>
        </w:tc>
        <w:tc>
          <w:tcPr>
            <w:tcW w:w="3378" w:type="dxa"/>
          </w:tcPr>
          <w:p>
            <w:pPr>
              <w:pStyle w:val="Compact"/>
              <w:spacing w:before="0" w:after="0" w:line="240" w:lineRule="auto"/>
              <w:jc w:val="left"/>
            </w:pPr>
            <w:r>
              <w:rPr>
                <w:rFonts w:ascii="Arial" w:hAnsi="Arial"/>
                <w:sz w:val="15"/>
              </w:rPr>
              <w:t xml:space="preserve">Retail and payments read-across; Kaspi’s lending growth</w:t>
            </w:r>
          </w:p>
        </w:tc>
        <w:tc>
          <w:tcPr>
            <w:tcW w:w="1129" w:type="dxa"/>
          </w:tcPr>
          <w:p>
            <w:pPr>
              <w:pStyle w:val="Compact"/>
              <w:spacing w:before="0" w:after="0" w:line="240" w:lineRule="auto"/>
              <w:jc w:val="left"/>
            </w:pPr>
            <w:r>
              <w:rPr>
                <w:rFonts w:ascii="Arial" w:hAnsi="Arial"/>
                <w:sz w:val="15"/>
              </w:rPr>
              <w:t xml:space="preserve">Medium</w:t>
            </w:r>
          </w:p>
        </w:tc>
      </w:tr>
      <w:tr>
        <w:trPr>
          <w:cantSplit/>
        </w:trPr>
        <w:tc>
          <w:tcPr>
            <w:tcW w:w="1668" w:type="dxa"/>
          </w:tcPr>
          <w:p>
            <w:pPr>
              <w:pStyle w:val="Compact"/>
              <w:spacing w:before="0" w:after="0" w:line="240" w:lineRule="auto"/>
              <w:jc w:val="left"/>
            </w:pPr>
            <w:r>
              <w:rPr>
                <w:rFonts w:ascii="Arial" w:hAnsi="Arial"/>
                <w:sz w:val="15"/>
              </w:rPr>
              <w:t xml:space="preserve">~13–19 Nov 2026 [e]</w:t>
            </w:r>
          </w:p>
        </w:tc>
        <w:tc>
          <w:tcPr>
            <w:tcW w:w="3802" w:type="dxa"/>
          </w:tcPr>
          <w:p>
            <w:pPr>
              <w:pStyle w:val="Compact"/>
              <w:spacing w:before="0" w:after="0" w:line="240" w:lineRule="auto"/>
              <w:jc w:val="left"/>
            </w:pPr>
            <w:r>
              <w:rPr>
                <w:bCs/>
                <w:rFonts w:ascii="Arial" w:hAnsi="Arial"/>
                <w:b/>
                <w:sz w:val="15"/>
              </w:rPr>
              <w:t xml:space="preserve">Halyk 9M/3Q26 results and call</w:t>
            </w:r>
          </w:p>
        </w:tc>
        <w:tc>
          <w:tcPr>
            <w:tcW w:w="3378" w:type="dxa"/>
          </w:tcPr>
          <w:p>
            <w:pPr>
              <w:pStyle w:val="Compact"/>
              <w:spacing w:before="0" w:after="0" w:line="240" w:lineRule="auto"/>
              <w:jc w:val="left"/>
            </w:pPr>
            <w:r>
              <w:rPr>
                <w:rFonts w:ascii="Arial" w:hAnsi="Arial"/>
                <w:sz w:val="15"/>
              </w:rPr>
              <w:t xml:space="preserve">Whether the KZT1trn target survives; NIM after the Sep MRR step; NPL trend after the moratorium; dividend language</w:t>
            </w:r>
          </w:p>
        </w:tc>
        <w:tc>
          <w:tcPr>
            <w:tcW w:w="1129" w:type="dxa"/>
          </w:tcPr>
          <w:p>
            <w:pPr>
              <w:pStyle w:val="Compact"/>
              <w:spacing w:before="0" w:after="0" w:line="240" w:lineRule="auto"/>
              <w:jc w:val="left"/>
            </w:pPr>
            <w:r>
              <w:rPr>
                <w:bCs/>
                <w:rFonts w:ascii="Arial" w:hAnsi="Arial"/>
                <w:b/>
                <w:sz w:val="15"/>
              </w:rPr>
              <w:t xml:space="preserve">High</w:t>
            </w:r>
          </w:p>
        </w:tc>
      </w:tr>
      <w:tr>
        <w:trPr>
          <w:cantSplit/>
        </w:trPr>
        <w:tc>
          <w:tcPr>
            <w:tcW w:w="1668" w:type="dxa"/>
          </w:tcPr>
          <w:p>
            <w:pPr>
              <w:pStyle w:val="Compact"/>
              <w:spacing w:before="0" w:after="0" w:line="240" w:lineRule="auto"/>
              <w:jc w:val="left"/>
            </w:pPr>
            <w:r>
              <w:rPr>
                <w:rFonts w:ascii="Arial" w:hAnsi="Arial"/>
                <w:sz w:val="15"/>
              </w:rPr>
              <w:t xml:space="preserve">~25 Nov 2026</w:t>
            </w:r>
          </w:p>
        </w:tc>
        <w:tc>
          <w:tcPr>
            <w:tcW w:w="3802" w:type="dxa"/>
          </w:tcPr>
          <w:p>
            <w:pPr>
              <w:pStyle w:val="Compact"/>
              <w:spacing w:before="0" w:after="0" w:line="240" w:lineRule="auto"/>
              <w:jc w:val="left"/>
            </w:pPr>
            <w:r>
              <w:rPr>
                <w:bCs/>
                <w:rFonts w:ascii="Arial" w:hAnsi="Arial"/>
                <w:b/>
                <w:sz w:val="15"/>
              </w:rPr>
              <w:t xml:space="preserve">ALMEX lock-up expiry</w:t>
            </w:r>
          </w:p>
        </w:tc>
        <w:tc>
          <w:tcPr>
            <w:tcW w:w="3378" w:type="dxa"/>
          </w:tcPr>
          <w:p>
            <w:pPr>
              <w:pStyle w:val="Compact"/>
              <w:spacing w:before="0" w:after="0" w:line="240" w:lineRule="auto"/>
              <w:jc w:val="left"/>
            </w:pPr>
            <w:r>
              <w:rPr>
                <w:rFonts w:ascii="Arial" w:hAnsi="Arial"/>
                <w:sz w:val="15"/>
              </w:rPr>
              <w:t xml:space="preserve">Any block or placement (size, discount); bank participation</w:t>
            </w:r>
          </w:p>
        </w:tc>
        <w:tc>
          <w:tcPr>
            <w:tcW w:w="1129" w:type="dxa"/>
          </w:tcPr>
          <w:p>
            <w:pPr>
              <w:pStyle w:val="Compact"/>
              <w:spacing w:before="0" w:after="0" w:line="240" w:lineRule="auto"/>
              <w:jc w:val="left"/>
            </w:pPr>
            <w:r>
              <w:rPr>
                <w:bCs/>
                <w:rFonts w:ascii="Arial" w:hAnsi="Arial"/>
                <w:b/>
                <w:sz w:val="15"/>
              </w:rPr>
              <w:t xml:space="preserve">Critical</w:t>
            </w:r>
          </w:p>
        </w:tc>
      </w:tr>
      <w:tr>
        <w:trPr>
          <w:cantSplit/>
        </w:trPr>
        <w:tc>
          <w:tcPr>
            <w:tcW w:w="1668" w:type="dxa"/>
          </w:tcPr>
          <w:p>
            <w:pPr>
              <w:pStyle w:val="Compact"/>
              <w:spacing w:before="0" w:after="0" w:line="240" w:lineRule="auto"/>
              <w:jc w:val="left"/>
            </w:pPr>
            <w:r>
              <w:rPr>
                <w:rFonts w:ascii="Arial" w:hAnsi="Arial"/>
                <w:sz w:val="15"/>
              </w:rPr>
              <w:t xml:space="preserve">4-Dec-2026</w:t>
            </w:r>
          </w:p>
        </w:tc>
        <w:tc>
          <w:tcPr>
            <w:tcW w:w="3802" w:type="dxa"/>
          </w:tcPr>
          <w:p>
            <w:pPr>
              <w:pStyle w:val="Compact"/>
              <w:spacing w:before="0" w:after="0" w:line="240" w:lineRule="auto"/>
              <w:jc w:val="left"/>
            </w:pPr>
            <w:r>
              <w:rPr>
                <w:rFonts w:ascii="Arial" w:hAnsi="Arial"/>
                <w:sz w:val="15"/>
              </w:rPr>
              <w:t xml:space="preserve">NBK base-rate decision</w:t>
            </w:r>
          </w:p>
        </w:tc>
        <w:tc>
          <w:tcPr>
            <w:tcW w:w="3378" w:type="dxa"/>
          </w:tcPr>
          <w:p>
            <w:pPr>
              <w:pStyle w:val="Compact"/>
              <w:spacing w:before="0" w:after="0" w:line="240" w:lineRule="auto"/>
              <w:jc w:val="left"/>
            </w:pPr>
            <w:r>
              <w:rPr>
                <w:rFonts w:ascii="Arial" w:hAnsi="Arial"/>
                <w:sz w:val="15"/>
              </w:rPr>
              <w:t xml:space="preserve">Pace of easing (NBK signalled a hold)</w:t>
            </w:r>
          </w:p>
        </w:tc>
        <w:tc>
          <w:tcPr>
            <w:tcW w:w="1129" w:type="dxa"/>
          </w:tcPr>
          <w:p>
            <w:pPr>
              <w:pStyle w:val="Compact"/>
              <w:spacing w:before="0" w:after="0" w:line="240" w:lineRule="auto"/>
              <w:jc w:val="left"/>
            </w:pPr>
            <w:r>
              <w:rPr>
                <w:rFonts w:ascii="Arial" w:hAnsi="Arial"/>
                <w:sz w:val="15"/>
              </w:rPr>
              <w:t xml:space="preserve">Medium</w:t>
            </w:r>
          </w:p>
        </w:tc>
      </w:tr>
      <w:tr>
        <w:trPr>
          <w:cantSplit/>
        </w:trPr>
        <w:tc>
          <w:tcPr>
            <w:tcW w:w="1668" w:type="dxa"/>
          </w:tcPr>
          <w:p>
            <w:pPr>
              <w:pStyle w:val="Compact"/>
              <w:spacing w:before="0" w:after="0" w:line="240" w:lineRule="auto"/>
              <w:jc w:val="left"/>
            </w:pPr>
            <w:r>
              <w:rPr>
                <w:rFonts w:ascii="Arial" w:hAnsi="Arial"/>
                <w:sz w:val="15"/>
              </w:rPr>
              <w:t xml:space="preserve">Dec-2026 – Feb-2027</w:t>
            </w:r>
          </w:p>
        </w:tc>
        <w:tc>
          <w:tcPr>
            <w:tcW w:w="3802" w:type="dxa"/>
          </w:tcPr>
          <w:p>
            <w:pPr>
              <w:pStyle w:val="Compact"/>
              <w:spacing w:before="0" w:after="0" w:line="240" w:lineRule="auto"/>
              <w:jc w:val="left"/>
            </w:pPr>
            <w:r>
              <w:rPr>
                <w:rFonts w:ascii="Arial" w:hAnsi="Arial"/>
                <w:sz w:val="15"/>
              </w:rPr>
              <w:t xml:space="preserve">2027 budget measures; ARDFM rule changes (total-debt cap, large-loan limits)</w:t>
            </w:r>
          </w:p>
        </w:tc>
        <w:tc>
          <w:tcPr>
            <w:tcW w:w="3378" w:type="dxa"/>
          </w:tcPr>
          <w:p>
            <w:pPr>
              <w:pStyle w:val="Compact"/>
              <w:spacing w:before="0" w:after="0" w:line="240" w:lineRule="auto"/>
              <w:jc w:val="left"/>
            </w:pPr>
            <w:r>
              <w:rPr>
                <w:rFonts w:ascii="Arial" w:hAnsi="Arial"/>
                <w:sz w:val="15"/>
              </w:rPr>
              <w:t xml:space="preserve">Any bank levy or new caps</w:t>
            </w:r>
          </w:p>
        </w:tc>
        <w:tc>
          <w:tcPr>
            <w:tcW w:w="1129" w:type="dxa"/>
          </w:tcPr>
          <w:p>
            <w:pPr>
              <w:pStyle w:val="Compact"/>
              <w:spacing w:before="0" w:after="0" w:line="240" w:lineRule="auto"/>
              <w:jc w:val="left"/>
            </w:pPr>
            <w:r>
              <w:rPr>
                <w:rFonts w:ascii="Arial" w:hAnsi="Arial"/>
                <w:sz w:val="15"/>
              </w:rPr>
              <w:t xml:space="preserve">High</w:t>
            </w:r>
          </w:p>
        </w:tc>
      </w:tr>
      <w:tr>
        <w:trPr>
          <w:cantSplit/>
        </w:trPr>
        <w:tc>
          <w:tcPr>
            <w:tcW w:w="1668" w:type="dxa"/>
          </w:tcPr>
          <w:p>
            <w:pPr>
              <w:pStyle w:val="Compact"/>
              <w:spacing w:before="0" w:after="0" w:line="240" w:lineRule="auto"/>
              <w:jc w:val="left"/>
            </w:pPr>
            <w:r>
              <w:rPr>
                <w:rFonts w:ascii="Arial" w:hAnsi="Arial"/>
                <w:sz w:val="15"/>
              </w:rPr>
              <w:t xml:space="preserve">Feb-2027</w:t>
            </w:r>
          </w:p>
        </w:tc>
        <w:tc>
          <w:tcPr>
            <w:tcW w:w="3802" w:type="dxa"/>
          </w:tcPr>
          <w:p>
            <w:pPr>
              <w:pStyle w:val="Compact"/>
              <w:spacing w:before="0" w:after="0" w:line="240" w:lineRule="auto"/>
              <w:jc w:val="left"/>
            </w:pPr>
            <w:r>
              <w:rPr>
                <w:rFonts w:ascii="Arial" w:hAnsi="Arial"/>
                <w:sz w:val="15"/>
              </w:rPr>
              <w:t xml:space="preserve">MSCI quarterly index review</w:t>
            </w:r>
          </w:p>
        </w:tc>
        <w:tc>
          <w:tcPr>
            <w:tcW w:w="3378" w:type="dxa"/>
          </w:tcPr>
          <w:p>
            <w:pPr>
              <w:pStyle w:val="Compact"/>
              <w:spacing w:before="0" w:after="0" w:line="240" w:lineRule="auto"/>
              <w:jc w:val="left"/>
            </w:pPr>
            <w:r>
              <w:rPr>
                <w:rFonts w:ascii="Arial" w:hAnsi="Arial"/>
                <w:sz w:val="15"/>
              </w:rPr>
              <w:t xml:space="preserve">Weight change from higher free float</w:t>
            </w:r>
          </w:p>
        </w:tc>
        <w:tc>
          <w:tcPr>
            <w:tcW w:w="1129" w:type="dxa"/>
          </w:tcPr>
          <w:p>
            <w:pPr>
              <w:pStyle w:val="Compact"/>
              <w:spacing w:before="0" w:after="0" w:line="240" w:lineRule="auto"/>
              <w:jc w:val="left"/>
            </w:pPr>
            <w:r>
              <w:rPr>
                <w:rFonts w:ascii="Arial" w:hAnsi="Arial"/>
                <w:sz w:val="15"/>
              </w:rPr>
              <w:t xml:space="preserve">Medium</w:t>
            </w:r>
          </w:p>
        </w:tc>
      </w:tr>
      <w:tr>
        <w:trPr>
          <w:cantSplit/>
        </w:trPr>
        <w:tc>
          <w:tcPr>
            <w:tcW w:w="1668" w:type="dxa"/>
          </w:tcPr>
          <w:p>
            <w:pPr>
              <w:pStyle w:val="Compact"/>
              <w:spacing w:before="0" w:after="0" w:line="240" w:lineRule="auto"/>
              <w:jc w:val="left"/>
            </w:pPr>
            <w:r>
              <w:rPr>
                <w:rFonts w:ascii="Arial" w:hAnsi="Arial"/>
                <w:sz w:val="15"/>
              </w:rPr>
              <w:t xml:space="preserve">Mar-2027</w:t>
            </w:r>
          </w:p>
        </w:tc>
        <w:tc>
          <w:tcPr>
            <w:tcW w:w="3802" w:type="dxa"/>
          </w:tcPr>
          <w:p>
            <w:pPr>
              <w:pStyle w:val="Compact"/>
              <w:spacing w:before="0" w:after="0" w:line="240" w:lineRule="auto"/>
              <w:jc w:val="left"/>
            </w:pPr>
            <w:r>
              <w:rPr>
                <w:rFonts w:ascii="Arial" w:hAnsi="Arial"/>
                <w:sz w:val="15"/>
              </w:rPr>
              <w:t xml:space="preserve">FY26 results and</w:t>
            </w:r>
            <w:r>
              <w:rPr>
                <w:rFonts w:ascii="Arial" w:hAnsi="Arial"/>
                <w:sz w:val="15"/>
              </w:rPr>
              <w:t xml:space="preserve"> </w:t>
            </w:r>
            <w:r>
              <w:rPr>
                <w:bCs/>
                <w:rFonts w:ascii="Arial" w:hAnsi="Arial"/>
                <w:b/>
                <w:sz w:val="15"/>
              </w:rPr>
              <w:t xml:space="preserve">2027 guidance</w:t>
            </w:r>
          </w:p>
        </w:tc>
        <w:tc>
          <w:tcPr>
            <w:tcW w:w="3378" w:type="dxa"/>
          </w:tcPr>
          <w:p>
            <w:pPr>
              <w:pStyle w:val="Compact"/>
              <w:spacing w:before="0" w:after="0" w:line="240" w:lineRule="auto"/>
              <w:jc w:val="left"/>
            </w:pPr>
            <w:r>
              <w:rPr>
                <w:rFonts w:ascii="Arial" w:hAnsi="Arial"/>
                <w:sz w:val="15"/>
              </w:rPr>
              <w:t xml:space="preserve">NIM, CoR and ROE guidance; payout</w:t>
            </w:r>
          </w:p>
        </w:tc>
        <w:tc>
          <w:tcPr>
            <w:tcW w:w="1129" w:type="dxa"/>
          </w:tcPr>
          <w:p>
            <w:pPr>
              <w:pStyle w:val="Compact"/>
              <w:spacing w:before="0" w:after="0" w:line="240" w:lineRule="auto"/>
              <w:jc w:val="left"/>
            </w:pPr>
            <w:r>
              <w:rPr>
                <w:bCs/>
                <w:rFonts w:ascii="Arial" w:hAnsi="Arial"/>
                <w:b/>
                <w:sz w:val="15"/>
              </w:rPr>
              <w:t xml:space="preserve">High</w:t>
            </w:r>
          </w:p>
        </w:tc>
      </w:tr>
      <w:tr>
        <w:trPr>
          <w:cantSplit/>
        </w:trPr>
        <w:tc>
          <w:tcPr>
            <w:tcW w:w="1668" w:type="dxa"/>
          </w:tcPr>
          <w:p>
            <w:pPr>
              <w:pStyle w:val="Compact"/>
              <w:spacing w:before="0" w:after="0" w:line="240" w:lineRule="auto"/>
              <w:jc w:val="left"/>
            </w:pPr>
            <w:r>
              <w:rPr>
                <w:rFonts w:ascii="Arial" w:hAnsi="Arial"/>
                <w:sz w:val="15"/>
              </w:rPr>
              <w:t xml:space="preserve">Apr-2027</w:t>
            </w:r>
          </w:p>
        </w:tc>
        <w:tc>
          <w:tcPr>
            <w:tcW w:w="3802" w:type="dxa"/>
          </w:tcPr>
          <w:p>
            <w:pPr>
              <w:pStyle w:val="Compact"/>
              <w:spacing w:before="0" w:after="0" w:line="240" w:lineRule="auto"/>
              <w:jc w:val="left"/>
            </w:pPr>
            <w:r>
              <w:rPr>
                <w:rFonts w:ascii="Arial" w:hAnsi="Arial"/>
                <w:sz w:val="15"/>
              </w:rPr>
              <w:t xml:space="preserve">2% retail buffer fully phased in; AGM (first FY26 dividend tranche)</w:t>
            </w:r>
          </w:p>
        </w:tc>
        <w:tc>
          <w:tcPr>
            <w:tcW w:w="3378" w:type="dxa"/>
          </w:tcPr>
          <w:p>
            <w:pPr>
              <w:pStyle w:val="Compact"/>
              <w:spacing w:before="0" w:after="0" w:line="240" w:lineRule="auto"/>
              <w:jc w:val="left"/>
            </w:pPr>
            <w:r>
              <w:rPr>
                <w:rFonts w:ascii="Arial" w:hAnsi="Arial"/>
                <w:sz w:val="15"/>
              </w:rPr>
              <w:t xml:space="preserve">DPS vs our KZT49.5</w:t>
            </w:r>
          </w:p>
        </w:tc>
        <w:tc>
          <w:tcPr>
            <w:tcW w:w="1129" w:type="dxa"/>
          </w:tcPr>
          <w:p>
            <w:pPr>
              <w:pStyle w:val="Compact"/>
              <w:spacing w:before="0" w:after="0" w:line="240" w:lineRule="auto"/>
              <w:jc w:val="left"/>
            </w:pPr>
            <w:r>
              <w:rPr>
                <w:bCs/>
                <w:rFonts w:ascii="Arial" w:hAnsi="Arial"/>
                <w:b/>
                <w:sz w:val="15"/>
              </w:rPr>
              <w:t xml:space="preserve">High</w:t>
            </w:r>
          </w:p>
        </w:tc>
      </w:tr>
      <w:tr>
        <w:trPr>
          <w:cantSplit/>
        </w:trPr>
        <w:tc>
          <w:tcPr>
            <w:tcW w:w="1668" w:type="dxa"/>
          </w:tcPr>
          <w:p>
            <w:pPr>
              <w:pStyle w:val="Compact"/>
              <w:spacing w:before="0" w:after="0" w:line="240" w:lineRule="auto"/>
              <w:jc w:val="left"/>
            </w:pPr>
            <w:r>
              <w:rPr>
                <w:rFonts w:ascii="Arial" w:hAnsi="Arial"/>
                <w:sz w:val="15"/>
              </w:rPr>
              <w:t xml:space="preserve">2027</w:t>
            </w:r>
          </w:p>
        </w:tc>
        <w:tc>
          <w:tcPr>
            <w:tcW w:w="3802" w:type="dxa"/>
          </w:tcPr>
          <w:p>
            <w:pPr>
              <w:pStyle w:val="Compact"/>
              <w:spacing w:before="0" w:after="0" w:line="240" w:lineRule="auto"/>
              <w:jc w:val="left"/>
            </w:pPr>
            <w:r>
              <w:rPr>
                <w:rFonts w:ascii="Arial" w:hAnsi="Arial"/>
                <w:sz w:val="15"/>
              </w:rPr>
              <w:t xml:space="preserve">Islamic banking licence; Click/Uzbekistan resolution; Tengiz maintenance (oil volumes)</w:t>
            </w:r>
          </w:p>
        </w:tc>
        <w:tc>
          <w:tcPr>
            <w:tcW w:w="3378" w:type="dxa"/>
          </w:tcPr>
          <w:p>
            <w:pPr>
              <w:pStyle w:val="Compact"/>
              <w:spacing w:before="0" w:after="0" w:line="240" w:lineRule="auto"/>
              <w:jc w:val="left"/>
            </w:pPr>
            <w:r>
              <w:rPr>
                <w:rFonts w:ascii="Arial" w:hAnsi="Arial"/>
                <w:sz w:val="15"/>
              </w:rPr>
              <w:t xml:space="preserve">Optionality and macro</w:t>
            </w:r>
          </w:p>
        </w:tc>
        <w:tc>
          <w:tcPr>
            <w:tcW w:w="1129" w:type="dxa"/>
          </w:tcPr>
          <w:p>
            <w:pPr>
              <w:pStyle w:val="Compact"/>
              <w:spacing w:before="0" w:after="0" w:line="240" w:lineRule="auto"/>
              <w:jc w:val="left"/>
            </w:pPr>
            <w:r>
              <w:rPr>
                <w:rFonts w:ascii="Arial" w:hAnsi="Arial"/>
                <w:sz w:val="15"/>
              </w:rPr>
              <w:t xml:space="preserve">Low–Medium</w:t>
            </w:r>
          </w:p>
        </w:tc>
      </w:tr>
    </w:tbl>
    <w:bookmarkEnd w:id="122"/>
    <w:bookmarkEnd w:id="123"/>
    <w:bookmarkStart w:id="124" w:name="X84cdb3a8f80b6607a298c3d4c22c4a8af381b7c"/>
    <w:p>
      <w:pPr>
        <w:pStyle w:val="Heading1"/>
      </w:pPr>
      <w:r>
        <w:t xml:space="preserve">Appendix: methodology, sources and data limitations</w:t>
      </w:r>
    </w:p>
    <w:p>
      <w:pPr>
        <w:numPr>
          <w:ilvl w:val="0"/>
          <w:numId w:val="1129"/>
        </w:numPr>
        <w:pStyle w:val="Compact"/>
      </w:pPr>
      <w:r>
        <w:rPr>
          <w:bCs/>
          <w:b/>
        </w:rPr>
        <w:t xml:space="preserve">Tools and access.</w:t>
      </w:r>
    </w:p>
    <w:p>
      <w:pPr>
        <w:numPr>
          <w:ilvl w:val="1"/>
          <w:numId w:val="1130"/>
        </w:numPr>
        <w:pStyle w:val="Compact"/>
      </w:pPr>
      <w:r>
        <w:t xml:space="preserve">S&amp;P Global Capital IQ (Adaptive Retrieval and MCP) and ProntoNLP were not available in this session, and direct page access was blocked by the environment’s network policy.</w:t>
      </w:r>
    </w:p>
    <w:p>
      <w:pPr>
        <w:numPr>
          <w:ilvl w:val="1"/>
          <w:numId w:val="1130"/>
        </w:numPr>
        <w:pStyle w:val="Compact"/>
      </w:pPr>
      <w:r>
        <w:t xml:space="preserve">Facts were gathered from web-search extracts of primary documents: Halyk press releases and RNS (FY21–1H26), KASE notices, Halyk IR pages (dividends, ownership structure at 1-Apr-26), the 2024/2025 annual reports (via extracts), Edison and Freedom Broker notes, ARDFM/NBK releases, rating-agency announcements, and Interfax-Kazakhstan, Kursiv, Forbes.kz, Orda.kz, bes.media and Kapital.kz.</w:t>
      </w:r>
    </w:p>
    <w:p>
      <w:pPr>
        <w:numPr>
          <w:ilvl w:val="0"/>
          <w:numId w:val="1129"/>
        </w:numPr>
        <w:pStyle w:val="Compact"/>
      </w:pPr>
      <w:r>
        <w:rPr>
          <w:bCs/>
          <w:b/>
        </w:rPr>
        <w:t xml:space="preserve">Not retrieved:</w:t>
      </w:r>
    </w:p>
    <w:p>
      <w:pPr>
        <w:numPr>
          <w:ilvl w:val="1"/>
          <w:numId w:val="1131"/>
        </w:numPr>
        <w:pStyle w:val="Compact"/>
      </w:pPr>
      <w:r>
        <w:t xml:space="preserve">the IFRS segment note;</w:t>
      </w:r>
    </w:p>
    <w:p>
      <w:pPr>
        <w:numPr>
          <w:ilvl w:val="1"/>
          <w:numId w:val="1131"/>
        </w:numPr>
        <w:pStyle w:val="Compact"/>
      </w:pPr>
      <w:r>
        <w:t xml:space="preserve">the related-party note;</w:t>
      </w:r>
    </w:p>
    <w:p>
      <w:pPr>
        <w:numPr>
          <w:ilvl w:val="1"/>
          <w:numId w:val="1131"/>
        </w:numPr>
        <w:pStyle w:val="Compact"/>
      </w:pPr>
      <w:r>
        <w:t xml:space="preserve">top-20 borrower concentration;</w:t>
      </w:r>
    </w:p>
    <w:p>
      <w:pPr>
        <w:numPr>
          <w:ilvl w:val="1"/>
          <w:numId w:val="1131"/>
        </w:numPr>
        <w:pStyle w:val="Compact"/>
      </w:pPr>
      <w:r>
        <w:t xml:space="preserve">named GDR holders;</w:t>
      </w:r>
    </w:p>
    <w:p>
      <w:pPr>
        <w:numPr>
          <w:ilvl w:val="1"/>
          <w:numId w:val="1131"/>
        </w:numPr>
        <w:pStyle w:val="Compact"/>
      </w:pPr>
      <w:r>
        <w:t xml:space="preserve">the full bond maturity ladder;</w:t>
      </w:r>
    </w:p>
    <w:p>
      <w:pPr>
        <w:numPr>
          <w:ilvl w:val="1"/>
          <w:numId w:val="1131"/>
        </w:numPr>
        <w:pStyle w:val="Compact"/>
      </w:pPr>
      <w:r>
        <w:t xml:space="preserve">daily price files.</w:t>
      </w:r>
    </w:p>
    <w:p>
      <w:pPr>
        <w:numPr>
          <w:ilvl w:val="1"/>
          <w:numId w:val="1131"/>
        </w:numPr>
        <w:pStyle w:val="Compact"/>
      </w:pPr>
      <w:r>
        <w:t xml:space="preserve">Related figures are estimates [e] or derived [d] as marked.</w:t>
      </w:r>
    </w:p>
    <w:p>
      <w:pPr>
        <w:numPr>
          <w:ilvl w:val="0"/>
          <w:numId w:val="1129"/>
        </w:numPr>
        <w:pStyle w:val="Compact"/>
      </w:pPr>
      <w:r>
        <w:rPr>
          <w:bCs/>
          <w:b/>
        </w:rPr>
        <w:t xml:space="preserve">Peer data</w:t>
      </w:r>
      <w:r>
        <w:t xml:space="preserve"> </w:t>
      </w:r>
      <w:r>
        <w:t xml:space="preserve">are aggregator snapshots (Jun–Oct 2026) and should be refreshed on a terminal before trading.</w:t>
      </w:r>
    </w:p>
    <w:p>
      <w:pPr>
        <w:numPr>
          <w:ilvl w:val="0"/>
          <w:numId w:val="1129"/>
        </w:numPr>
        <w:pStyle w:val="Compact"/>
      </w:pPr>
      <w:r>
        <w:rPr>
          <w:bCs/>
          <w:b/>
        </w:rPr>
        <w:t xml:space="preserve">Model.</w:t>
      </w:r>
      <w:r>
        <w:t xml:space="preserve"> </w:t>
      </w:r>
      <w:r>
        <w:t xml:space="preserve">Our estimates use a simple driver model (average earning assets × NIM; fees; insurance and other; opex; CoR on average loans; ETR; payout). Valuation blends P/E, P/B and residual income (COE 19.5% KZT, terminal growth 8%). FX assumptions: KZT449/US$ spot; 465 for the 12-month forward; 460/470/490 averages for 2026–28.</w:t>
      </w:r>
    </w:p>
    <w:p>
      <w:pPr>
        <w:numPr>
          <w:ilvl w:val="0"/>
          <w:numId w:val="1129"/>
        </w:numPr>
        <w:pStyle w:val="Compact"/>
      </w:pPr>
      <w:r>
        <w:rPr>
          <w:bCs/>
          <w:b/>
        </w:rPr>
        <w:t xml:space="preserve">Tags:</w:t>
      </w:r>
      <w:r>
        <w:t xml:space="preserve"> </w:t>
      </w:r>
      <w:r>
        <w:t xml:space="preserve">[u] unverified / single source; [e] our estimate; [d] derived by calculation.</w:t>
      </w:r>
    </w:p>
    <w:bookmarkEnd w:id="124"/>
    <w:sectPr>
      <w:headerReference r:id="rId9" w:type="default"/>
      <w:footerReference r:id="rId10" w:type="default"/>
      <w:pgSz w:h="16838" w:w="11906"/>
      <w:pgMar w:bottom="850" w:left="964" w:right="964"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sz w:val="15"/>
      </w:rPr>
      <w:t xml:space="preserve">Page </w:t>
    </w:r>
    <w:r>
      <w:rPr>
        <w:sz w:val="15"/>
      </w:rPr>
      <w:fldChar w:fldCharType="begin"/>
      <w:instrText xml:space="preserve">PAGE</w:instrText>
      <w:fldChar w:fldCharType="separate"/>
      <w:fldChar w:fldCharType="end"/>
    </w:r>
    <w:r>
      <w:rPr>
        <w:sz w:val="15"/>
      </w:rPr>
      <w:t xml:space="preserve"> of </w:t>
    </w:r>
    <w:r>
      <w:rPr>
        <w:sz w:val="15"/>
      </w:rPr>
      <w:fldChar w:fldCharType="begin"/>
      <w:instrText xml:space="preserve">NUMPAGES</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5"/>
      </w:rPr>
      <w:t>Halyk Bank (HSBK LI) | Equity Research | 23 October 2026</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69" w:lineRule="auto"/>
    </w:pPr>
    <w:rPr>
      <w:rFonts w:ascii="Arial" w:cs="Arial" w:hAnsi="Arial"/>
      <w:sz w:val="19"/>
    </w:rPr>
  </w:style>
  <w:style w:styleId="BodyText" w:type="paragraph">
    <w:name w:val="Body Text"/>
    <w:basedOn w:val="Normal"/>
    <w:link w:val="BodyTextChar"/>
    <w:pPr>
      <w:spacing w:after="80" w:before="0" w:line="269" w:lineRule="auto"/>
    </w:pPr>
    <w:qFormat/>
    <w:rPr>
      <w:rFonts w:ascii="Arial" w:cs="Arial" w:hAnsi="Arial"/>
      <w:sz w:val="19"/>
    </w:rPr>
  </w:style>
  <w:style w:customStyle="1" w:styleId="FirstParagraph" w:type="paragraph">
    <w:name w:val="First Paragraph"/>
    <w:basedOn w:val="BodyText"/>
    <w:next w:val="BodyText"/>
    <w:qFormat/>
    <w:pPr>
      <w:spacing w:after="80" w:before="0" w:line="269" w:lineRule="auto"/>
    </w:pPr>
    <w:rPr>
      <w:rFonts w:ascii="Arial" w:cs="Arial" w:hAnsi="Arial"/>
      <w:sz w:val="19"/>
    </w:rPr>
  </w:style>
  <w:style w:customStyle="1" w:styleId="Compact" w:type="paragraph">
    <w:name w:val="Compact"/>
    <w:basedOn w:val="BodyText"/>
    <w:qFormat/>
    <w:pPr>
      <w:spacing w:after="80" w:before="0" w:line="269" w:lineRule="auto"/>
    </w:pPr>
    <w:rPr>
      <w:rFonts w:ascii="Arial" w:cs="Arial" w:hAnsi="Arial"/>
      <w:sz w:val="19"/>
    </w:rPr>
  </w:style>
  <w:style w:styleId="Title" w:type="paragraph">
    <w:name w:val="Title"/>
    <w:basedOn w:val="Normal"/>
    <w:next w:val="BodyText"/>
    <w:qFormat/>
    <w:pPr>
      <w:keepNext/>
      <w:keepLines/>
      <w:spacing w:after="80" w:before="160"/>
      <w:jc w:val="center"/>
    </w:pPr>
    <w:rPr>
      <w:rFonts w:ascii="Arial" w:cs="Arial" w:hAnsi="Arial"/>
      <w:b/>
      <w:bCs/>
      <w:i w:val="0"/>
      <w:color w:val="13213F"/>
      <w:sz w:val="44"/>
      <w:szCs w:val="36"/>
    </w:rPr>
  </w:style>
  <w:style w:styleId="Subtitle" w:type="paragraph">
    <w:name w:val="Subtitle"/>
    <w:basedOn w:val="Title"/>
    <w:next w:val="BodyText"/>
    <w:qFormat/>
    <w:pPr>
      <w:keepNext/>
      <w:keepLines/>
      <w:spacing w:after="80" w:before="160"/>
      <w:jc w:val="center"/>
    </w:pPr>
    <w:rPr>
      <w:rFonts w:ascii="Arial" w:cs="Arial" w:hAnsi="Arial"/>
      <w:b/>
      <w:i w:val="0"/>
      <w:color w:val="2A5CAA"/>
      <w:sz w:val="24"/>
      <w:szCs w:val="30"/>
    </w:rPr>
  </w:style>
  <w:style w:customStyle="1" w:styleId="Author" w:type="paragraph">
    <w:name w:val="Author"/>
    <w:next w:val="BodyText"/>
    <w:qFormat/>
    <w:pPr>
      <w:keepNext/>
      <w:keepLines/>
      <w:jc w:val="center"/>
    </w:pPr>
    <w:rPr>
      <w:rFonts w:ascii="Arial" w:cs="Arial" w:hAnsi="Arial"/>
      <w:sz w:val="18"/>
    </w:rPr>
  </w:style>
  <w:style w:styleId="Date" w:type="paragraph">
    <w:name w:val="Date"/>
    <w:next w:val="BodyText"/>
    <w:qFormat/>
    <w:pPr>
      <w:keepNext/>
      <w:keepLines/>
      <w:jc w:val="center"/>
    </w:pPr>
    <w:rPr>
      <w:rFonts w:ascii="Arial" w:cs="Arial" w:hAnsi="Arial"/>
      <w:sz w:val="18"/>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40"/>
      <w:outlineLvl w:val="0"/>
    </w:pPr>
    <w:rPr>
      <w:rFonts w:ascii="Arial" w:cs="Arial" w:hAnsi="Arial"/>
      <w:b/>
      <w:bCs/>
      <w:i w:val="0"/>
      <w:color w:val="13213F"/>
      <w:sz w:val="30"/>
      <w:szCs w:val="32"/>
    </w:rPr>
  </w:style>
  <w:style w:styleId="Heading2" w:type="paragraph">
    <w:name w:val="Heading 2"/>
    <w:basedOn w:val="Normal"/>
    <w:next w:val="BodyText"/>
    <w:uiPriority w:val="9"/>
    <w:unhideWhenUsed/>
    <w:qFormat/>
    <w:pPr>
      <w:keepNext/>
      <w:keepLines/>
      <w:spacing w:after="80" w:before="160"/>
      <w:outlineLvl w:val="1"/>
    </w:pPr>
    <w:rPr>
      <w:rFonts w:ascii="Arial" w:cs="Arial" w:hAnsi="Arial"/>
      <w:b/>
      <w:bCs/>
      <w:i w:val="0"/>
      <w:color w:val="2A5CAA"/>
      <w:sz w:val="24"/>
      <w:szCs w:val="28"/>
    </w:rPr>
  </w:style>
  <w:style w:styleId="Heading3" w:type="paragraph">
    <w:name w:val="Heading 3"/>
    <w:basedOn w:val="Normal"/>
    <w:next w:val="BodyText"/>
    <w:uiPriority w:val="9"/>
    <w:unhideWhenUsed/>
    <w:qFormat/>
    <w:pPr>
      <w:keepNext/>
      <w:keepLines/>
      <w:spacing w:after="80" w:before="160"/>
      <w:outlineLvl w:val="2"/>
    </w:pPr>
    <w:rPr>
      <w:rFonts w:ascii="Arial" w:cs="Arial" w:hAnsi="Arial"/>
      <w:b/>
      <w:bCs/>
      <w:i w:val="0"/>
      <w:color w:val="13213F"/>
      <w:sz w:val="21"/>
      <w:szCs w:val="24"/>
    </w:rPr>
  </w:style>
  <w:style w:styleId="Heading4" w:type="paragraph">
    <w:name w:val="Heading 4"/>
    <w:basedOn w:val="Normal"/>
    <w:next w:val="BodyText"/>
    <w:uiPriority w:val="9"/>
    <w:unhideWhenUsed/>
    <w:qFormat/>
    <w:pPr>
      <w:keepNext/>
      <w:keepLines/>
      <w:spacing w:after="80" w:before="160"/>
      <w:outlineLvl w:val="3"/>
    </w:pPr>
    <w:rPr>
      <w:rFonts w:ascii="Arial" w:cs="Arial" w:hAnsi="Arial"/>
      <w:i w:val="0"/>
      <w:b/>
      <w:bCs/>
      <w:color w:val="13213F"/>
      <w:sz w:val="20"/>
      <w:szCs w:val="24"/>
    </w:rPr>
  </w:style>
  <w:style w:styleId="Heading5" w:type="paragraph">
    <w:name w:val="Heading 5"/>
    <w:basedOn w:val="Normal"/>
    <w:next w:val="BodyText"/>
    <w:uiPriority w:val="9"/>
    <w:unhideWhenUsed/>
    <w:qFormat/>
    <w:pPr>
      <w:keepNext/>
      <w:keepLines/>
      <w:spacing w:after="0" w:before="200"/>
      <w:outlineLvl w:val="4"/>
    </w:pPr>
    <w:rPr>
      <w:rFonts w:ascii="Arial" w:cs="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Arial" w:cs="Arial" w:hAnsi="Arial"/>
      <w:i/>
      <w:color w:val="52514E"/>
      <w:sz w:val="16"/>
    </w:rPr>
  </w:style>
  <w:style w:customStyle="1" w:styleId="TableCaption" w:type="paragraph">
    <w:name w:val="Table Caption"/>
    <w:basedOn w:val="Caption"/>
    <w:pPr>
      <w:keepNext/>
    </w:pPr>
    <w:rPr>
      <w:rFonts w:ascii="Arial" w:cs="Arial" w:hAnsi="Arial"/>
      <w:i/>
      <w:color w:val="52514E"/>
      <w:sz w:val="16"/>
    </w:rPr>
  </w:style>
  <w:style w:customStyle="1" w:styleId="ImageCaption" w:type="paragraph">
    <w:name w:val="Image Caption"/>
    <w:basedOn w:val="Caption"/>
    <w:rPr>
      <w:rFonts w:ascii="Arial" w:cs="Arial" w:hAnsi="Arial"/>
      <w:i/>
      <w:color w:val="52514E"/>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hAnsi="Arial"/>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5" Type="http://schemas.openxmlformats.org/officeDocument/2006/relationships/image" Target="media/rId55.png"/><Relationship Id="rId72" Type="http://schemas.openxmlformats.org/officeDocument/2006/relationships/image" Target="media/rId72.png"/><Relationship Id="rId103" Type="http://schemas.openxmlformats.org/officeDocument/2006/relationships/image" Target="media/rId103.png"/><Relationship Id="rId40" Type="http://schemas.openxmlformats.org/officeDocument/2006/relationships/image" Target="media/rId40.png"/><Relationship Id="rId89" Type="http://schemas.openxmlformats.org/officeDocument/2006/relationships/image" Target="media/rId89.png"/><Relationship Id="rId78" Type="http://schemas.openxmlformats.org/officeDocument/2006/relationships/image" Target="media/rId78.png"/><Relationship Id="rId52" Type="http://schemas.openxmlformats.org/officeDocument/2006/relationships/image" Target="media/rId52.png"/><Relationship Id="rId49" Type="http://schemas.openxmlformats.org/officeDocument/2006/relationships/image" Target="media/rId49.png"/><Relationship Id="rId60" Type="http://schemas.openxmlformats.org/officeDocument/2006/relationships/image" Target="media/rId60.png"/><Relationship Id="rId46" Type="http://schemas.openxmlformats.org/officeDocument/2006/relationships/image" Target="media/rId46.png"/><Relationship Id="rId85" Type="http://schemas.openxmlformats.org/officeDocument/2006/relationships/image" Target="media/rId85.png"/><Relationship Id="rId82" Type="http://schemas.openxmlformats.org/officeDocument/2006/relationships/image" Target="media/rId82.png"/><Relationship Id="rId112" Type="http://schemas.openxmlformats.org/officeDocument/2006/relationships/image" Target="media/rId112.png"/><Relationship Id="rId65" Type="http://schemas.openxmlformats.org/officeDocument/2006/relationships/image" Target="media/rId65.png"/><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Halyk Bank (HSBK LI)</dc:title>
  <dc:creator>Event-Driven &amp; Special Situations | Equity Research</dc:creator>
  <cp:keywords/>
  <dcterms:created xsi:type="dcterms:W3CDTF">2026-10-23T18:00:44Z</dcterms:created>
  <dcterms:modified xsi:type="dcterms:W3CDTF">2026-10-23T18:00:44Z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23 October 2026 | Reference price US$33.30 per GDR (21-Oct-2026); KZT ~374 per share equivalent</vt:lpwstr>
  </property>
  <property fmtid="{D5CDD505-2E9C-101B-9397-08002B2CF9AE}" pid="3" name="subtitle">
    <vt:lpwstr>Institutional equity research: Kazakhstan’s dominant bank at 4.5x earnings and a 13% yield. 2026 is the earnings trough; the ALMEX lock-up expiry in late November is the entry point</vt:lpwstr>
  </property>
</Properties>
</file>