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30"/>
          <w:szCs w:val="30"/>
        </w:rPr>
        <w:t xml:space="preserve">Liontrust Asset Management (LIO LN) — Executive Compensation Review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55555"/>
          <w:sz w:val="17"/>
          <w:szCs w:val="17"/>
        </w:rPr>
        <w:t xml:space="preserve">Quantum &amp; structure vs. UK asset-manager peers  ·  Evaluation of the annual bonus and LTIP  ·  An engaged-shareholder (activist) assessment  ·  As at 23 July 2026</w:t>
      </w:r>
    </w:p>
    <w:tbl>
      <w:tblPr>
        <w:tblW w:type="dxa" w:w="10800"/>
        <w:tblBorders>
          <w:top w:val="single" w:color="D5E3DD" w:sz="2"/>
          <w:left w:val="single" w:color="1F7A5C" w:sz="24"/>
          <w:bottom w:val="single" w:color="D5E3DD" w:sz="2"/>
          <w:right w:val="single" w:color="D5E3DD" w:sz="2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DF6E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5C4A"/>
                <w:sz w:val="18"/>
                <w:szCs w:val="18"/>
              </w:rPr>
              <w:t xml:space="preserve">The subject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8"/>
                <w:szCs w:val="18"/>
              </w:rPr>
              <w:t xml:space="preserve">Liontrust Asset Management plc (LIO LN): London-listed active manager — UK/European equities, Sustainable Investment, multi-asset and (post-GAM) fixed income — led by CEO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8"/>
                <w:szCs w:val="18"/>
              </w:rPr>
              <w:t xml:space="preserve">John 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8"/>
                <w:szCs w:val="18"/>
              </w:rPr>
              <w:t xml:space="preserve"> (CEO since 2010) and joint CFO/COO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8"/>
                <w:szCs w:val="18"/>
              </w:rPr>
              <w:t xml:space="preserve">Vinay Abrol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8"/>
                <w:szCs w:val="18"/>
              </w:rPr>
              <w:t xml:space="preserve"> (with the group since 2004). The investment case has deteriorated sharply: assets and profits have roughly halved, and the shares are down heavily.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AuMA (FY-end 31 Mar):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£33.5bn (FY22) → 31.4 → 27.8 → 22.6 → £19.6bn (FY26).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Adj. PBT: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£67.4m (FY24) → £48.3m (FY25) → £30.5m (FY26, −37%).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Market cap ~£187m (mid-2026).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Persistent net outflows; GAM fund managers publicly called for a strategic review/sale (23 Mar 2026).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The thesis in five points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The pay framework is sized for a company Liontrust no longer is.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The policy maxima — CEO annual bonus up to 450% of salary plus an LTIP up to 350% (≈800% of salary of variable at maximum) — and the £584k base were benchmarked to "FTSE-250-level" comparators. Liontrust is now a ~£187m small-cap with £19.6bn AuMA and adjusted PBT of £30.5m. The CEO base alone exceeds every close-size peer (Polar, Premier Miton, Impax all ~£300–350k).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The structure does flex with performance — which both earns credit and hides the problem.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Realised CEO pay fell from a ~£6–7m, LTIP-driven peak (FY21/FY22) to ~£1.0m (FY24/FY25) as long-term awards lapsed. The plan is genuinely geared — good. But the ceilings and fixed pay were being raised while the franchise shrank, which is precisely why shareholders keep rebelling.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The annual bonus is opaque and largely discretionary.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Up to 450% of salary is awarded on a "holistic" assessment with no clearly disclosed metric weightings or scorecard. Full deferral of the bonus into three-year shares is a real strength; the absence of hard, published targets — above all any explicit net-flows goal — is a real weakness.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The LTIP under-weights the single most important driver: net flows.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40% absolute TSR (with only a FTSE-250 relative underpin), 30% diluted adjusted EPS, 30% three-/five-year fund performance vs IA-sector quartiles. The fund-performance leg is genuinely well-designed for an asset manager. But absolute TSR off a depressed base risks windfalls on any re-rating or takeover, and organic growth / net flows — the core value driver and Liontrust’s central problem — carry zero direct weight.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The governance signal is flashing red — making pay a credible engagement lever.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45.9% voted against the 2022 policy (ISS and Glass Lewis both against — the largest UK pay revolt that year); the 2024 policy "squeaked by"; 27.4% voted against the 2025 remuneration report. With GAM already agitating for a strategic review, remuneration is a live pressure point.</w:t>
      </w:r>
    </w:p>
    <w:p>
      <w:pPr>
        <w:keepNext/>
        <w:pBdr>
          <w:bottom w:val="single" w:color="D5E3DD" w:sz="6" w:space="3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1 ·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Quantum — pay against size and against peers</w:t>
      </w:r>
    </w:p>
    <w:p>
      <w:pPr>
        <w:spacing w:after="80" w:before="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Judged on absolute pounds, recent realised pay is not egregious: the CEO single figure has sat near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£1.0m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for FY24 and FY25 (salary £584k plus modest variable), well below the ~£6–7m of the FY21/FY22 peak. The problem is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relative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— both fixed pay and the maximum opportunity are calibrated to a business several times Liontrust’s current scale. Base salary is the highest of the close-size peer group, and the variable maxima sit just below Jupiter’s, a manager ~3× the AUM and ~4× the market value.</w:t>
      </w:r>
    </w:p>
    <w:tbl>
      <w:tblPr>
        <w:tblW w:type="dxa" w:w="10800"/>
        <w:tblBorders>
          <w:top w:val="single" w:color="D5E3DD" w:sz="2"/>
          <w:left w:val="single" w:color="D5E3DD" w:sz="2"/>
          <w:bottom w:val="single" w:color="D5E3DD" w:sz="2"/>
          <w:right w:val="single" w:color="D5E3DD" w:sz="2"/>
          <w:insideH w:val="single" w:color="D5E3DD" w:sz="2"/>
          <w:insideV w:val="single" w:color="D5E3DD" w:sz="2"/>
        </w:tblBorders>
      </w:tblPr>
      <w:tblGrid>
        <w:gridCol w:w="1950"/>
        <w:gridCol w:w="1450"/>
        <w:gridCol w:w="1750"/>
        <w:gridCol w:w="1350"/>
        <w:gridCol w:w="1250"/>
        <w:gridCol w:w="3050"/>
      </w:tblGrid>
      <w:tr>
        <w:trPr>
          <w:tblHeader/>
        </w:trPr>
        <w:tc>
          <w:tcPr>
            <w:tcW w:type="dxa" w:w="1950"/>
            <w:shd w:fill="0F5C4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Manager (FY end)</w:t>
            </w:r>
          </w:p>
        </w:tc>
        <w:tc>
          <w:tcPr>
            <w:tcW w:type="dxa" w:w="1450"/>
            <w:shd w:fill="0F5C4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AUM/AuMA</w:t>
            </w:r>
          </w:p>
        </w:tc>
        <w:tc>
          <w:tcPr>
            <w:tcW w:type="dxa" w:w="1750"/>
            <w:shd w:fill="0F5C4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Adj. profit</w:t>
            </w:r>
          </w:p>
        </w:tc>
        <w:tc>
          <w:tcPr>
            <w:tcW w:type="dxa" w:w="1350"/>
            <w:shd w:fill="0F5C4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Mkt cap</w:t>
            </w:r>
          </w:p>
        </w:tc>
        <w:tc>
          <w:tcPr>
            <w:tcW w:type="dxa" w:w="1250"/>
            <w:shd w:fill="0F5C4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CEO base</w:t>
            </w:r>
          </w:p>
        </w:tc>
        <w:tc>
          <w:tcPr>
            <w:tcW w:type="dxa" w:w="3050"/>
            <w:shd w:fill="0F5C4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CEO single figure (latest FY)</w:t>
            </w:r>
          </w:p>
        </w:tc>
      </w:tr>
      <w:tr>
        <w:tc>
          <w:tcPr>
            <w:tcW w:type="dxa" w:w="19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Liontrust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(Mar-26)</w:t>
            </w:r>
          </w:p>
        </w:tc>
        <w:tc>
          <w:tcPr>
            <w:tcW w:type="dxa" w:w="1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£19.6bn</w:t>
            </w:r>
          </w:p>
        </w:tc>
        <w:tc>
          <w:tcPr>
            <w:tcW w:type="dxa" w:w="17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£30.5m PBT</w:t>
            </w:r>
          </w:p>
        </w:tc>
        <w:tc>
          <w:tcPr>
            <w:tcW w:type="dxa" w:w="13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~£187m</w:t>
            </w:r>
          </w:p>
        </w:tc>
        <w:tc>
          <w:tcPr>
            <w:tcW w:type="dxa" w:w="12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£584k</w:t>
            </w:r>
          </w:p>
        </w:tc>
        <w:tc>
          <w:tcPr>
            <w:tcW w:type="dxa" w:w="30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~£1.0m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(FY25); FY26 not yet disclosed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Polar Capital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(Mar-25)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£21.4bn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£56.7m core op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~£0.5bn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~£350k*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n/d (bonus +82% YoY)</w:t>
            </w:r>
          </w:p>
        </w:tc>
      </w:tr>
      <w:tr>
        <w:tc>
          <w:tcPr>
            <w:tcW w:type="dxa" w:w="19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Premier Miton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(Sep-24)</w:t>
            </w:r>
          </w:p>
        </w:tc>
        <w:tc>
          <w:tcPr>
            <w:tcW w:type="dxa" w:w="1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£10.7bn</w:t>
            </w:r>
          </w:p>
        </w:tc>
        <w:tc>
          <w:tcPr>
            <w:tcW w:type="dxa" w:w="17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£12.2m PBT</w:t>
            </w:r>
          </w:p>
        </w:tc>
        <w:tc>
          <w:tcPr>
            <w:tcW w:type="dxa" w:w="13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~£0.1bn</w:t>
            </w:r>
          </w:p>
        </w:tc>
        <w:tc>
          <w:tcPr>
            <w:tcW w:type="dxa" w:w="12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~£350k</w:t>
            </w:r>
          </w:p>
        </w:tc>
        <w:tc>
          <w:tcPr>
            <w:tcW w:type="dxa" w:w="30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~£0.92m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Jupiter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(Dec-25)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£54.0bn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£138.3m PBT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~£0.8bn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£484k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£2.9m</w:t>
            </w:r>
          </w:p>
        </w:tc>
      </w:tr>
      <w:tr>
        <w:tc>
          <w:tcPr>
            <w:tcW w:type="dxa" w:w="19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Impax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(Sep-24)</w:t>
            </w:r>
          </w:p>
        </w:tc>
        <w:tc>
          <w:tcPr>
            <w:tcW w:type="dxa" w:w="1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£37.2bn</w:t>
            </w:r>
          </w:p>
        </w:tc>
        <w:tc>
          <w:tcPr>
            <w:tcW w:type="dxa" w:w="17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£52.7m op</w:t>
            </w:r>
          </w:p>
        </w:tc>
        <w:tc>
          <w:tcPr>
            <w:tcW w:type="dxa" w:w="13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~£0.35bn</w:t>
            </w:r>
          </w:p>
        </w:tc>
        <w:tc>
          <w:tcPr>
            <w:tcW w:type="dxa" w:w="12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£300k</w:t>
            </w:r>
          </w:p>
        </w:tc>
        <w:tc>
          <w:tcPr>
            <w:tcW w:type="dxa" w:w="30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~£1.0m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Ashmore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(Jun-24)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$49.3bn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£128.1m PBT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~£1.1bn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salary-led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~£0.23m (minimal variable)</w:t>
            </w:r>
          </w:p>
        </w:tc>
      </w:tr>
      <w:tr>
        <w:tc>
          <w:tcPr>
            <w:tcW w:type="dxa" w:w="19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Schroders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(Dec-24)</w:t>
            </w:r>
          </w:p>
        </w:tc>
        <w:tc>
          <w:tcPr>
            <w:tcW w:type="dxa" w:w="1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£779bn</w:t>
            </w:r>
          </w:p>
        </w:tc>
        <w:tc>
          <w:tcPr>
            <w:tcW w:type="dxa" w:w="17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£558m PBT</w:t>
            </w:r>
          </w:p>
        </w:tc>
        <w:tc>
          <w:tcPr>
            <w:tcW w:type="dxa" w:w="13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~£5–6bn</w:t>
            </w:r>
          </w:p>
        </w:tc>
        <w:tc>
          <w:tcPr>
            <w:tcW w:type="dxa" w:w="12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cap-based</w:t>
            </w:r>
          </w:p>
        </w:tc>
        <w:tc>
          <w:tcPr>
            <w:tcW w:type="dxa" w:w="30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~£6.3m*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 Group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(Dec-24)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$168.6bn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$473m PBT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~£2.5–3bn</w:t>
            </w:r>
          </w:p>
        </w:tc>
        <w:tc>
          <w:tcPr>
            <w:tcW w:type="dxa" w:w="12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~$1.0m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~$3.2m+* (understated)</w:t>
            </w:r>
          </w:p>
        </w:tc>
      </w:tr>
    </w:tbl>
    <w:p>
      <w:pPr>
        <w:spacing w:after="60" w:before="0" w:line="252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55555"/>
          <w:sz w:val="15"/>
          <w:szCs w:val="15"/>
        </w:rPr>
        <w:t xml:space="preserve">*Aggregator-derived or historic; single figures marked * may understate the audited figure (which includes vested LTIP). Sources listed at foot.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6"/>
          <w:szCs w:val="16"/>
        </w:rPr>
        <w:t xml:space="preserve">Read-through: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Liontrust’s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6"/>
          <w:szCs w:val="16"/>
        </w:rPr>
        <w:t xml:space="preserve">fixed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pay and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6"/>
          <w:szCs w:val="16"/>
        </w:rPr>
        <w:t xml:space="preserve">maximum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variable opportunity are anchored to mid-cap peers (Jupiter-like), while its market value (~£187m) and profitability now sit at the bottom of the group. The gearing has pulled realised pay down; the anchor has not moved.</w:t>
      </w:r>
    </w:p>
    <w:p>
      <w:pPr>
        <w:keepNext/>
        <w:pBdr>
          <w:bottom w:val="single" w:color="D5E3DD" w:sz="6" w:space="3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2 ·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Structure — the pay architecture vs. peer practice</w:t>
      </w:r>
    </w:p>
    <w:tbl>
      <w:tblPr>
        <w:tblW w:type="dxa" w:w="10800"/>
        <w:tblBorders>
          <w:top w:val="single" w:color="D5E3DD" w:sz="2"/>
          <w:left w:val="single" w:color="D5E3DD" w:sz="2"/>
          <w:bottom w:val="single" w:color="D5E3DD" w:sz="2"/>
          <w:right w:val="single" w:color="D5E3DD" w:sz="2"/>
          <w:insideH w:val="single" w:color="D5E3DD" w:sz="2"/>
          <w:insideV w:val="single" w:color="D5E3DD" w:sz="2"/>
        </w:tblBorders>
      </w:tblPr>
      <w:tblGrid>
        <w:gridCol w:w="1900"/>
        <w:gridCol w:w="4450"/>
        <w:gridCol w:w="4450"/>
      </w:tblGrid>
      <w:tr>
        <w:trPr>
          <w:tblHeader/>
        </w:trPr>
        <w:tc>
          <w:tcPr>
            <w:tcW w:type="dxa" w:w="1900"/>
            <w:shd w:fill="0F5C4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4450"/>
            <w:shd w:fill="0F5C4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Liontrust (LIO LN)</w:t>
            </w:r>
          </w:p>
        </w:tc>
        <w:tc>
          <w:tcPr>
            <w:tcW w:type="dxa" w:w="4450"/>
            <w:shd w:fill="0F5C4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Close-peer practice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Base salary</w:t>
            </w:r>
          </w:p>
        </w:tc>
        <w:tc>
          <w:tcPr>
            <w:tcW w:type="dxa" w:w="4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CEO £584k;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CFO/COO ~£420k. Raised through the downturn (CEO £348k → £550k → £584k).</w:t>
            </w:r>
          </w:p>
        </w:tc>
        <w:tc>
          <w:tcPr>
            <w:tcW w:type="dxa" w:w="4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Polar / Premier Miton / Impax ~£300–350k; Jupiter £484k. Liontrust sits above all close peers.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Annual bonus — max</w:t>
            </w:r>
          </w:p>
        </w:tc>
        <w:tc>
          <w:tcPr>
            <w:tcW w:type="dxa" w:w="4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450% of salary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(CEO); 350% (CFO/COO). Full payout reserved for "exceptional holistic performance."</w:t>
            </w:r>
          </w:p>
        </w:tc>
        <w:tc>
          <w:tcPr>
            <w:tcW w:type="dxa" w:w="4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Jupiter 425% max; smaller peers materially lower. Ashmore caps aggregate exec variable at £20m firm-wide.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Bonus — metrics</w:t>
            </w:r>
          </w:p>
        </w:tc>
        <w:tc>
          <w:tcPr>
            <w:tcW w:type="dxa" w:w="4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"Holistic" financial + strategic/personal assessment;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weightings not disclosed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.</w:t>
            </w:r>
          </w:p>
        </w:tc>
        <w:tc>
          <w:tcPr>
            <w:tcW w:type="dxa" w:w="4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Peers increasingly publish a fixed scorecard (financial %, flows %, strategic %) with capped discretion.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Bonus — deferral</w:t>
            </w:r>
          </w:p>
        </w:tc>
        <w:tc>
          <w:tcPr>
            <w:tcW w:type="dxa" w:w="4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Entire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6534"/>
                <w:sz w:val="16"/>
                <w:szCs w:val="16"/>
              </w:rPr>
              <w:t xml:space="preserve">bonus deferred into nil-cost options (Deferred Bonus &amp; Variable Allocation Plan), 3-yr vesting.</w:t>
            </w:r>
          </w:p>
        </w:tc>
        <w:tc>
          <w:tcPr>
            <w:tcW w:type="dxa" w:w="4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Typically ~50% deferred for 3 yrs. Liontrust’s 100% deferral is best-in-class alignment.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LTIP — max</w:t>
            </w:r>
          </w:p>
        </w:tc>
        <w:tc>
          <w:tcPr>
            <w:tcW w:type="dxa" w:w="4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350% of salary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(CEO); 250% (CFO/COO). Recent grants cut ~15% by discretion (CEO to 297.5%); threshold vesting cut to 10%.</w:t>
            </w:r>
          </w:p>
        </w:tc>
        <w:tc>
          <w:tcPr>
            <w:tcW w:type="dxa" w:w="4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Jupiter 375% max. The routine discretionary haircuts suggest the policy ceiling is set too rich for current scale.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LTIP — metrics</w:t>
            </w:r>
          </w:p>
        </w:tc>
        <w:tc>
          <w:tcPr>
            <w:tcW w:type="dxa" w:w="4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40% absolute TSR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(FTSE-250 relative underpin, ±10%);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30% diluted adj. EPS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(ex-perf fees);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30% investment performance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(3-/5-yr funds vs IA quartiles).</w:t>
            </w:r>
          </w:p>
        </w:tc>
        <w:tc>
          <w:tcPr>
            <w:tcW w:type="dxa" w:w="4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Peers weight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A1A1A"/>
                <w:sz w:val="16"/>
                <w:szCs w:val="16"/>
              </w:rPr>
              <w:t xml:space="preserve">relative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TSR and, increasingly,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net flows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. Liontrust omits any flows metric.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LTIP — vesting / holding</w:t>
            </w:r>
          </w:p>
        </w:tc>
        <w:tc>
          <w:tcPr>
            <w:tcW w:type="dxa" w:w="4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3-yr performance period + compulsory 2-yr post-vest holding. Malus &amp; clawback apply.</w:t>
            </w:r>
          </w:p>
        </w:tc>
        <w:tc>
          <w:tcPr>
            <w:tcW w:type="dxa" w:w="4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3-yr + 2-yr holding is now market standard; Liontrust is in line here.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Shareholding req.</w:t>
            </w:r>
          </w:p>
        </w:tc>
        <w:tc>
          <w:tcPr>
            <w:tcW w:type="dxa" w:w="4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Reported ~3× salary (within 6 yrs);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45309"/>
                <w:sz w:val="16"/>
                <w:szCs w:val="16"/>
              </w:rPr>
              <w:t xml:space="preserve">post-employment requirement not clearly disclosed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.</w:t>
            </w:r>
          </w:p>
        </w:tc>
        <w:tc>
          <w:tcPr>
            <w:tcW w:type="dxa" w:w="4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Best practice = 2× post-employment requirement for ≥2 yrs; peers with founder-owners (Impax, Ashmore) far exceed via direct stakes.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Distinctive AM feature</w:t>
            </w:r>
          </w:p>
        </w:tc>
        <w:tc>
          <w:tcPr>
            <w:tcW w:type="dxa" w:w="4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All-employee SAYE + SIP; no disclosed group-level fund-manager profit-share pool at the executive-director level.</w:t>
            </w:r>
          </w:p>
        </w:tc>
        <w:tc>
          <w:tcPr>
            <w:tcW w:type="dxa" w:w="4450"/>
            <w:shd w:fill="EAF3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Polar = explicit strategy-level profit share; Impax/Man = bonus deferred into own funds (co-investment). Liontrust lacks a comparable "eat-your-own-cooking" fund vehicle for EDs.</w:t>
            </w:r>
          </w:p>
        </w:tc>
      </w:tr>
    </w:tbl>
    <w:p>
      <w:pPr>
        <w:keepNext/>
        <w:pBdr>
          <w:bottom w:val="single" w:color="D5E3DD" w:sz="6" w:space="3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3 ·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The annual bonus — is it well-structured and properly incentivising?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6534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6534"/>
          <w:sz w:val="18"/>
          <w:szCs w:val="18"/>
        </w:rPr>
        <w:t xml:space="preserve">Strength — full deferral.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Deferring 100% of the bonus into three-year nil-cost options is genuinely strong alignment, ahead of the ~50% typical among peers. It converts "bonus" into a de facto multi-year, share-price-linked award and enables malus. Keep this.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Weakness — opacity and discretion.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A maximum of 450% of salary decided on a "holistic" basis, with no published metric weightings, is close to a discretionary pool. Shareholders cannot see what behaviour is being paid for, and the Committee retains wide latitude to pay through a downturn. This is the single biggest driver of the say-on-pay dissent.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Weakness — no explicit flows target.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For an active manager bleeding assets, the bonus should visibly reward stemming and reversing net outflows and defending margin — not just a holistic read of profit. As structured, an executive can score well on "strategic" delivery while AuMA keeps falling.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Quantum — the ceiling is mis-set.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A 450% cap belongs to a mid-cap growth story, not a sub-£200m-cap manager in contraction. The Committee’s repeated need to apply discretionary reductions confirms the framework is calibrated too high.</w:t>
      </w:r>
    </w:p>
    <w:p>
      <w:pPr>
        <w:keepNext/>
        <w:pBdr>
          <w:bottom w:val="single" w:color="D5E3DD" w:sz="6" w:space="3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4 ·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The LTIP — is it well-structured and properly incentivising?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6534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6534"/>
          <w:sz w:val="18"/>
          <w:szCs w:val="18"/>
        </w:rPr>
        <w:t xml:space="preserve">Strength — the investment-performance leg (30%).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Measuring three-/five-year fund performance against IA-sector quartiles directly ties reward to the product shareholders actually sell. This is the best-designed part of the plan and should be retained, arguably up-weighted.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6534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6534"/>
          <w:sz w:val="18"/>
          <w:szCs w:val="18"/>
        </w:rPr>
        <w:t xml:space="preserve">Strength — horizon and holding.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3-yr performance plus a 2-yr post-vest holding period, with malus/clawback, is aligned with best practice and lengthens the effective ownership horizon to five years.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Weakness — absolute TSR (40%) invites windfalls.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From a depressed ~£187m valuation, a sector re-rating, a market recovery, or a bid (GAM is pushing for a sale) could deliver large absolute-TSR payouts unrelated to management skill. A FTSE-250 underpin worth only ±10% of the award is a weak guard. Relative TSR against an asset-manager peer basket would be far more defensible.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8"/>
          <w:szCs w:val="18"/>
        </w:rPr>
        <w:t xml:space="preserve">Weakness — no flows / organic-growth metric.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The plan rewards profit (EPS), share price (TSR) and fund performance, but not the retention and gathering of assets that ultimately drive all three. Adding a net-flows or AuMA-retention condition would target the company’s defining problem.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Net assessment.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The LTIP is roughly half well-designed (fund performance, horizon, holding) and half mis-aimed (absolute TSR, no flows). It incentivises surviving and re-rating more than it incentivises fixing the outflow problem — a poor fit for the situation the company is in.</w:t>
      </w:r>
    </w:p>
    <w:p>
      <w:pPr>
        <w:keepNext/>
        <w:pBdr>
          <w:bottom w:val="single" w:color="D5E3DD" w:sz="6" w:space="3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5 ·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Governance &amp; shareholder sentiment — a standing red flag</w:t>
      </w:r>
    </w:p>
    <w:p>
      <w:pPr>
        <w:spacing w:after="80" w:before="0" w:line="25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7"/>
          <w:szCs w:val="17"/>
        </w:rPr>
        <w:t xml:space="preserve">2022 policy: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7"/>
          <w:szCs w:val="17"/>
        </w:rPr>
        <w:t xml:space="preserve">~54.1% for / 45.9% against; ISS and Glass Lewis both recommended against — reported as the largest UK pay revolt of the year, accompanying a +58% CEO salary rise.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7"/>
          <w:szCs w:val="17"/>
        </w:rPr>
        <w:t xml:space="preserve">2024 policy: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7"/>
          <w:szCs w:val="17"/>
        </w:rPr>
        <w:t xml:space="preserve">renewed but "squeaked by" (exact split not disclosed in accessible sources); this lifted maxima to the current 450%/350% bonus and 350%/250% LTIP.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7"/>
          <w:szCs w:val="17"/>
        </w:rPr>
        <w:t xml:space="preserve">2025 report: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7"/>
          <w:szCs w:val="17"/>
        </w:rPr>
        <w:t xml:space="preserve">72.6% for / 27.4% against — dissent reduced but still well above the 20% "significant" threshold that requires a formal response.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7"/>
          <w:szCs w:val="17"/>
        </w:rPr>
        <w:t xml:space="preserve">Overlay: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B45309"/>
          <w:sz w:val="17"/>
          <w:szCs w:val="17"/>
        </w:rPr>
        <w:t xml:space="preserve">GAM Alternatives managers (Mar 2026) publicly urged a strategic review, arguing cumulative executive pay is large relative to the depressed market value. Pay is now entangled with the strategic-review debate.</w:t>
      </w:r>
    </w:p>
    <w:p>
      <w:pPr>
        <w:keepNext/>
        <w:pBdr>
          <w:bottom w:val="single" w:color="D5E3DD" w:sz="6" w:space="3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6 ·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Activist assessment &amp; engagement agenda</w:t>
      </w:r>
    </w:p>
    <w:p>
      <w:pPr>
        <w:spacing w:after="80" w:before="0" w:line="25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Verdict: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quantum framework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and 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bonus/LTIP metric 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are mis-calibrated to Liontrust’s diminished scale and to its actual problem (outflows). Deferral, horizon and the fund-performance metric are good and should be preserved. The following is a proportionate, value-accretive engagement ask — not a demand to slash pay for its own sake.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1. Re-anchor quantum to current scale.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Reset the comparator group away from the FTSE 250 to similar-scale UK active managers (Polar, Premier Miton, Impax). Freeze or trim base salaries and lower the bonus/LTIP maxima so max total variable is materially below the current ~800% of salary.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2. Publish a hard bonus scorecard.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Replace the "holistic" bonus with disclosed weightings — a meaningful financial gate, an explicit net-flows / AuMA-retention component, and capped strategic/personal objectives — with the outcome grid published ex post.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3. Fix the LTIP aim.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Cut or remove the absolute-TSR weighting in favour of relative TSR vs an asset-manager peer basket; add a net-flows / organic-growth condition; consider up-weighting the investment-performance leg. Retain the 3+2-yr structure.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4. Protect against change-of-control windfalls.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Given the live sale/strategic-review pressure, ensure LTIP/bonus vesting on a change of control is time-pro-rated and performance-tested, so a bid does not crystallise outsized absolute-TSR gains from a depressed base.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5. Strengthen ownership and clawback.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Introduce/disclose a clear post-employment shareholding requirement (e.g. 2× for two years) and widen clawback triggers to include sustained net outflows or investment-performance failure.</w:t>
      </w:r>
    </w:p>
    <w:p>
      <w:pPr>
        <w:spacing w:after="100" w:line="252"/>
        <w:ind w:left="130" w:hanging="13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6534"/>
          <w:sz w:val="18"/>
          <w:szCs w:val="18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6534"/>
          <w:sz w:val="18"/>
          <w:szCs w:val="18"/>
        </w:rPr>
        <w:t xml:space="preserve">6. Use the votes.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Sustained 25–46% dissent, ISS/Glass Lewis history and the GAM campaign make the RemCo chair and the next policy vote (triennial) natural pressure points for an engaged holder.</w:t>
      </w:r>
    </w:p>
    <w:p>
      <w:pPr>
        <w:keepNext/>
        <w:pBdr>
          <w:bottom w:val="single" w:color="D5E3DD" w:sz="6" w:space="3"/>
        </w:pBd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5C4A"/>
          <w:sz w:val="21"/>
          <w:szCs w:val="21"/>
        </w:rPr>
        <w:t xml:space="preserve">Caveats &amp; sources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45309"/>
          <w:sz w:val="15"/>
          <w:szCs w:val="15"/>
        </w:rPr>
        <w:t xml:space="preserve">Sourcing constraint: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55555"/>
          <w:sz w:val="15"/>
          <w:szCs w:val="15"/>
        </w:rPr>
        <w:t xml:space="preserve">the audited Directors’ Remuneration Report PDFs (Liontrust CDN) and RNS/news pages were not directly retrievable in this environment; figures are drawn from search-surfaced summaries of those filings and reputable secondary sources, and should be confirmed against the FY2026 Annual Report before any action. Unverified items are flagged in-text: FY2026 audited single figures and full salary/benefits/pension/bonus/LTIP splits for both directors; Abrol’s current single figures; exact bonus metric weightings; the precise 2024 vote split; and post-employment shareholding terms. Peer figures are latest-available fiscal years and mix audited and aggregator data. </w:t>
      </w:r>
    </w:p>
    <w:p>
      <w:pPr>
        <w:spacing w:after="0" w:before="0" w:line="25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5"/>
          <w:szCs w:val="15"/>
        </w:rPr>
        <w:t xml:space="preserve">Sources: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55555"/>
          <w:sz w:val="15"/>
          <w:szCs w:val="15"/>
        </w:rPr>
        <w:t xml:space="preserve">Liontrust FY2026 Annual Financial Report (RNS, 24 Jun 2026, via Investegate/TradingView/Reuters) and IR annual-report page; Money Marketing &amp; Investing.com FY2026 results coverage; TipRanks (LTIP reduction; bonus deferral RNS); Simply Wall St (CEO pay history &amp; salary); Citywire (FY21 "£6.2m" peak; 2024 "skin of its teeth" vote); CityAM &amp; LexisNexis (2022 policy revolt, ISS/Glass Lewis); Portfolio Adviser / Investment Week (2024 policy vote); MarketScreener (2025 AGM results, 72.57% for); GlobeNewswire/GAM (23 Mar 2026 strategic-review call). Peers: FY results/DRR summaries for Jupiter, Polar Capital, Premier Miton, Impax, Ashmore, Schroders and Man Group (company RNS, Investegate, Citywire, TipRanks, Simply Wall St). </w:t>
      </w:r>
    </w:p>
    <w:sectPr>
      <w:pgSz w:w="12240" w:h="15840" w:orient="portrait"/>
      <w:pgMar w:top="72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Liontrust Asset Management — Executive Compensation Review</dc:title>
  <dc:creator>RF-Stuff</dc:creator>
  <cp:lastModifiedBy>Un-named</cp:lastModifiedBy>
  <cp:revision>1</cp:revision>
  <dcterms:created xsi:type="dcterms:W3CDTF">2026-07-23T12:39:37.573Z</dcterms:created>
  <dcterms:modified xsi:type="dcterms:W3CDTF">2026-07-23T12:39:37.574Z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