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2D6CCB"/>
          <w:sz w:val="20"/>
        </w:rPr>
        <w:t>INITIATION  |  EVENT-DRIVEN / SPECIAL SITUATIONS  |  KOREA TELECOMS</w:t>
      </w:r>
    </w:p>
    <w:p>
      <w:r>
        <w:rPr>
          <w:b/>
          <w:i w:val="0"/>
          <w:color w:val="13223F"/>
          <w:sz w:val="52"/>
        </w:rPr>
        <w:t>SK Telecom Co., Ltd.</w:t>
      </w:r>
    </w:p>
    <w:p>
      <w:r>
        <w:rPr>
          <w:b w:val="0"/>
          <w:i w:val="0"/>
          <w:color w:val="5B6475"/>
          <w:sz w:val="26"/>
        </w:rPr>
        <w:t>KRX: 017670  |  NYSE: SKM  -  A 4x-EBITDA telco wrapped around an Anthropic call option</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color="auto" w:fill="EEF1F6"/>
          </w:tcPr>
          <w:p>
            <w:r>
              <w:rPr>
                <w:b/>
                <w:i w:val="0"/>
                <w:color w:val="5B6475"/>
                <w:sz w:val="16"/>
              </w:rPr>
              <w:t>Rating</w:t>
            </w:r>
          </w:p>
        </w:tc>
        <w:tc>
          <w:tcPr>
            <w:tcW w:type="dxa" w:w="2040"/>
            <w:shd w:val="clear" w:color="auto" w:fill="EEF1F6"/>
          </w:tcPr>
          <w:p>
            <w:r>
              <w:rPr>
                <w:b/>
                <w:i w:val="0"/>
                <w:color w:val="5B6475"/>
                <w:sz w:val="16"/>
              </w:rPr>
              <w:t>12-m target</w:t>
            </w:r>
          </w:p>
        </w:tc>
        <w:tc>
          <w:tcPr>
            <w:tcW w:type="dxa" w:w="2040"/>
            <w:shd w:val="clear" w:color="auto" w:fill="EEF1F6"/>
          </w:tcPr>
          <w:p>
            <w:r>
              <w:rPr>
                <w:b/>
                <w:i w:val="0"/>
                <w:color w:val="5B6475"/>
                <w:sz w:val="16"/>
              </w:rPr>
              <w:t>Upside</w:t>
            </w:r>
          </w:p>
        </w:tc>
        <w:tc>
          <w:tcPr>
            <w:tcW w:type="dxa" w:w="2040"/>
            <w:shd w:val="clear" w:color="auto" w:fill="EEF1F6"/>
          </w:tcPr>
          <w:p>
            <w:r>
              <w:rPr>
                <w:b/>
                <w:i w:val="0"/>
                <w:color w:val="5B6475"/>
                <w:sz w:val="16"/>
              </w:rPr>
              <w:t>Price (29-Sep-26)</w:t>
            </w:r>
          </w:p>
        </w:tc>
        <w:tc>
          <w:tcPr>
            <w:tcW w:type="dxa" w:w="2040"/>
            <w:shd w:val="clear" w:color="auto" w:fill="EEF1F6"/>
          </w:tcPr>
          <w:p>
            <w:r>
              <w:rPr>
                <w:b/>
                <w:i w:val="0"/>
                <w:color w:val="5B6475"/>
                <w:sz w:val="16"/>
              </w:rPr>
              <w:t>Mkt cap</w:t>
            </w:r>
          </w:p>
        </w:tc>
      </w:tr>
      <w:tr>
        <w:tc>
          <w:tcPr>
            <w:tcW w:type="dxa" w:w="2040"/>
            <w:shd w:val="clear" w:color="auto" w:fill="EEF1F6"/>
          </w:tcPr>
          <w:p>
            <w:r>
              <w:rPr>
                <w:b/>
                <w:i w:val="0"/>
                <w:color w:val="13223F"/>
                <w:sz w:val="24"/>
              </w:rPr>
              <w:t>BUY</w:t>
            </w:r>
          </w:p>
        </w:tc>
        <w:tc>
          <w:tcPr>
            <w:tcW w:type="dxa" w:w="2040"/>
            <w:shd w:val="clear" w:color="auto" w:fill="EEF1F6"/>
          </w:tcPr>
          <w:p>
            <w:r>
              <w:rPr>
                <w:b/>
                <w:i w:val="0"/>
                <w:color w:val="13223F"/>
                <w:sz w:val="24"/>
              </w:rPr>
              <w:t>KRW 105,000</w:t>
            </w:r>
          </w:p>
        </w:tc>
        <w:tc>
          <w:tcPr>
            <w:tcW w:type="dxa" w:w="2040"/>
            <w:shd w:val="clear" w:color="auto" w:fill="EEF1F6"/>
          </w:tcPr>
          <w:p>
            <w:r>
              <w:rPr>
                <w:b/>
                <w:i w:val="0"/>
                <w:color w:val="13223F"/>
                <w:sz w:val="24"/>
              </w:rPr>
              <w:t>+22%</w:t>
            </w:r>
          </w:p>
        </w:tc>
        <w:tc>
          <w:tcPr>
            <w:tcW w:type="dxa" w:w="2040"/>
            <w:shd w:val="clear" w:color="auto" w:fill="EEF1F6"/>
          </w:tcPr>
          <w:p>
            <w:r>
              <w:rPr>
                <w:b/>
                <w:i w:val="0"/>
                <w:color w:val="13223F"/>
                <w:sz w:val="24"/>
              </w:rPr>
              <w:t>KRW 86,200</w:t>
            </w:r>
          </w:p>
        </w:tc>
        <w:tc>
          <w:tcPr>
            <w:tcW w:type="dxa" w:w="2040"/>
            <w:shd w:val="clear" w:color="auto" w:fill="EEF1F6"/>
          </w:tcPr>
          <w:p>
            <w:r>
              <w:rPr>
                <w:b/>
                <w:i w:val="0"/>
                <w:color w:val="13223F"/>
                <w:sz w:val="24"/>
              </w:rPr>
              <w:t>KRW 18.5tn / US$13.6bn</w:t>
            </w:r>
          </w:p>
        </w:tc>
      </w:tr>
    </w:tbl>
    <w:p>
      <w:r>
        <w:rPr>
          <w:b/>
          <w:i w:val="0"/>
          <w:sz w:val="20"/>
        </w:rPr>
        <w:t>Thesis:</w:t>
      </w:r>
      <w:r>
        <w:rPr>
          <w:b w:val="0"/>
          <w:i w:val="0"/>
          <w:sz w:val="20"/>
        </w:rPr>
        <w:t xml:space="preserve"> post-breach earnings normalisation is done (2Q26 OP +67% y/y, KRW 830 quarterly DPS restored); the market is now paying ~4.0x EBITDA for the core telco once Anthropic (3.86m shares, KRW 3.5tn book) and other stakes are stripped out, while two hard catalysts - the Anthropic IPO (reported for Nov-26) and the KRW 3.08tn SK Horizon AI-DC sale to KKR/IMM (close 1Q27) - crystallise value.</w:t>
      </w:r>
    </w:p>
    <w:p>
      <w:r>
        <w:rPr>
          <w:b/>
          <w:i w:val="0"/>
          <w:sz w:val="20"/>
        </w:rPr>
        <w:t>Key risks:</w:t>
      </w:r>
      <w:r>
        <w:rPr>
          <w:b w:val="0"/>
          <w:i w:val="0"/>
          <w:sz w:val="20"/>
        </w:rPr>
        <w:t xml:space="preserve"> SK Hyper GW-scale AI-DC capital intensity, BoK hiking cycle (3.00%), tariff pressure, Anthropic IPO slippage, SK Group governance.</w:t>
      </w:r>
    </w:p>
    <w:p>
      <w:r>
        <w:rPr>
          <w:b w:val="0"/>
          <w:i w:val="0"/>
          <w:color w:val="5B6475"/>
          <w:sz w:val="17"/>
        </w:rPr>
        <w:t>Equity Research  |  Report date 29 September 2026  |  Prices as of 29-Sep-2026 close (indicative)</w:t>
      </w:r>
    </w:p>
    <w:p>
      <w:r>
        <w:br w:type="page"/>
      </w:r>
    </w:p>
    <w:p>
      <w:pPr>
        <w:pStyle w:val="Heading1"/>
      </w:pPr>
      <w:r>
        <w:rPr>
          <w:b/>
          <w:i w:val="0"/>
          <w:color w:val="13223F"/>
          <w:sz w:val="32"/>
        </w:rPr>
        <w:t>Important notes on data and sourcing</w:t>
      </w:r>
    </w:p>
    <w:p>
      <w:pPr>
        <w:spacing w:after="80"/>
      </w:pPr>
      <w:r>
        <w:rPr>
          <w:b w:val="0"/>
          <w:i w:val="0"/>
        </w:rPr>
        <w:t>This report was compiled on 29 September 2026. Primary filings (DART, SEC EDGAR 20-F/6-K, SKT IR PDFs) could not be opened directly from the research environment; figures were gathered from press, company newsroom and broker summaries via search. We tag data quality as follows:</w:t>
      </w:r>
    </w:p>
    <w:p>
      <w:pPr>
        <w:pStyle w:val="ListBullet"/>
        <w:spacing w:after="20"/>
      </w:pPr>
      <w:r>
        <w:rPr>
          <w:b/>
          <w:i w:val="0"/>
        </w:rPr>
        <w:t>Unmarked</w:t>
      </w:r>
      <w:r>
        <w:rPr>
          <w:b w:val="0"/>
          <w:i w:val="0"/>
        </w:rPr>
        <w:t xml:space="preserve"> - reported in company releases or multiple consistent press sources.</w:t>
      </w:r>
    </w:p>
    <w:p>
      <w:pPr>
        <w:pStyle w:val="ListBullet"/>
        <w:spacing w:after="20"/>
      </w:pPr>
      <w:r>
        <w:rPr>
          <w:b/>
          <w:i w:val="0"/>
        </w:rPr>
        <w:t>[e]</w:t>
      </w:r>
      <w:r>
        <w:rPr>
          <w:b w:val="0"/>
          <w:i w:val="0"/>
        </w:rPr>
        <w:t xml:space="preserve"> - analyst estimate / derived calculation by us.</w:t>
      </w:r>
    </w:p>
    <w:p>
      <w:pPr>
        <w:pStyle w:val="ListBullet"/>
        <w:spacing w:after="20"/>
      </w:pPr>
      <w:r>
        <w:rPr>
          <w:b/>
          <w:i w:val="0"/>
        </w:rPr>
        <w:t>[u]</w:t>
      </w:r>
      <w:r>
        <w:rPr>
          <w:b w:val="0"/>
          <w:i w:val="0"/>
        </w:rPr>
        <w:t xml:space="preserve"> - unverified: single-source, memory-based or internally inconsistent; must be checked against DART / 20-F before trading.</w:t>
      </w:r>
    </w:p>
    <w:p>
      <w:pPr>
        <w:pStyle w:val="ListBullet"/>
        <w:spacing w:after="20"/>
      </w:pPr>
      <w:r>
        <w:rPr>
          <w:b/>
          <w:i w:val="0"/>
        </w:rPr>
        <w:t>Peer multiples</w:t>
      </w:r>
      <w:r>
        <w:rPr>
          <w:b w:val="0"/>
          <w:i w:val="0"/>
        </w:rPr>
        <w:t xml:space="preserve"> (Section 10) are indicative ranges (approx. H1-2026 levels, +/-15-20%) and should be refreshed from Bloomberg/FactSet.</w:t>
      </w:r>
    </w:p>
    <w:p>
      <w:pPr>
        <w:spacing w:after="80"/>
      </w:pPr>
      <w:r>
        <w:rPr>
          <w:b w:val="0"/>
          <w:i w:val="0"/>
        </w:rPr>
        <w:t>Currency: KRW unless stated. FX used: KRW 1,365/US$ (28-Sep-2026). "tn" = trillion, "bn" = billion. FY = calendar year (December year-end).</w:t>
      </w:r>
    </w:p>
    <w:p>
      <w:r>
        <w:br w:type="page"/>
      </w:r>
    </w:p>
    <w:p>
      <w:pPr>
        <w:pStyle w:val="Heading1"/>
      </w:pPr>
      <w:r>
        <w:rPr>
          <w:b/>
          <w:i w:val="0"/>
          <w:color w:val="13223F"/>
          <w:sz w:val="32"/>
        </w:rPr>
        <w:t>1. Executive summary</w:t>
      </w:r>
    </w:p>
    <w:tbl>
      <w:tblPr>
        <w:tblW w:type="auto" w:w="0"/>
        <w:tblLook w:firstColumn="1" w:firstRow="1" w:lastColumn="0" w:lastRow="0" w:noHBand="0" w:noVBand="1" w:val="04A0"/>
      </w:tblPr>
      <w:tblGrid>
        <w:gridCol w:w="10200"/>
      </w:tblGrid>
      <w:tr>
        <w:tc>
          <w:tcPr>
            <w:tcW w:type="dxa" w:w="10200"/>
            <w:shd w:val="clear" w:color="auto" w:fill="EEF1F6"/>
          </w:tcPr>
          <w:p>
            <w:r>
              <w:rPr>
                <w:b/>
                <w:i w:val="0"/>
                <w:color w:val="13223F"/>
                <w:sz w:val="19"/>
              </w:rPr>
              <w:t>BUY, 12-month target KRW 105,000 (+22%); probability-weighted value ~KRW 107,000.</w:t>
            </w:r>
            <w:r>
              <w:rPr>
                <w:b w:val="0"/>
                <w:i w:val="0"/>
                <w:color w:val="13223F"/>
                <w:sz w:val="19"/>
              </w:rPr>
              <w:t xml:space="preserve"> SK Telecom has moved from crisis (April 2025 USIM breach, Q3-25 OP -91%, dividend suspended) to normalisation (1H26 OP KRW 1.10tn, a run-rate above pre-breach 2024) faster than the market expected. The shares have more than doubled from the KRW 51,400 low but have round-tripped 38% from the June 2026 Anthropic-driven peak (139,500 intraday). At KRW 86,200 we think the core telco is again being priced like KT/LG Uplus while the market ascribes little more than book value to Anthropic.</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2237"/>
            <w:shd w:val="clear" w:color="auto" w:fill="13223F"/>
          </w:tcPr>
          <w:p>
            <w:r>
              <w:rPr>
                <w:b/>
                <w:i w:val="0"/>
                <w:color w:val="FFFFFF"/>
                <w:sz w:val="15"/>
              </w:rPr>
              <w:t>Metric</w:t>
            </w:r>
          </w:p>
        </w:tc>
        <w:tc>
          <w:tcPr>
            <w:tcW w:type="dxa" w:w="3051"/>
            <w:shd w:val="clear" w:color="auto" w:fill="13223F"/>
          </w:tcPr>
          <w:p>
            <w:r>
              <w:rPr>
                <w:b/>
                <w:i w:val="0"/>
                <w:color w:val="FFFFFF"/>
                <w:sz w:val="15"/>
              </w:rPr>
              <w:t>Value</w:t>
            </w:r>
          </w:p>
        </w:tc>
        <w:tc>
          <w:tcPr>
            <w:tcW w:type="dxa" w:w="4576"/>
            <w:shd w:val="clear" w:color="auto" w:fill="13223F"/>
          </w:tcPr>
          <w:p>
            <w:r>
              <w:rPr>
                <w:b/>
                <w:i w:val="0"/>
                <w:color w:val="FFFFFF"/>
                <w:sz w:val="15"/>
              </w:rPr>
              <w:t>Comment</w:t>
            </w:r>
          </w:p>
        </w:tc>
      </w:tr>
      <w:tr>
        <w:tc>
          <w:tcPr>
            <w:tcW w:type="dxa" w:w="2237"/>
          </w:tcPr>
          <w:p>
            <w:r>
              <w:rPr>
                <w:b w:val="0"/>
                <w:i w:val="0"/>
                <w:sz w:val="15"/>
              </w:rPr>
              <w:t>EV / EBITDA FY26E</w:t>
            </w:r>
          </w:p>
        </w:tc>
        <w:tc>
          <w:tcPr>
            <w:tcW w:type="dxa" w:w="3051"/>
          </w:tcPr>
          <w:p>
            <w:r>
              <w:rPr>
                <w:b w:val="0"/>
                <w:i w:val="0"/>
                <w:sz w:val="15"/>
              </w:rPr>
              <w:t>5.0x (headline) / ~4.0x core [e]</w:t>
            </w:r>
          </w:p>
        </w:tc>
        <w:tc>
          <w:tcPr>
            <w:tcW w:type="dxa" w:w="4576"/>
          </w:tcPr>
          <w:p>
            <w:r>
              <w:rPr>
                <w:b w:val="0"/>
                <w:i w:val="0"/>
                <w:sz w:val="15"/>
              </w:rPr>
              <w:t>Core strips Anthropic at book and other stakes; 5-yr avg 4.2x</w:t>
            </w:r>
          </w:p>
        </w:tc>
      </w:tr>
      <w:tr>
        <w:tc>
          <w:tcPr>
            <w:tcW w:type="dxa" w:w="2237"/>
            <w:shd w:val="clear" w:color="auto" w:fill="EEF1F6"/>
          </w:tcPr>
          <w:p>
            <w:r>
              <w:rPr>
                <w:b w:val="0"/>
                <w:i w:val="0"/>
                <w:sz w:val="15"/>
              </w:rPr>
              <w:t>P / E FY26E / FY27E</w:t>
            </w:r>
          </w:p>
        </w:tc>
        <w:tc>
          <w:tcPr>
            <w:tcW w:type="dxa" w:w="3051"/>
            <w:shd w:val="clear" w:color="auto" w:fill="EEF1F6"/>
          </w:tcPr>
          <w:p>
            <w:r>
              <w:rPr>
                <w:b w:val="0"/>
                <w:i w:val="0"/>
                <w:sz w:val="15"/>
              </w:rPr>
              <w:t>14.1x / 13.8x [e]</w:t>
            </w:r>
          </w:p>
        </w:tc>
        <w:tc>
          <w:tcPr>
            <w:tcW w:type="dxa" w:w="4576"/>
            <w:shd w:val="clear" w:color="auto" w:fill="EEF1F6"/>
          </w:tcPr>
          <w:p>
            <w:r>
              <w:rPr>
                <w:b w:val="0"/>
                <w:i w:val="0"/>
                <w:sz w:val="15"/>
              </w:rPr>
              <w:t>EPS KRW 6,100 / 6,240 [e]; consensus FY26 EPS KRW 5,661-6,281</w:t>
            </w:r>
          </w:p>
        </w:tc>
      </w:tr>
      <w:tr>
        <w:tc>
          <w:tcPr>
            <w:tcW w:type="dxa" w:w="2237"/>
          </w:tcPr>
          <w:p>
            <w:r>
              <w:rPr>
                <w:b w:val="0"/>
                <w:i w:val="0"/>
                <w:sz w:val="15"/>
              </w:rPr>
              <w:t>Dividend yield</w:t>
            </w:r>
          </w:p>
        </w:tc>
        <w:tc>
          <w:tcPr>
            <w:tcW w:type="dxa" w:w="3051"/>
          </w:tcPr>
          <w:p>
            <w:r>
              <w:rPr>
                <w:b w:val="0"/>
                <w:i w:val="0"/>
                <w:sz w:val="15"/>
              </w:rPr>
              <w:t>3.9%</w:t>
            </w:r>
          </w:p>
        </w:tc>
        <w:tc>
          <w:tcPr>
            <w:tcW w:type="dxa" w:w="4576"/>
          </w:tcPr>
          <w:p>
            <w:r>
              <w:rPr>
                <w:b w:val="0"/>
                <w:i w:val="0"/>
                <w:sz w:val="15"/>
              </w:rPr>
              <w:t>KRW 830/quarter restored in 1Q26 (FY26E DPS KRW 3,320)</w:t>
            </w:r>
          </w:p>
        </w:tc>
      </w:tr>
      <w:tr>
        <w:tc>
          <w:tcPr>
            <w:tcW w:type="dxa" w:w="2237"/>
            <w:shd w:val="clear" w:color="auto" w:fill="EEF1F6"/>
          </w:tcPr>
          <w:p>
            <w:r>
              <w:rPr>
                <w:b w:val="0"/>
                <w:i w:val="0"/>
                <w:sz w:val="15"/>
              </w:rPr>
              <w:t>Net debt / EBITDA</w:t>
            </w:r>
          </w:p>
        </w:tc>
        <w:tc>
          <w:tcPr>
            <w:tcW w:type="dxa" w:w="3051"/>
            <w:shd w:val="clear" w:color="auto" w:fill="EEF1F6"/>
          </w:tcPr>
          <w:p>
            <w:r>
              <w:rPr>
                <w:b w:val="0"/>
                <w:i w:val="0"/>
                <w:sz w:val="15"/>
              </w:rPr>
              <w:t>~1.6x FY26E (incl. leases)</w:t>
            </w:r>
          </w:p>
        </w:tc>
        <w:tc>
          <w:tcPr>
            <w:tcW w:type="dxa" w:w="4576"/>
            <w:shd w:val="clear" w:color="auto" w:fill="EEF1F6"/>
          </w:tcPr>
          <w:p>
            <w:r>
              <w:rPr>
                <w:b w:val="0"/>
                <w:i w:val="0"/>
                <w:sz w:val="15"/>
              </w:rPr>
              <w:t>Domestic AAA; Moody's A3 / S&amp;P A-</w:t>
            </w:r>
          </w:p>
        </w:tc>
      </w:tr>
      <w:tr>
        <w:tc>
          <w:tcPr>
            <w:tcW w:type="dxa" w:w="2237"/>
          </w:tcPr>
          <w:p>
            <w:r>
              <w:rPr>
                <w:b w:val="0"/>
                <w:i w:val="0"/>
                <w:sz w:val="15"/>
              </w:rPr>
              <w:t>Anthropic stake</w:t>
            </w:r>
          </w:p>
        </w:tc>
        <w:tc>
          <w:tcPr>
            <w:tcW w:type="dxa" w:w="3051"/>
          </w:tcPr>
          <w:p>
            <w:r>
              <w:rPr>
                <w:b w:val="0"/>
                <w:i w:val="0"/>
                <w:sz w:val="15"/>
              </w:rPr>
              <w:t>3,860,330 shares; KRW 3.505tn book (30-Jun-26)</w:t>
            </w:r>
          </w:p>
        </w:tc>
        <w:tc>
          <w:tcPr>
            <w:tcW w:type="dxa" w:w="4576"/>
          </w:tcPr>
          <w:p>
            <w:r>
              <w:rPr>
                <w:b w:val="0"/>
                <w:i w:val="0"/>
                <w:sz w:val="15"/>
              </w:rPr>
              <w:t>~0.26% [e]; ~KRW 7.0tn at a US$2tn IPO value = 38% of mkt cap</w:t>
            </w:r>
          </w:p>
        </w:tc>
      </w:tr>
      <w:tr>
        <w:tc>
          <w:tcPr>
            <w:tcW w:type="dxa" w:w="2237"/>
            <w:shd w:val="clear" w:color="auto" w:fill="EEF1F6"/>
          </w:tcPr>
          <w:p>
            <w:r>
              <w:rPr>
                <w:b w:val="0"/>
                <w:i w:val="0"/>
                <w:sz w:val="15"/>
              </w:rPr>
              <w:t>SK Horizon</w:t>
            </w:r>
          </w:p>
        </w:tc>
        <w:tc>
          <w:tcPr>
            <w:tcW w:type="dxa" w:w="3051"/>
            <w:shd w:val="clear" w:color="auto" w:fill="EEF1F6"/>
          </w:tcPr>
          <w:p>
            <w:r>
              <w:rPr>
                <w:b w:val="0"/>
                <w:i w:val="0"/>
                <w:sz w:val="15"/>
              </w:rPr>
              <w:t>KRW 3.08tn for 49% (KKR 29%, IMM-Stonebridge 20%)</w:t>
            </w:r>
          </w:p>
        </w:tc>
        <w:tc>
          <w:tcPr>
            <w:tcW w:type="dxa" w:w="4576"/>
            <w:shd w:val="clear" w:color="auto" w:fill="EEF1F6"/>
          </w:tcPr>
          <w:p>
            <w:r>
              <w:rPr>
                <w:b w:val="0"/>
                <w:i w:val="0"/>
                <w:sz w:val="15"/>
              </w:rPr>
              <w:t>Implies ~KRW 6.3tn equity for 318MW AI-DC/cable platform</w:t>
            </w:r>
          </w:p>
        </w:tc>
      </w:tr>
    </w:tbl>
    <w:p/>
    <w:p>
      <w:pPr>
        <w:pStyle w:val="Heading2"/>
      </w:pPr>
      <w:r>
        <w:rPr>
          <w:b/>
          <w:i w:val="0"/>
          <w:color w:val="2D6CCB"/>
          <w:sz w:val="24"/>
        </w:rPr>
        <w:t>Why now - four forces converging</w:t>
      </w:r>
    </w:p>
    <w:p>
      <w:pPr>
        <w:pStyle w:val="ListBullet"/>
        <w:spacing w:after="20"/>
      </w:pPr>
      <w:r>
        <w:rPr>
          <w:b/>
          <w:i w:val="0"/>
        </w:rPr>
        <w:t>Earnings reset is behind us:</w:t>
      </w:r>
      <w:r>
        <w:rPr>
          <w:b w:val="0"/>
          <w:i w:val="0"/>
        </w:rPr>
        <w:t xml:space="preserve"> 2Q26 OP KRW 566bn (+67% y/y, 13.0% margin, beat consensus by 3.5%); churn back to 0.8%; ~210k handset net adds in 1Q26 helped by KT's own breach and fee waiver.</w:t>
      </w:r>
    </w:p>
    <w:p>
      <w:pPr>
        <w:pStyle w:val="ListBullet"/>
        <w:spacing w:after="20"/>
      </w:pPr>
      <w:r>
        <w:rPr>
          <w:b/>
          <w:i w:val="0"/>
        </w:rPr>
        <w:t>Hard catalyst #1 - Anthropic IPO:</w:t>
      </w:r>
      <w:r>
        <w:rPr>
          <w:b w:val="0"/>
          <w:i w:val="0"/>
        </w:rPr>
        <w:t xml:space="preserve"> confidential S-1 filed 1-Jun-26; WSJ (18-Sep-26) reports a November 2026 listing at up to ~US$2tn. SKT's stake has compounded ~24x per share since the US$100m August 2023 entry.</w:t>
      </w:r>
    </w:p>
    <w:p>
      <w:pPr>
        <w:pStyle w:val="ListBullet"/>
        <w:spacing w:after="20"/>
      </w:pPr>
      <w:r>
        <w:rPr>
          <w:b/>
          <w:i w:val="0"/>
        </w:rPr>
        <w:t>Hard catalyst #2 - SK Horizon:</w:t>
      </w:r>
      <w:r>
        <w:rPr>
          <w:b w:val="0"/>
          <w:i w:val="0"/>
        </w:rPr>
        <w:t xml:space="preserve"> the 27-Aug-26 sale of 49% of the AI-DC/subsea-cable platform to KKR and IMM-Stonebridge for KRW 3.08tn marks SKT's data-centre estate at a private-market price, and funds growth off balance sheet.</w:t>
      </w:r>
    </w:p>
    <w:p>
      <w:pPr>
        <w:pStyle w:val="ListBullet"/>
        <w:spacing w:after="20"/>
      </w:pPr>
      <w:r>
        <w:rPr>
          <w:b/>
          <w:i w:val="0"/>
        </w:rPr>
        <w:t>Sentiment reset:</w:t>
      </w:r>
      <w:r>
        <w:rPr>
          <w:b w:val="0"/>
          <w:i w:val="0"/>
        </w:rPr>
        <w:t xml:space="preserve"> the 28-Jul-26 -16% day on SK Hyper capex fears and a BoK tightening cycle (2.75% to 3.00%) have taken out the June froth; foreign ownership (~40%) is well below the 49% cap.</w:t>
      </w:r>
    </w:p>
    <w:p>
      <w:pPr>
        <w:pStyle w:val="Heading2"/>
      </w:pPr>
      <w:r>
        <w:rPr>
          <w:b/>
          <w:i w:val="0"/>
          <w:color w:val="2D6CCB"/>
          <w:sz w:val="24"/>
        </w:rPr>
        <w:t>What has to go right</w:t>
      </w:r>
    </w:p>
    <w:p>
      <w:pPr>
        <w:pStyle w:val="ListBullet"/>
        <w:spacing w:after="20"/>
      </w:pPr>
      <w:r>
        <w:rPr>
          <w:b w:val="0"/>
          <w:i w:val="0"/>
        </w:rPr>
        <w:t>Anthropic prices its IPO at or above the Series H mark (US$965bn post-money) and SKT keeps the stake visible (and ideally sets out a monetisation / distribution policy).</w:t>
      </w:r>
    </w:p>
    <w:p>
      <w:pPr>
        <w:pStyle w:val="ListBullet"/>
        <w:spacing w:after="20"/>
      </w:pPr>
      <w:r>
        <w:rPr>
          <w:b w:val="0"/>
          <w:i w:val="0"/>
        </w:rPr>
        <w:t>MNO revenue stabilises (flat-to-up) as 5G penetration rises and post-Dantong-beop subsidy competition stays rational.</w:t>
      </w:r>
    </w:p>
    <w:p>
      <w:pPr>
        <w:pStyle w:val="ListBullet"/>
        <w:spacing w:after="20"/>
      </w:pPr>
      <w:r>
        <w:rPr>
          <w:b w:val="0"/>
          <w:i w:val="0"/>
        </w:rPr>
        <w:t>SK Hyper's GW-scale ambition is funded with partner capital (as SK Horizon was) without diluting the KRW 3,320 DPS floor.</w:t>
      </w:r>
    </w:p>
    <w:p>
      <w:pPr>
        <w:pStyle w:val="ListBullet"/>
        <w:spacing w:after="20"/>
      </w:pPr>
      <w:r>
        <w:rPr>
          <w:b w:val="0"/>
          <w:i w:val="0"/>
        </w:rPr>
        <w:t>No material adverse ruling in the breach litigation (PIPC-fine suit; ~15,900-plaintiff civil suits) and the 3G/LTE spectrum re-allocation lands at the ~KRW 2.9-3.1tn industry cost already flagged.</w:t>
      </w:r>
    </w:p>
    <w:tbl>
      <w:tblPr>
        <w:tblW w:type="auto" w:w="0"/>
        <w:tblLook w:firstColumn="1" w:firstRow="1" w:lastColumn="0" w:lastRow="0" w:noHBand="0" w:noVBand="1" w:val="04A0"/>
      </w:tblPr>
      <w:tblGrid>
        <w:gridCol w:w="10200"/>
      </w:tblGrid>
      <w:tr>
        <w:tc>
          <w:tcPr>
            <w:tcW w:type="dxa" w:w="10200"/>
            <w:shd w:val="clear" w:color="auto" w:fill="EEF1F6"/>
          </w:tcPr>
          <w:p>
            <w:r>
              <w:rPr>
                <w:b/>
                <w:i w:val="0"/>
                <w:color w:val="13223F"/>
                <w:sz w:val="19"/>
              </w:rPr>
              <w:t>Position sizing:</w:t>
            </w:r>
            <w:r>
              <w:rPr>
                <w:b w:val="0"/>
                <w:i w:val="0"/>
                <w:color w:val="13223F"/>
                <w:sz w:val="19"/>
              </w:rPr>
              <w:t xml:space="preserve"> event-driven, medium conviction. The core is a low-beta, 4% yielder; the equity is now a levered play on a single private-market AI asset whose IPO timing is outside management's control. Size as an event position with a hard review after the Anthropic pricing and 3Q26 results.</w:t>
            </w:r>
          </w:p>
        </w:tc>
      </w:tr>
    </w:tbl>
    <w:p/>
    <w:p>
      <w:r>
        <w:br w:type="page"/>
      </w:r>
    </w:p>
    <w:p>
      <w:pPr>
        <w:pStyle w:val="Heading1"/>
      </w:pPr>
      <w:r>
        <w:rPr>
          <w:b/>
          <w:i w:val="0"/>
          <w:color w:val="13223F"/>
          <w:sz w:val="32"/>
        </w:rPr>
        <w:t>2. Layman's guide - what SK Telecom does and how it makes money</w:t>
      </w:r>
    </w:p>
    <w:p>
      <w:pPr>
        <w:spacing w:after="80"/>
      </w:pPr>
      <w:r>
        <w:rPr>
          <w:b w:val="0"/>
          <w:i w:val="0"/>
        </w:rPr>
        <w:t>SK Telecom is Korea's largest mobile network operator - the "Verizon of Korea" - and part of the SK chaebol (SK Inc. owns 30.6%). It sells monthly mobile plans to ~23 million handset users (about 39% of the market), home broadband and pay-TV through its 100%-owned SK Broadband, and increasingly rents data-centre space and GPU computing power to companies building AI. It also owns a small but now very valuable slice of Anthropic, the US AI company behind Claude.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815"/>
            <w:shd w:val="clear" w:color="auto" w:fill="13223F"/>
          </w:tcPr>
          <w:p>
            <w:r>
              <w:rPr>
                <w:b/>
                <w:i w:val="0"/>
                <w:color w:val="FFFFFF"/>
                <w:sz w:val="15"/>
              </w:rPr>
              <w:t>Division</w:t>
            </w:r>
          </w:p>
        </w:tc>
        <w:tc>
          <w:tcPr>
            <w:tcW w:type="dxa" w:w="2525"/>
            <w:shd w:val="clear" w:color="auto" w:fill="13223F"/>
          </w:tcPr>
          <w:p>
            <w:r>
              <w:rPr>
                <w:b/>
                <w:i w:val="0"/>
                <w:color w:val="FFFFFF"/>
                <w:sz w:val="15"/>
              </w:rPr>
              <w:t>What it sells</w:t>
            </w:r>
          </w:p>
        </w:tc>
        <w:tc>
          <w:tcPr>
            <w:tcW w:type="dxa" w:w="1420"/>
            <w:shd w:val="clear" w:color="auto" w:fill="13223F"/>
          </w:tcPr>
          <w:p>
            <w:r>
              <w:rPr>
                <w:b/>
                <w:i w:val="0"/>
                <w:color w:val="FFFFFF"/>
                <w:sz w:val="15"/>
              </w:rPr>
              <w:t>~Share of FY25 revenue</w:t>
            </w:r>
          </w:p>
        </w:tc>
        <w:tc>
          <w:tcPr>
            <w:tcW w:type="dxa" w:w="1263"/>
            <w:shd w:val="clear" w:color="auto" w:fill="13223F"/>
          </w:tcPr>
          <w:p>
            <w:r>
              <w:rPr>
                <w:b/>
                <w:i w:val="0"/>
                <w:color w:val="FFFFFF"/>
                <w:sz w:val="15"/>
              </w:rPr>
              <w:t>~Share of FY25 OP</w:t>
            </w:r>
          </w:p>
        </w:tc>
        <w:tc>
          <w:tcPr>
            <w:tcW w:type="dxa" w:w="2841"/>
            <w:shd w:val="clear" w:color="auto" w:fill="13223F"/>
          </w:tcPr>
          <w:p>
            <w:r>
              <w:rPr>
                <w:b/>
                <w:i w:val="0"/>
                <w:color w:val="FFFFFF"/>
                <w:sz w:val="15"/>
              </w:rPr>
              <w:t>How it makes money</w:t>
            </w:r>
          </w:p>
        </w:tc>
      </w:tr>
      <w:tr>
        <w:tc>
          <w:tcPr>
            <w:tcW w:type="dxa" w:w="1815"/>
          </w:tcPr>
          <w:p>
            <w:r>
              <w:rPr>
                <w:b w:val="0"/>
                <w:i w:val="0"/>
                <w:sz w:val="15"/>
              </w:rPr>
              <w:t>Mobile (SKT standalone / MNO)</w:t>
            </w:r>
          </w:p>
        </w:tc>
        <w:tc>
          <w:tcPr>
            <w:tcW w:type="dxa" w:w="2525"/>
          </w:tcPr>
          <w:p>
            <w:r>
              <w:rPr>
                <w:b w:val="0"/>
                <w:i w:val="0"/>
                <w:sz w:val="15"/>
              </w:rPr>
              <w:t>5G &amp; LTE plans, MVNO wholesale, roaming, handset sales via PS&amp;Marketing</w:t>
            </w:r>
          </w:p>
        </w:tc>
        <w:tc>
          <w:tcPr>
            <w:tcW w:type="dxa" w:w="1420"/>
          </w:tcPr>
          <w:p>
            <w:r>
              <w:rPr>
                <w:b w:val="0"/>
                <w:i w:val="0"/>
                <w:sz w:val="15"/>
              </w:rPr>
              <w:t>~70% (KRW 12.05tn)</w:t>
            </w:r>
          </w:p>
        </w:tc>
        <w:tc>
          <w:tcPr>
            <w:tcW w:type="dxa" w:w="1263"/>
          </w:tcPr>
          <w:p>
            <w:r>
              <w:rPr>
                <w:b w:val="0"/>
                <w:i w:val="0"/>
                <w:sz w:val="15"/>
              </w:rPr>
              <w:t>~76% (KRW 0.81tn)</w:t>
            </w:r>
          </w:p>
        </w:tc>
        <w:tc>
          <w:tcPr>
            <w:tcW w:type="dxa" w:w="2841"/>
          </w:tcPr>
          <w:p>
            <w:r>
              <w:rPr>
                <w:b w:val="0"/>
                <w:i w:val="0"/>
                <w:sz w:val="15"/>
              </w:rPr>
              <w:t>Monthly subscription fees (ARPU x subscribers); 24-month instalment handset sales; very high fixed costs, so incremental subscribers are highly profitable</w:t>
            </w:r>
          </w:p>
        </w:tc>
      </w:tr>
      <w:tr>
        <w:tc>
          <w:tcPr>
            <w:tcW w:type="dxa" w:w="1815"/>
            <w:shd w:val="clear" w:color="auto" w:fill="EEF1F6"/>
          </w:tcPr>
          <w:p>
            <w:r>
              <w:rPr>
                <w:b w:val="0"/>
                <w:i w:val="0"/>
                <w:sz w:val="15"/>
              </w:rPr>
              <w:t>Fixed &amp; media (SK Broadband)</w:t>
            </w:r>
          </w:p>
        </w:tc>
        <w:tc>
          <w:tcPr>
            <w:tcW w:type="dxa" w:w="2525"/>
            <w:shd w:val="clear" w:color="auto" w:fill="EEF1F6"/>
          </w:tcPr>
          <w:p>
            <w:r>
              <w:rPr>
                <w:b w:val="0"/>
                <w:i w:val="0"/>
                <w:sz w:val="15"/>
              </w:rPr>
              <w:t>FTTH broadband (~7.2m lines), B tv IPTV &amp; cable TV, enterprise leased lines</w:t>
            </w:r>
          </w:p>
        </w:tc>
        <w:tc>
          <w:tcPr>
            <w:tcW w:type="dxa" w:w="1420"/>
            <w:shd w:val="clear" w:color="auto" w:fill="EEF1F6"/>
          </w:tcPr>
          <w:p>
            <w:r>
              <w:rPr>
                <w:b w:val="0"/>
                <w:i w:val="0"/>
                <w:sz w:val="15"/>
              </w:rPr>
              <w:t>~27% (KRW 4.54tn)</w:t>
            </w:r>
          </w:p>
        </w:tc>
        <w:tc>
          <w:tcPr>
            <w:tcW w:type="dxa" w:w="1263"/>
            <w:shd w:val="clear" w:color="auto" w:fill="EEF1F6"/>
          </w:tcPr>
          <w:p>
            <w:r>
              <w:rPr>
                <w:b w:val="0"/>
                <w:i w:val="0"/>
                <w:sz w:val="15"/>
              </w:rPr>
              <w:t>~27% (KRW 0.29tn)</w:t>
            </w:r>
          </w:p>
        </w:tc>
        <w:tc>
          <w:tcPr>
            <w:tcW w:type="dxa" w:w="2841"/>
            <w:shd w:val="clear" w:color="auto" w:fill="EEF1F6"/>
          </w:tcPr>
          <w:p>
            <w:r>
              <w:rPr>
                <w:b w:val="0"/>
                <w:i w:val="0"/>
                <w:sz w:val="15"/>
              </w:rPr>
              <w:t>Monthly fees; bundles with mobile reduce churn; ad/VOD/home-shopping carriage fees</w:t>
            </w:r>
          </w:p>
        </w:tc>
      </w:tr>
      <w:tr>
        <w:tc>
          <w:tcPr>
            <w:tcW w:type="dxa" w:w="1815"/>
          </w:tcPr>
          <w:p>
            <w:r>
              <w:rPr>
                <w:b w:val="0"/>
                <w:i w:val="0"/>
                <w:sz w:val="15"/>
              </w:rPr>
              <w:t>AI data centres (inside SKB/SKT; to become SK Horizon)</w:t>
            </w:r>
          </w:p>
        </w:tc>
        <w:tc>
          <w:tcPr>
            <w:tcW w:type="dxa" w:w="2525"/>
          </w:tcPr>
          <w:p>
            <w:r>
              <w:rPr>
                <w:b w:val="0"/>
                <w:i w:val="0"/>
                <w:sz w:val="15"/>
              </w:rPr>
              <w:t>Colocation, GPU-as-a-Service (Gasan/Lambda), Ulsan AI DC with AWS</w:t>
            </w:r>
          </w:p>
        </w:tc>
        <w:tc>
          <w:tcPr>
            <w:tcW w:type="dxa" w:w="1420"/>
          </w:tcPr>
          <w:p>
            <w:r>
              <w:rPr>
                <w:b w:val="0"/>
                <w:i w:val="0"/>
                <w:sz w:val="15"/>
              </w:rPr>
              <w:t>~3% (KRW 0.52tn), growing ~90% y/y in 1H26</w:t>
            </w:r>
          </w:p>
        </w:tc>
        <w:tc>
          <w:tcPr>
            <w:tcW w:type="dxa" w:w="1263"/>
          </w:tcPr>
          <w:p>
            <w:r>
              <w:rPr>
                <w:b w:val="0"/>
                <w:i w:val="0"/>
                <w:sz w:val="15"/>
              </w:rPr>
              <w:t>small, rising</w:t>
            </w:r>
          </w:p>
        </w:tc>
        <w:tc>
          <w:tcPr>
            <w:tcW w:type="dxa" w:w="2841"/>
          </w:tcPr>
          <w:p>
            <w:r>
              <w:rPr>
                <w:b w:val="0"/>
                <w:i w:val="0"/>
                <w:sz w:val="15"/>
              </w:rPr>
              <w:t>Multi-year leases per MW; GPU hours; hyperscaler anchor tenants</w:t>
            </w:r>
          </w:p>
        </w:tc>
      </w:tr>
      <w:tr>
        <w:tc>
          <w:tcPr>
            <w:tcW w:type="dxa" w:w="1815"/>
            <w:shd w:val="clear" w:color="auto" w:fill="EEF1F6"/>
          </w:tcPr>
          <w:p>
            <w:r>
              <w:rPr>
                <w:b w:val="0"/>
                <w:i w:val="0"/>
                <w:sz w:val="15"/>
              </w:rPr>
              <w:t>AI services / AIX</w:t>
            </w:r>
          </w:p>
        </w:tc>
        <w:tc>
          <w:tcPr>
            <w:tcW w:type="dxa" w:w="2525"/>
            <w:shd w:val="clear" w:color="auto" w:fill="EEF1F6"/>
          </w:tcPr>
          <w:p>
            <w:r>
              <w:rPr>
                <w:b w:val="0"/>
                <w:i w:val="0"/>
                <w:sz w:val="15"/>
              </w:rPr>
              <w:t>A. (Adot) assistant, A.X LLM, enterprise AI transformation</w:t>
            </w:r>
          </w:p>
        </w:tc>
        <w:tc>
          <w:tcPr>
            <w:tcW w:type="dxa" w:w="1420"/>
            <w:shd w:val="clear" w:color="auto" w:fill="EEF1F6"/>
          </w:tcPr>
          <w:p>
            <w:r>
              <w:rPr>
                <w:b w:val="0"/>
                <w:i w:val="0"/>
                <w:sz w:val="15"/>
              </w:rPr>
              <w:t>&lt;1%</w:t>
            </w:r>
          </w:p>
        </w:tc>
        <w:tc>
          <w:tcPr>
            <w:tcW w:type="dxa" w:w="1263"/>
            <w:shd w:val="clear" w:color="auto" w:fill="EEF1F6"/>
          </w:tcPr>
          <w:p>
            <w:r>
              <w:rPr>
                <w:b w:val="0"/>
                <w:i w:val="0"/>
                <w:sz w:val="15"/>
              </w:rPr>
              <w:t>loss-making</w:t>
            </w:r>
          </w:p>
        </w:tc>
        <w:tc>
          <w:tcPr>
            <w:tcW w:type="dxa" w:w="2841"/>
            <w:shd w:val="clear" w:color="auto" w:fill="EEF1F6"/>
          </w:tcPr>
          <w:p>
            <w:r>
              <w:rPr>
                <w:b w:val="0"/>
                <w:i w:val="0"/>
                <w:sz w:val="15"/>
              </w:rPr>
              <w:t>Mostly strategic - builds data, loyalty and B2B contracts</w:t>
            </w:r>
          </w:p>
        </w:tc>
      </w:tr>
      <w:tr>
        <w:tc>
          <w:tcPr>
            <w:tcW w:type="dxa" w:w="1815"/>
          </w:tcPr>
          <w:p>
            <w:r>
              <w:rPr>
                <w:b w:val="0"/>
                <w:i w:val="0"/>
                <w:sz w:val="15"/>
              </w:rPr>
              <w:t>Other subs &amp; investments</w:t>
            </w:r>
          </w:p>
        </w:tc>
        <w:tc>
          <w:tcPr>
            <w:tcW w:type="dxa" w:w="2525"/>
          </w:tcPr>
          <w:p>
            <w:r>
              <w:rPr>
                <w:b w:val="0"/>
                <w:i w:val="0"/>
                <w:sz w:val="15"/>
              </w:rPr>
              <w:t>SK Telink (MVNO), SK Stoa (for sale), Anthropic, Hana Financial, Rebellions</w:t>
            </w:r>
          </w:p>
        </w:tc>
        <w:tc>
          <w:tcPr>
            <w:tcW w:type="dxa" w:w="1420"/>
          </w:tcPr>
          <w:p>
            <w:r>
              <w:rPr>
                <w:b w:val="0"/>
                <w:i w:val="0"/>
                <w:sz w:val="15"/>
              </w:rPr>
              <w:t>small</w:t>
            </w:r>
          </w:p>
        </w:tc>
        <w:tc>
          <w:tcPr>
            <w:tcW w:type="dxa" w:w="1263"/>
          </w:tcPr>
          <w:p>
            <w:r>
              <w:rPr>
                <w:b w:val="0"/>
                <w:i w:val="0"/>
                <w:sz w:val="15"/>
              </w:rPr>
              <w:t>(-) / equity income</w:t>
            </w:r>
          </w:p>
        </w:tc>
        <w:tc>
          <w:tcPr>
            <w:tcW w:type="dxa" w:w="2841"/>
          </w:tcPr>
          <w:p>
            <w:r>
              <w:rPr>
                <w:b w:val="0"/>
                <w:i w:val="0"/>
                <w:sz w:val="15"/>
              </w:rPr>
              <w:t>Dividends, fair-value gains; eventual monetisation</w:t>
            </w:r>
          </w:p>
        </w:tc>
      </w:tr>
    </w:tbl>
    <w:p>
      <w:r>
        <w:rPr>
          <w:b w:val="0"/>
          <w:i/>
          <w:color w:val="5B6475"/>
          <w:sz w:val="15"/>
        </w:rPr>
        <w:t>Entity split from company FY25 results (standalone rev 12,051bn/OP 812bn; SKB rev ~4,541bn/OP 289bn); consolidated revenue KRW 17.10tn, OP KRW 1.07tn. Percentages are before eliminations and therefore do not sum to 100%.</w:t>
      </w:r>
    </w:p>
    <w:p>
      <w:pPr>
        <w:spacing w:after="80"/>
      </w:pPr>
      <w:r>
        <w:rPr>
          <w:b/>
          <w:i w:val="0"/>
        </w:rPr>
        <w:t>In one sentence:</w:t>
      </w:r>
      <w:r>
        <w:rPr>
          <w:b w:val="0"/>
          <w:i w:val="0"/>
        </w:rPr>
        <w:t xml:space="preserve"> SKT is a regulated, cash-generative subscription utility (~30% EBITDA margin, ~12-13% capex/sales) that is using its balance sheet, its network sites and SK Group's chip ecosystem (SK hynix) to build an AI-infrastructure business - and whose single most valuable non-telecom asset today is a ~0.26% stake in Anthropic.</w:t>
      </w:r>
    </w:p>
    <w:p>
      <w:r>
        <w:br w:type="page"/>
      </w:r>
    </w:p>
    <w:p>
      <w:pPr>
        <w:pStyle w:val="Heading1"/>
      </w:pPr>
      <w:r>
        <w:rPr>
          <w:b/>
          <w:i w:val="0"/>
          <w:color w:val="13223F"/>
          <w:sz w:val="32"/>
        </w:rPr>
        <w:t>3. Historical share-price catalysts (moves of ~10% or more, 2021-2026)</w:t>
      </w:r>
    </w:p>
    <w:p>
      <w:r>
        <w:drawing>
          <wp:inline xmlns:a="http://schemas.openxmlformats.org/drawingml/2006/main" xmlns:pic="http://schemas.openxmlformats.org/drawingml/2006/picture">
            <wp:extent cx="6263999" cy="2630880"/>
            <wp:docPr id="1" name="Picture 1"/>
            <wp:cNvGraphicFramePr>
              <a:graphicFrameLocks noChangeAspect="1"/>
            </wp:cNvGraphicFramePr>
            <a:graphic>
              <a:graphicData uri="http://schemas.openxmlformats.org/drawingml/2006/picture">
                <pic:pic>
                  <pic:nvPicPr>
                    <pic:cNvPr id="0" name="c_price.png"/>
                    <pic:cNvPicPr/>
                  </pic:nvPicPr>
                  <pic:blipFill>
                    <a:blip r:embed="rId9"/>
                    <a:stretch>
                      <a:fillRect/>
                    </a:stretch>
                  </pic:blipFill>
                  <pic:spPr>
                    <a:xfrm>
                      <a:off x="0" y="0"/>
                      <a:ext cx="6263999" cy="2630880"/>
                    </a:xfrm>
                    <a:prstGeom prst="rect"/>
                  </pic:spPr>
                </pic:pic>
              </a:graphicData>
            </a:graphic>
          </wp:inline>
        </w:drawing>
      </w:r>
    </w:p>
    <w:p>
      <w:r>
        <w:rPr>
          <w:b w:val="0"/>
          <w:i w:val="0"/>
          <w:color w:val="5B6475"/>
          <w:sz w:val="15"/>
        </w:rPr>
        <w:t>Levels reconstructed from reported closes and press; post-split (Nov-2021) basis. Pre-2025 year-end closes are [u].</w:t>
      </w:r>
    </w:p>
    <w:tbl>
      <w:tblPr>
        <w:tblStyle w:val="TableGrid"/>
        <w:tblW w:type="auto" w:w="0"/>
        <w:jc w:val="center"/>
        <w:tblLook w:firstColumn="1" w:firstRow="1" w:lastColumn="0" w:lastRow="0" w:noHBand="0" w:noVBand="1" w:val="04A0"/>
      </w:tblPr>
      <w:tblGrid>
        <w:gridCol w:w="3400"/>
        <w:gridCol w:w="3400"/>
        <w:gridCol w:w="3400"/>
      </w:tblGrid>
      <w:tr>
        <w:tc>
          <w:tcPr>
            <w:tcW w:type="dxa" w:w="1461"/>
            <w:shd w:val="clear" w:color="auto" w:fill="13223F"/>
          </w:tcPr>
          <w:p>
            <w:r>
              <w:rPr>
                <w:b/>
                <w:i w:val="0"/>
                <w:color w:val="FFFFFF"/>
                <w:sz w:val="15"/>
              </w:rPr>
              <w:t>Date</w:t>
            </w:r>
          </w:p>
        </w:tc>
        <w:tc>
          <w:tcPr>
            <w:tcW w:type="dxa" w:w="2923"/>
            <w:shd w:val="clear" w:color="auto" w:fill="13223F"/>
          </w:tcPr>
          <w:p>
            <w:r>
              <w:rPr>
                <w:b/>
                <w:i w:val="0"/>
                <w:color w:val="FFFFFF"/>
                <w:sz w:val="15"/>
              </w:rPr>
              <w:t>Move</w:t>
            </w:r>
          </w:p>
        </w:tc>
        <w:tc>
          <w:tcPr>
            <w:tcW w:type="dxa" w:w="5480"/>
            <w:shd w:val="clear" w:color="auto" w:fill="13223F"/>
          </w:tcPr>
          <w:p>
            <w:r>
              <w:rPr>
                <w:b/>
                <w:i w:val="0"/>
                <w:color w:val="FFFFFF"/>
                <w:sz w:val="15"/>
              </w:rPr>
              <w:t>Catalyst</w:t>
            </w:r>
          </w:p>
        </w:tc>
      </w:tr>
      <w:tr>
        <w:tc>
          <w:tcPr>
            <w:tcW w:type="dxa" w:w="1461"/>
          </w:tcPr>
          <w:p>
            <w:r>
              <w:rPr>
                <w:b w:val="0"/>
                <w:i w:val="0"/>
                <w:sz w:val="15"/>
              </w:rPr>
              <w:t>29-Nov-21</w:t>
            </w:r>
          </w:p>
        </w:tc>
        <w:tc>
          <w:tcPr>
            <w:tcW w:type="dxa" w:w="2923"/>
          </w:tcPr>
          <w:p>
            <w:r>
              <w:rPr>
                <w:b w:val="0"/>
                <w:i w:val="0"/>
                <w:sz w:val="15"/>
              </w:rPr>
              <w:t>Opened KRW 53,400 vs 61,900 base (-14%)</w:t>
            </w:r>
          </w:p>
        </w:tc>
        <w:tc>
          <w:tcPr>
            <w:tcW w:type="dxa" w:w="5480"/>
          </w:tcPr>
          <w:p>
            <w:r>
              <w:rPr>
                <w:b w:val="0"/>
                <w:i w:val="0"/>
                <w:sz w:val="15"/>
              </w:rPr>
              <w:t>Relisting after 5:1 split and spin-off of SK Square (SK hynix stake, 11st, Tmap, One Store, Wavve moved out); split ratio 60.7:39.3</w:t>
            </w:r>
          </w:p>
        </w:tc>
      </w:tr>
      <w:tr>
        <w:tc>
          <w:tcPr>
            <w:tcW w:type="dxa" w:w="1461"/>
            <w:shd w:val="clear" w:color="auto" w:fill="EEF1F6"/>
          </w:tcPr>
          <w:p>
            <w:r>
              <w:rPr>
                <w:b w:val="0"/>
                <w:i w:val="0"/>
                <w:sz w:val="15"/>
              </w:rPr>
              <w:t>CY2022</w:t>
            </w:r>
          </w:p>
        </w:tc>
        <w:tc>
          <w:tcPr>
            <w:tcW w:type="dxa" w:w="2923"/>
            <w:shd w:val="clear" w:color="auto" w:fill="EEF1F6"/>
          </w:tcPr>
          <w:p>
            <w:r>
              <w:rPr>
                <w:b w:val="0"/>
                <w:i w:val="0"/>
                <w:sz w:val="15"/>
              </w:rPr>
              <w:t>ADR -17.8% (no single ±10% day)</w:t>
            </w:r>
          </w:p>
        </w:tc>
        <w:tc>
          <w:tcPr>
            <w:tcW w:type="dxa" w:w="5480"/>
            <w:shd w:val="clear" w:color="auto" w:fill="EEF1F6"/>
          </w:tcPr>
          <w:p>
            <w:r>
              <w:rPr>
                <w:b w:val="0"/>
                <w:i w:val="0"/>
                <w:sz w:val="15"/>
              </w:rPr>
              <w:t>BoK/Fed hiking cycle; government push for 5G mid-tier plans; defensive rotation</w:t>
            </w:r>
          </w:p>
        </w:tc>
      </w:tr>
      <w:tr>
        <w:tc>
          <w:tcPr>
            <w:tcW w:type="dxa" w:w="1461"/>
          </w:tcPr>
          <w:p>
            <w:r>
              <w:rPr>
                <w:b w:val="0"/>
                <w:i w:val="0"/>
                <w:sz w:val="15"/>
              </w:rPr>
              <w:t>CY2023-24</w:t>
            </w:r>
          </w:p>
        </w:tc>
        <w:tc>
          <w:tcPr>
            <w:tcW w:type="dxa" w:w="2923"/>
          </w:tcPr>
          <w:p>
            <w:r>
              <w:rPr>
                <w:b w:val="0"/>
                <w:i w:val="0"/>
                <w:sz w:val="15"/>
              </w:rPr>
              <w:t>+11.6% / +2.9% (ADR)</w:t>
            </w:r>
          </w:p>
        </w:tc>
        <w:tc>
          <w:tcPr>
            <w:tcW w:type="dxa" w:w="5480"/>
          </w:tcPr>
          <w:p>
            <w:r>
              <w:rPr>
                <w:b w:val="0"/>
                <w:i w:val="0"/>
                <w:sz w:val="15"/>
              </w:rPr>
              <w:t>Steady 7%-ish dividend yield; KRW 3,540 DPS; Value-Up programme; no single ±10% day</w:t>
            </w:r>
          </w:p>
        </w:tc>
      </w:tr>
      <w:tr>
        <w:tc>
          <w:tcPr>
            <w:tcW w:type="dxa" w:w="1461"/>
            <w:shd w:val="clear" w:color="auto" w:fill="EEF1F6"/>
          </w:tcPr>
          <w:p>
            <w:r>
              <w:rPr>
                <w:b w:val="0"/>
                <w:i w:val="0"/>
                <w:sz w:val="15"/>
              </w:rPr>
              <w:t>22-30 Apr 2025</w:t>
            </w:r>
          </w:p>
        </w:tc>
        <w:tc>
          <w:tcPr>
            <w:tcW w:type="dxa" w:w="2923"/>
            <w:shd w:val="clear" w:color="auto" w:fill="EEF1F6"/>
          </w:tcPr>
          <w:p>
            <w:r>
              <w:rPr>
                <w:b w:val="0"/>
                <w:i w:val="0"/>
                <w:sz w:val="15"/>
              </w:rPr>
              <w:t>-6.4% (28-Apr alone -6.75%); cumulative drift to KRW 51,400 low by late 2025 (~-11% from pre-breach 58,000)</w:t>
            </w:r>
          </w:p>
        </w:tc>
        <w:tc>
          <w:tcPr>
            <w:tcW w:type="dxa" w:w="5480"/>
            <w:shd w:val="clear" w:color="auto" w:fill="EEF1F6"/>
          </w:tcPr>
          <w:p>
            <w:r>
              <w:rPr>
                <w:b w:val="0"/>
                <w:i w:val="0"/>
                <w:sz w:val="15"/>
              </w:rPr>
              <w:t>USIM breach disclosure (26.96m IMSI records); SIM shortages; new-subscriber sales suspended May-Jun 25; ~0.8m subscriber loss</w:t>
            </w:r>
          </w:p>
        </w:tc>
      </w:tr>
      <w:tr>
        <w:tc>
          <w:tcPr>
            <w:tcW w:type="dxa" w:w="1461"/>
          </w:tcPr>
          <w:p>
            <w:r>
              <w:rPr>
                <w:b w:val="0"/>
                <w:i w:val="0"/>
                <w:sz w:val="15"/>
              </w:rPr>
              <w:t>28-Aug / 30-Oct-25</w:t>
            </w:r>
          </w:p>
        </w:tc>
        <w:tc>
          <w:tcPr>
            <w:tcW w:type="dxa" w:w="2923"/>
          </w:tcPr>
          <w:p>
            <w:r>
              <w:rPr>
                <w:b w:val="0"/>
                <w:i w:val="0"/>
                <w:sz w:val="15"/>
              </w:rPr>
              <w:t>Weak (not quantified [u])</w:t>
            </w:r>
          </w:p>
        </w:tc>
        <w:tc>
          <w:tcPr>
            <w:tcW w:type="dxa" w:w="5480"/>
          </w:tcPr>
          <w:p>
            <w:r>
              <w:rPr>
                <w:b w:val="0"/>
                <w:i w:val="0"/>
                <w:sz w:val="15"/>
              </w:rPr>
              <w:t>PIPC record KRW 134.8bn fine; Q3-25 OP KRW 48bn (-91%), first-ever skipped dividend; CEO Ryu replaced by Jung Jai-hun</w:t>
            </w:r>
          </w:p>
        </w:tc>
      </w:tr>
      <w:tr>
        <w:tc>
          <w:tcPr>
            <w:tcW w:type="dxa" w:w="1461"/>
            <w:shd w:val="clear" w:color="auto" w:fill="EEF1F6"/>
          </w:tcPr>
          <w:p>
            <w:r>
              <w:rPr>
                <w:b w:val="0"/>
                <w:i w:val="0"/>
                <w:sz w:val="15"/>
              </w:rPr>
              <w:t>20-27 Jan 2026</w:t>
            </w:r>
          </w:p>
        </w:tc>
        <w:tc>
          <w:tcPr>
            <w:tcW w:type="dxa" w:w="2923"/>
            <w:shd w:val="clear" w:color="auto" w:fill="EEF1F6"/>
          </w:tcPr>
          <w:p>
            <w:r>
              <w:rPr>
                <w:b w:val="0"/>
                <w:i w:val="0"/>
                <w:sz w:val="15"/>
              </w:rPr>
              <w:t>+6% (20-Jan) then +14% intraday to 71,600 (27-Jan); ADR +12%</w:t>
            </w:r>
          </w:p>
        </w:tc>
        <w:tc>
          <w:tcPr>
            <w:tcW w:type="dxa" w:w="5480"/>
            <w:shd w:val="clear" w:color="auto" w:fill="EEF1F6"/>
          </w:tcPr>
          <w:p>
            <w:r>
              <w:rPr>
                <w:b w:val="0"/>
                <w:i w:val="0"/>
                <w:sz w:val="15"/>
              </w:rPr>
              <w:t>Anthropic Series G (US$380bn) re-rating - UBS note; Wellington crossed 5.01%; SKT mkt cap passed KT</w:t>
            </w:r>
          </w:p>
        </w:tc>
      </w:tr>
      <w:tr>
        <w:tc>
          <w:tcPr>
            <w:tcW w:type="dxa" w:w="1461"/>
          </w:tcPr>
          <w:p>
            <w:r>
              <w:rPr>
                <w:b w:val="0"/>
                <w:i w:val="0"/>
                <w:sz w:val="15"/>
              </w:rPr>
              <w:t>6-Feb-26</w:t>
            </w:r>
          </w:p>
        </w:tc>
        <w:tc>
          <w:tcPr>
            <w:tcW w:type="dxa" w:w="2923"/>
          </w:tcPr>
          <w:p>
            <w:r>
              <w:rPr>
                <w:b w:val="0"/>
                <w:i w:val="0"/>
                <w:sz w:val="15"/>
              </w:rPr>
              <w:t>-10.7% to 69,200</w:t>
            </w:r>
          </w:p>
        </w:tc>
        <w:tc>
          <w:tcPr>
            <w:tcW w:type="dxa" w:w="5480"/>
          </w:tcPr>
          <w:p>
            <w:r>
              <w:rPr>
                <w:b w:val="0"/>
                <w:i w:val="0"/>
                <w:sz w:val="15"/>
              </w:rPr>
              <w:t>Q4-25 OP KRW 119bn (-53%), FY25 year-end dividend cancelled</w:t>
            </w:r>
          </w:p>
        </w:tc>
      </w:tr>
      <w:tr>
        <w:tc>
          <w:tcPr>
            <w:tcW w:type="dxa" w:w="1461"/>
            <w:shd w:val="clear" w:color="auto" w:fill="EEF1F6"/>
          </w:tcPr>
          <w:p>
            <w:r>
              <w:rPr>
                <w:b w:val="0"/>
                <w:i w:val="0"/>
                <w:sz w:val="15"/>
              </w:rPr>
              <w:t>9-Apr to May-26</w:t>
            </w:r>
          </w:p>
        </w:tc>
        <w:tc>
          <w:tcPr>
            <w:tcW w:type="dxa" w:w="2923"/>
            <w:shd w:val="clear" w:color="auto" w:fill="EEF1F6"/>
          </w:tcPr>
          <w:p>
            <w:r>
              <w:rPr>
                <w:b w:val="0"/>
                <w:i w:val="0"/>
                <w:sz w:val="15"/>
              </w:rPr>
              <w:t>+9% day (9-Apr), first close above KRW 100,000 in May</w:t>
            </w:r>
          </w:p>
        </w:tc>
        <w:tc>
          <w:tcPr>
            <w:tcW w:type="dxa" w:w="5480"/>
            <w:shd w:val="clear" w:color="auto" w:fill="EEF1F6"/>
          </w:tcPr>
          <w:p>
            <w:r>
              <w:rPr>
                <w:b w:val="0"/>
                <w:i w:val="0"/>
                <w:sz w:val="15"/>
              </w:rPr>
              <w:t>Q1-26 beat (OP KRW 538bn), KRW 830 DPS reinstated, Anthropic IPO reports</w:t>
            </w:r>
          </w:p>
        </w:tc>
      </w:tr>
      <w:tr>
        <w:tc>
          <w:tcPr>
            <w:tcW w:type="dxa" w:w="1461"/>
          </w:tcPr>
          <w:p>
            <w:r>
              <w:rPr>
                <w:b w:val="0"/>
                <w:i w:val="0"/>
                <w:sz w:val="15"/>
              </w:rPr>
              <w:t>1-2 Jun-26</w:t>
            </w:r>
          </w:p>
        </w:tc>
        <w:tc>
          <w:tcPr>
            <w:tcW w:type="dxa" w:w="2923"/>
          </w:tcPr>
          <w:p>
            <w:r>
              <w:rPr>
                <w:b w:val="0"/>
                <w:i w:val="0"/>
                <w:sz w:val="15"/>
              </w:rPr>
              <w:t>+11.5% and +11.6% (intraday ATH 139,500)</w:t>
            </w:r>
          </w:p>
        </w:tc>
        <w:tc>
          <w:tcPr>
            <w:tcW w:type="dxa" w:w="5480"/>
          </w:tcPr>
          <w:p>
            <w:r>
              <w:rPr>
                <w:b w:val="0"/>
                <w:i w:val="0"/>
                <w:sz w:val="15"/>
              </w:rPr>
              <w:t>Anthropic Series H at US$965bn post-money; confidential S-1 filing</w:t>
            </w:r>
          </w:p>
        </w:tc>
      </w:tr>
      <w:tr>
        <w:tc>
          <w:tcPr>
            <w:tcW w:type="dxa" w:w="1461"/>
            <w:shd w:val="clear" w:color="auto" w:fill="EEF1F6"/>
          </w:tcPr>
          <w:p>
            <w:r>
              <w:rPr>
                <w:b w:val="0"/>
                <w:i w:val="0"/>
                <w:sz w:val="15"/>
              </w:rPr>
              <w:t>4-Jun-26</w:t>
            </w:r>
          </w:p>
        </w:tc>
        <w:tc>
          <w:tcPr>
            <w:tcW w:type="dxa" w:w="2923"/>
            <w:shd w:val="clear" w:color="auto" w:fill="EEF1F6"/>
          </w:tcPr>
          <w:p>
            <w:r>
              <w:rPr>
                <w:b w:val="0"/>
                <w:i w:val="0"/>
                <w:sz w:val="15"/>
              </w:rPr>
              <w:t>-13.0% to 108,900</w:t>
            </w:r>
          </w:p>
        </w:tc>
        <w:tc>
          <w:tcPr>
            <w:tcW w:type="dxa" w:w="5480"/>
            <w:shd w:val="clear" w:color="auto" w:fill="EEF1F6"/>
          </w:tcPr>
          <w:p>
            <w:r>
              <w:rPr>
                <w:b w:val="0"/>
                <w:i w:val="0"/>
                <w:sz w:val="15"/>
              </w:rPr>
              <w:t>Profit-taking; retail-driven froth unwound through June (~90k by month-end)</w:t>
            </w:r>
          </w:p>
        </w:tc>
      </w:tr>
      <w:tr>
        <w:tc>
          <w:tcPr>
            <w:tcW w:type="dxa" w:w="1461"/>
          </w:tcPr>
          <w:p>
            <w:r>
              <w:rPr>
                <w:b w:val="0"/>
                <w:i w:val="0"/>
                <w:sz w:val="15"/>
              </w:rPr>
              <w:t>28-Jul-26</w:t>
            </w:r>
          </w:p>
        </w:tc>
        <w:tc>
          <w:tcPr>
            <w:tcW w:type="dxa" w:w="2923"/>
          </w:tcPr>
          <w:p>
            <w:r>
              <w:rPr>
                <w:b w:val="0"/>
                <w:i w:val="0"/>
                <w:sz w:val="15"/>
              </w:rPr>
              <w:t>-16.0% to 82,200</w:t>
            </w:r>
          </w:p>
        </w:tc>
        <w:tc>
          <w:tcPr>
            <w:tcW w:type="dxa" w:w="5480"/>
          </w:tcPr>
          <w:p>
            <w:r>
              <w:rPr>
                <w:b w:val="0"/>
                <w:i w:val="0"/>
                <w:sz w:val="15"/>
              </w:rPr>
              <w:t>Board approves SK Hyper (KRW 750bn to 2030, 5-15GW AI-DC ambition) plus related-party capital injections; dividend-sustainability fears; same-day Asian AI/chip sell-off</w:t>
            </w:r>
          </w:p>
        </w:tc>
      </w:tr>
      <w:tr>
        <w:tc>
          <w:tcPr>
            <w:tcW w:type="dxa" w:w="1461"/>
            <w:shd w:val="clear" w:color="auto" w:fill="EEF1F6"/>
          </w:tcPr>
          <w:p>
            <w:r>
              <w:rPr>
                <w:b w:val="0"/>
                <w:i w:val="0"/>
                <w:sz w:val="15"/>
              </w:rPr>
              <w:t>14-Aug-26</w:t>
            </w:r>
          </w:p>
        </w:tc>
        <w:tc>
          <w:tcPr>
            <w:tcW w:type="dxa" w:w="2923"/>
            <w:shd w:val="clear" w:color="auto" w:fill="EEF1F6"/>
          </w:tcPr>
          <w:p>
            <w:r>
              <w:rPr>
                <w:b w:val="0"/>
                <w:i w:val="0"/>
                <w:sz w:val="15"/>
              </w:rPr>
              <w:t>+7% open</w:t>
            </w:r>
          </w:p>
        </w:tc>
        <w:tc>
          <w:tcPr>
            <w:tcW w:type="dxa" w:w="5480"/>
            <w:shd w:val="clear" w:color="auto" w:fill="EEF1F6"/>
          </w:tcPr>
          <w:p>
            <w:r>
              <w:rPr>
                <w:b w:val="0"/>
                <w:i w:val="0"/>
                <w:sz w:val="15"/>
              </w:rPr>
              <w:t>Reports Anthropic IPO could value it at ~US$2tn; 1H26 stake book value KRW 3.5tn</w:t>
            </w:r>
          </w:p>
        </w:tc>
      </w:tr>
      <w:tr>
        <w:tc>
          <w:tcPr>
            <w:tcW w:type="dxa" w:w="1461"/>
          </w:tcPr>
          <w:p>
            <w:r>
              <w:rPr>
                <w:b w:val="0"/>
                <w:i w:val="0"/>
                <w:sz w:val="15"/>
              </w:rPr>
              <w:t>Sep-26</w:t>
            </w:r>
          </w:p>
        </w:tc>
        <w:tc>
          <w:tcPr>
            <w:tcW w:type="dxa" w:w="2923"/>
          </w:tcPr>
          <w:p>
            <w:r>
              <w:rPr>
                <w:b w:val="0"/>
                <w:i w:val="0"/>
                <w:sz w:val="15"/>
              </w:rPr>
              <w:t>~KRW 85-88k range</w:t>
            </w:r>
          </w:p>
        </w:tc>
        <w:tc>
          <w:tcPr>
            <w:tcW w:type="dxa" w:w="5480"/>
          </w:tcPr>
          <w:p>
            <w:r>
              <w:rPr>
                <w:b w:val="0"/>
                <w:i w:val="0"/>
                <w:sz w:val="15"/>
              </w:rPr>
              <w:t>BoK hike to 3.00%; Anthropic IPO pushed to November (WSJ 18-Sep); prospectus shows US$42bn 2025 net loss (29-Sep, stock -2 to -4%)</w:t>
            </w:r>
          </w:p>
        </w:tc>
      </w:tr>
    </w:tbl>
    <w:p/>
    <w:p>
      <w:pPr>
        <w:spacing w:after="80"/>
      </w:pPr>
      <w:r>
        <w:rPr>
          <w:b/>
          <w:i w:val="0"/>
        </w:rPr>
        <w:t>Read-across:</w:t>
      </w:r>
      <w:r>
        <w:rPr>
          <w:b w:val="0"/>
          <w:i w:val="0"/>
        </w:rPr>
        <w:t xml:space="preserve"> since January 2026 the stock has behaved as an Anthropic proxy (beta to AI-private-market headlines far exceeds beta to telco fundamentals). Of the ten &gt;10% moves in the period, six were Anthropic- or AI-capex-driven, three breach/earnings-driven and one structural (the 2021 split).</w:t>
      </w:r>
    </w:p>
    <w:p>
      <w:r>
        <w:br w:type="page"/>
      </w:r>
    </w:p>
    <w:p>
      <w:pPr>
        <w:pStyle w:val="Heading1"/>
      </w:pPr>
      <w:r>
        <w:rPr>
          <w:b/>
          <w:i w:val="0"/>
          <w:color w:val="13223F"/>
          <w:sz w:val="32"/>
        </w:rPr>
        <w:t>4. Business model, key drivers, customers, suppliers and competitors</w:t>
      </w:r>
    </w:p>
    <w:p>
      <w:pPr>
        <w:pStyle w:val="Heading2"/>
      </w:pPr>
      <w:r>
        <w:rPr>
          <w:b/>
          <w:i w:val="0"/>
          <w:color w:val="2D6CCB"/>
          <w:sz w:val="24"/>
        </w:rPr>
        <w:t>4.1 Key drivers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62"/>
            <w:shd w:val="clear" w:color="auto" w:fill="13223F"/>
          </w:tcPr>
          <w:p>
            <w:r>
              <w:rPr>
                <w:b/>
                <w:i w:val="0"/>
                <w:color w:val="FFFFFF"/>
                <w:sz w:val="15"/>
              </w:rPr>
              <w:t>Driver</w:t>
            </w:r>
          </w:p>
        </w:tc>
        <w:tc>
          <w:tcPr>
            <w:tcW w:type="dxa" w:w="3171"/>
            <w:shd w:val="clear" w:color="auto" w:fill="13223F"/>
          </w:tcPr>
          <w:p>
            <w:r>
              <w:rPr>
                <w:b/>
                <w:i w:val="0"/>
                <w:color w:val="FFFFFF"/>
                <w:sz w:val="15"/>
              </w:rPr>
              <w:t>Mechanism</w:t>
            </w:r>
          </w:p>
        </w:tc>
        <w:tc>
          <w:tcPr>
            <w:tcW w:type="dxa" w:w="2818"/>
            <w:shd w:val="clear" w:color="auto" w:fill="13223F"/>
          </w:tcPr>
          <w:p>
            <w:r>
              <w:rPr>
                <w:b/>
                <w:i w:val="0"/>
                <w:color w:val="FFFFFF"/>
                <w:sz w:val="15"/>
              </w:rPr>
              <w:t>Current direction</w:t>
            </w:r>
          </w:p>
        </w:tc>
        <w:tc>
          <w:tcPr>
            <w:tcW w:type="dxa" w:w="2114"/>
            <w:shd w:val="clear" w:color="auto" w:fill="13223F"/>
          </w:tcPr>
          <w:p>
            <w:r>
              <w:rPr>
                <w:b/>
                <w:i w:val="0"/>
                <w:color w:val="FFFFFF"/>
                <w:sz w:val="15"/>
              </w:rPr>
              <w:t>Sensitivity [e]</w:t>
            </w:r>
          </w:p>
        </w:tc>
      </w:tr>
      <w:tr>
        <w:tc>
          <w:tcPr>
            <w:tcW w:type="dxa" w:w="1762"/>
          </w:tcPr>
          <w:p>
            <w:r>
              <w:rPr>
                <w:b w:val="0"/>
                <w:i w:val="0"/>
                <w:sz w:val="15"/>
              </w:rPr>
              <w:t>Volume - handset subscribers</w:t>
            </w:r>
          </w:p>
        </w:tc>
        <w:tc>
          <w:tcPr>
            <w:tcW w:type="dxa" w:w="3171"/>
          </w:tcPr>
          <w:p>
            <w:r>
              <w:rPr>
                <w:b w:val="0"/>
                <w:i w:val="0"/>
                <w:sz w:val="15"/>
              </w:rPr>
              <w:t>22.0m handset / 31m MNO subs; share 39.0% (Apr-26) vs 42.9% (2021)</w:t>
            </w:r>
          </w:p>
        </w:tc>
        <w:tc>
          <w:tcPr>
            <w:tcW w:type="dxa" w:w="2818"/>
          </w:tcPr>
          <w:p>
            <w:r>
              <w:rPr>
                <w:b w:val="0"/>
                <w:i w:val="0"/>
                <w:sz w:val="15"/>
              </w:rPr>
              <w:t>Recovering: +210k net adds 1Q26 (KT breach), -41k in 2Q26; target ~40% share</w:t>
            </w:r>
          </w:p>
        </w:tc>
        <w:tc>
          <w:tcPr>
            <w:tcW w:type="dxa" w:w="2114"/>
          </w:tcPr>
          <w:p>
            <w:r>
              <w:rPr>
                <w:b w:val="0"/>
                <w:i w:val="0"/>
                <w:sz w:val="15"/>
              </w:rPr>
              <w:t>±1pt share ≈ ±KRW 0.25-0.3tn revenue, ~50% drop-through</w:t>
            </w:r>
          </w:p>
        </w:tc>
      </w:tr>
      <w:tr>
        <w:tc>
          <w:tcPr>
            <w:tcW w:type="dxa" w:w="1762"/>
            <w:shd w:val="clear" w:color="auto" w:fill="EEF1F6"/>
          </w:tcPr>
          <w:p>
            <w:r>
              <w:rPr>
                <w:b w:val="0"/>
                <w:i w:val="0"/>
                <w:sz w:val="15"/>
              </w:rPr>
              <w:t>Pricing / ARPU</w:t>
            </w:r>
          </w:p>
        </w:tc>
        <w:tc>
          <w:tcPr>
            <w:tcW w:type="dxa" w:w="3171"/>
            <w:shd w:val="clear" w:color="auto" w:fill="EEF1F6"/>
          </w:tcPr>
          <w:p>
            <w:r>
              <w:rPr>
                <w:b w:val="0"/>
                <w:i w:val="0"/>
                <w:sz w:val="15"/>
              </w:rPr>
              <w:t>5G mix (18.0m 5G = ~82% of handsets); government-led "Lite" and KRW 20k-range 5G plans (Apr-26 declaration)</w:t>
            </w:r>
          </w:p>
        </w:tc>
        <w:tc>
          <w:tcPr>
            <w:tcW w:type="dxa" w:w="2818"/>
            <w:shd w:val="clear" w:color="auto" w:fill="EEF1F6"/>
          </w:tcPr>
          <w:p>
            <w:r>
              <w:rPr>
                <w:b w:val="0"/>
                <w:i w:val="0"/>
                <w:sz w:val="15"/>
              </w:rPr>
              <w:t>Flat to slightly down; mix gains offset by regulated tariff cuts</w:t>
            </w:r>
          </w:p>
        </w:tc>
        <w:tc>
          <w:tcPr>
            <w:tcW w:type="dxa" w:w="2114"/>
            <w:shd w:val="clear" w:color="auto" w:fill="EEF1F6"/>
          </w:tcPr>
          <w:p>
            <w:r>
              <w:rPr>
                <w:b w:val="0"/>
                <w:i w:val="0"/>
                <w:sz w:val="15"/>
              </w:rPr>
              <w:t>1% ARPU ≈ KRW 0.1tn OP</w:t>
            </w:r>
          </w:p>
        </w:tc>
      </w:tr>
      <w:tr>
        <w:tc>
          <w:tcPr>
            <w:tcW w:type="dxa" w:w="1762"/>
          </w:tcPr>
          <w:p>
            <w:r>
              <w:rPr>
                <w:b w:val="0"/>
                <w:i w:val="0"/>
                <w:sz w:val="15"/>
              </w:rPr>
              <w:t>Marketing / subsidies</w:t>
            </w:r>
          </w:p>
        </w:tc>
        <w:tc>
          <w:tcPr>
            <w:tcW w:type="dxa" w:w="3171"/>
          </w:tcPr>
          <w:p>
            <w:r>
              <w:rPr>
                <w:b w:val="0"/>
                <w:i w:val="0"/>
                <w:sz w:val="15"/>
              </w:rPr>
              <w:t>Handset Distribution Act (Dantong-beop) repealed 22-Jul-25; subsidies uncapped</w:t>
            </w:r>
          </w:p>
        </w:tc>
        <w:tc>
          <w:tcPr>
            <w:tcW w:type="dxa" w:w="2818"/>
          </w:tcPr>
          <w:p>
            <w:r>
              <w:rPr>
                <w:b w:val="0"/>
                <w:i w:val="0"/>
                <w:sz w:val="15"/>
              </w:rPr>
              <w:t>Muted so far; 1Q26 marketing +7% y/y (KRW 741bn)</w:t>
            </w:r>
          </w:p>
        </w:tc>
        <w:tc>
          <w:tcPr>
            <w:tcW w:type="dxa" w:w="2114"/>
          </w:tcPr>
          <w:p>
            <w:r>
              <w:rPr>
                <w:b w:val="0"/>
                <w:i w:val="0"/>
                <w:sz w:val="15"/>
              </w:rPr>
              <w:t>Every +5% marketing ≈ -KRW 0.15tn OP</w:t>
            </w:r>
          </w:p>
        </w:tc>
      </w:tr>
      <w:tr>
        <w:tc>
          <w:tcPr>
            <w:tcW w:type="dxa" w:w="1762"/>
            <w:shd w:val="clear" w:color="auto" w:fill="EEF1F6"/>
          </w:tcPr>
          <w:p>
            <w:r>
              <w:rPr>
                <w:b w:val="0"/>
                <w:i w:val="0"/>
                <w:sz w:val="15"/>
              </w:rPr>
              <w:t>Capex cycle</w:t>
            </w:r>
          </w:p>
        </w:tc>
        <w:tc>
          <w:tcPr>
            <w:tcW w:type="dxa" w:w="3171"/>
            <w:shd w:val="clear" w:color="auto" w:fill="EEF1F6"/>
          </w:tcPr>
          <w:p>
            <w:r>
              <w:rPr>
                <w:b w:val="0"/>
                <w:i w:val="0"/>
                <w:sz w:val="15"/>
              </w:rPr>
              <w:t>Capex/sales fell from ~18% (2021-23) to ~12.5% (2025) post-5G build</w:t>
            </w:r>
          </w:p>
        </w:tc>
        <w:tc>
          <w:tcPr>
            <w:tcW w:type="dxa" w:w="2818"/>
            <w:shd w:val="clear" w:color="auto" w:fill="EEF1F6"/>
          </w:tcPr>
          <w:p>
            <w:r>
              <w:rPr>
                <w:b w:val="0"/>
                <w:i w:val="0"/>
                <w:sz w:val="15"/>
              </w:rPr>
              <w:t>5G SA mandate + indoor cells for spectrum rebate; AI-DC capex moving off balance sheet (SK Horizon)</w:t>
            </w:r>
          </w:p>
        </w:tc>
        <w:tc>
          <w:tcPr>
            <w:tcW w:type="dxa" w:w="2114"/>
            <w:shd w:val="clear" w:color="auto" w:fill="EEF1F6"/>
          </w:tcPr>
          <w:p>
            <w:r>
              <w:rPr>
                <w:b w:val="0"/>
                <w:i w:val="0"/>
                <w:sz w:val="15"/>
              </w:rPr>
              <w:t>Telco capex ~KRW 2.1-2.4tn p.a.</w:t>
            </w:r>
          </w:p>
        </w:tc>
      </w:tr>
      <w:tr>
        <w:tc>
          <w:tcPr>
            <w:tcW w:type="dxa" w:w="1762"/>
          </w:tcPr>
          <w:p>
            <w:r>
              <w:rPr>
                <w:b w:val="0"/>
                <w:i w:val="0"/>
                <w:sz w:val="15"/>
              </w:rPr>
              <w:t>Spectrum</w:t>
            </w:r>
          </w:p>
        </w:tc>
        <w:tc>
          <w:tcPr>
            <w:tcW w:type="dxa" w:w="3171"/>
          </w:tcPr>
          <w:p>
            <w:r>
              <w:rPr>
                <w:b w:val="0"/>
                <w:i w:val="0"/>
                <w:sz w:val="15"/>
              </w:rPr>
              <w:t>370MHz 3G/LTE re-allocation (Jun &amp; Dec 2026 expiries); industry ~KRW 2.9-3.1tn; SKT holds 155MHz</w:t>
            </w:r>
          </w:p>
        </w:tc>
        <w:tc>
          <w:tcPr>
            <w:tcW w:type="dxa" w:w="2818"/>
          </w:tcPr>
          <w:p>
            <w:r>
              <w:rPr>
                <w:b w:val="0"/>
                <w:i w:val="0"/>
                <w:sz w:val="15"/>
              </w:rPr>
              <w:t>SKT share ~KRW 1.2-1.3tn [e], paid over licence life</w:t>
            </w:r>
          </w:p>
        </w:tc>
        <w:tc>
          <w:tcPr>
            <w:tcW w:type="dxa" w:w="2114"/>
          </w:tcPr>
          <w:p>
            <w:r>
              <w:rPr>
                <w:b w:val="0"/>
                <w:i w:val="0"/>
                <w:sz w:val="15"/>
              </w:rPr>
              <w:t>Amortisation broadly replaces expiring licences</w:t>
            </w:r>
          </w:p>
        </w:tc>
      </w:tr>
      <w:tr>
        <w:tc>
          <w:tcPr>
            <w:tcW w:type="dxa" w:w="1762"/>
            <w:shd w:val="clear" w:color="auto" w:fill="EEF1F6"/>
          </w:tcPr>
          <w:p>
            <w:r>
              <w:rPr>
                <w:b w:val="0"/>
                <w:i w:val="0"/>
                <w:sz w:val="15"/>
              </w:rPr>
              <w:t>Regulation / security</w:t>
            </w:r>
          </w:p>
        </w:tc>
        <w:tc>
          <w:tcPr>
            <w:tcW w:type="dxa" w:w="3171"/>
            <w:shd w:val="clear" w:color="auto" w:fill="EEF1F6"/>
          </w:tcPr>
          <w:p>
            <w:r>
              <w:rPr>
                <w:b w:val="0"/>
                <w:i w:val="0"/>
                <w:sz w:val="15"/>
              </w:rPr>
              <w:t>PIPC, MSIT; post-breach security spend KRW 700bn over 5 years</w:t>
            </w:r>
          </w:p>
        </w:tc>
        <w:tc>
          <w:tcPr>
            <w:tcW w:type="dxa" w:w="2818"/>
            <w:shd w:val="clear" w:color="auto" w:fill="EEF1F6"/>
          </w:tcPr>
          <w:p>
            <w:r>
              <w:rPr>
                <w:b w:val="0"/>
                <w:i w:val="0"/>
                <w:sz w:val="15"/>
              </w:rPr>
              <w:t>Elevated costs through 2029</w:t>
            </w:r>
          </w:p>
        </w:tc>
        <w:tc>
          <w:tcPr>
            <w:tcW w:type="dxa" w:w="2114"/>
            <w:shd w:val="clear" w:color="auto" w:fill="EEF1F6"/>
          </w:tcPr>
          <w:p>
            <w:r>
              <w:rPr>
                <w:b w:val="0"/>
                <w:i w:val="0"/>
                <w:sz w:val="15"/>
              </w:rPr>
              <w:t>~KRW 0.14tn p.a.</w:t>
            </w:r>
          </w:p>
        </w:tc>
      </w:tr>
      <w:tr>
        <w:tc>
          <w:tcPr>
            <w:tcW w:type="dxa" w:w="1762"/>
          </w:tcPr>
          <w:p>
            <w:r>
              <w:rPr>
                <w:b w:val="0"/>
                <w:i w:val="0"/>
                <w:sz w:val="15"/>
              </w:rPr>
              <w:t>AI-DC growth</w:t>
            </w:r>
          </w:p>
        </w:tc>
        <w:tc>
          <w:tcPr>
            <w:tcW w:type="dxa" w:w="3171"/>
          </w:tcPr>
          <w:p>
            <w:r>
              <w:rPr>
                <w:b w:val="0"/>
                <w:i w:val="0"/>
                <w:sz w:val="15"/>
              </w:rPr>
              <w:t>Revenue KRW 136bn in 2Q26 (+92.5% y/y); Ulsan 41MW (Nov-27) to 103MW (Feb-29); SK Hyper 5GW by 2029+</w:t>
            </w:r>
          </w:p>
        </w:tc>
        <w:tc>
          <w:tcPr>
            <w:tcW w:type="dxa" w:w="2818"/>
          </w:tcPr>
          <w:p>
            <w:r>
              <w:rPr>
                <w:b w:val="0"/>
                <w:i w:val="0"/>
                <w:sz w:val="15"/>
              </w:rPr>
              <w:t>Strongest growth line; minorities (49%) from 1Q27</w:t>
            </w:r>
          </w:p>
        </w:tc>
        <w:tc>
          <w:tcPr>
            <w:tcW w:type="dxa" w:w="2114"/>
          </w:tcPr>
          <w:p>
            <w:r>
              <w:rPr>
                <w:b w:val="0"/>
                <w:i w:val="0"/>
                <w:sz w:val="15"/>
              </w:rPr>
              <w:t>+KRW 0.2-0.3tn revenue p.a.</w:t>
            </w:r>
          </w:p>
        </w:tc>
      </w:tr>
      <w:tr>
        <w:tc>
          <w:tcPr>
            <w:tcW w:type="dxa" w:w="1762"/>
            <w:shd w:val="clear" w:color="auto" w:fill="EEF1F6"/>
          </w:tcPr>
          <w:p>
            <w:r>
              <w:rPr>
                <w:b w:val="0"/>
                <w:i w:val="0"/>
                <w:sz w:val="15"/>
              </w:rPr>
              <w:t>Rates</w:t>
            </w:r>
          </w:p>
        </w:tc>
        <w:tc>
          <w:tcPr>
            <w:tcW w:type="dxa" w:w="3171"/>
            <w:shd w:val="clear" w:color="auto" w:fill="EEF1F6"/>
          </w:tcPr>
          <w:p>
            <w:r>
              <w:rPr>
                <w:b w:val="0"/>
                <w:i w:val="0"/>
                <w:sz w:val="15"/>
              </w:rPr>
              <w:t>Bond-proxy valuation; ~KRW 10tn gross debt incl. leases</w:t>
            </w:r>
          </w:p>
        </w:tc>
        <w:tc>
          <w:tcPr>
            <w:tcW w:type="dxa" w:w="2818"/>
            <w:shd w:val="clear" w:color="auto" w:fill="EEF1F6"/>
          </w:tcPr>
          <w:p>
            <w:r>
              <w:rPr>
                <w:b w:val="0"/>
                <w:i w:val="0"/>
                <w:sz w:val="15"/>
              </w:rPr>
              <w:t>BoK hiking (3.00%, tightening bias)</w:t>
            </w:r>
          </w:p>
        </w:tc>
        <w:tc>
          <w:tcPr>
            <w:tcW w:type="dxa" w:w="2114"/>
            <w:shd w:val="clear" w:color="auto" w:fill="EEF1F6"/>
          </w:tcPr>
          <w:p>
            <w:r>
              <w:rPr>
                <w:b w:val="0"/>
                <w:i w:val="0"/>
                <w:sz w:val="15"/>
              </w:rPr>
              <w:t>+100bp ≈ -KRW 50-70bn pre-tax (fixed-rate book dampens)</w:t>
            </w:r>
          </w:p>
        </w:tc>
      </w:tr>
    </w:tbl>
    <w:p/>
    <w:p>
      <w:pPr>
        <w:pStyle w:val="Heading2"/>
      </w:pPr>
      <w:r>
        <w:rPr>
          <w:b/>
          <w:i w:val="0"/>
          <w:color w:val="2D6CCB"/>
          <w:sz w:val="24"/>
        </w:rPr>
        <w:t>4.2 Products, customers and geographies</w:t>
      </w:r>
    </w:p>
    <w:p>
      <w:pPr>
        <w:pStyle w:val="ListBullet"/>
        <w:spacing w:after="20"/>
      </w:pPr>
      <w:r>
        <w:rPr>
          <w:b/>
          <w:i w:val="0"/>
        </w:rPr>
        <w:t>Consumers (~75% of revenue):</w:t>
      </w:r>
      <w:r>
        <w:rPr>
          <w:b w:val="0"/>
          <w:i w:val="0"/>
        </w:rPr>
        <w:t xml:space="preserve"> post-paid 5G/LTE plans, family bundles (mobile + FTTH + IPTV), T membership, A. (Adot) AI assistant, handset sales on 24-month instalments. Payment is monthly in arrears via auto-debit/card; handset instalment receivables are a meaningful working-capital item.</w:t>
      </w:r>
    </w:p>
    <w:p>
      <w:pPr>
        <w:pStyle w:val="ListBullet"/>
        <w:spacing w:after="20"/>
      </w:pPr>
      <w:r>
        <w:rPr>
          <w:b/>
          <w:i w:val="0"/>
        </w:rPr>
        <w:t>Enterprise/public (~20%):</w:t>
      </w:r>
      <w:r>
        <w:rPr>
          <w:b w:val="0"/>
          <w:i w:val="0"/>
        </w:rPr>
        <w:t xml:space="preserve"> leased lines, IoT, private 5G, cloud/MSP, data-centre colocation (hyperscalers, AI labs, GPUaaS clients), AIX consulting. Contracts are typically 1-5 years (DC leases 5-15 years; the Ulsan AWS partnership is 15 years).</w:t>
      </w:r>
    </w:p>
    <w:p>
      <w:pPr>
        <w:pStyle w:val="ListBullet"/>
        <w:spacing w:after="20"/>
      </w:pPr>
      <w:r>
        <w:rPr>
          <w:b/>
          <w:i w:val="0"/>
        </w:rPr>
        <w:t>Wholesale (~5%):</w:t>
      </w:r>
      <w:r>
        <w:rPr>
          <w:b w:val="0"/>
          <w:i w:val="0"/>
        </w:rPr>
        <w:t xml:space="preserve"> MVNO hosting (SK Telink, KB Liiv M, Toss etc. - SKT hosts only 1.8m of ~10.5m MVNO lines vs LGU+ 4.6m and KT 4.0m), roaming, interconnection.</w:t>
      </w:r>
    </w:p>
    <w:p>
      <w:pPr>
        <w:pStyle w:val="ListBullet"/>
        <w:spacing w:after="20"/>
      </w:pPr>
      <w:r>
        <w:rPr>
          <w:b/>
          <w:i w:val="0"/>
        </w:rPr>
        <w:t>Geography:</w:t>
      </w:r>
      <w:r>
        <w:rPr>
          <w:b w:val="0"/>
          <w:i w:val="0"/>
        </w:rPr>
        <w:t xml:space="preserve"> effectively 100% South Korea. International exposure is via investments (Anthropic, Penguin Solutions, Lambda, Syntelligence AI) and the Aster AI-agent pilot in the US.</w:t>
      </w:r>
    </w:p>
    <w:p>
      <w:pPr>
        <w:pStyle w:val="Heading2"/>
      </w:pPr>
      <w:r>
        <w:rPr>
          <w:b/>
          <w:i w:val="0"/>
          <w:color w:val="2D6CCB"/>
          <w:sz w:val="24"/>
        </w:rPr>
        <w:t>4.3 Suppliers and competitors</w:t>
      </w:r>
    </w:p>
    <w:tbl>
      <w:tblPr>
        <w:tblStyle w:val="TableGrid"/>
        <w:tblW w:type="auto" w:w="0"/>
        <w:jc w:val="center"/>
        <w:tblLook w:firstColumn="1" w:firstRow="1" w:lastColumn="0" w:lastRow="0" w:noHBand="0" w:noVBand="1" w:val="04A0"/>
      </w:tblPr>
      <w:tblGrid>
        <w:gridCol w:w="5100"/>
        <w:gridCol w:w="5100"/>
      </w:tblGrid>
      <w:tr>
        <w:tc>
          <w:tcPr>
            <w:tcW w:type="dxa" w:w="2101"/>
            <w:shd w:val="clear" w:color="auto" w:fill="13223F"/>
          </w:tcPr>
          <w:p>
            <w:r>
              <w:rPr>
                <w:b/>
                <w:i w:val="0"/>
                <w:color w:val="FFFFFF"/>
                <w:sz w:val="15"/>
              </w:rPr>
              <w:t>Category</w:t>
            </w:r>
          </w:p>
        </w:tc>
        <w:tc>
          <w:tcPr>
            <w:tcW w:type="dxa" w:w="7764"/>
            <w:shd w:val="clear" w:color="auto" w:fill="13223F"/>
          </w:tcPr>
          <w:p>
            <w:r>
              <w:rPr>
                <w:b/>
                <w:i w:val="0"/>
                <w:color w:val="FFFFFF"/>
                <w:sz w:val="15"/>
              </w:rPr>
              <w:t>Names</w:t>
            </w:r>
          </w:p>
        </w:tc>
      </w:tr>
      <w:tr>
        <w:tc>
          <w:tcPr>
            <w:tcW w:type="dxa" w:w="2101"/>
          </w:tcPr>
          <w:p>
            <w:r>
              <w:rPr>
                <w:b w:val="0"/>
                <w:i w:val="0"/>
                <w:sz w:val="15"/>
              </w:rPr>
              <w:t>Network equipment</w:t>
            </w:r>
          </w:p>
        </w:tc>
        <w:tc>
          <w:tcPr>
            <w:tcW w:type="dxa" w:w="7764"/>
          </w:tcPr>
          <w:p>
            <w:r>
              <w:rPr>
                <w:b w:val="0"/>
                <w:i w:val="0"/>
                <w:sz w:val="15"/>
              </w:rPr>
              <w:t>Samsung Electronics (Networks), Ericsson, Nokia; fibre: LS Cable, Taihan; maintenance by SK O&amp;S (subsidiary)</w:t>
            </w:r>
          </w:p>
        </w:tc>
      </w:tr>
      <w:tr>
        <w:tc>
          <w:tcPr>
            <w:tcW w:type="dxa" w:w="2101"/>
            <w:shd w:val="clear" w:color="auto" w:fill="EEF1F6"/>
          </w:tcPr>
          <w:p>
            <w:r>
              <w:rPr>
                <w:b w:val="0"/>
                <w:i w:val="0"/>
                <w:sz w:val="15"/>
              </w:rPr>
              <w:t>Handsets</w:t>
            </w:r>
          </w:p>
        </w:tc>
        <w:tc>
          <w:tcPr>
            <w:tcW w:type="dxa" w:w="7764"/>
            <w:shd w:val="clear" w:color="auto" w:fill="EEF1F6"/>
          </w:tcPr>
          <w:p>
            <w:r>
              <w:rPr>
                <w:b w:val="0"/>
                <w:i w:val="0"/>
                <w:sz w:val="15"/>
              </w:rPr>
              <w:t>Samsung Electronics (dominant), Apple; distribution via PS&amp;Marketing and third-party dealers</w:t>
            </w:r>
          </w:p>
        </w:tc>
      </w:tr>
      <w:tr>
        <w:tc>
          <w:tcPr>
            <w:tcW w:type="dxa" w:w="2101"/>
          </w:tcPr>
          <w:p>
            <w:r>
              <w:rPr>
                <w:b w:val="0"/>
                <w:i w:val="0"/>
                <w:sz w:val="15"/>
              </w:rPr>
              <w:t>AI compute / cloud</w:t>
            </w:r>
          </w:p>
        </w:tc>
        <w:tc>
          <w:tcPr>
            <w:tcW w:type="dxa" w:w="7764"/>
          </w:tcPr>
          <w:p>
            <w:r>
              <w:rPr>
                <w:b w:val="0"/>
                <w:i w:val="0"/>
                <w:sz w:val="15"/>
              </w:rPr>
              <w:t>Nvidia (GPUs, via Lambda and Penguin Solutions), SK hynix (HBM, affiliate), Rebellions (NPUs, ~18% owned via SAPEON), AWS (Ulsan AI zone)</w:t>
            </w:r>
          </w:p>
        </w:tc>
      </w:tr>
      <w:tr>
        <w:tc>
          <w:tcPr>
            <w:tcW w:type="dxa" w:w="2101"/>
            <w:shd w:val="clear" w:color="auto" w:fill="EEF1F6"/>
          </w:tcPr>
          <w:p>
            <w:r>
              <w:rPr>
                <w:b w:val="0"/>
                <w:i w:val="0"/>
                <w:sz w:val="15"/>
              </w:rPr>
              <w:t>AI models / apps</w:t>
            </w:r>
          </w:p>
        </w:tc>
        <w:tc>
          <w:tcPr>
            <w:tcW w:type="dxa" w:w="7764"/>
            <w:shd w:val="clear" w:color="auto" w:fill="EEF1F6"/>
          </w:tcPr>
          <w:p>
            <w:r>
              <w:rPr>
                <w:b w:val="0"/>
                <w:i w:val="0"/>
                <w:sz w:val="15"/>
              </w:rPr>
              <w:t>Anthropic (Claude, equity partner), OpenAI (exclusive Korean telco partner Sep-25; Stargate Korea MOU Oct-25), Perplexity, Google Gemini, own A.X K1/K2</w:t>
            </w:r>
          </w:p>
        </w:tc>
      </w:tr>
      <w:tr>
        <w:tc>
          <w:tcPr>
            <w:tcW w:type="dxa" w:w="2101"/>
          </w:tcPr>
          <w:p>
            <w:r>
              <w:rPr>
                <w:b w:val="0"/>
                <w:i w:val="0"/>
                <w:sz w:val="15"/>
              </w:rPr>
              <w:t>Related-party services</w:t>
            </w:r>
          </w:p>
        </w:tc>
        <w:tc>
          <w:tcPr>
            <w:tcW w:type="dxa" w:w="7764"/>
          </w:tcPr>
          <w:p>
            <w:r>
              <w:rPr>
                <w:b w:val="0"/>
                <w:i w:val="0"/>
                <w:sz w:val="15"/>
              </w:rPr>
              <w:t>SK AX (ex-SK C&amp;C) IT services; SK Inc. brand royalty (0.2% of revenue ex-advertising); SK Shieldus (security, now EQT-controlled)</w:t>
            </w:r>
          </w:p>
        </w:tc>
      </w:tr>
      <w:tr>
        <w:tc>
          <w:tcPr>
            <w:tcW w:type="dxa" w:w="2101"/>
            <w:shd w:val="clear" w:color="auto" w:fill="EEF1F6"/>
          </w:tcPr>
          <w:p>
            <w:r>
              <w:rPr>
                <w:b w:val="0"/>
                <w:i w:val="0"/>
                <w:sz w:val="15"/>
              </w:rPr>
              <w:t>Direct competitors</w:t>
            </w:r>
          </w:p>
        </w:tc>
        <w:tc>
          <w:tcPr>
            <w:tcW w:type="dxa" w:w="7764"/>
            <w:shd w:val="clear" w:color="auto" w:fill="EEF1F6"/>
          </w:tcPr>
          <w:p>
            <w:r>
              <w:rPr>
                <w:b w:val="0"/>
                <w:i w:val="0"/>
                <w:sz w:val="15"/>
              </w:rPr>
              <w:t>KT Corp (030200 KS / KT US), LG Uplus (032640 KS), MVNOs (18% share: KB Liiv M, Toss Mobile, Woori WON Mobile, Hello Mobile/LG HelloVision 037560 KS), cable (D'Live, CMB - unlisted)</w:t>
            </w:r>
          </w:p>
        </w:tc>
      </w:tr>
      <w:tr>
        <w:tc>
          <w:tcPr>
            <w:tcW w:type="dxa" w:w="2101"/>
          </w:tcPr>
          <w:p>
            <w:r>
              <w:rPr>
                <w:b w:val="0"/>
                <w:i w:val="0"/>
                <w:sz w:val="15"/>
              </w:rPr>
              <w:t>AI/cloud competitors</w:t>
            </w:r>
          </w:p>
        </w:tc>
        <w:tc>
          <w:tcPr>
            <w:tcW w:type="dxa" w:w="7764"/>
          </w:tcPr>
          <w:p>
            <w:r>
              <w:rPr>
                <w:b w:val="0"/>
                <w:i w:val="0"/>
                <w:sz w:val="15"/>
              </w:rPr>
              <w:t>Naver Cloud (035420 KS parent), Kakao (035720 KS), Samsung SDS (018260 KS), NHN Cloud (181710 KS), KT Cloud (unlisted), AWS/Microsoft/Google</w:t>
            </w:r>
          </w:p>
        </w:tc>
      </w:tr>
    </w:tbl>
    <w:p/>
    <w:p>
      <w:pPr>
        <w:spacing w:after="80"/>
      </w:pPr>
      <w:r>
        <w:rPr>
          <w:b/>
          <w:i w:val="0"/>
        </w:rPr>
        <w:t>Contract and payment terms:</w:t>
      </w:r>
      <w:r>
        <w:rPr>
          <w:b w:val="0"/>
          <w:i w:val="0"/>
        </w:rPr>
        <w:t xml:space="preserve"> not disclosed in detail. Consumer billing is monthly; handset instalments run 24-36 months (receivables sit on balance sheet, sometimes securitised); equipment suppliers are typically paid on 30-90 day terms [u]; spectrum fees are paid in instalments over the licence term.</w:t>
      </w:r>
    </w:p>
    <w:p>
      <w:r>
        <w:br w:type="page"/>
      </w:r>
    </w:p>
    <w:p>
      <w:pPr>
        <w:pStyle w:val="Heading1"/>
      </w:pPr>
      <w:r>
        <w:rPr>
          <w:b/>
          <w:i w:val="0"/>
          <w:color w:val="13223F"/>
          <w:sz w:val="32"/>
        </w:rPr>
        <w:t>5. Macro and micro environment - tailwinds and headwinds</w:t>
      </w:r>
    </w:p>
    <w:tbl>
      <w:tblPr>
        <w:tblStyle w:val="TableGrid"/>
        <w:tblW w:type="auto" w:w="0"/>
        <w:jc w:val="center"/>
        <w:tblLook w:firstColumn="1" w:firstRow="1" w:lastColumn="0" w:lastRow="0" w:noHBand="0" w:noVBand="1" w:val="04A0"/>
      </w:tblPr>
      <w:tblGrid>
        <w:gridCol w:w="3400"/>
        <w:gridCol w:w="3400"/>
        <w:gridCol w:w="3400"/>
      </w:tblGrid>
      <w:tr>
        <w:tc>
          <w:tcPr>
            <w:tcW w:type="dxa" w:w="1827"/>
            <w:shd w:val="clear" w:color="auto" w:fill="13223F"/>
          </w:tcPr>
          <w:p>
            <w:r>
              <w:rPr>
                <w:b/>
                <w:i w:val="0"/>
                <w:color w:val="FFFFFF"/>
                <w:sz w:val="15"/>
              </w:rPr>
              <w:t>Factor</w:t>
            </w:r>
          </w:p>
        </w:tc>
        <w:tc>
          <w:tcPr>
            <w:tcW w:type="dxa" w:w="5024"/>
            <w:shd w:val="clear" w:color="auto" w:fill="13223F"/>
          </w:tcPr>
          <w:p>
            <w:r>
              <w:rPr>
                <w:b/>
                <w:i w:val="0"/>
                <w:color w:val="FFFFFF"/>
                <w:sz w:val="15"/>
              </w:rPr>
              <w:t>Current state (Sep-2026)</w:t>
            </w:r>
          </w:p>
        </w:tc>
        <w:tc>
          <w:tcPr>
            <w:tcW w:type="dxa" w:w="3014"/>
            <w:shd w:val="clear" w:color="auto" w:fill="13223F"/>
          </w:tcPr>
          <w:p>
            <w:r>
              <w:rPr>
                <w:b/>
                <w:i w:val="0"/>
                <w:color w:val="FFFFFF"/>
                <w:sz w:val="15"/>
              </w:rPr>
              <w:t>Impact</w:t>
            </w:r>
          </w:p>
        </w:tc>
      </w:tr>
      <w:tr>
        <w:tc>
          <w:tcPr>
            <w:tcW w:type="dxa" w:w="1827"/>
          </w:tcPr>
          <w:p>
            <w:r>
              <w:rPr>
                <w:b w:val="0"/>
                <w:i w:val="0"/>
                <w:sz w:val="15"/>
              </w:rPr>
              <w:t>Korean GDP</w:t>
            </w:r>
          </w:p>
        </w:tc>
        <w:tc>
          <w:tcPr>
            <w:tcW w:type="dxa" w:w="5024"/>
          </w:tcPr>
          <w:p>
            <w:r>
              <w:rPr>
                <w:b w:val="0"/>
                <w:i w:val="0"/>
                <w:sz w:val="15"/>
              </w:rPr>
              <w:t>BoK raised 2026 forecast to 3.3% (2027: 2.9%) on record AI-chip exports</w:t>
            </w:r>
          </w:p>
        </w:tc>
        <w:tc>
          <w:tcPr>
            <w:tcW w:type="dxa" w:w="3014"/>
          </w:tcPr>
          <w:p>
            <w:r>
              <w:rPr>
                <w:b w:val="0"/>
                <w:i w:val="0"/>
                <w:sz w:val="15"/>
              </w:rPr>
              <w:t>Mildly positive (enterprise, DC demand)</w:t>
            </w:r>
          </w:p>
        </w:tc>
      </w:tr>
      <w:tr>
        <w:tc>
          <w:tcPr>
            <w:tcW w:type="dxa" w:w="1827"/>
            <w:shd w:val="clear" w:color="auto" w:fill="EEF1F6"/>
          </w:tcPr>
          <w:p>
            <w:r>
              <w:rPr>
                <w:b w:val="0"/>
                <w:i w:val="0"/>
                <w:sz w:val="15"/>
              </w:rPr>
              <w:t>Rates</w:t>
            </w:r>
          </w:p>
        </w:tc>
        <w:tc>
          <w:tcPr>
            <w:tcW w:type="dxa" w:w="5024"/>
            <w:shd w:val="clear" w:color="auto" w:fill="EEF1F6"/>
          </w:tcPr>
          <w:p>
            <w:r>
              <w:rPr>
                <w:b w:val="0"/>
                <w:i w:val="0"/>
                <w:sz w:val="15"/>
              </w:rPr>
              <w:t>BoK hiked 16-Jul (2.75%) and 27-Aug (3.00%), tightening bias</w:t>
            </w:r>
          </w:p>
        </w:tc>
        <w:tc>
          <w:tcPr>
            <w:tcW w:type="dxa" w:w="3014"/>
            <w:shd w:val="clear" w:color="auto" w:fill="EEF1F6"/>
          </w:tcPr>
          <w:p>
            <w:r>
              <w:rPr>
                <w:b w:val="0"/>
                <w:i w:val="0"/>
                <w:sz w:val="15"/>
              </w:rPr>
              <w:t>Negative for bond-proxy multiples and AI-DC funding costs</w:t>
            </w:r>
          </w:p>
        </w:tc>
      </w:tr>
      <w:tr>
        <w:tc>
          <w:tcPr>
            <w:tcW w:type="dxa" w:w="1827"/>
          </w:tcPr>
          <w:p>
            <w:r>
              <w:rPr>
                <w:b w:val="0"/>
                <w:i w:val="0"/>
                <w:sz w:val="15"/>
              </w:rPr>
              <w:t>Inflation</w:t>
            </w:r>
          </w:p>
        </w:tc>
        <w:tc>
          <w:tcPr>
            <w:tcW w:type="dxa" w:w="5024"/>
          </w:tcPr>
          <w:p>
            <w:r>
              <w:rPr>
                <w:b w:val="0"/>
                <w:i w:val="0"/>
                <w:sz w:val="15"/>
              </w:rPr>
              <w:t>CPI 3.1% Aug-26 (flattered by SKT's own Aug-25 50% bill-discount base effect)</w:t>
            </w:r>
          </w:p>
        </w:tc>
        <w:tc>
          <w:tcPr>
            <w:tcW w:type="dxa" w:w="3014"/>
          </w:tcPr>
          <w:p>
            <w:r>
              <w:rPr>
                <w:b w:val="0"/>
                <w:i w:val="0"/>
                <w:sz w:val="15"/>
              </w:rPr>
              <w:t>Political pressure on telecom tariffs</w:t>
            </w:r>
          </w:p>
        </w:tc>
      </w:tr>
      <w:tr>
        <w:tc>
          <w:tcPr>
            <w:tcW w:type="dxa" w:w="1827"/>
            <w:shd w:val="clear" w:color="auto" w:fill="EEF1F6"/>
          </w:tcPr>
          <w:p>
            <w:r>
              <w:rPr>
                <w:b w:val="0"/>
                <w:i w:val="0"/>
                <w:sz w:val="15"/>
              </w:rPr>
              <w:t>FX</w:t>
            </w:r>
          </w:p>
        </w:tc>
        <w:tc>
          <w:tcPr>
            <w:tcW w:type="dxa" w:w="5024"/>
            <w:shd w:val="clear" w:color="auto" w:fill="EEF1F6"/>
          </w:tcPr>
          <w:p>
            <w:r>
              <w:rPr>
                <w:b w:val="0"/>
                <w:i w:val="0"/>
                <w:sz w:val="15"/>
              </w:rPr>
              <w:t>KRW 1,365/US$; foreigners net sellers of KOSPI in late September</w:t>
            </w:r>
          </w:p>
        </w:tc>
        <w:tc>
          <w:tcPr>
            <w:tcW w:type="dxa" w:w="3014"/>
            <w:shd w:val="clear" w:color="auto" w:fill="EEF1F6"/>
          </w:tcPr>
          <w:p>
            <w:r>
              <w:rPr>
                <w:b w:val="0"/>
                <w:i w:val="0"/>
                <w:sz w:val="15"/>
              </w:rPr>
              <w:t>GPU/equipment import costs; foreign-flow driven volatility</w:t>
            </w:r>
          </w:p>
        </w:tc>
      </w:tr>
      <w:tr>
        <w:tc>
          <w:tcPr>
            <w:tcW w:type="dxa" w:w="1827"/>
          </w:tcPr>
          <w:p>
            <w:r>
              <w:rPr>
                <w:b w:val="0"/>
                <w:i w:val="0"/>
                <w:sz w:val="15"/>
              </w:rPr>
              <w:t>Government policy</w:t>
            </w:r>
          </w:p>
        </w:tc>
        <w:tc>
          <w:tcPr>
            <w:tcW w:type="dxa" w:w="5024"/>
          </w:tcPr>
          <w:p>
            <w:r>
              <w:rPr>
                <w:b w:val="0"/>
                <w:i w:val="0"/>
                <w:sz w:val="15"/>
              </w:rPr>
              <w:t>Lee Jae-myung administration: AI "G3" ambition, KRW 100tn growth fund, sovereign-AI model project; simultaneous push for cheaper 5G and data safety</w:t>
            </w:r>
          </w:p>
        </w:tc>
        <w:tc>
          <w:tcPr>
            <w:tcW w:type="dxa" w:w="3014"/>
          </w:tcPr>
          <w:p>
            <w:r>
              <w:rPr>
                <w:b w:val="0"/>
                <w:i w:val="0"/>
                <w:sz w:val="15"/>
              </w:rPr>
              <w:t>Positive for AI-DC; negative for ARPU</w:t>
            </w:r>
          </w:p>
        </w:tc>
      </w:tr>
      <w:tr>
        <w:tc>
          <w:tcPr>
            <w:tcW w:type="dxa" w:w="1827"/>
            <w:shd w:val="clear" w:color="auto" w:fill="EEF1F6"/>
          </w:tcPr>
          <w:p>
            <w:r>
              <w:rPr>
                <w:b w:val="0"/>
                <w:i w:val="0"/>
                <w:sz w:val="15"/>
              </w:rPr>
              <w:t>Regulation</w:t>
            </w:r>
          </w:p>
        </w:tc>
        <w:tc>
          <w:tcPr>
            <w:tcW w:type="dxa" w:w="5024"/>
            <w:shd w:val="clear" w:color="auto" w:fill="EEF1F6"/>
          </w:tcPr>
          <w:p>
            <w:r>
              <w:rPr>
                <w:b w:val="0"/>
                <w:i w:val="0"/>
                <w:sz w:val="15"/>
              </w:rPr>
              <w:t>Dantong-beop repealed (Jul-25); 5G SA mandatory; spectrum re-allocation; PIPC enforcement much tougher</w:t>
            </w:r>
          </w:p>
        </w:tc>
        <w:tc>
          <w:tcPr>
            <w:tcW w:type="dxa" w:w="3014"/>
            <w:shd w:val="clear" w:color="auto" w:fill="EEF1F6"/>
          </w:tcPr>
          <w:p>
            <w:r>
              <w:rPr>
                <w:b w:val="0"/>
                <w:i w:val="0"/>
                <w:sz w:val="15"/>
              </w:rPr>
              <w:t>Mixed</w:t>
            </w:r>
          </w:p>
        </w:tc>
      </w:tr>
      <w:tr>
        <w:tc>
          <w:tcPr>
            <w:tcW w:type="dxa" w:w="1827"/>
          </w:tcPr>
          <w:p>
            <w:r>
              <w:rPr>
                <w:b w:val="0"/>
                <w:i w:val="0"/>
                <w:sz w:val="15"/>
              </w:rPr>
              <w:t>Competitors' breaches</w:t>
            </w:r>
          </w:p>
        </w:tc>
        <w:tc>
          <w:tcPr>
            <w:tcW w:type="dxa" w:w="5024"/>
          </w:tcPr>
          <w:p>
            <w:r>
              <w:rPr>
                <w:b w:val="0"/>
                <w:i w:val="0"/>
                <w:sz w:val="15"/>
              </w:rPr>
              <w:t>KT (femtocell fraud; PIPC fine KRW 54bn Jul-26; fee waiver drove 200k+ users to SKT) and LG U+ (obstruction referral)</w:t>
            </w:r>
          </w:p>
        </w:tc>
        <w:tc>
          <w:tcPr>
            <w:tcW w:type="dxa" w:w="3014"/>
          </w:tcPr>
          <w:p>
            <w:r>
              <w:rPr>
                <w:b w:val="0"/>
                <w:i w:val="0"/>
                <w:sz w:val="15"/>
              </w:rPr>
              <w:t>Positive - SKT no longer the outlier</w:t>
            </w:r>
          </w:p>
        </w:tc>
      </w:tr>
      <w:tr>
        <w:tc>
          <w:tcPr>
            <w:tcW w:type="dxa" w:w="1827"/>
            <w:shd w:val="clear" w:color="auto" w:fill="EEF1F6"/>
          </w:tcPr>
          <w:p>
            <w:r>
              <w:rPr>
                <w:b w:val="0"/>
                <w:i w:val="0"/>
                <w:sz w:val="15"/>
              </w:rPr>
              <w:t>Power/grid</w:t>
            </w:r>
          </w:p>
        </w:tc>
        <w:tc>
          <w:tcPr>
            <w:tcW w:type="dxa" w:w="5024"/>
            <w:shd w:val="clear" w:color="auto" w:fill="EEF1F6"/>
          </w:tcPr>
          <w:p>
            <w:r>
              <w:rPr>
                <w:b w:val="0"/>
                <w:i w:val="0"/>
                <w:sz w:val="15"/>
              </w:rPr>
              <w:t>GW-scale AI-DC depends on KEPCO grid access and industrial tariffs</w:t>
            </w:r>
          </w:p>
        </w:tc>
        <w:tc>
          <w:tcPr>
            <w:tcW w:type="dxa" w:w="3014"/>
            <w:shd w:val="clear" w:color="auto" w:fill="EEF1F6"/>
          </w:tcPr>
          <w:p>
            <w:r>
              <w:rPr>
                <w:b w:val="0"/>
                <w:i w:val="0"/>
                <w:sz w:val="15"/>
              </w:rPr>
              <w:t>Key execution risk for SK Hyper</w:t>
            </w:r>
          </w:p>
        </w:tc>
      </w:tr>
    </w:tbl>
    <w:p/>
    <w:p>
      <w:pPr>
        <w:pStyle w:val="Heading2"/>
      </w:pPr>
      <w:r>
        <w:rPr>
          <w:b/>
          <w:i w:val="0"/>
          <w:color w:val="2D6CCB"/>
          <w:sz w:val="24"/>
        </w:rPr>
        <w:t>Tailwinds</w:t>
      </w:r>
    </w:p>
    <w:p>
      <w:pPr>
        <w:pStyle w:val="ListBullet"/>
        <w:spacing w:after="20"/>
      </w:pPr>
      <w:r>
        <w:rPr>
          <w:b w:val="0"/>
          <w:i w:val="0"/>
        </w:rPr>
        <w:t>AI-infrastructure demand in Korea (hyperscalers, sovereign AI, SK hynix ecosystem) and a private-capital market willing to fund it (SK Horizon at ~KRW 20bn/MW).</w:t>
      </w:r>
    </w:p>
    <w:p>
      <w:pPr>
        <w:pStyle w:val="ListBullet"/>
        <w:spacing w:after="20"/>
      </w:pPr>
      <w:r>
        <w:rPr>
          <w:b w:val="0"/>
          <w:i w:val="0"/>
        </w:rPr>
        <w:t>Normalisation of breach costs: FY26 OP guided above pre-breach levels; FY27 compares cleanly.</w:t>
      </w:r>
    </w:p>
    <w:p>
      <w:pPr>
        <w:pStyle w:val="ListBullet"/>
        <w:spacing w:after="20"/>
      </w:pPr>
      <w:r>
        <w:rPr>
          <w:b w:val="0"/>
          <w:i w:val="0"/>
        </w:rPr>
        <w:t>Industry discipline: three-player market, shared regulatory scrutiny, all three carriers with security incidents.</w:t>
      </w:r>
    </w:p>
    <w:p>
      <w:pPr>
        <w:pStyle w:val="ListBullet"/>
        <w:spacing w:after="20"/>
      </w:pPr>
      <w:r>
        <w:rPr>
          <w:b w:val="0"/>
          <w:i w:val="0"/>
        </w:rPr>
        <w:t>Anthropic value creation and IPO, Rebellions IPO (1H27), Hana Financial stake - a growing pool of monetisable assets.</w:t>
      </w:r>
    </w:p>
    <w:p>
      <w:pPr>
        <w:pStyle w:val="Heading2"/>
      </w:pPr>
      <w:r>
        <w:rPr>
          <w:b/>
          <w:i w:val="0"/>
          <w:color w:val="2D6CCB"/>
          <w:sz w:val="24"/>
        </w:rPr>
        <w:t>Headwinds</w:t>
      </w:r>
    </w:p>
    <w:p>
      <w:pPr>
        <w:pStyle w:val="ListBullet"/>
        <w:spacing w:after="20"/>
      </w:pPr>
      <w:r>
        <w:rPr>
          <w:b w:val="0"/>
          <w:i w:val="0"/>
        </w:rPr>
        <w:t>Structural ARPU pressure from government-led tariff cuts and MVNO growth (MVNOs now 18% of handsets).</w:t>
      </w:r>
    </w:p>
    <w:p>
      <w:pPr>
        <w:pStyle w:val="ListBullet"/>
        <w:spacing w:after="20"/>
      </w:pPr>
      <w:r>
        <w:rPr>
          <w:b w:val="0"/>
          <w:i w:val="0"/>
        </w:rPr>
        <w:t>Rising rates and a heavy capex agenda (spectrum ~KRW 1.2-1.3tn, security KRW 0.7tn, SK Hyper KRW 0.75tn) competing with the dividend.</w:t>
      </w:r>
    </w:p>
    <w:p>
      <w:pPr>
        <w:pStyle w:val="ListBullet"/>
        <w:spacing w:after="20"/>
      </w:pPr>
      <w:r>
        <w:rPr>
          <w:b w:val="0"/>
          <w:i w:val="0"/>
        </w:rPr>
        <w:t>Lasting reputational damage from the 2025 breach; ongoing civil suits and PIPC-fine litigation.</w:t>
      </w:r>
    </w:p>
    <w:p>
      <w:pPr>
        <w:pStyle w:val="ListBullet"/>
        <w:spacing w:after="20"/>
      </w:pPr>
      <w:r>
        <w:rPr>
          <w:b w:val="0"/>
          <w:i w:val="0"/>
        </w:rPr>
        <w:t>Key-asset concentration: ~20-40% of market cap tied to one private AI company with a US$42bn 2025 loss.</w:t>
      </w:r>
    </w:p>
    <w:p>
      <w:r>
        <w:br w:type="page"/>
      </w:r>
    </w:p>
    <w:p>
      <w:pPr>
        <w:pStyle w:val="Heading1"/>
      </w:pPr>
      <w:r>
        <w:rPr>
          <w:b/>
          <w:i w:val="0"/>
          <w:color w:val="13223F"/>
          <w:sz w:val="32"/>
        </w:rPr>
        <w:t>6. Competitive position and economic moats</w:t>
      </w:r>
    </w:p>
    <w:p>
      <w:pPr>
        <w:spacing w:after="80"/>
      </w:pPr>
      <w:r>
        <w:rPr>
          <w:b w:val="0"/>
          <w:i w:val="0"/>
        </w:rPr>
        <w:t>SKT has the strongest consumer brand in Korean telecoms (historically #1 in the NCSI customer-satisfaction index for 20+ years), the largest spectrum holding (155MHz of the 370MHz being re-allocated) and the highest-value customer base. The 2025 breach damaged the "premium network" perception and cost ~1pt of share, but KT's and LG U+'s own incidents have largely neutralised the relative damage.</w:t>
      </w:r>
    </w:p>
    <w:tbl>
      <w:tblPr>
        <w:tblStyle w:val="TableGrid"/>
        <w:tblW w:type="auto" w:w="0"/>
        <w:jc w:val="center"/>
        <w:tblLook w:firstColumn="1" w:firstRow="1" w:lastColumn="0" w:lastRow="0" w:noHBand="0" w:noVBand="1" w:val="04A0"/>
      </w:tblPr>
      <w:tblGrid>
        <w:gridCol w:w="3400"/>
        <w:gridCol w:w="3400"/>
        <w:gridCol w:w="3400"/>
      </w:tblGrid>
      <w:tr>
        <w:tc>
          <w:tcPr>
            <w:tcW w:type="dxa" w:w="2375"/>
            <w:shd w:val="clear" w:color="auto" w:fill="13223F"/>
          </w:tcPr>
          <w:p>
            <w:r>
              <w:rPr>
                <w:b/>
                <w:i w:val="0"/>
                <w:color w:val="FFFFFF"/>
                <w:sz w:val="15"/>
              </w:rPr>
              <w:t>Moat category</w:t>
            </w:r>
          </w:p>
        </w:tc>
        <w:tc>
          <w:tcPr>
            <w:tcW w:type="dxa" w:w="5480"/>
            <w:shd w:val="clear" w:color="auto" w:fill="13223F"/>
          </w:tcPr>
          <w:p>
            <w:r>
              <w:rPr>
                <w:b/>
                <w:i w:val="0"/>
                <w:color w:val="FFFFFF"/>
                <w:sz w:val="15"/>
              </w:rPr>
              <w:t>Assessment</w:t>
            </w:r>
          </w:p>
        </w:tc>
        <w:tc>
          <w:tcPr>
            <w:tcW w:type="dxa" w:w="2009"/>
            <w:shd w:val="clear" w:color="auto" w:fill="13223F"/>
          </w:tcPr>
          <w:p>
            <w:r>
              <w:rPr>
                <w:b/>
                <w:i w:val="0"/>
                <w:color w:val="FFFFFF"/>
                <w:sz w:val="15"/>
              </w:rPr>
              <w:t>Strength</w:t>
            </w:r>
          </w:p>
        </w:tc>
      </w:tr>
      <w:tr>
        <w:tc>
          <w:tcPr>
            <w:tcW w:type="dxa" w:w="2375"/>
          </w:tcPr>
          <w:p>
            <w:r>
              <w:rPr>
                <w:b w:val="0"/>
                <w:i w:val="0"/>
                <w:sz w:val="15"/>
              </w:rPr>
              <w:t>Brand</w:t>
            </w:r>
          </w:p>
        </w:tc>
        <w:tc>
          <w:tcPr>
            <w:tcW w:type="dxa" w:w="5480"/>
          </w:tcPr>
          <w:p>
            <w:r>
              <w:rPr>
                <w:b w:val="0"/>
                <w:i w:val="0"/>
                <w:sz w:val="15"/>
              </w:rPr>
              <w:t>Premium #1 carrier brand; dented by 2025 breach (~0.8m users lost) but churn back to 0.8%/month</w:t>
            </w:r>
          </w:p>
        </w:tc>
        <w:tc>
          <w:tcPr>
            <w:tcW w:type="dxa" w:w="2009"/>
          </w:tcPr>
          <w:p>
            <w:r>
              <w:rPr>
                <w:b w:val="0"/>
                <w:i w:val="0"/>
                <w:sz w:val="15"/>
              </w:rPr>
              <w:t>Moderate-Strong</w:t>
            </w:r>
          </w:p>
        </w:tc>
      </w:tr>
      <w:tr>
        <w:tc>
          <w:tcPr>
            <w:tcW w:type="dxa" w:w="2375"/>
            <w:shd w:val="clear" w:color="auto" w:fill="EEF1F6"/>
          </w:tcPr>
          <w:p>
            <w:r>
              <w:rPr>
                <w:b w:val="0"/>
                <w:i w:val="0"/>
                <w:sz w:val="15"/>
              </w:rPr>
              <w:t>Hard assets</w:t>
            </w:r>
          </w:p>
        </w:tc>
        <w:tc>
          <w:tcPr>
            <w:tcW w:type="dxa" w:w="5480"/>
            <w:shd w:val="clear" w:color="auto" w:fill="EEF1F6"/>
          </w:tcPr>
          <w:p>
            <w:r>
              <w:rPr>
                <w:b w:val="0"/>
                <w:i w:val="0"/>
                <w:sz w:val="15"/>
              </w:rPr>
              <w:t>Nationwide 5G/LTE network, FTTH, 8+ data centres, subsea cables; spectrum licences - very costly to replicate</w:t>
            </w:r>
          </w:p>
        </w:tc>
        <w:tc>
          <w:tcPr>
            <w:tcW w:type="dxa" w:w="2009"/>
            <w:shd w:val="clear" w:color="auto" w:fill="EEF1F6"/>
          </w:tcPr>
          <w:p>
            <w:r>
              <w:rPr>
                <w:b w:val="0"/>
                <w:i w:val="0"/>
                <w:sz w:val="15"/>
              </w:rPr>
              <w:t>Strong</w:t>
            </w:r>
          </w:p>
        </w:tc>
      </w:tr>
      <w:tr>
        <w:tc>
          <w:tcPr>
            <w:tcW w:type="dxa" w:w="2375"/>
          </w:tcPr>
          <w:p>
            <w:r>
              <w:rPr>
                <w:b w:val="0"/>
                <w:i w:val="0"/>
                <w:sz w:val="15"/>
              </w:rPr>
              <w:t>Long-term contracts</w:t>
            </w:r>
          </w:p>
        </w:tc>
        <w:tc>
          <w:tcPr>
            <w:tcW w:type="dxa" w:w="5480"/>
          </w:tcPr>
          <w:p>
            <w:r>
              <w:rPr>
                <w:b w:val="0"/>
                <w:i w:val="0"/>
                <w:sz w:val="15"/>
              </w:rPr>
              <w:t>Consumer plans short-dated but bundled; DC leases 5-15 yrs (AWS Ulsan 15 yrs)</w:t>
            </w:r>
          </w:p>
        </w:tc>
        <w:tc>
          <w:tcPr>
            <w:tcW w:type="dxa" w:w="2009"/>
          </w:tcPr>
          <w:p>
            <w:r>
              <w:rPr>
                <w:b w:val="0"/>
                <w:i w:val="0"/>
                <w:sz w:val="15"/>
              </w:rPr>
              <w:t>Moderate</w:t>
            </w:r>
          </w:p>
        </w:tc>
      </w:tr>
      <w:tr>
        <w:tc>
          <w:tcPr>
            <w:tcW w:type="dxa" w:w="2375"/>
            <w:shd w:val="clear" w:color="auto" w:fill="EEF1F6"/>
          </w:tcPr>
          <w:p>
            <w:r>
              <w:rPr>
                <w:b w:val="0"/>
                <w:i w:val="0"/>
                <w:sz w:val="15"/>
              </w:rPr>
              <w:t>Network effect</w:t>
            </w:r>
          </w:p>
        </w:tc>
        <w:tc>
          <w:tcPr>
            <w:tcW w:type="dxa" w:w="5480"/>
            <w:shd w:val="clear" w:color="auto" w:fill="EEF1F6"/>
          </w:tcPr>
          <w:p>
            <w:r>
              <w:rPr>
                <w:b w:val="0"/>
                <w:i w:val="0"/>
                <w:sz w:val="15"/>
              </w:rPr>
              <w:t>Limited (interconnection is regulated); some within-family bundle effects</w:t>
            </w:r>
          </w:p>
        </w:tc>
        <w:tc>
          <w:tcPr>
            <w:tcW w:type="dxa" w:w="2009"/>
            <w:shd w:val="clear" w:color="auto" w:fill="EEF1F6"/>
          </w:tcPr>
          <w:p>
            <w:r>
              <w:rPr>
                <w:b w:val="0"/>
                <w:i w:val="0"/>
                <w:sz w:val="15"/>
              </w:rPr>
              <w:t>Weak</w:t>
            </w:r>
          </w:p>
        </w:tc>
      </w:tr>
      <w:tr>
        <w:tc>
          <w:tcPr>
            <w:tcW w:type="dxa" w:w="2375"/>
          </w:tcPr>
          <w:p>
            <w:r>
              <w:rPr>
                <w:b w:val="0"/>
                <w:i w:val="0"/>
                <w:sz w:val="15"/>
              </w:rPr>
              <w:t>Regulatory barriers &amp; switching costs</w:t>
            </w:r>
          </w:p>
        </w:tc>
        <w:tc>
          <w:tcPr>
            <w:tcW w:type="dxa" w:w="5480"/>
          </w:tcPr>
          <w:p>
            <w:r>
              <w:rPr>
                <w:b w:val="0"/>
                <w:i w:val="0"/>
                <w:sz w:val="15"/>
              </w:rPr>
              <w:t>Licensing, 49% foreign cap, failed 4th-carrier (Stage X cancelled Jul-24); switching costs lowered by MNP &amp; subsidy liberalisation</w:t>
            </w:r>
          </w:p>
        </w:tc>
        <w:tc>
          <w:tcPr>
            <w:tcW w:type="dxa" w:w="2009"/>
          </w:tcPr>
          <w:p>
            <w:r>
              <w:rPr>
                <w:b w:val="0"/>
                <w:i w:val="0"/>
                <w:sz w:val="15"/>
              </w:rPr>
              <w:t>Strong (entry) / Moderate (switching)</w:t>
            </w:r>
          </w:p>
        </w:tc>
      </w:tr>
      <w:tr>
        <w:tc>
          <w:tcPr>
            <w:tcW w:type="dxa" w:w="2375"/>
            <w:shd w:val="clear" w:color="auto" w:fill="EEF1F6"/>
          </w:tcPr>
          <w:p>
            <w:r>
              <w:rPr>
                <w:b w:val="0"/>
                <w:i w:val="0"/>
                <w:sz w:val="15"/>
              </w:rPr>
              <w:t>Oligopoly structure</w:t>
            </w:r>
          </w:p>
        </w:tc>
        <w:tc>
          <w:tcPr>
            <w:tcW w:type="dxa" w:w="5480"/>
            <w:shd w:val="clear" w:color="auto" w:fill="EEF1F6"/>
          </w:tcPr>
          <w:p>
            <w:r>
              <w:rPr>
                <w:b w:val="0"/>
                <w:i w:val="0"/>
                <w:sz w:val="15"/>
              </w:rPr>
              <w:t>3-player market (SKT 39%, KT 23%, LGU+ 20%, MVNO 18% handset share)</w:t>
            </w:r>
          </w:p>
        </w:tc>
        <w:tc>
          <w:tcPr>
            <w:tcW w:type="dxa" w:w="2009"/>
            <w:shd w:val="clear" w:color="auto" w:fill="EEF1F6"/>
          </w:tcPr>
          <w:p>
            <w:r>
              <w:rPr>
                <w:b w:val="0"/>
                <w:i w:val="0"/>
                <w:sz w:val="15"/>
              </w:rPr>
              <w:t>Strong</w:t>
            </w:r>
          </w:p>
        </w:tc>
      </w:tr>
      <w:tr>
        <w:tc>
          <w:tcPr>
            <w:tcW w:type="dxa" w:w="2375"/>
          </w:tcPr>
          <w:p>
            <w:r>
              <w:rPr>
                <w:b w:val="0"/>
                <w:i w:val="0"/>
                <w:sz w:val="15"/>
              </w:rPr>
              <w:t>Cash-flow predictability</w:t>
            </w:r>
          </w:p>
        </w:tc>
        <w:tc>
          <w:tcPr>
            <w:tcW w:type="dxa" w:w="5480"/>
          </w:tcPr>
          <w:p>
            <w:r>
              <w:rPr>
                <w:b w:val="0"/>
                <w:i w:val="0"/>
                <w:sz w:val="15"/>
              </w:rPr>
              <w:t>Subscription revenue ~90% recurring; EBITDA margin ~31-33%</w:t>
            </w:r>
          </w:p>
        </w:tc>
        <w:tc>
          <w:tcPr>
            <w:tcW w:type="dxa" w:w="2009"/>
          </w:tcPr>
          <w:p>
            <w:r>
              <w:rPr>
                <w:b w:val="0"/>
                <w:i w:val="0"/>
                <w:sz w:val="15"/>
              </w:rPr>
              <w:t>Strong</w:t>
            </w:r>
          </w:p>
        </w:tc>
      </w:tr>
      <w:tr>
        <w:tc>
          <w:tcPr>
            <w:tcW w:type="dxa" w:w="2375"/>
            <w:shd w:val="clear" w:color="auto" w:fill="EEF1F6"/>
          </w:tcPr>
          <w:p>
            <w:r>
              <w:rPr>
                <w:b w:val="0"/>
                <w:i w:val="0"/>
                <w:sz w:val="15"/>
              </w:rPr>
              <w:t>Scalability</w:t>
            </w:r>
          </w:p>
        </w:tc>
        <w:tc>
          <w:tcPr>
            <w:tcW w:type="dxa" w:w="5480"/>
            <w:shd w:val="clear" w:color="auto" w:fill="EEF1F6"/>
          </w:tcPr>
          <w:p>
            <w:r>
              <w:rPr>
                <w:b w:val="0"/>
                <w:i w:val="0"/>
                <w:sz w:val="15"/>
              </w:rPr>
              <w:t>Core telco low-growth; AI-DC scalable but capital-intensive</w:t>
            </w:r>
          </w:p>
        </w:tc>
        <w:tc>
          <w:tcPr>
            <w:tcW w:type="dxa" w:w="2009"/>
            <w:shd w:val="clear" w:color="auto" w:fill="EEF1F6"/>
          </w:tcPr>
          <w:p>
            <w:r>
              <w:rPr>
                <w:b w:val="0"/>
                <w:i w:val="0"/>
                <w:sz w:val="15"/>
              </w:rPr>
              <w:t>Moderate</w:t>
            </w:r>
          </w:p>
        </w:tc>
      </w:tr>
      <w:tr>
        <w:tc>
          <w:tcPr>
            <w:tcW w:type="dxa" w:w="2375"/>
          </w:tcPr>
          <w:p>
            <w:r>
              <w:rPr>
                <w:b w:val="0"/>
                <w:i w:val="0"/>
                <w:sz w:val="15"/>
              </w:rPr>
              <w:t>Government interference risk</w:t>
            </w:r>
          </w:p>
        </w:tc>
        <w:tc>
          <w:tcPr>
            <w:tcW w:type="dxa" w:w="5480"/>
          </w:tcPr>
          <w:p>
            <w:r>
              <w:rPr>
                <w:b w:val="0"/>
                <w:i w:val="0"/>
                <w:sz w:val="15"/>
              </w:rPr>
              <w:t>High: tariff "guidance", forced compensation, record fines, spectrum pricing</w:t>
            </w:r>
          </w:p>
        </w:tc>
        <w:tc>
          <w:tcPr>
            <w:tcW w:type="dxa" w:w="2009"/>
          </w:tcPr>
          <w:p>
            <w:r>
              <w:rPr>
                <w:b w:val="0"/>
                <w:i w:val="0"/>
                <w:sz w:val="15"/>
              </w:rPr>
              <w:t>Negative factor</w:t>
            </w:r>
          </w:p>
        </w:tc>
      </w:tr>
      <w:tr>
        <w:tc>
          <w:tcPr>
            <w:tcW w:type="dxa" w:w="2375"/>
            <w:shd w:val="clear" w:color="auto" w:fill="EEF1F6"/>
          </w:tcPr>
          <w:p>
            <w:r>
              <w:rPr>
                <w:b w:val="0"/>
                <w:i w:val="0"/>
                <w:sz w:val="15"/>
              </w:rPr>
              <w:t>Bargaining power vs stakeholders</w:t>
            </w:r>
          </w:p>
        </w:tc>
        <w:tc>
          <w:tcPr>
            <w:tcW w:type="dxa" w:w="5480"/>
            <w:shd w:val="clear" w:color="auto" w:fill="EEF1F6"/>
          </w:tcPr>
          <w:p>
            <w:r>
              <w:rPr>
                <w:b w:val="0"/>
                <w:i w:val="0"/>
                <w:sz w:val="15"/>
              </w:rPr>
              <w:t>Strong vs handset dealers and MVNOs; weak vs Samsung/Apple and vs government; moderate vs hyperscalers</w:t>
            </w:r>
          </w:p>
        </w:tc>
        <w:tc>
          <w:tcPr>
            <w:tcW w:type="dxa" w:w="2009"/>
            <w:shd w:val="clear" w:color="auto" w:fill="EEF1F6"/>
          </w:tcPr>
          <w:p>
            <w:r>
              <w:rPr>
                <w:b w:val="0"/>
                <w:i w:val="0"/>
                <w:sz w:val="15"/>
              </w:rPr>
              <w:t>Moderate</w:t>
            </w:r>
          </w:p>
        </w:tc>
      </w:tr>
    </w:tbl>
    <w:p/>
    <w:p>
      <w:pPr>
        <w:pStyle w:val="Heading2"/>
      </w:pPr>
      <w:r>
        <w:rPr>
          <w:b/>
          <w:i w:val="0"/>
          <w:color w:val="2D6CCB"/>
          <w:sz w:val="24"/>
        </w:rPr>
        <w:t>Product comparison vs competitors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614"/>
            <w:shd w:val="clear" w:color="auto" w:fill="13223F"/>
          </w:tcPr>
          <w:p>
            <w:r>
              <w:rPr>
                <w:b/>
                <w:i w:val="0"/>
                <w:color w:val="FFFFFF"/>
                <w:sz w:val="15"/>
              </w:rPr>
              <w:t>Attribute</w:t>
            </w:r>
          </w:p>
        </w:tc>
        <w:tc>
          <w:tcPr>
            <w:tcW w:type="dxa" w:w="2511"/>
            <w:shd w:val="clear" w:color="auto" w:fill="13223F"/>
          </w:tcPr>
          <w:p>
            <w:r>
              <w:rPr>
                <w:b/>
                <w:i w:val="0"/>
                <w:color w:val="FFFFFF"/>
                <w:sz w:val="15"/>
              </w:rPr>
              <w:t>SK Telecom</w:t>
            </w:r>
          </w:p>
        </w:tc>
        <w:tc>
          <w:tcPr>
            <w:tcW w:type="dxa" w:w="2152"/>
            <w:shd w:val="clear" w:color="auto" w:fill="13223F"/>
          </w:tcPr>
          <w:p>
            <w:r>
              <w:rPr>
                <w:b/>
                <w:i w:val="0"/>
                <w:color w:val="FFFFFF"/>
                <w:sz w:val="15"/>
              </w:rPr>
              <w:t>KT</w:t>
            </w:r>
          </w:p>
        </w:tc>
        <w:tc>
          <w:tcPr>
            <w:tcW w:type="dxa" w:w="1973"/>
            <w:shd w:val="clear" w:color="auto" w:fill="13223F"/>
          </w:tcPr>
          <w:p>
            <w:r>
              <w:rPr>
                <w:b/>
                <w:i w:val="0"/>
                <w:color w:val="FFFFFF"/>
                <w:sz w:val="15"/>
              </w:rPr>
              <w:t>LG Uplus</w:t>
            </w:r>
          </w:p>
        </w:tc>
        <w:tc>
          <w:tcPr>
            <w:tcW w:type="dxa" w:w="1614"/>
            <w:shd w:val="clear" w:color="auto" w:fill="13223F"/>
          </w:tcPr>
          <w:p>
            <w:r>
              <w:rPr>
                <w:b/>
                <w:i w:val="0"/>
                <w:color w:val="FFFFFF"/>
                <w:sz w:val="15"/>
              </w:rPr>
              <w:t>MVNOs</w:t>
            </w:r>
          </w:p>
        </w:tc>
      </w:tr>
      <w:tr>
        <w:tc>
          <w:tcPr>
            <w:tcW w:type="dxa" w:w="1614"/>
          </w:tcPr>
          <w:p>
            <w:r>
              <w:rPr>
                <w:b w:val="0"/>
                <w:i w:val="0"/>
                <w:sz w:val="15"/>
              </w:rPr>
              <w:t>Perceived value</w:t>
            </w:r>
          </w:p>
        </w:tc>
        <w:tc>
          <w:tcPr>
            <w:tcW w:type="dxa" w:w="2511"/>
          </w:tcPr>
          <w:p>
            <w:r>
              <w:rPr>
                <w:b w:val="0"/>
                <w:i w:val="0"/>
                <w:sz w:val="15"/>
              </w:rPr>
              <w:t>Premium price, best network perception (pre-breach)</w:t>
            </w:r>
          </w:p>
        </w:tc>
        <w:tc>
          <w:tcPr>
            <w:tcW w:type="dxa" w:w="2152"/>
          </w:tcPr>
          <w:p>
            <w:r>
              <w:rPr>
                <w:b w:val="0"/>
                <w:i w:val="0"/>
                <w:sz w:val="15"/>
              </w:rPr>
              <w:t>Mid-premium; strongest fixed-line</w:t>
            </w:r>
          </w:p>
        </w:tc>
        <w:tc>
          <w:tcPr>
            <w:tcW w:type="dxa" w:w="1973"/>
          </w:tcPr>
          <w:p>
            <w:r>
              <w:rPr>
                <w:b w:val="0"/>
                <w:i w:val="0"/>
                <w:sz w:val="15"/>
              </w:rPr>
              <w:t>Value / youth marketing</w:t>
            </w:r>
          </w:p>
        </w:tc>
        <w:tc>
          <w:tcPr>
            <w:tcW w:type="dxa" w:w="1614"/>
          </w:tcPr>
          <w:p>
            <w:r>
              <w:rPr>
                <w:b w:val="0"/>
                <w:i w:val="0"/>
                <w:sz w:val="15"/>
              </w:rPr>
              <w:t>Cheapest, bank-bundled</w:t>
            </w:r>
          </w:p>
        </w:tc>
      </w:tr>
      <w:tr>
        <w:tc>
          <w:tcPr>
            <w:tcW w:type="dxa" w:w="1614"/>
            <w:shd w:val="clear" w:color="auto" w:fill="EEF1F6"/>
          </w:tcPr>
          <w:p>
            <w:r>
              <w:rPr>
                <w:b w:val="0"/>
                <w:i w:val="0"/>
                <w:sz w:val="15"/>
              </w:rPr>
              <w:t>Brand</w:t>
            </w:r>
          </w:p>
        </w:tc>
        <w:tc>
          <w:tcPr>
            <w:tcW w:type="dxa" w:w="2511"/>
            <w:shd w:val="clear" w:color="auto" w:fill="EEF1F6"/>
          </w:tcPr>
          <w:p>
            <w:r>
              <w:rPr>
                <w:b w:val="0"/>
                <w:i w:val="0"/>
                <w:sz w:val="15"/>
              </w:rPr>
              <w:t>Strongest, damaged 2025</w:t>
            </w:r>
          </w:p>
        </w:tc>
        <w:tc>
          <w:tcPr>
            <w:tcW w:type="dxa" w:w="2152"/>
            <w:shd w:val="clear" w:color="auto" w:fill="EEF1F6"/>
          </w:tcPr>
          <w:p>
            <w:r>
              <w:rPr>
                <w:b w:val="0"/>
                <w:i w:val="0"/>
                <w:sz w:val="15"/>
              </w:rPr>
              <w:t>Damaged by 2025-26 fraud/cover-up</w:t>
            </w:r>
          </w:p>
        </w:tc>
        <w:tc>
          <w:tcPr>
            <w:tcW w:type="dxa" w:w="1973"/>
            <w:shd w:val="clear" w:color="auto" w:fill="EEF1F6"/>
          </w:tcPr>
          <w:p>
            <w:r>
              <w:rPr>
                <w:b w:val="0"/>
                <w:i w:val="0"/>
                <w:sz w:val="15"/>
              </w:rPr>
              <w:t>Damaged by 2025 breach</w:t>
            </w:r>
          </w:p>
        </w:tc>
        <w:tc>
          <w:tcPr>
            <w:tcW w:type="dxa" w:w="1614"/>
            <w:shd w:val="clear" w:color="auto" w:fill="EEF1F6"/>
          </w:tcPr>
          <w:p>
            <w:r>
              <w:rPr>
                <w:b w:val="0"/>
                <w:i w:val="0"/>
                <w:sz w:val="15"/>
              </w:rPr>
              <w:t>Fintech brands (Toss, KB)</w:t>
            </w:r>
          </w:p>
        </w:tc>
      </w:tr>
      <w:tr>
        <w:tc>
          <w:tcPr>
            <w:tcW w:type="dxa" w:w="1614"/>
          </w:tcPr>
          <w:p>
            <w:r>
              <w:rPr>
                <w:b w:val="0"/>
                <w:i w:val="0"/>
                <w:sz w:val="15"/>
              </w:rPr>
              <w:t>Fixed/Media</w:t>
            </w:r>
          </w:p>
        </w:tc>
        <w:tc>
          <w:tcPr>
            <w:tcW w:type="dxa" w:w="2511"/>
          </w:tcPr>
          <w:p>
            <w:r>
              <w:rPr>
                <w:b w:val="0"/>
                <w:i w:val="0"/>
                <w:sz w:val="15"/>
              </w:rPr>
              <w:t>#2 broadband (28.7%), #2 pay-TV (~26%)</w:t>
            </w:r>
          </w:p>
        </w:tc>
        <w:tc>
          <w:tcPr>
            <w:tcW w:type="dxa" w:w="2152"/>
          </w:tcPr>
          <w:p>
            <w:r>
              <w:rPr>
                <w:b w:val="0"/>
                <w:i w:val="0"/>
                <w:sz w:val="15"/>
              </w:rPr>
              <w:t>#1 (40%+) incl. Skylife</w:t>
            </w:r>
          </w:p>
        </w:tc>
        <w:tc>
          <w:tcPr>
            <w:tcW w:type="dxa" w:w="1973"/>
          </w:tcPr>
          <w:p>
            <w:r>
              <w:rPr>
                <w:b w:val="0"/>
                <w:i w:val="0"/>
                <w:sz w:val="15"/>
              </w:rPr>
              <w:t>#3</w:t>
            </w:r>
          </w:p>
        </w:tc>
        <w:tc>
          <w:tcPr>
            <w:tcW w:type="dxa" w:w="1614"/>
          </w:tcPr>
          <w:p>
            <w:r>
              <w:rPr>
                <w:b w:val="0"/>
                <w:i w:val="0"/>
                <w:sz w:val="15"/>
              </w:rPr>
              <w:t>n/a</w:t>
            </w:r>
          </w:p>
        </w:tc>
      </w:tr>
      <w:tr>
        <w:tc>
          <w:tcPr>
            <w:tcW w:type="dxa" w:w="1614"/>
            <w:shd w:val="clear" w:color="auto" w:fill="EEF1F6"/>
          </w:tcPr>
          <w:p>
            <w:r>
              <w:rPr>
                <w:b w:val="0"/>
                <w:i w:val="0"/>
                <w:sz w:val="15"/>
              </w:rPr>
              <w:t>AI positioning</w:t>
            </w:r>
          </w:p>
        </w:tc>
        <w:tc>
          <w:tcPr>
            <w:tcW w:type="dxa" w:w="2511"/>
            <w:shd w:val="clear" w:color="auto" w:fill="EEF1F6"/>
          </w:tcPr>
          <w:p>
            <w:r>
              <w:rPr>
                <w:b w:val="0"/>
                <w:i w:val="0"/>
                <w:sz w:val="15"/>
              </w:rPr>
              <w:t>Most aggressive: Anthropic, OpenAI, A.X, AI-DC, SK hynix links</w:t>
            </w:r>
          </w:p>
        </w:tc>
        <w:tc>
          <w:tcPr>
            <w:tcW w:type="dxa" w:w="2152"/>
            <w:shd w:val="clear" w:color="auto" w:fill="EEF1F6"/>
          </w:tcPr>
          <w:p>
            <w:r>
              <w:rPr>
                <w:b w:val="0"/>
                <w:i w:val="0"/>
                <w:sz w:val="15"/>
              </w:rPr>
              <w:t>Microsoft partnership, KT Cloud</w:t>
            </w:r>
          </w:p>
        </w:tc>
        <w:tc>
          <w:tcPr>
            <w:tcW w:type="dxa" w:w="1973"/>
            <w:shd w:val="clear" w:color="auto" w:fill="EEF1F6"/>
          </w:tcPr>
          <w:p>
            <w:r>
              <w:rPr>
                <w:b w:val="0"/>
                <w:i w:val="0"/>
                <w:sz w:val="15"/>
              </w:rPr>
              <w:t>Exaone via LG AI Research</w:t>
            </w:r>
          </w:p>
        </w:tc>
        <w:tc>
          <w:tcPr>
            <w:tcW w:type="dxa" w:w="1614"/>
            <w:shd w:val="clear" w:color="auto" w:fill="EEF1F6"/>
          </w:tcPr>
          <w:p>
            <w:r>
              <w:rPr>
                <w:b w:val="0"/>
                <w:i w:val="0"/>
                <w:sz w:val="15"/>
              </w:rPr>
              <w:t>n/a</w:t>
            </w:r>
          </w:p>
        </w:tc>
      </w:tr>
    </w:tbl>
    <w:p/>
    <w:p>
      <w:r>
        <w:br w:type="page"/>
      </w:r>
    </w:p>
    <w:p>
      <w:pPr>
        <w:pStyle w:val="Heading1"/>
      </w:pPr>
      <w:r>
        <w:rPr>
          <w:b/>
          <w:i w:val="0"/>
          <w:color w:val="13223F"/>
          <w:sz w:val="32"/>
        </w:rPr>
        <w:t>7. Supply chain map - from inputs to end customer</w:t>
      </w:r>
    </w:p>
    <w:p>
      <w:r>
        <w:drawing>
          <wp:inline xmlns:a="http://schemas.openxmlformats.org/drawingml/2006/main" xmlns:pic="http://schemas.openxmlformats.org/drawingml/2006/picture">
            <wp:extent cx="6263999" cy="3565661"/>
            <wp:docPr id="2" name="Picture 2"/>
            <wp:cNvGraphicFramePr>
              <a:graphicFrameLocks noChangeAspect="1"/>
            </wp:cNvGraphicFramePr>
            <a:graphic>
              <a:graphicData uri="http://schemas.openxmlformats.org/drawingml/2006/picture">
                <pic:pic>
                  <pic:nvPicPr>
                    <pic:cNvPr id="0" name="c_supply.png"/>
                    <pic:cNvPicPr/>
                  </pic:nvPicPr>
                  <pic:blipFill>
                    <a:blip r:embed="rId10"/>
                    <a:stretch>
                      <a:fillRect/>
                    </a:stretch>
                  </pic:blipFill>
                  <pic:spPr>
                    <a:xfrm>
                      <a:off x="0" y="0"/>
                      <a:ext cx="6263999" cy="3565661"/>
                    </a:xfrm>
                    <a:prstGeom prst="rect"/>
                  </pic:spPr>
                </pic:pic>
              </a:graphicData>
            </a:graphic>
          </wp:inline>
        </w:drawing>
      </w:r>
    </w:p>
    <w:p>
      <w:r>
        <w:rPr>
          <w:b w:val="0"/>
          <w:i w:val="0"/>
          <w:color w:val="5B6475"/>
          <w:sz w:val="15"/>
        </w:rPr>
        <w:t>Source: company disclosures, press; compiled by us. Market-share and ownership figures as cited elsewhere in this report.</w:t>
      </w:r>
    </w:p>
    <w:p>
      <w:pPr>
        <w:pStyle w:val="ListBullet"/>
        <w:spacing w:after="20"/>
      </w:pPr>
      <w:r>
        <w:rPr>
          <w:b/>
          <w:i w:val="0"/>
        </w:rPr>
        <w:t>Where the power sits:</w:t>
      </w:r>
      <w:r>
        <w:rPr>
          <w:b w:val="0"/>
          <w:i w:val="0"/>
        </w:rPr>
        <w:t xml:space="preserve"> upstream, Samsung/Apple and the government (spectrum, tariffs) hold the pricing power; midstream, SKT controls network, billing and the customer relationship - where the margin is earned; downstream, dealers and MVNOs depend on SKT's network and subsidies.</w:t>
      </w:r>
    </w:p>
    <w:p>
      <w:pPr>
        <w:pStyle w:val="ListBullet"/>
        <w:spacing w:after="20"/>
      </w:pPr>
      <w:r>
        <w:rPr>
          <w:b/>
          <w:i w:val="0"/>
        </w:rPr>
        <w:t>New AI stack:</w:t>
      </w:r>
      <w:r>
        <w:rPr>
          <w:b w:val="0"/>
          <w:i w:val="0"/>
        </w:rPr>
        <w:t xml:space="preserve"> SKT positions itself as the Korean "AI infrastructure layer" - buying Nvidia GPUs and SK hynix HBM, hosting AWS/AI labs, and reselling Anthropic/OpenAI/Perplexity models through A. to 23m consumers.</w:t>
      </w:r>
    </w:p>
    <w:p>
      <w:pPr>
        <w:pStyle w:val="ListBullet"/>
        <w:spacing w:after="20"/>
      </w:pPr>
      <w:r>
        <w:rPr>
          <w:b/>
          <w:i w:val="0"/>
        </w:rPr>
        <w:t>Related parties are embedded:</w:t>
      </w:r>
      <w:r>
        <w:rPr>
          <w:b w:val="0"/>
          <w:i w:val="0"/>
        </w:rPr>
        <w:t xml:space="preserve"> SK Inc. (brand, control), SK AX (IT outsourcing), SK hynix (memory), SK Square (former sister portfolio).</w:t>
      </w:r>
    </w:p>
    <w:p>
      <w:r>
        <w:br w:type="page"/>
      </w:r>
    </w:p>
    <w:p>
      <w:pPr>
        <w:pStyle w:val="Heading1"/>
      </w:pPr>
      <w:r>
        <w:rPr>
          <w:b/>
          <w:i w:val="0"/>
          <w:color w:val="13223F"/>
          <w:sz w:val="32"/>
        </w:rPr>
        <w:t>8. Financial analysis - five-year history by division and geography</w:t>
      </w:r>
    </w:p>
    <w:p>
      <w:pPr>
        <w:pStyle w:val="Heading2"/>
      </w:pPr>
      <w:r>
        <w:rPr>
          <w:b/>
          <w:i w:val="0"/>
          <w:color w:val="2D6CCB"/>
          <w:sz w:val="24"/>
        </w:rPr>
        <w:t>8.1 Consolidated P&amp;L, FY2021-FY2025 (K-IFRS, KRW bn)</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973"/>
            <w:shd w:val="clear" w:color="auto" w:fill="13223F"/>
          </w:tcPr>
          <w:p>
            <w:r>
              <w:rPr>
                <w:b/>
                <w:i w:val="0"/>
                <w:color w:val="FFFFFF"/>
                <w:sz w:val="15"/>
              </w:rPr>
              <w:t>KRW bn</w:t>
            </w:r>
          </w:p>
        </w:tc>
        <w:tc>
          <w:tcPr>
            <w:tcW w:type="dxa" w:w="1029"/>
            <w:shd w:val="clear" w:color="auto" w:fill="13223F"/>
          </w:tcPr>
          <w:p>
            <w:r>
              <w:rPr>
                <w:b/>
                <w:i w:val="0"/>
                <w:color w:val="FFFFFF"/>
                <w:sz w:val="15"/>
              </w:rPr>
              <w:t>FY2021</w:t>
            </w:r>
          </w:p>
        </w:tc>
        <w:tc>
          <w:tcPr>
            <w:tcW w:type="dxa" w:w="1029"/>
            <w:shd w:val="clear" w:color="auto" w:fill="13223F"/>
          </w:tcPr>
          <w:p>
            <w:r>
              <w:rPr>
                <w:b/>
                <w:i w:val="0"/>
                <w:color w:val="FFFFFF"/>
                <w:sz w:val="15"/>
              </w:rPr>
              <w:t>FY2022</w:t>
            </w:r>
          </w:p>
        </w:tc>
        <w:tc>
          <w:tcPr>
            <w:tcW w:type="dxa" w:w="1029"/>
            <w:shd w:val="clear" w:color="auto" w:fill="13223F"/>
          </w:tcPr>
          <w:p>
            <w:r>
              <w:rPr>
                <w:b/>
                <w:i w:val="0"/>
                <w:color w:val="FFFFFF"/>
                <w:sz w:val="15"/>
              </w:rPr>
              <w:t>FY2023</w:t>
            </w:r>
          </w:p>
        </w:tc>
        <w:tc>
          <w:tcPr>
            <w:tcW w:type="dxa" w:w="1201"/>
            <w:shd w:val="clear" w:color="auto" w:fill="13223F"/>
          </w:tcPr>
          <w:p>
            <w:r>
              <w:rPr>
                <w:b/>
                <w:i w:val="0"/>
                <w:color w:val="FFFFFF"/>
                <w:sz w:val="15"/>
              </w:rPr>
              <w:t>FY2024</w:t>
            </w:r>
          </w:p>
        </w:tc>
        <w:tc>
          <w:tcPr>
            <w:tcW w:type="dxa" w:w="1201"/>
            <w:shd w:val="clear" w:color="auto" w:fill="13223F"/>
          </w:tcPr>
          <w:p>
            <w:r>
              <w:rPr>
                <w:b/>
                <w:i w:val="0"/>
                <w:color w:val="FFFFFF"/>
                <w:sz w:val="15"/>
              </w:rPr>
              <w:t>FY2025</w:t>
            </w:r>
          </w:p>
        </w:tc>
        <w:tc>
          <w:tcPr>
            <w:tcW w:type="dxa" w:w="2402"/>
            <w:shd w:val="clear" w:color="auto" w:fill="13223F"/>
          </w:tcPr>
          <w:p>
            <w:r>
              <w:rPr>
                <w:b/>
                <w:i w:val="0"/>
                <w:color w:val="FFFFFF"/>
                <w:sz w:val="15"/>
              </w:rPr>
              <w:t>5-yr trend</w:t>
            </w:r>
          </w:p>
        </w:tc>
      </w:tr>
      <w:tr>
        <w:tc>
          <w:tcPr>
            <w:tcW w:type="dxa" w:w="1973"/>
          </w:tcPr>
          <w:p>
            <w:r>
              <w:rPr>
                <w:b w:val="0"/>
                <w:i w:val="0"/>
                <w:sz w:val="15"/>
              </w:rPr>
              <w:t>Revenue</w:t>
            </w:r>
          </w:p>
        </w:tc>
        <w:tc>
          <w:tcPr>
            <w:tcW w:type="dxa" w:w="1029"/>
          </w:tcPr>
          <w:p>
            <w:r>
              <w:rPr>
                <w:b w:val="0"/>
                <w:i w:val="0"/>
                <w:sz w:val="15"/>
              </w:rPr>
              <w:t>16,749</w:t>
            </w:r>
          </w:p>
        </w:tc>
        <w:tc>
          <w:tcPr>
            <w:tcW w:type="dxa" w:w="1029"/>
          </w:tcPr>
          <w:p>
            <w:r>
              <w:rPr>
                <w:b w:val="0"/>
                <w:i w:val="0"/>
                <w:sz w:val="15"/>
              </w:rPr>
              <w:t>17,305</w:t>
            </w:r>
          </w:p>
        </w:tc>
        <w:tc>
          <w:tcPr>
            <w:tcW w:type="dxa" w:w="1029"/>
          </w:tcPr>
          <w:p>
            <w:r>
              <w:rPr>
                <w:b w:val="0"/>
                <w:i w:val="0"/>
                <w:sz w:val="15"/>
              </w:rPr>
              <w:t>17,609</w:t>
            </w:r>
          </w:p>
        </w:tc>
        <w:tc>
          <w:tcPr>
            <w:tcW w:type="dxa" w:w="1201"/>
          </w:tcPr>
          <w:p>
            <w:r>
              <w:rPr>
                <w:b w:val="0"/>
                <w:i w:val="0"/>
                <w:sz w:val="15"/>
              </w:rPr>
              <w:t>17,941</w:t>
            </w:r>
          </w:p>
        </w:tc>
        <w:tc>
          <w:tcPr>
            <w:tcW w:type="dxa" w:w="1201"/>
          </w:tcPr>
          <w:p>
            <w:r>
              <w:rPr>
                <w:b w:val="0"/>
                <w:i w:val="0"/>
                <w:sz w:val="15"/>
              </w:rPr>
              <w:t>17,099</w:t>
            </w:r>
          </w:p>
        </w:tc>
        <w:tc>
          <w:tcPr>
            <w:tcW w:type="dxa" w:w="2402"/>
          </w:tcPr>
          <w:p>
            <w:r>
              <w:rPr>
                <w:b w:val="0"/>
                <w:i w:val="0"/>
                <w:sz w:val="15"/>
              </w:rPr>
              <w:t>CAGR +0.5%; FY25 -4.7% (breach)</w:t>
            </w:r>
          </w:p>
        </w:tc>
      </w:tr>
      <w:tr>
        <w:tc>
          <w:tcPr>
            <w:tcW w:type="dxa" w:w="1973"/>
            <w:shd w:val="clear" w:color="auto" w:fill="EEF1F6"/>
          </w:tcPr>
          <w:p>
            <w:r>
              <w:rPr>
                <w:b w:val="0"/>
                <w:i w:val="0"/>
                <w:sz w:val="15"/>
              </w:rPr>
              <w:t xml:space="preserve"> growth y/y</w:t>
            </w:r>
          </w:p>
        </w:tc>
        <w:tc>
          <w:tcPr>
            <w:tcW w:type="dxa" w:w="1029"/>
            <w:shd w:val="clear" w:color="auto" w:fill="EEF1F6"/>
          </w:tcPr>
          <w:p>
            <w:r>
              <w:rPr>
                <w:b w:val="0"/>
                <w:i w:val="0"/>
                <w:sz w:val="15"/>
              </w:rPr>
              <w:t>+4.1%</w:t>
            </w:r>
          </w:p>
        </w:tc>
        <w:tc>
          <w:tcPr>
            <w:tcW w:type="dxa" w:w="1029"/>
            <w:shd w:val="clear" w:color="auto" w:fill="EEF1F6"/>
          </w:tcPr>
          <w:p>
            <w:r>
              <w:rPr>
                <w:b w:val="0"/>
                <w:i w:val="0"/>
                <w:sz w:val="15"/>
              </w:rPr>
              <w:t>+3.3%</w:t>
            </w:r>
          </w:p>
        </w:tc>
        <w:tc>
          <w:tcPr>
            <w:tcW w:type="dxa" w:w="1029"/>
            <w:shd w:val="clear" w:color="auto" w:fill="EEF1F6"/>
          </w:tcPr>
          <w:p>
            <w:r>
              <w:rPr>
                <w:b w:val="0"/>
                <w:i w:val="0"/>
                <w:sz w:val="15"/>
              </w:rPr>
              <w:t>+1.8%</w:t>
            </w:r>
          </w:p>
        </w:tc>
        <w:tc>
          <w:tcPr>
            <w:tcW w:type="dxa" w:w="1201"/>
            <w:shd w:val="clear" w:color="auto" w:fill="EEF1F6"/>
          </w:tcPr>
          <w:p>
            <w:r>
              <w:rPr>
                <w:b w:val="0"/>
                <w:i w:val="0"/>
                <w:sz w:val="15"/>
              </w:rPr>
              <w:t>+1.9%</w:t>
            </w:r>
          </w:p>
        </w:tc>
        <w:tc>
          <w:tcPr>
            <w:tcW w:type="dxa" w:w="1201"/>
            <w:shd w:val="clear" w:color="auto" w:fill="EEF1F6"/>
          </w:tcPr>
          <w:p>
            <w:r>
              <w:rPr>
                <w:b w:val="0"/>
                <w:i w:val="0"/>
                <w:sz w:val="15"/>
              </w:rPr>
              <w:t>-4.7%</w:t>
            </w:r>
          </w:p>
        </w:tc>
        <w:tc>
          <w:tcPr>
            <w:tcW w:type="dxa" w:w="2402"/>
            <w:shd w:val="clear" w:color="auto" w:fill="EEF1F6"/>
          </w:tcPr>
          <w:p>
            <w:r>
              <w:rPr>
                <w:b w:val="0"/>
                <w:i w:val="0"/>
                <w:sz w:val="15"/>
              </w:rPr>
              <w:t>Decelerating even pre-breach</w:t>
            </w:r>
          </w:p>
        </w:tc>
      </w:tr>
      <w:tr>
        <w:tc>
          <w:tcPr>
            <w:tcW w:type="dxa" w:w="1973"/>
          </w:tcPr>
          <w:p>
            <w:r>
              <w:rPr>
                <w:b w:val="0"/>
                <w:i w:val="0"/>
                <w:sz w:val="15"/>
              </w:rPr>
              <w:t>EBITDA</w:t>
            </w:r>
          </w:p>
        </w:tc>
        <w:tc>
          <w:tcPr>
            <w:tcW w:type="dxa" w:w="1029"/>
          </w:tcPr>
          <w:p>
            <w:r>
              <w:rPr>
                <w:b w:val="0"/>
                <w:i w:val="0"/>
                <w:sz w:val="15"/>
              </w:rPr>
              <w:t>~5,207 [u]</w:t>
            </w:r>
          </w:p>
        </w:tc>
        <w:tc>
          <w:tcPr>
            <w:tcW w:type="dxa" w:w="1029"/>
          </w:tcPr>
          <w:p>
            <w:r>
              <w:rPr>
                <w:b w:val="0"/>
                <w:i w:val="0"/>
                <w:sz w:val="15"/>
              </w:rPr>
              <w:t>~5,367 [u]</w:t>
            </w:r>
          </w:p>
        </w:tc>
        <w:tc>
          <w:tcPr>
            <w:tcW w:type="dxa" w:w="1029"/>
          </w:tcPr>
          <w:p>
            <w:r>
              <w:rPr>
                <w:b w:val="0"/>
                <w:i w:val="0"/>
                <w:sz w:val="15"/>
              </w:rPr>
              <w:t>~5,504</w:t>
            </w:r>
          </w:p>
        </w:tc>
        <w:tc>
          <w:tcPr>
            <w:tcW w:type="dxa" w:w="1201"/>
          </w:tcPr>
          <w:p>
            <w:r>
              <w:rPr>
                <w:b w:val="0"/>
                <w:i w:val="0"/>
                <w:sz w:val="15"/>
              </w:rPr>
              <w:t>~5,520</w:t>
            </w:r>
          </w:p>
        </w:tc>
        <w:tc>
          <w:tcPr>
            <w:tcW w:type="dxa" w:w="1201"/>
          </w:tcPr>
          <w:p>
            <w:r>
              <w:rPr>
                <w:b w:val="0"/>
                <w:i w:val="0"/>
                <w:sz w:val="15"/>
              </w:rPr>
              <w:t>~4,663</w:t>
            </w:r>
          </w:p>
        </w:tc>
        <w:tc>
          <w:tcPr>
            <w:tcW w:type="dxa" w:w="2402"/>
          </w:tcPr>
          <w:p>
            <w:r>
              <w:rPr>
                <w:b w:val="0"/>
                <w:i w:val="0"/>
                <w:sz w:val="15"/>
              </w:rPr>
              <w:t>Flat ex-2025</w:t>
            </w:r>
          </w:p>
        </w:tc>
      </w:tr>
      <w:tr>
        <w:tc>
          <w:tcPr>
            <w:tcW w:type="dxa" w:w="1973"/>
            <w:shd w:val="clear" w:color="auto" w:fill="EEF1F6"/>
          </w:tcPr>
          <w:p>
            <w:r>
              <w:rPr>
                <w:b w:val="0"/>
                <w:i w:val="0"/>
                <w:sz w:val="15"/>
              </w:rPr>
              <w:t xml:space="preserve"> EBITDA margin</w:t>
            </w:r>
          </w:p>
        </w:tc>
        <w:tc>
          <w:tcPr>
            <w:tcW w:type="dxa" w:w="1029"/>
            <w:shd w:val="clear" w:color="auto" w:fill="EEF1F6"/>
          </w:tcPr>
          <w:p>
            <w:r>
              <w:rPr>
                <w:b w:val="0"/>
                <w:i w:val="0"/>
                <w:sz w:val="15"/>
              </w:rPr>
              <w:t>~31.1%</w:t>
            </w:r>
          </w:p>
        </w:tc>
        <w:tc>
          <w:tcPr>
            <w:tcW w:type="dxa" w:w="1029"/>
            <w:shd w:val="clear" w:color="auto" w:fill="EEF1F6"/>
          </w:tcPr>
          <w:p>
            <w:r>
              <w:rPr>
                <w:b w:val="0"/>
                <w:i w:val="0"/>
                <w:sz w:val="15"/>
              </w:rPr>
              <w:t>~31.0%</w:t>
            </w:r>
          </w:p>
        </w:tc>
        <w:tc>
          <w:tcPr>
            <w:tcW w:type="dxa" w:w="1029"/>
            <w:shd w:val="clear" w:color="auto" w:fill="EEF1F6"/>
          </w:tcPr>
          <w:p>
            <w:r>
              <w:rPr>
                <w:b w:val="0"/>
                <w:i w:val="0"/>
                <w:sz w:val="15"/>
              </w:rPr>
              <w:t>31.3%</w:t>
            </w:r>
          </w:p>
        </w:tc>
        <w:tc>
          <w:tcPr>
            <w:tcW w:type="dxa" w:w="1201"/>
            <w:shd w:val="clear" w:color="auto" w:fill="EEF1F6"/>
          </w:tcPr>
          <w:p>
            <w:r>
              <w:rPr>
                <w:b w:val="0"/>
                <w:i w:val="0"/>
                <w:sz w:val="15"/>
              </w:rPr>
              <w:t>30.8%</w:t>
            </w:r>
          </w:p>
        </w:tc>
        <w:tc>
          <w:tcPr>
            <w:tcW w:type="dxa" w:w="1201"/>
            <w:shd w:val="clear" w:color="auto" w:fill="EEF1F6"/>
          </w:tcPr>
          <w:p>
            <w:r>
              <w:rPr>
                <w:b w:val="0"/>
                <w:i w:val="0"/>
                <w:sz w:val="15"/>
              </w:rPr>
              <w:t>27.3%</w:t>
            </w:r>
          </w:p>
        </w:tc>
        <w:tc>
          <w:tcPr>
            <w:tcW w:type="dxa" w:w="2402"/>
            <w:shd w:val="clear" w:color="auto" w:fill="EEF1F6"/>
          </w:tcPr>
          <w:p/>
        </w:tc>
      </w:tr>
      <w:tr>
        <w:tc>
          <w:tcPr>
            <w:tcW w:type="dxa" w:w="1973"/>
          </w:tcPr>
          <w:p>
            <w:r>
              <w:rPr>
                <w:b w:val="0"/>
                <w:i w:val="0"/>
                <w:sz w:val="15"/>
              </w:rPr>
              <w:t>Operating income (EBIT)</w:t>
            </w:r>
          </w:p>
        </w:tc>
        <w:tc>
          <w:tcPr>
            <w:tcW w:type="dxa" w:w="1029"/>
          </w:tcPr>
          <w:p>
            <w:r>
              <w:rPr>
                <w:b w:val="0"/>
                <w:i w:val="0"/>
                <w:sz w:val="15"/>
              </w:rPr>
              <w:t>1,387</w:t>
            </w:r>
          </w:p>
        </w:tc>
        <w:tc>
          <w:tcPr>
            <w:tcW w:type="dxa" w:w="1029"/>
          </w:tcPr>
          <w:p>
            <w:r>
              <w:rPr>
                <w:b w:val="0"/>
                <w:i w:val="0"/>
                <w:sz w:val="15"/>
              </w:rPr>
              <w:t>1,612</w:t>
            </w:r>
          </w:p>
        </w:tc>
        <w:tc>
          <w:tcPr>
            <w:tcW w:type="dxa" w:w="1029"/>
          </w:tcPr>
          <w:p>
            <w:r>
              <w:rPr>
                <w:b w:val="0"/>
                <w:i w:val="0"/>
                <w:sz w:val="15"/>
              </w:rPr>
              <w:t>1,753</w:t>
            </w:r>
          </w:p>
        </w:tc>
        <w:tc>
          <w:tcPr>
            <w:tcW w:type="dxa" w:w="1201"/>
          </w:tcPr>
          <w:p>
            <w:r>
              <w:rPr>
                <w:b w:val="0"/>
                <w:i w:val="0"/>
                <w:sz w:val="15"/>
              </w:rPr>
              <w:t>1,823</w:t>
            </w:r>
          </w:p>
        </w:tc>
        <w:tc>
          <w:tcPr>
            <w:tcW w:type="dxa" w:w="1201"/>
          </w:tcPr>
          <w:p>
            <w:r>
              <w:rPr>
                <w:b w:val="0"/>
                <w:i w:val="0"/>
                <w:sz w:val="15"/>
              </w:rPr>
              <w:t>1,073</w:t>
            </w:r>
          </w:p>
        </w:tc>
        <w:tc>
          <w:tcPr>
            <w:tcW w:type="dxa" w:w="2402"/>
          </w:tcPr>
          <w:p>
            <w:r>
              <w:rPr>
                <w:b w:val="0"/>
                <w:i w:val="0"/>
                <w:sz w:val="15"/>
              </w:rPr>
              <w:t>Peak FY24; -41% FY25</w:t>
            </w:r>
          </w:p>
        </w:tc>
      </w:tr>
      <w:tr>
        <w:tc>
          <w:tcPr>
            <w:tcW w:type="dxa" w:w="1973"/>
            <w:shd w:val="clear" w:color="auto" w:fill="EEF1F6"/>
          </w:tcPr>
          <w:p>
            <w:r>
              <w:rPr>
                <w:b w:val="0"/>
                <w:i w:val="0"/>
                <w:sz w:val="15"/>
              </w:rPr>
              <w:t xml:space="preserve"> EBIT margin</w:t>
            </w:r>
          </w:p>
        </w:tc>
        <w:tc>
          <w:tcPr>
            <w:tcW w:type="dxa" w:w="1029"/>
            <w:shd w:val="clear" w:color="auto" w:fill="EEF1F6"/>
          </w:tcPr>
          <w:p>
            <w:r>
              <w:rPr>
                <w:b w:val="0"/>
                <w:i w:val="0"/>
                <w:sz w:val="15"/>
              </w:rPr>
              <w:t>8.3%</w:t>
            </w:r>
          </w:p>
        </w:tc>
        <w:tc>
          <w:tcPr>
            <w:tcW w:type="dxa" w:w="1029"/>
            <w:shd w:val="clear" w:color="auto" w:fill="EEF1F6"/>
          </w:tcPr>
          <w:p>
            <w:r>
              <w:rPr>
                <w:b w:val="0"/>
                <w:i w:val="0"/>
                <w:sz w:val="15"/>
              </w:rPr>
              <w:t>9.3%</w:t>
            </w:r>
          </w:p>
        </w:tc>
        <w:tc>
          <w:tcPr>
            <w:tcW w:type="dxa" w:w="1029"/>
            <w:shd w:val="clear" w:color="auto" w:fill="EEF1F6"/>
          </w:tcPr>
          <w:p>
            <w:r>
              <w:rPr>
                <w:b w:val="0"/>
                <w:i w:val="0"/>
                <w:sz w:val="15"/>
              </w:rPr>
              <w:t>10.0%</w:t>
            </w:r>
          </w:p>
        </w:tc>
        <w:tc>
          <w:tcPr>
            <w:tcW w:type="dxa" w:w="1201"/>
            <w:shd w:val="clear" w:color="auto" w:fill="EEF1F6"/>
          </w:tcPr>
          <w:p>
            <w:r>
              <w:rPr>
                <w:b w:val="0"/>
                <w:i w:val="0"/>
                <w:sz w:val="15"/>
              </w:rPr>
              <w:t>10.2%</w:t>
            </w:r>
          </w:p>
        </w:tc>
        <w:tc>
          <w:tcPr>
            <w:tcW w:type="dxa" w:w="1201"/>
            <w:shd w:val="clear" w:color="auto" w:fill="EEF1F6"/>
          </w:tcPr>
          <w:p>
            <w:r>
              <w:rPr>
                <w:b w:val="0"/>
                <w:i w:val="0"/>
                <w:sz w:val="15"/>
              </w:rPr>
              <w:t>6.3%</w:t>
            </w:r>
          </w:p>
        </w:tc>
        <w:tc>
          <w:tcPr>
            <w:tcW w:type="dxa" w:w="2402"/>
            <w:shd w:val="clear" w:color="auto" w:fill="EEF1F6"/>
          </w:tcPr>
          <w:p>
            <w:r>
              <w:rPr>
                <w:b w:val="0"/>
                <w:i w:val="0"/>
                <w:sz w:val="15"/>
              </w:rPr>
              <w:t>+190bp FY21-24 via lower D&amp;A/marketing</w:t>
            </w:r>
          </w:p>
        </w:tc>
      </w:tr>
      <w:tr>
        <w:tc>
          <w:tcPr>
            <w:tcW w:type="dxa" w:w="1973"/>
          </w:tcPr>
          <w:p>
            <w:r>
              <w:rPr>
                <w:b w:val="0"/>
                <w:i w:val="0"/>
                <w:sz w:val="15"/>
              </w:rPr>
              <w:t>Net income (total)</w:t>
            </w:r>
          </w:p>
        </w:tc>
        <w:tc>
          <w:tcPr>
            <w:tcW w:type="dxa" w:w="1029"/>
          </w:tcPr>
          <w:p>
            <w:r>
              <w:rPr>
                <w:b w:val="0"/>
                <w:i w:val="0"/>
                <w:sz w:val="15"/>
              </w:rPr>
              <w:t>2,419*</w:t>
            </w:r>
          </w:p>
        </w:tc>
        <w:tc>
          <w:tcPr>
            <w:tcW w:type="dxa" w:w="1029"/>
          </w:tcPr>
          <w:p>
            <w:r>
              <w:rPr>
                <w:b w:val="0"/>
                <w:i w:val="0"/>
                <w:sz w:val="15"/>
              </w:rPr>
              <w:t>948</w:t>
            </w:r>
          </w:p>
        </w:tc>
        <w:tc>
          <w:tcPr>
            <w:tcW w:type="dxa" w:w="1029"/>
          </w:tcPr>
          <w:p>
            <w:r>
              <w:rPr>
                <w:b w:val="0"/>
                <w:i w:val="0"/>
                <w:sz w:val="15"/>
              </w:rPr>
              <w:t>1,146</w:t>
            </w:r>
          </w:p>
        </w:tc>
        <w:tc>
          <w:tcPr>
            <w:tcW w:type="dxa" w:w="1201"/>
          </w:tcPr>
          <w:p>
            <w:r>
              <w:rPr>
                <w:b w:val="0"/>
                <w:i w:val="0"/>
                <w:sz w:val="15"/>
              </w:rPr>
              <w:t>1,439</w:t>
            </w:r>
          </w:p>
        </w:tc>
        <w:tc>
          <w:tcPr>
            <w:tcW w:type="dxa" w:w="1201"/>
          </w:tcPr>
          <w:p>
            <w:r>
              <w:rPr>
                <w:b w:val="0"/>
                <w:i w:val="0"/>
                <w:sz w:val="15"/>
              </w:rPr>
              <w:t>375</w:t>
            </w:r>
          </w:p>
        </w:tc>
        <w:tc>
          <w:tcPr>
            <w:tcW w:type="dxa" w:w="2402"/>
          </w:tcPr>
          <w:p>
            <w:r>
              <w:rPr>
                <w:b w:val="0"/>
                <w:i w:val="0"/>
                <w:sz w:val="15"/>
              </w:rPr>
              <w:t>*incl. SK Square disc. ops</w:t>
            </w:r>
          </w:p>
        </w:tc>
      </w:tr>
      <w:tr>
        <w:tc>
          <w:tcPr>
            <w:tcW w:type="dxa" w:w="1973"/>
            <w:shd w:val="clear" w:color="auto" w:fill="EEF1F6"/>
          </w:tcPr>
          <w:p>
            <w:r>
              <w:rPr>
                <w:b w:val="0"/>
                <w:i w:val="0"/>
                <w:sz w:val="15"/>
              </w:rPr>
              <w:t>NI attributable</w:t>
            </w:r>
          </w:p>
        </w:tc>
        <w:tc>
          <w:tcPr>
            <w:tcW w:type="dxa" w:w="1029"/>
            <w:shd w:val="clear" w:color="auto" w:fill="EEF1F6"/>
          </w:tcPr>
          <w:p>
            <w:r>
              <w:rPr>
                <w:b w:val="0"/>
                <w:i w:val="0"/>
                <w:sz w:val="15"/>
              </w:rPr>
              <w:t>~2,407 [u]</w:t>
            </w:r>
          </w:p>
        </w:tc>
        <w:tc>
          <w:tcPr>
            <w:tcW w:type="dxa" w:w="1029"/>
            <w:shd w:val="clear" w:color="auto" w:fill="EEF1F6"/>
          </w:tcPr>
          <w:p>
            <w:r>
              <w:rPr>
                <w:b w:val="0"/>
                <w:i w:val="0"/>
                <w:sz w:val="15"/>
              </w:rPr>
              <w:t>~912 [u]</w:t>
            </w:r>
          </w:p>
        </w:tc>
        <w:tc>
          <w:tcPr>
            <w:tcW w:type="dxa" w:w="1029"/>
            <w:shd w:val="clear" w:color="auto" w:fill="EEF1F6"/>
          </w:tcPr>
          <w:p>
            <w:r>
              <w:rPr>
                <w:b w:val="0"/>
                <w:i w:val="0"/>
                <w:sz w:val="15"/>
              </w:rPr>
              <w:t>1,094</w:t>
            </w:r>
          </w:p>
        </w:tc>
        <w:tc>
          <w:tcPr>
            <w:tcW w:type="dxa" w:w="1201"/>
            <w:shd w:val="clear" w:color="auto" w:fill="EEF1F6"/>
          </w:tcPr>
          <w:p>
            <w:r>
              <w:rPr>
                <w:b w:val="0"/>
                <w:i w:val="0"/>
                <w:sz w:val="15"/>
              </w:rPr>
              <w:t>1,250</w:t>
            </w:r>
          </w:p>
        </w:tc>
        <w:tc>
          <w:tcPr>
            <w:tcW w:type="dxa" w:w="1201"/>
            <w:shd w:val="clear" w:color="auto" w:fill="EEF1F6"/>
          </w:tcPr>
          <w:p>
            <w:r>
              <w:rPr>
                <w:b w:val="0"/>
                <w:i w:val="0"/>
                <w:sz w:val="15"/>
              </w:rPr>
              <w:t>~390 [u]</w:t>
            </w:r>
          </w:p>
        </w:tc>
        <w:tc>
          <w:tcPr>
            <w:tcW w:type="dxa" w:w="2402"/>
            <w:shd w:val="clear" w:color="auto" w:fill="EEF1F6"/>
          </w:tcPr>
          <w:p/>
        </w:tc>
      </w:tr>
      <w:tr>
        <w:tc>
          <w:tcPr>
            <w:tcW w:type="dxa" w:w="1973"/>
          </w:tcPr>
          <w:p>
            <w:r>
              <w:rPr>
                <w:b w:val="0"/>
                <w:i w:val="0"/>
                <w:sz w:val="15"/>
              </w:rPr>
              <w:t>EPS (KRW)</w:t>
            </w:r>
          </w:p>
        </w:tc>
        <w:tc>
          <w:tcPr>
            <w:tcW w:type="dxa" w:w="1029"/>
          </w:tcPr>
          <w:p>
            <w:r>
              <w:rPr>
                <w:b w:val="0"/>
                <w:i w:val="0"/>
                <w:sz w:val="15"/>
              </w:rPr>
              <w:t>7,191 [u]</w:t>
            </w:r>
          </w:p>
        </w:tc>
        <w:tc>
          <w:tcPr>
            <w:tcW w:type="dxa" w:w="1029"/>
          </w:tcPr>
          <w:p>
            <w:r>
              <w:rPr>
                <w:b w:val="0"/>
                <w:i w:val="0"/>
                <w:sz w:val="15"/>
              </w:rPr>
              <w:t>4,118</w:t>
            </w:r>
          </w:p>
        </w:tc>
        <w:tc>
          <w:tcPr>
            <w:tcW w:type="dxa" w:w="1029"/>
          </w:tcPr>
          <w:p>
            <w:r>
              <w:rPr>
                <w:b w:val="0"/>
                <w:i w:val="0"/>
                <w:sz w:val="15"/>
              </w:rPr>
              <w:t>4,954</w:t>
            </w:r>
          </w:p>
        </w:tc>
        <w:tc>
          <w:tcPr>
            <w:tcW w:type="dxa" w:w="1201"/>
          </w:tcPr>
          <w:p>
            <w:r>
              <w:rPr>
                <w:b w:val="0"/>
                <w:i w:val="0"/>
                <w:sz w:val="15"/>
              </w:rPr>
              <w:t>5,780</w:t>
            </w:r>
          </w:p>
        </w:tc>
        <w:tc>
          <w:tcPr>
            <w:tcW w:type="dxa" w:w="1201"/>
          </w:tcPr>
          <w:p>
            <w:r>
              <w:rPr>
                <w:b w:val="0"/>
                <w:i w:val="0"/>
                <w:sz w:val="15"/>
              </w:rPr>
              <w:t>1,825</w:t>
            </w:r>
          </w:p>
        </w:tc>
        <w:tc>
          <w:tcPr>
            <w:tcW w:type="dxa" w:w="2402"/>
          </w:tcPr>
          <w:p/>
        </w:tc>
      </w:tr>
      <w:tr>
        <w:tc>
          <w:tcPr>
            <w:tcW w:type="dxa" w:w="1973"/>
            <w:shd w:val="clear" w:color="auto" w:fill="EEF1F6"/>
          </w:tcPr>
          <w:p>
            <w:r>
              <w:rPr>
                <w:b w:val="0"/>
                <w:i w:val="0"/>
                <w:sz w:val="15"/>
              </w:rPr>
              <w:t>DPS (KRW)</w:t>
            </w:r>
          </w:p>
        </w:tc>
        <w:tc>
          <w:tcPr>
            <w:tcW w:type="dxa" w:w="1029"/>
            <w:shd w:val="clear" w:color="auto" w:fill="EEF1F6"/>
          </w:tcPr>
          <w:p>
            <w:r>
              <w:rPr>
                <w:b w:val="0"/>
                <w:i w:val="0"/>
                <w:sz w:val="15"/>
              </w:rPr>
              <w:t>~3,320 eq. [u]</w:t>
            </w:r>
          </w:p>
        </w:tc>
        <w:tc>
          <w:tcPr>
            <w:tcW w:type="dxa" w:w="1029"/>
            <w:shd w:val="clear" w:color="auto" w:fill="EEF1F6"/>
          </w:tcPr>
          <w:p>
            <w:r>
              <w:rPr>
                <w:b w:val="0"/>
                <w:i w:val="0"/>
                <w:sz w:val="15"/>
              </w:rPr>
              <w:t>3,320</w:t>
            </w:r>
          </w:p>
        </w:tc>
        <w:tc>
          <w:tcPr>
            <w:tcW w:type="dxa" w:w="1029"/>
            <w:shd w:val="clear" w:color="auto" w:fill="EEF1F6"/>
          </w:tcPr>
          <w:p>
            <w:r>
              <w:rPr>
                <w:b w:val="0"/>
                <w:i w:val="0"/>
                <w:sz w:val="15"/>
              </w:rPr>
              <w:t>3,540</w:t>
            </w:r>
          </w:p>
        </w:tc>
        <w:tc>
          <w:tcPr>
            <w:tcW w:type="dxa" w:w="1201"/>
            <w:shd w:val="clear" w:color="auto" w:fill="EEF1F6"/>
          </w:tcPr>
          <w:p>
            <w:r>
              <w:rPr>
                <w:b w:val="0"/>
                <w:i w:val="0"/>
                <w:sz w:val="15"/>
              </w:rPr>
              <w:t>3,540</w:t>
            </w:r>
          </w:p>
        </w:tc>
        <w:tc>
          <w:tcPr>
            <w:tcW w:type="dxa" w:w="1201"/>
            <w:shd w:val="clear" w:color="auto" w:fill="EEF1F6"/>
          </w:tcPr>
          <w:p>
            <w:r>
              <w:rPr>
                <w:b w:val="0"/>
                <w:i w:val="0"/>
                <w:sz w:val="15"/>
              </w:rPr>
              <w:t>1,660</w:t>
            </w:r>
          </w:p>
        </w:tc>
        <w:tc>
          <w:tcPr>
            <w:tcW w:type="dxa" w:w="2402"/>
            <w:shd w:val="clear" w:color="auto" w:fill="EEF1F6"/>
          </w:tcPr>
          <w:p>
            <w:r>
              <w:rPr>
                <w:b w:val="0"/>
                <w:i w:val="0"/>
                <w:sz w:val="15"/>
              </w:rPr>
              <w:t>Q3/Q4-25 skipped</w:t>
            </w:r>
          </w:p>
        </w:tc>
      </w:tr>
      <w:tr>
        <w:tc>
          <w:tcPr>
            <w:tcW w:type="dxa" w:w="1973"/>
          </w:tcPr>
          <w:p>
            <w:r>
              <w:rPr>
                <w:b w:val="0"/>
                <w:i w:val="0"/>
                <w:sz w:val="15"/>
              </w:rPr>
              <w:t>Capex</w:t>
            </w:r>
          </w:p>
        </w:tc>
        <w:tc>
          <w:tcPr>
            <w:tcW w:type="dxa" w:w="1029"/>
          </w:tcPr>
          <w:p>
            <w:r>
              <w:rPr>
                <w:b w:val="0"/>
                <w:i w:val="0"/>
                <w:sz w:val="15"/>
              </w:rPr>
              <w:t>~3,001 [u]</w:t>
            </w:r>
          </w:p>
        </w:tc>
        <w:tc>
          <w:tcPr>
            <w:tcW w:type="dxa" w:w="1029"/>
          </w:tcPr>
          <w:p>
            <w:r>
              <w:rPr>
                <w:b w:val="0"/>
                <w:i w:val="0"/>
                <w:sz w:val="15"/>
              </w:rPr>
              <w:t>~3,035 [u]</w:t>
            </w:r>
          </w:p>
        </w:tc>
        <w:tc>
          <w:tcPr>
            <w:tcW w:type="dxa" w:w="1029"/>
          </w:tcPr>
          <w:p>
            <w:r>
              <w:rPr>
                <w:b w:val="0"/>
                <w:i w:val="0"/>
                <w:sz w:val="15"/>
              </w:rPr>
              <w:t>~3,140</w:t>
            </w:r>
          </w:p>
        </w:tc>
        <w:tc>
          <w:tcPr>
            <w:tcW w:type="dxa" w:w="1201"/>
          </w:tcPr>
          <w:p>
            <w:r>
              <w:rPr>
                <w:b w:val="0"/>
                <w:i w:val="0"/>
                <w:sz w:val="15"/>
              </w:rPr>
              <w:t>~2,742 (SKT+SKB)</w:t>
            </w:r>
          </w:p>
        </w:tc>
        <w:tc>
          <w:tcPr>
            <w:tcW w:type="dxa" w:w="1201"/>
          </w:tcPr>
          <w:p>
            <w:r>
              <w:rPr>
                <w:b w:val="0"/>
                <w:i w:val="0"/>
                <w:sz w:val="15"/>
              </w:rPr>
              <w:t>~2,129</w:t>
            </w:r>
          </w:p>
        </w:tc>
        <w:tc>
          <w:tcPr>
            <w:tcW w:type="dxa" w:w="2402"/>
          </w:tcPr>
          <w:p>
            <w:r>
              <w:rPr>
                <w:b w:val="0"/>
                <w:i w:val="0"/>
                <w:sz w:val="15"/>
              </w:rPr>
              <w:t>Capex/sales 18% to 12.5%</w:t>
            </w:r>
          </w:p>
        </w:tc>
      </w:tr>
      <w:tr>
        <w:tc>
          <w:tcPr>
            <w:tcW w:type="dxa" w:w="1973"/>
            <w:shd w:val="clear" w:color="auto" w:fill="EEF1F6"/>
          </w:tcPr>
          <w:p>
            <w:r>
              <w:rPr>
                <w:b w:val="0"/>
                <w:i w:val="0"/>
                <w:sz w:val="15"/>
              </w:rPr>
              <w:t>Free cash flow</w:t>
            </w:r>
          </w:p>
        </w:tc>
        <w:tc>
          <w:tcPr>
            <w:tcW w:type="dxa" w:w="1029"/>
            <w:shd w:val="clear" w:color="auto" w:fill="EEF1F6"/>
          </w:tcPr>
          <w:p>
            <w:r>
              <w:rPr>
                <w:b w:val="0"/>
                <w:i w:val="0"/>
                <w:sz w:val="15"/>
              </w:rPr>
              <w:t>n/a</w:t>
            </w:r>
          </w:p>
        </w:tc>
        <w:tc>
          <w:tcPr>
            <w:tcW w:type="dxa" w:w="1029"/>
            <w:shd w:val="clear" w:color="auto" w:fill="EEF1F6"/>
          </w:tcPr>
          <w:p>
            <w:r>
              <w:rPr>
                <w:b w:val="0"/>
                <w:i w:val="0"/>
                <w:sz w:val="15"/>
              </w:rPr>
              <w:t>n/a</w:t>
            </w:r>
          </w:p>
        </w:tc>
        <w:tc>
          <w:tcPr>
            <w:tcW w:type="dxa" w:w="1029"/>
            <w:shd w:val="clear" w:color="auto" w:fill="EEF1F6"/>
          </w:tcPr>
          <w:p>
            <w:r>
              <w:rPr>
                <w:b w:val="0"/>
                <w:i w:val="0"/>
                <w:sz w:val="15"/>
              </w:rPr>
              <w:t>~1,870 [u]</w:t>
            </w:r>
          </w:p>
        </w:tc>
        <w:tc>
          <w:tcPr>
            <w:tcW w:type="dxa" w:w="1201"/>
            <w:shd w:val="clear" w:color="auto" w:fill="EEF1F6"/>
          </w:tcPr>
          <w:p>
            <w:r>
              <w:rPr>
                <w:b w:val="0"/>
                <w:i w:val="0"/>
                <w:sz w:val="15"/>
              </w:rPr>
              <w:t>~2,530 [u]</w:t>
            </w:r>
          </w:p>
        </w:tc>
        <w:tc>
          <w:tcPr>
            <w:tcW w:type="dxa" w:w="1201"/>
            <w:shd w:val="clear" w:color="auto" w:fill="EEF1F6"/>
          </w:tcPr>
          <w:p>
            <w:r>
              <w:rPr>
                <w:b w:val="0"/>
                <w:i w:val="0"/>
                <w:sz w:val="15"/>
              </w:rPr>
              <w:t>~1,720 [u]</w:t>
            </w:r>
          </w:p>
        </w:tc>
        <w:tc>
          <w:tcPr>
            <w:tcW w:type="dxa" w:w="2402"/>
            <w:shd w:val="clear" w:color="auto" w:fill="EEF1F6"/>
          </w:tcPr>
          <w:p/>
        </w:tc>
      </w:tr>
      <w:tr>
        <w:tc>
          <w:tcPr>
            <w:tcW w:type="dxa" w:w="1973"/>
          </w:tcPr>
          <w:p>
            <w:r>
              <w:rPr>
                <w:b w:val="0"/>
                <w:i w:val="0"/>
                <w:sz w:val="15"/>
              </w:rPr>
              <w:t>Net debt incl. leases</w:t>
            </w:r>
          </w:p>
        </w:tc>
        <w:tc>
          <w:tcPr>
            <w:tcW w:type="dxa" w:w="1029"/>
          </w:tcPr>
          <w:p>
            <w:r>
              <w:rPr>
                <w:b w:val="0"/>
                <w:i w:val="0"/>
                <w:sz w:val="15"/>
              </w:rPr>
              <w:t>n/a</w:t>
            </w:r>
          </w:p>
        </w:tc>
        <w:tc>
          <w:tcPr>
            <w:tcW w:type="dxa" w:w="1029"/>
          </w:tcPr>
          <w:p>
            <w:r>
              <w:rPr>
                <w:b w:val="0"/>
                <w:i w:val="0"/>
                <w:sz w:val="15"/>
              </w:rPr>
              <w:t>n/a</w:t>
            </w:r>
          </w:p>
        </w:tc>
        <w:tc>
          <w:tcPr>
            <w:tcW w:type="dxa" w:w="1029"/>
          </w:tcPr>
          <w:p>
            <w:r>
              <w:rPr>
                <w:b w:val="0"/>
                <w:i w:val="0"/>
                <w:sz w:val="15"/>
              </w:rPr>
              <w:t>~9,200 [u]</w:t>
            </w:r>
          </w:p>
        </w:tc>
        <w:tc>
          <w:tcPr>
            <w:tcW w:type="dxa" w:w="1201"/>
          </w:tcPr>
          <w:p>
            <w:r>
              <w:rPr>
                <w:b w:val="0"/>
                <w:i w:val="0"/>
                <w:sz w:val="15"/>
              </w:rPr>
              <w:t>~8,740 [u]</w:t>
            </w:r>
          </w:p>
        </w:tc>
        <w:tc>
          <w:tcPr>
            <w:tcW w:type="dxa" w:w="1201"/>
          </w:tcPr>
          <w:p>
            <w:r>
              <w:rPr>
                <w:b w:val="0"/>
                <w:i w:val="0"/>
                <w:sz w:val="15"/>
              </w:rPr>
              <w:t>~9,100-9,280 [u]</w:t>
            </w:r>
          </w:p>
        </w:tc>
        <w:tc>
          <w:tcPr>
            <w:tcW w:type="dxa" w:w="2402"/>
          </w:tcPr>
          <w:p>
            <w:r>
              <w:rPr>
                <w:b w:val="0"/>
                <w:i w:val="0"/>
                <w:sz w:val="15"/>
              </w:rPr>
              <w:t>ND/EBITDA ~1.6-2.0x</w:t>
            </w:r>
          </w:p>
        </w:tc>
      </w:tr>
    </w:tbl>
    <w:p>
      <w:r>
        <w:rPr>
          <w:b w:val="0"/>
          <w:i/>
          <w:color w:val="5B6475"/>
          <w:sz w:val="15"/>
        </w:rPr>
        <w:t>Source: company releases, 20-F, Hankyung/FnGuide, aggregators. EBITDA definitions differ across sources (FY24 quoted 5.50-5.86tn).</w:t>
      </w:r>
    </w:p>
    <w:p>
      <w:r>
        <w:drawing>
          <wp:inline xmlns:a="http://schemas.openxmlformats.org/drawingml/2006/main" xmlns:pic="http://schemas.openxmlformats.org/drawingml/2006/picture">
            <wp:extent cx="5324400" cy="2395980"/>
            <wp:docPr id="3" name="Picture 3"/>
            <wp:cNvGraphicFramePr>
              <a:graphicFrameLocks noChangeAspect="1"/>
            </wp:cNvGraphicFramePr>
            <a:graphic>
              <a:graphicData uri="http://schemas.openxmlformats.org/drawingml/2006/picture">
                <pic:pic>
                  <pic:nvPicPr>
                    <pic:cNvPr id="0" name="c_fin.png"/>
                    <pic:cNvPicPr/>
                  </pic:nvPicPr>
                  <pic:blipFill>
                    <a:blip r:embed="rId11"/>
                    <a:stretch>
                      <a:fillRect/>
                    </a:stretch>
                  </pic:blipFill>
                  <pic:spPr>
                    <a:xfrm>
                      <a:off x="0" y="0"/>
                      <a:ext cx="5324400" cy="2395980"/>
                    </a:xfrm>
                    <a:prstGeom prst="rect"/>
                  </pic:spPr>
                </pic:pic>
              </a:graphicData>
            </a:graphic>
          </wp:inline>
        </w:drawing>
      </w:r>
    </w:p>
    <w:p>
      <w:r>
        <w:rPr>
          <w:b w:val="0"/>
          <w:i w:val="0"/>
          <w:color w:val="5B6475"/>
          <w:sz w:val="15"/>
        </w:rPr>
        <w:t>FY26E-FY28E are our estimates.</w:t>
      </w:r>
    </w:p>
    <w:p>
      <w:pPr>
        <w:pStyle w:val="Heading2"/>
      </w:pPr>
      <w:r>
        <w:rPr>
          <w:b/>
          <w:i w:val="0"/>
          <w:color w:val="2D6CCB"/>
          <w:sz w:val="24"/>
        </w:rPr>
        <w:t>8.2 By division (entity basis, KRW bn)</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879"/>
            <w:shd w:val="clear" w:color="auto" w:fill="13223F"/>
          </w:tcPr>
          <w:p>
            <w:r>
              <w:rPr>
                <w:b/>
                <w:i w:val="0"/>
                <w:color w:val="FFFFFF"/>
                <w:sz w:val="15"/>
              </w:rPr>
              <w:t>Division</w:t>
            </w:r>
          </w:p>
        </w:tc>
        <w:tc>
          <w:tcPr>
            <w:tcW w:type="dxa" w:w="1281"/>
            <w:shd w:val="clear" w:color="auto" w:fill="13223F"/>
          </w:tcPr>
          <w:p>
            <w:r>
              <w:rPr>
                <w:b/>
                <w:i w:val="0"/>
                <w:color w:val="FFFFFF"/>
                <w:sz w:val="15"/>
              </w:rPr>
              <w:t>Metric</w:t>
            </w:r>
          </w:p>
        </w:tc>
        <w:tc>
          <w:tcPr>
            <w:tcW w:type="dxa" w:w="897"/>
            <w:shd w:val="clear" w:color="auto" w:fill="13223F"/>
          </w:tcPr>
          <w:p>
            <w:r>
              <w:rPr>
                <w:b/>
                <w:i w:val="0"/>
                <w:color w:val="FFFFFF"/>
                <w:sz w:val="15"/>
              </w:rPr>
              <w:t>FY2021</w:t>
            </w:r>
          </w:p>
        </w:tc>
        <w:tc>
          <w:tcPr>
            <w:tcW w:type="dxa" w:w="897"/>
            <w:shd w:val="clear" w:color="auto" w:fill="13223F"/>
          </w:tcPr>
          <w:p>
            <w:r>
              <w:rPr>
                <w:b/>
                <w:i w:val="0"/>
                <w:color w:val="FFFFFF"/>
                <w:sz w:val="15"/>
              </w:rPr>
              <w:t>FY2022</w:t>
            </w:r>
          </w:p>
        </w:tc>
        <w:tc>
          <w:tcPr>
            <w:tcW w:type="dxa" w:w="897"/>
            <w:shd w:val="clear" w:color="auto" w:fill="13223F"/>
          </w:tcPr>
          <w:p>
            <w:r>
              <w:rPr>
                <w:b/>
                <w:i w:val="0"/>
                <w:color w:val="FFFFFF"/>
                <w:sz w:val="15"/>
              </w:rPr>
              <w:t>FY2023</w:t>
            </w:r>
          </w:p>
        </w:tc>
        <w:tc>
          <w:tcPr>
            <w:tcW w:type="dxa" w:w="897"/>
            <w:shd w:val="clear" w:color="auto" w:fill="13223F"/>
          </w:tcPr>
          <w:p>
            <w:r>
              <w:rPr>
                <w:b/>
                <w:i w:val="0"/>
                <w:color w:val="FFFFFF"/>
                <w:sz w:val="15"/>
              </w:rPr>
              <w:t>FY2024</w:t>
            </w:r>
          </w:p>
        </w:tc>
        <w:tc>
          <w:tcPr>
            <w:tcW w:type="dxa" w:w="897"/>
            <w:shd w:val="clear" w:color="auto" w:fill="13223F"/>
          </w:tcPr>
          <w:p>
            <w:r>
              <w:rPr>
                <w:b/>
                <w:i w:val="0"/>
                <w:color w:val="FFFFFF"/>
                <w:sz w:val="15"/>
              </w:rPr>
              <w:t>FY2025</w:t>
            </w:r>
          </w:p>
        </w:tc>
        <w:tc>
          <w:tcPr>
            <w:tcW w:type="dxa" w:w="2221"/>
            <w:shd w:val="clear" w:color="auto" w:fill="13223F"/>
          </w:tcPr>
          <w:p>
            <w:r>
              <w:rPr>
                <w:b/>
                <w:i w:val="0"/>
                <w:color w:val="FFFFFF"/>
                <w:sz w:val="15"/>
              </w:rPr>
              <w:t>Comment</w:t>
            </w:r>
          </w:p>
        </w:tc>
      </w:tr>
      <w:tr>
        <w:tc>
          <w:tcPr>
            <w:tcW w:type="dxa" w:w="1879"/>
          </w:tcPr>
          <w:p>
            <w:r>
              <w:rPr>
                <w:b w:val="0"/>
                <w:i w:val="0"/>
                <w:sz w:val="15"/>
              </w:rPr>
              <w:t>SKT standalone (Mobile/MNO)</w:t>
            </w:r>
          </w:p>
        </w:tc>
        <w:tc>
          <w:tcPr>
            <w:tcW w:type="dxa" w:w="1281"/>
          </w:tcPr>
          <w:p>
            <w:r>
              <w:rPr>
                <w:b w:val="0"/>
                <w:i w:val="0"/>
                <w:sz w:val="15"/>
              </w:rPr>
              <w:t>Revenue</w:t>
            </w:r>
          </w:p>
        </w:tc>
        <w:tc>
          <w:tcPr>
            <w:tcW w:type="dxa" w:w="897"/>
          </w:tcPr>
          <w:p>
            <w:r>
              <w:rPr>
                <w:b w:val="0"/>
                <w:i w:val="0"/>
                <w:sz w:val="15"/>
              </w:rPr>
              <w:t>~12,100 [u]</w:t>
            </w:r>
          </w:p>
        </w:tc>
        <w:tc>
          <w:tcPr>
            <w:tcW w:type="dxa" w:w="897"/>
          </w:tcPr>
          <w:p>
            <w:r>
              <w:rPr>
                <w:b w:val="0"/>
                <w:i w:val="0"/>
                <w:sz w:val="15"/>
              </w:rPr>
              <w:t>~12,410 [u]</w:t>
            </w:r>
          </w:p>
        </w:tc>
        <w:tc>
          <w:tcPr>
            <w:tcW w:type="dxa" w:w="897"/>
          </w:tcPr>
          <w:p>
            <w:r>
              <w:rPr>
                <w:b w:val="0"/>
                <w:i w:val="0"/>
                <w:sz w:val="15"/>
              </w:rPr>
              <w:t>~12,585</w:t>
            </w:r>
          </w:p>
        </w:tc>
        <w:tc>
          <w:tcPr>
            <w:tcW w:type="dxa" w:w="897"/>
          </w:tcPr>
          <w:p>
            <w:r>
              <w:rPr>
                <w:b w:val="0"/>
                <w:i w:val="0"/>
                <w:sz w:val="15"/>
              </w:rPr>
              <w:t>12,774</w:t>
            </w:r>
          </w:p>
        </w:tc>
        <w:tc>
          <w:tcPr>
            <w:tcW w:type="dxa" w:w="897"/>
          </w:tcPr>
          <w:p>
            <w:r>
              <w:rPr>
                <w:b w:val="0"/>
                <w:i w:val="0"/>
                <w:sz w:val="15"/>
              </w:rPr>
              <w:t>12,051</w:t>
            </w:r>
          </w:p>
        </w:tc>
        <w:tc>
          <w:tcPr>
            <w:tcW w:type="dxa" w:w="2221"/>
          </w:tcPr>
          <w:p>
            <w:r>
              <w:rPr>
                <w:b w:val="0"/>
                <w:i w:val="0"/>
                <w:sz w:val="15"/>
              </w:rPr>
              <w:t>-5.7% FY25: 50% Aug bill discount, 0.8m subs lost</w:t>
            </w:r>
          </w:p>
        </w:tc>
      </w:tr>
      <w:tr>
        <w:tc>
          <w:tcPr>
            <w:tcW w:type="dxa" w:w="1879"/>
            <w:shd w:val="clear" w:color="auto" w:fill="EEF1F6"/>
          </w:tcPr>
          <w:p/>
        </w:tc>
        <w:tc>
          <w:tcPr>
            <w:tcW w:type="dxa" w:w="1281"/>
            <w:shd w:val="clear" w:color="auto" w:fill="EEF1F6"/>
          </w:tcPr>
          <w:p>
            <w:r>
              <w:rPr>
                <w:b w:val="0"/>
                <w:i w:val="0"/>
                <w:sz w:val="15"/>
              </w:rPr>
              <w:t>Operating income</w:t>
            </w:r>
          </w:p>
        </w:tc>
        <w:tc>
          <w:tcPr>
            <w:tcW w:type="dxa" w:w="897"/>
            <w:shd w:val="clear" w:color="auto" w:fill="EEF1F6"/>
          </w:tcPr>
          <w:p>
            <w:r>
              <w:rPr>
                <w:b w:val="0"/>
                <w:i w:val="0"/>
                <w:sz w:val="15"/>
              </w:rPr>
              <w:t>~1,250 [u]</w:t>
            </w:r>
          </w:p>
        </w:tc>
        <w:tc>
          <w:tcPr>
            <w:tcW w:type="dxa" w:w="897"/>
            <w:shd w:val="clear" w:color="auto" w:fill="EEF1F6"/>
          </w:tcPr>
          <w:p>
            <w:r>
              <w:rPr>
                <w:b w:val="0"/>
                <w:i w:val="0"/>
                <w:sz w:val="15"/>
              </w:rPr>
              <w:t>~1,390 [u]</w:t>
            </w:r>
          </w:p>
        </w:tc>
        <w:tc>
          <w:tcPr>
            <w:tcW w:type="dxa" w:w="897"/>
            <w:shd w:val="clear" w:color="auto" w:fill="EEF1F6"/>
          </w:tcPr>
          <w:p>
            <w:r>
              <w:rPr>
                <w:b w:val="0"/>
                <w:i w:val="0"/>
                <w:sz w:val="15"/>
              </w:rPr>
              <w:t>~1,456</w:t>
            </w:r>
          </w:p>
        </w:tc>
        <w:tc>
          <w:tcPr>
            <w:tcW w:type="dxa" w:w="897"/>
            <w:shd w:val="clear" w:color="auto" w:fill="EEF1F6"/>
          </w:tcPr>
          <w:p>
            <w:r>
              <w:rPr>
                <w:b w:val="0"/>
                <w:i w:val="0"/>
                <w:sz w:val="15"/>
              </w:rPr>
              <w:t>1,523</w:t>
            </w:r>
          </w:p>
        </w:tc>
        <w:tc>
          <w:tcPr>
            <w:tcW w:type="dxa" w:w="897"/>
            <w:shd w:val="clear" w:color="auto" w:fill="EEF1F6"/>
          </w:tcPr>
          <w:p>
            <w:r>
              <w:rPr>
                <w:b w:val="0"/>
                <w:i w:val="0"/>
                <w:sz w:val="15"/>
              </w:rPr>
              <w:t>812</w:t>
            </w:r>
          </w:p>
        </w:tc>
        <w:tc>
          <w:tcPr>
            <w:tcW w:type="dxa" w:w="2221"/>
            <w:shd w:val="clear" w:color="auto" w:fill="EEF1F6"/>
          </w:tcPr>
          <w:p>
            <w:r>
              <w:rPr>
                <w:b w:val="0"/>
                <w:i w:val="0"/>
                <w:sz w:val="15"/>
              </w:rPr>
              <w:t>Margin 11.9% to 6.7%</w:t>
            </w:r>
          </w:p>
        </w:tc>
      </w:tr>
      <w:tr>
        <w:tc>
          <w:tcPr>
            <w:tcW w:type="dxa" w:w="1879"/>
          </w:tcPr>
          <w:p/>
        </w:tc>
        <w:tc>
          <w:tcPr>
            <w:tcW w:type="dxa" w:w="1281"/>
          </w:tcPr>
          <w:p>
            <w:r>
              <w:rPr>
                <w:b w:val="0"/>
                <w:i w:val="0"/>
                <w:sz w:val="15"/>
              </w:rPr>
              <w:t>Net income</w:t>
            </w:r>
          </w:p>
        </w:tc>
        <w:tc>
          <w:tcPr>
            <w:tcW w:type="dxa" w:w="897"/>
          </w:tcPr>
          <w:p>
            <w:r>
              <w:rPr>
                <w:b w:val="0"/>
                <w:i w:val="0"/>
                <w:sz w:val="15"/>
              </w:rPr>
              <w:t>n/a</w:t>
            </w:r>
          </w:p>
        </w:tc>
        <w:tc>
          <w:tcPr>
            <w:tcW w:type="dxa" w:w="897"/>
          </w:tcPr>
          <w:p>
            <w:r>
              <w:rPr>
                <w:b w:val="0"/>
                <w:i w:val="0"/>
                <w:sz w:val="15"/>
              </w:rPr>
              <w:t>n/a</w:t>
            </w:r>
          </w:p>
        </w:tc>
        <w:tc>
          <w:tcPr>
            <w:tcW w:type="dxa" w:w="897"/>
          </w:tcPr>
          <w:p>
            <w:r>
              <w:rPr>
                <w:b w:val="0"/>
                <w:i w:val="0"/>
                <w:sz w:val="15"/>
              </w:rPr>
              <w:t>n/a</w:t>
            </w:r>
          </w:p>
        </w:tc>
        <w:tc>
          <w:tcPr>
            <w:tcW w:type="dxa" w:w="897"/>
          </w:tcPr>
          <w:p>
            <w:r>
              <w:rPr>
                <w:b w:val="0"/>
                <w:i w:val="0"/>
                <w:sz w:val="15"/>
              </w:rPr>
              <w:t>1,332</w:t>
            </w:r>
          </w:p>
        </w:tc>
        <w:tc>
          <w:tcPr>
            <w:tcW w:type="dxa" w:w="897"/>
          </w:tcPr>
          <w:p>
            <w:r>
              <w:rPr>
                <w:b w:val="0"/>
                <w:i w:val="0"/>
                <w:sz w:val="15"/>
              </w:rPr>
              <w:t>n/a</w:t>
            </w:r>
          </w:p>
        </w:tc>
        <w:tc>
          <w:tcPr>
            <w:tcW w:type="dxa" w:w="2221"/>
          </w:tcPr>
          <w:p>
            <w:r>
              <w:rPr>
                <w:b w:val="0"/>
                <w:i w:val="0"/>
                <w:sz w:val="15"/>
              </w:rPr>
              <w:t>3Q25 standalone NI -207bn</w:t>
            </w:r>
          </w:p>
        </w:tc>
      </w:tr>
      <w:tr>
        <w:tc>
          <w:tcPr>
            <w:tcW w:type="dxa" w:w="1879"/>
            <w:shd w:val="clear" w:color="auto" w:fill="EEF1F6"/>
          </w:tcPr>
          <w:p>
            <w:r>
              <w:rPr>
                <w:b w:val="0"/>
                <w:i w:val="0"/>
                <w:sz w:val="15"/>
              </w:rPr>
              <w:t>SK Broadband (Fixed/Media/DC)</w:t>
            </w:r>
          </w:p>
        </w:tc>
        <w:tc>
          <w:tcPr>
            <w:tcW w:type="dxa" w:w="1281"/>
            <w:shd w:val="clear" w:color="auto" w:fill="EEF1F6"/>
          </w:tcPr>
          <w:p>
            <w:r>
              <w:rPr>
                <w:b w:val="0"/>
                <w:i w:val="0"/>
                <w:sz w:val="15"/>
              </w:rPr>
              <w:t>Revenue</w:t>
            </w:r>
          </w:p>
        </w:tc>
        <w:tc>
          <w:tcPr>
            <w:tcW w:type="dxa" w:w="897"/>
            <w:shd w:val="clear" w:color="auto" w:fill="EEF1F6"/>
          </w:tcPr>
          <w:p>
            <w:r>
              <w:rPr>
                <w:b w:val="0"/>
                <w:i w:val="0"/>
                <w:sz w:val="15"/>
              </w:rPr>
              <w:t>~4,060 [u]</w:t>
            </w:r>
          </w:p>
        </w:tc>
        <w:tc>
          <w:tcPr>
            <w:tcW w:type="dxa" w:w="897"/>
            <w:shd w:val="clear" w:color="auto" w:fill="EEF1F6"/>
          </w:tcPr>
          <w:p>
            <w:r>
              <w:rPr>
                <w:b w:val="0"/>
                <w:i w:val="0"/>
                <w:sz w:val="15"/>
              </w:rPr>
              <w:t>~4,140 [u]</w:t>
            </w:r>
          </w:p>
        </w:tc>
        <w:tc>
          <w:tcPr>
            <w:tcW w:type="dxa" w:w="897"/>
            <w:shd w:val="clear" w:color="auto" w:fill="EEF1F6"/>
          </w:tcPr>
          <w:p>
            <w:r>
              <w:rPr>
                <w:b w:val="0"/>
                <w:i w:val="0"/>
                <w:sz w:val="15"/>
              </w:rPr>
              <w:t>~4,280 [u]</w:t>
            </w:r>
          </w:p>
        </w:tc>
        <w:tc>
          <w:tcPr>
            <w:tcW w:type="dxa" w:w="897"/>
            <w:shd w:val="clear" w:color="auto" w:fill="EEF1F6"/>
          </w:tcPr>
          <w:p>
            <w:r>
              <w:rPr>
                <w:b w:val="0"/>
                <w:i w:val="0"/>
                <w:sz w:val="15"/>
              </w:rPr>
              <w:t>4,415</w:t>
            </w:r>
          </w:p>
        </w:tc>
        <w:tc>
          <w:tcPr>
            <w:tcW w:type="dxa" w:w="897"/>
            <w:shd w:val="clear" w:color="auto" w:fill="EEF1F6"/>
          </w:tcPr>
          <w:p>
            <w:r>
              <w:rPr>
                <w:b w:val="0"/>
                <w:i w:val="0"/>
                <w:sz w:val="15"/>
              </w:rPr>
              <w:t>~4,541</w:t>
            </w:r>
          </w:p>
        </w:tc>
        <w:tc>
          <w:tcPr>
            <w:tcW w:type="dxa" w:w="2221"/>
            <w:shd w:val="clear" w:color="auto" w:fill="EEF1F6"/>
          </w:tcPr>
          <w:p>
            <w:r>
              <w:rPr>
                <w:b w:val="0"/>
                <w:i w:val="0"/>
                <w:sz w:val="15"/>
              </w:rPr>
              <w:t>Steady +3%; DC &amp; enterprise the driver</w:t>
            </w:r>
          </w:p>
        </w:tc>
      </w:tr>
      <w:tr>
        <w:tc>
          <w:tcPr>
            <w:tcW w:type="dxa" w:w="1879"/>
          </w:tcPr>
          <w:p/>
        </w:tc>
        <w:tc>
          <w:tcPr>
            <w:tcW w:type="dxa" w:w="1281"/>
          </w:tcPr>
          <w:p>
            <w:r>
              <w:rPr>
                <w:b w:val="0"/>
                <w:i w:val="0"/>
                <w:sz w:val="15"/>
              </w:rPr>
              <w:t>Operating income</w:t>
            </w:r>
          </w:p>
        </w:tc>
        <w:tc>
          <w:tcPr>
            <w:tcW w:type="dxa" w:w="897"/>
          </w:tcPr>
          <w:p>
            <w:r>
              <w:rPr>
                <w:b w:val="0"/>
                <w:i w:val="0"/>
                <w:sz w:val="15"/>
              </w:rPr>
              <w:t>~270 [u]</w:t>
            </w:r>
          </w:p>
        </w:tc>
        <w:tc>
          <w:tcPr>
            <w:tcW w:type="dxa" w:w="897"/>
          </w:tcPr>
          <w:p>
            <w:r>
              <w:rPr>
                <w:b w:val="0"/>
                <w:i w:val="0"/>
                <w:sz w:val="15"/>
              </w:rPr>
              <w:t>~300 [u]</w:t>
            </w:r>
          </w:p>
        </w:tc>
        <w:tc>
          <w:tcPr>
            <w:tcW w:type="dxa" w:w="897"/>
          </w:tcPr>
          <w:p>
            <w:r>
              <w:rPr>
                <w:b w:val="0"/>
                <w:i w:val="0"/>
                <w:sz w:val="15"/>
              </w:rPr>
              <w:t>~310 [u]</w:t>
            </w:r>
          </w:p>
        </w:tc>
        <w:tc>
          <w:tcPr>
            <w:tcW w:type="dxa" w:w="897"/>
          </w:tcPr>
          <w:p>
            <w:r>
              <w:rPr>
                <w:b w:val="0"/>
                <w:i w:val="0"/>
                <w:sz w:val="15"/>
              </w:rPr>
              <w:t>~352</w:t>
            </w:r>
          </w:p>
        </w:tc>
        <w:tc>
          <w:tcPr>
            <w:tcW w:type="dxa" w:w="897"/>
          </w:tcPr>
          <w:p>
            <w:r>
              <w:rPr>
                <w:b w:val="0"/>
                <w:i w:val="0"/>
                <w:sz w:val="15"/>
              </w:rPr>
              <w:t>289</w:t>
            </w:r>
          </w:p>
        </w:tc>
        <w:tc>
          <w:tcPr>
            <w:tcW w:type="dxa" w:w="2221"/>
          </w:tcPr>
          <w:p>
            <w:r>
              <w:rPr>
                <w:b w:val="0"/>
                <w:i w:val="0"/>
                <w:sz w:val="15"/>
              </w:rPr>
              <w:t>FY25 hit by VRS &amp; content costs</w:t>
            </w:r>
          </w:p>
        </w:tc>
      </w:tr>
      <w:tr>
        <w:tc>
          <w:tcPr>
            <w:tcW w:type="dxa" w:w="1879"/>
            <w:shd w:val="clear" w:color="auto" w:fill="EEF1F6"/>
          </w:tcPr>
          <w:p>
            <w:r>
              <w:rPr>
                <w:b w:val="0"/>
                <w:i w:val="0"/>
                <w:sz w:val="15"/>
              </w:rPr>
              <w:t>AI DC (memo, cross-entity)</w:t>
            </w:r>
          </w:p>
        </w:tc>
        <w:tc>
          <w:tcPr>
            <w:tcW w:type="dxa" w:w="1281"/>
            <w:shd w:val="clear" w:color="auto" w:fill="EEF1F6"/>
          </w:tcPr>
          <w:p>
            <w:r>
              <w:rPr>
                <w:b w:val="0"/>
                <w:i w:val="0"/>
                <w:sz w:val="15"/>
              </w:rPr>
              <w:t>Revenue</w:t>
            </w:r>
          </w:p>
        </w:tc>
        <w:tc>
          <w:tcPr>
            <w:tcW w:type="dxa" w:w="897"/>
            <w:shd w:val="clear" w:color="auto" w:fill="EEF1F6"/>
          </w:tcPr>
          <w:p>
            <w:r>
              <w:rPr>
                <w:b w:val="0"/>
                <w:i w:val="0"/>
                <w:sz w:val="15"/>
              </w:rPr>
              <w:t>n/a</w:t>
            </w:r>
          </w:p>
        </w:tc>
        <w:tc>
          <w:tcPr>
            <w:tcW w:type="dxa" w:w="897"/>
            <w:shd w:val="clear" w:color="auto" w:fill="EEF1F6"/>
          </w:tcPr>
          <w:p>
            <w:r>
              <w:rPr>
                <w:b w:val="0"/>
                <w:i w:val="0"/>
                <w:sz w:val="15"/>
              </w:rPr>
              <w:t>n/a</w:t>
            </w:r>
          </w:p>
        </w:tc>
        <w:tc>
          <w:tcPr>
            <w:tcW w:type="dxa" w:w="897"/>
            <w:shd w:val="clear" w:color="auto" w:fill="EEF1F6"/>
          </w:tcPr>
          <w:p>
            <w:r>
              <w:rPr>
                <w:b w:val="0"/>
                <w:i w:val="0"/>
                <w:sz w:val="15"/>
              </w:rPr>
              <w:t>n/a</w:t>
            </w:r>
          </w:p>
        </w:tc>
        <w:tc>
          <w:tcPr>
            <w:tcW w:type="dxa" w:w="897"/>
            <w:shd w:val="clear" w:color="auto" w:fill="EEF1F6"/>
          </w:tcPr>
          <w:p>
            <w:r>
              <w:rPr>
                <w:b w:val="0"/>
                <w:i w:val="0"/>
                <w:sz w:val="15"/>
              </w:rPr>
              <w:t>~385</w:t>
            </w:r>
          </w:p>
        </w:tc>
        <w:tc>
          <w:tcPr>
            <w:tcW w:type="dxa" w:w="897"/>
            <w:shd w:val="clear" w:color="auto" w:fill="EEF1F6"/>
          </w:tcPr>
          <w:p>
            <w:r>
              <w:rPr>
                <w:b w:val="0"/>
                <w:i w:val="0"/>
                <w:sz w:val="15"/>
              </w:rPr>
              <w:t>520</w:t>
            </w:r>
          </w:p>
        </w:tc>
        <w:tc>
          <w:tcPr>
            <w:tcW w:type="dxa" w:w="2221"/>
            <w:shd w:val="clear" w:color="auto" w:fill="EEF1F6"/>
          </w:tcPr>
          <w:p>
            <w:r>
              <w:rPr>
                <w:b w:val="0"/>
                <w:i w:val="0"/>
                <w:sz w:val="15"/>
              </w:rPr>
              <w:t>+35% FY25; +89-93% in 1H26</w:t>
            </w:r>
          </w:p>
        </w:tc>
      </w:tr>
      <w:tr>
        <w:tc>
          <w:tcPr>
            <w:tcW w:type="dxa" w:w="1879"/>
          </w:tcPr>
          <w:p>
            <w:r>
              <w:rPr>
                <w:b w:val="0"/>
                <w:i w:val="0"/>
                <w:sz w:val="15"/>
              </w:rPr>
              <w:t>Other subs / eliminations</w:t>
            </w:r>
          </w:p>
        </w:tc>
        <w:tc>
          <w:tcPr>
            <w:tcW w:type="dxa" w:w="1281"/>
          </w:tcPr>
          <w:p>
            <w:r>
              <w:rPr>
                <w:b w:val="0"/>
                <w:i w:val="0"/>
                <w:sz w:val="15"/>
              </w:rPr>
              <w:t>Revenue</w:t>
            </w:r>
          </w:p>
        </w:tc>
        <w:tc>
          <w:tcPr>
            <w:tcW w:type="dxa" w:w="897"/>
          </w:tcPr>
          <w:p>
            <w:r>
              <w:rPr>
                <w:b w:val="0"/>
                <w:i w:val="0"/>
                <w:sz w:val="15"/>
              </w:rPr>
              <w:t>n/a</w:t>
            </w:r>
          </w:p>
        </w:tc>
        <w:tc>
          <w:tcPr>
            <w:tcW w:type="dxa" w:w="897"/>
          </w:tcPr>
          <w:p>
            <w:r>
              <w:rPr>
                <w:b w:val="0"/>
                <w:i w:val="0"/>
                <w:sz w:val="15"/>
              </w:rPr>
              <w:t>n/a</w:t>
            </w:r>
          </w:p>
        </w:tc>
        <w:tc>
          <w:tcPr>
            <w:tcW w:type="dxa" w:w="897"/>
          </w:tcPr>
          <w:p>
            <w:r>
              <w:rPr>
                <w:b w:val="0"/>
                <w:i w:val="0"/>
                <w:sz w:val="15"/>
              </w:rPr>
              <w:t>~744</w:t>
            </w:r>
          </w:p>
        </w:tc>
        <w:tc>
          <w:tcPr>
            <w:tcW w:type="dxa" w:w="897"/>
          </w:tcPr>
          <w:p>
            <w:r>
              <w:rPr>
                <w:b w:val="0"/>
                <w:i w:val="0"/>
                <w:sz w:val="15"/>
              </w:rPr>
              <w:t>~752</w:t>
            </w:r>
          </w:p>
        </w:tc>
        <w:tc>
          <w:tcPr>
            <w:tcW w:type="dxa" w:w="897"/>
          </w:tcPr>
          <w:p>
            <w:r>
              <w:rPr>
                <w:b w:val="0"/>
                <w:i w:val="0"/>
                <w:sz w:val="15"/>
              </w:rPr>
              <w:t>~507</w:t>
            </w:r>
          </w:p>
        </w:tc>
        <w:tc>
          <w:tcPr>
            <w:tcW w:type="dxa" w:w="2221"/>
          </w:tcPr>
          <w:p>
            <w:r>
              <w:rPr>
                <w:b w:val="0"/>
                <w:i w:val="0"/>
                <w:sz w:val="15"/>
              </w:rPr>
              <w:t>SK Telink, PS&amp;M, SK Stoa, O&amp;S</w:t>
            </w:r>
          </w:p>
        </w:tc>
      </w:tr>
      <w:tr>
        <w:tc>
          <w:tcPr>
            <w:tcW w:type="dxa" w:w="1879"/>
            <w:shd w:val="clear" w:color="auto" w:fill="EEF1F6"/>
          </w:tcPr>
          <w:p/>
        </w:tc>
        <w:tc>
          <w:tcPr>
            <w:tcW w:type="dxa" w:w="1281"/>
            <w:shd w:val="clear" w:color="auto" w:fill="EEF1F6"/>
          </w:tcPr>
          <w:p>
            <w:r>
              <w:rPr>
                <w:b w:val="0"/>
                <w:i w:val="0"/>
                <w:sz w:val="15"/>
              </w:rPr>
              <w:t>Operating income</w:t>
            </w:r>
          </w:p>
        </w:tc>
        <w:tc>
          <w:tcPr>
            <w:tcW w:type="dxa" w:w="897"/>
            <w:shd w:val="clear" w:color="auto" w:fill="EEF1F6"/>
          </w:tcPr>
          <w:p>
            <w:r>
              <w:rPr>
                <w:b w:val="0"/>
                <w:i w:val="0"/>
                <w:sz w:val="15"/>
              </w:rPr>
              <w:t>n/a</w:t>
            </w:r>
          </w:p>
        </w:tc>
        <w:tc>
          <w:tcPr>
            <w:tcW w:type="dxa" w:w="897"/>
            <w:shd w:val="clear" w:color="auto" w:fill="EEF1F6"/>
          </w:tcPr>
          <w:p>
            <w:r>
              <w:rPr>
                <w:b w:val="0"/>
                <w:i w:val="0"/>
                <w:sz w:val="15"/>
              </w:rPr>
              <w:t>n/a</w:t>
            </w:r>
          </w:p>
        </w:tc>
        <w:tc>
          <w:tcPr>
            <w:tcW w:type="dxa" w:w="897"/>
            <w:shd w:val="clear" w:color="auto" w:fill="EEF1F6"/>
          </w:tcPr>
          <w:p>
            <w:r>
              <w:rPr>
                <w:b w:val="0"/>
                <w:i w:val="0"/>
                <w:sz w:val="15"/>
              </w:rPr>
              <w:t>~-13</w:t>
            </w:r>
          </w:p>
        </w:tc>
        <w:tc>
          <w:tcPr>
            <w:tcW w:type="dxa" w:w="897"/>
            <w:shd w:val="clear" w:color="auto" w:fill="EEF1F6"/>
          </w:tcPr>
          <w:p>
            <w:r>
              <w:rPr>
                <w:b w:val="0"/>
                <w:i w:val="0"/>
                <w:sz w:val="15"/>
              </w:rPr>
              <w:t>~-52</w:t>
            </w:r>
          </w:p>
        </w:tc>
        <w:tc>
          <w:tcPr>
            <w:tcW w:type="dxa" w:w="897"/>
            <w:shd w:val="clear" w:color="auto" w:fill="EEF1F6"/>
          </w:tcPr>
          <w:p>
            <w:r>
              <w:rPr>
                <w:b w:val="0"/>
                <w:i w:val="0"/>
                <w:sz w:val="15"/>
              </w:rPr>
              <w:t>~-28</w:t>
            </w:r>
          </w:p>
        </w:tc>
        <w:tc>
          <w:tcPr>
            <w:tcW w:type="dxa" w:w="2221"/>
            <w:shd w:val="clear" w:color="auto" w:fill="EEF1F6"/>
          </w:tcPr>
          <w:p/>
        </w:tc>
      </w:tr>
    </w:tbl>
    <w:p>
      <w:r>
        <w:rPr>
          <w:b w:val="0"/>
          <w:i/>
          <w:color w:val="5B6475"/>
          <w:sz w:val="15"/>
        </w:rPr>
        <w:t>SKT does not disclose EBITDA or net income by segment consistently; FY21-23 entity figures are approximations [u].</w:t>
      </w:r>
    </w:p>
    <w:p>
      <w:pPr>
        <w:pStyle w:val="Heading2"/>
      </w:pPr>
      <w:r>
        <w:rPr>
          <w:b/>
          <w:i w:val="0"/>
          <w:color w:val="2D6CCB"/>
          <w:sz w:val="24"/>
        </w:rPr>
        <w:t>8.3 Geography</w:t>
      </w:r>
    </w:p>
    <w:p>
      <w:pPr>
        <w:spacing w:after="80"/>
      </w:pPr>
      <w:r>
        <w:rPr>
          <w:b w:val="0"/>
          <w:i w:val="0"/>
        </w:rPr>
        <w:t>SKT is a single-country business: &gt;99% of revenue, EBITDA, EBIT and assets are in South Korea. Foreign exposure is limited to (i) US-dollar AI investments (Anthropic, Penguin, Lambda, Perplexity, Syntelligence), (ii) USD-denominated GPU/equipment purchases and (iii) a legacy USD 400m 6.625% bond due July 2027. A geographical segment table is therefore not meaningful.</w:t>
      </w:r>
    </w:p>
    <w:p>
      <w:pPr>
        <w:pStyle w:val="Heading2"/>
      </w:pPr>
      <w:r>
        <w:rPr>
          <w:b/>
          <w:i w:val="0"/>
          <w:color w:val="2D6CCB"/>
          <w:sz w:val="24"/>
        </w:rPr>
        <w:t>8.4 Trends and explanations</w:t>
      </w:r>
    </w:p>
    <w:p>
      <w:pPr>
        <w:pStyle w:val="ListBullet"/>
        <w:spacing w:after="20"/>
      </w:pPr>
      <w:r>
        <w:rPr>
          <w:b/>
          <w:i w:val="0"/>
        </w:rPr>
        <w:t>2021-2024 - margin expansion without growth:</w:t>
      </w:r>
      <w:r>
        <w:rPr>
          <w:b w:val="0"/>
          <w:i w:val="0"/>
        </w:rPr>
        <w:t xml:space="preserve"> revenue grew ~2% p.a. as 5G migration lifted ARPU, while EBIT margin rose from 8.3% to 10.2% on falling D&amp;A (post-5G build), lower marketing and headcount discipline.</w:t>
      </w:r>
    </w:p>
    <w:p>
      <w:pPr>
        <w:pStyle w:val="ListBullet"/>
        <w:spacing w:after="20"/>
      </w:pPr>
      <w:r>
        <w:rPr>
          <w:b/>
          <w:i w:val="0"/>
        </w:rPr>
        <w:t>2025 - the breach year:</w:t>
      </w:r>
      <w:r>
        <w:rPr>
          <w:b w:val="0"/>
          <w:i w:val="0"/>
        </w:rPr>
        <w:t xml:space="preserve"> revenue -4.7% (50% August bill discount worth ~KRW 0.4tn, 0.8m subscribers lost, sales suspension), OP -41% (customer package KRW 500bn, USIM replacement, PIPC fine below OP line, VRS in 4Q), NI -73%.</w:t>
      </w:r>
    </w:p>
    <w:p>
      <w:pPr>
        <w:pStyle w:val="ListBullet"/>
        <w:spacing w:after="20"/>
      </w:pPr>
      <w:r>
        <w:rPr>
          <w:b/>
          <w:i w:val="0"/>
        </w:rPr>
        <w:t>2026 - rebound:</w:t>
      </w:r>
      <w:r>
        <w:rPr>
          <w:b w:val="0"/>
          <w:i w:val="0"/>
        </w:rPr>
        <w:t xml:space="preserve"> 1H26 OP KRW 1,104bn (vs 906bn 1H25 and 1,037bn 1H24); 2Q26 EBITDA margin 33.1% - the highest in the series - on lower marketing, headcount cuts (30% fewer executives, VRS) and AI-DC operating leverage.</w:t>
      </w:r>
    </w:p>
    <w:p>
      <w:pPr>
        <w:pStyle w:val="ListBullet"/>
        <w:spacing w:after="20"/>
      </w:pPr>
      <w:r>
        <w:rPr>
          <w:b/>
          <w:i w:val="0"/>
        </w:rPr>
        <w:t>Quality of growth:</w:t>
      </w:r>
      <w:r>
        <w:rPr>
          <w:b w:val="0"/>
          <w:i w:val="0"/>
        </w:rPr>
        <w:t xml:space="preserve"> almost all incremental revenue since 2023 comes from AI-DC and enterprise; mobile service revenue is flat at best.</w:t>
      </w:r>
    </w:p>
    <w:p>
      <w:r>
        <w:drawing>
          <wp:inline xmlns:a="http://schemas.openxmlformats.org/drawingml/2006/main" xmlns:pic="http://schemas.openxmlformats.org/drawingml/2006/picture">
            <wp:extent cx="5324400" cy="2129760"/>
            <wp:docPr id="4" name="Picture 4"/>
            <wp:cNvGraphicFramePr>
              <a:graphicFrameLocks noChangeAspect="1"/>
            </wp:cNvGraphicFramePr>
            <a:graphic>
              <a:graphicData uri="http://schemas.openxmlformats.org/drawingml/2006/picture">
                <pic:pic>
                  <pic:nvPicPr>
                    <pic:cNvPr id="0" name="c_qtr.png"/>
                    <pic:cNvPicPr/>
                  </pic:nvPicPr>
                  <pic:blipFill>
                    <a:blip r:embed="rId12"/>
                    <a:stretch>
                      <a:fillRect/>
                    </a:stretch>
                  </pic:blipFill>
                  <pic:spPr>
                    <a:xfrm>
                      <a:off x="0" y="0"/>
                      <a:ext cx="5324400" cy="2129760"/>
                    </a:xfrm>
                    <a:prstGeom prst="rect"/>
                  </pic:spPr>
                </pic:pic>
              </a:graphicData>
            </a:graphic>
          </wp:inline>
        </w:drawing>
      </w:r>
    </w:p>
    <w:p>
      <w:pPr>
        <w:pStyle w:val="Heading2"/>
      </w:pPr>
      <w:r>
        <w:rPr>
          <w:b/>
          <w:i w:val="0"/>
          <w:color w:val="2D6CCB"/>
          <w:sz w:val="24"/>
        </w:rPr>
        <w:t>8.5 Operational KPIs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192"/>
            <w:shd w:val="clear" w:color="auto" w:fill="13223F"/>
          </w:tcPr>
          <w:p>
            <w:r>
              <w:rPr>
                <w:b/>
                <w:i w:val="0"/>
                <w:color w:val="FFFFFF"/>
                <w:sz w:val="15"/>
              </w:rPr>
              <w:t>KPI</w:t>
            </w:r>
          </w:p>
        </w:tc>
        <w:tc>
          <w:tcPr>
            <w:tcW w:type="dxa" w:w="2101"/>
            <w:shd w:val="clear" w:color="auto" w:fill="13223F"/>
          </w:tcPr>
          <w:p>
            <w:r>
              <w:rPr>
                <w:b/>
                <w:i w:val="0"/>
                <w:color w:val="FFFFFF"/>
                <w:sz w:val="15"/>
              </w:rPr>
              <w:t>Latest</w:t>
            </w:r>
          </w:p>
        </w:tc>
        <w:tc>
          <w:tcPr>
            <w:tcW w:type="dxa" w:w="2192"/>
            <w:shd w:val="clear" w:color="auto" w:fill="13223F"/>
          </w:tcPr>
          <w:p>
            <w:r>
              <w:rPr>
                <w:b/>
                <w:i w:val="0"/>
                <w:color w:val="FFFFFF"/>
                <w:sz w:val="15"/>
              </w:rPr>
              <w:t>Prior</w:t>
            </w:r>
          </w:p>
        </w:tc>
        <w:tc>
          <w:tcPr>
            <w:tcW w:type="dxa" w:w="3380"/>
            <w:shd w:val="clear" w:color="auto" w:fill="13223F"/>
          </w:tcPr>
          <w:p>
            <w:r>
              <w:rPr>
                <w:b/>
                <w:i w:val="0"/>
                <w:color w:val="FFFFFF"/>
                <w:sz w:val="15"/>
              </w:rPr>
              <w:t>Trend / comment</w:t>
            </w:r>
          </w:p>
        </w:tc>
      </w:tr>
      <w:tr>
        <w:tc>
          <w:tcPr>
            <w:tcW w:type="dxa" w:w="2192"/>
          </w:tcPr>
          <w:p>
            <w:r>
              <w:rPr>
                <w:b w:val="0"/>
                <w:i w:val="0"/>
                <w:sz w:val="15"/>
              </w:rPr>
              <w:t>Handset market share</w:t>
            </w:r>
          </w:p>
        </w:tc>
        <w:tc>
          <w:tcPr>
            <w:tcW w:type="dxa" w:w="2101"/>
          </w:tcPr>
          <w:p>
            <w:r>
              <w:rPr>
                <w:b w:val="0"/>
                <w:i w:val="0"/>
                <w:sz w:val="15"/>
              </w:rPr>
              <w:t>39.04% (Apr-26)</w:t>
            </w:r>
          </w:p>
        </w:tc>
        <w:tc>
          <w:tcPr>
            <w:tcW w:type="dxa" w:w="2192"/>
          </w:tcPr>
          <w:p>
            <w:r>
              <w:rPr>
                <w:b w:val="0"/>
                <w:i w:val="0"/>
                <w:sz w:val="15"/>
              </w:rPr>
              <w:t>40.4% (2024); 42.9% (2021)</w:t>
            </w:r>
          </w:p>
        </w:tc>
        <w:tc>
          <w:tcPr>
            <w:tcW w:type="dxa" w:w="3380"/>
          </w:tcPr>
          <w:p>
            <w:r>
              <w:rPr>
                <w:b w:val="0"/>
                <w:i w:val="0"/>
                <w:sz w:val="15"/>
              </w:rPr>
              <w:t>Structural -1pt p.a.; breach cost ~1pt; recovery target ~40%</w:t>
            </w:r>
          </w:p>
        </w:tc>
      </w:tr>
      <w:tr>
        <w:tc>
          <w:tcPr>
            <w:tcW w:type="dxa" w:w="2192"/>
            <w:shd w:val="clear" w:color="auto" w:fill="EEF1F6"/>
          </w:tcPr>
          <w:p>
            <w:r>
              <w:rPr>
                <w:b w:val="0"/>
                <w:i w:val="0"/>
                <w:sz w:val="15"/>
              </w:rPr>
              <w:t>MNO subscribers</w:t>
            </w:r>
          </w:p>
        </w:tc>
        <w:tc>
          <w:tcPr>
            <w:tcW w:type="dxa" w:w="2101"/>
            <w:shd w:val="clear" w:color="auto" w:fill="EEF1F6"/>
          </w:tcPr>
          <w:p>
            <w:r>
              <w:rPr>
                <w:b w:val="0"/>
                <w:i w:val="0"/>
                <w:sz w:val="15"/>
              </w:rPr>
              <w:t>30.93m (2Q26)</w:t>
            </w:r>
          </w:p>
        </w:tc>
        <w:tc>
          <w:tcPr>
            <w:tcW w:type="dxa" w:w="2192"/>
            <w:shd w:val="clear" w:color="auto" w:fill="EEF1F6"/>
          </w:tcPr>
          <w:p>
            <w:r>
              <w:rPr>
                <w:b w:val="0"/>
                <w:i w:val="0"/>
                <w:sz w:val="15"/>
              </w:rPr>
              <w:t>31.0m (1Q26), 31.9m (1Q25)</w:t>
            </w:r>
          </w:p>
        </w:tc>
        <w:tc>
          <w:tcPr>
            <w:tcW w:type="dxa" w:w="3380"/>
            <w:shd w:val="clear" w:color="auto" w:fill="EEF1F6"/>
          </w:tcPr>
          <w:p>
            <w:r>
              <w:rPr>
                <w:b w:val="0"/>
                <w:i w:val="0"/>
                <w:sz w:val="15"/>
              </w:rPr>
              <w:t>-41k in 2Q26 after +122k in 1Q26</w:t>
            </w:r>
          </w:p>
        </w:tc>
      </w:tr>
      <w:tr>
        <w:tc>
          <w:tcPr>
            <w:tcW w:type="dxa" w:w="2192"/>
          </w:tcPr>
          <w:p>
            <w:r>
              <w:rPr>
                <w:b w:val="0"/>
                <w:i w:val="0"/>
                <w:sz w:val="15"/>
              </w:rPr>
              <w:t>Handset subscribers</w:t>
            </w:r>
          </w:p>
        </w:tc>
        <w:tc>
          <w:tcPr>
            <w:tcW w:type="dxa" w:w="2101"/>
          </w:tcPr>
          <w:p>
            <w:r>
              <w:rPr>
                <w:b w:val="0"/>
                <w:i w:val="0"/>
                <w:sz w:val="15"/>
              </w:rPr>
              <w:t>21.97m (2Q26)</w:t>
            </w:r>
          </w:p>
        </w:tc>
        <w:tc>
          <w:tcPr>
            <w:tcW w:type="dxa" w:w="2192"/>
          </w:tcPr>
          <w:p>
            <w:r>
              <w:rPr>
                <w:b w:val="0"/>
                <w:i w:val="0"/>
                <w:sz w:val="15"/>
              </w:rPr>
              <w:t>~22.0m (2Q25)</w:t>
            </w:r>
          </w:p>
        </w:tc>
        <w:tc>
          <w:tcPr>
            <w:tcW w:type="dxa" w:w="3380"/>
          </w:tcPr>
          <w:p>
            <w:r>
              <w:rPr>
                <w:b w:val="0"/>
                <w:i w:val="0"/>
                <w:sz w:val="15"/>
              </w:rPr>
              <w:t>Flat y/y</w:t>
            </w:r>
          </w:p>
        </w:tc>
      </w:tr>
      <w:tr>
        <w:tc>
          <w:tcPr>
            <w:tcW w:type="dxa" w:w="2192"/>
            <w:shd w:val="clear" w:color="auto" w:fill="EEF1F6"/>
          </w:tcPr>
          <w:p>
            <w:r>
              <w:rPr>
                <w:b w:val="0"/>
                <w:i w:val="0"/>
                <w:sz w:val="15"/>
              </w:rPr>
              <w:t>5G subscribers</w:t>
            </w:r>
          </w:p>
        </w:tc>
        <w:tc>
          <w:tcPr>
            <w:tcW w:type="dxa" w:w="2101"/>
            <w:shd w:val="clear" w:color="auto" w:fill="EEF1F6"/>
          </w:tcPr>
          <w:p>
            <w:r>
              <w:rPr>
                <w:b w:val="0"/>
                <w:i w:val="0"/>
                <w:sz w:val="15"/>
              </w:rPr>
              <w:t>17.97m (2Q26)</w:t>
            </w:r>
          </w:p>
        </w:tc>
        <w:tc>
          <w:tcPr>
            <w:tcW w:type="dxa" w:w="2192"/>
            <w:shd w:val="clear" w:color="auto" w:fill="EEF1F6"/>
          </w:tcPr>
          <w:p>
            <w:r>
              <w:rPr>
                <w:b w:val="0"/>
                <w:i w:val="0"/>
                <w:sz w:val="15"/>
              </w:rPr>
              <w:t>17.26m (3Q25)</w:t>
            </w:r>
          </w:p>
        </w:tc>
        <w:tc>
          <w:tcPr>
            <w:tcW w:type="dxa" w:w="3380"/>
            <w:shd w:val="clear" w:color="auto" w:fill="EEF1F6"/>
          </w:tcPr>
          <w:p>
            <w:r>
              <w:rPr>
                <w:b w:val="0"/>
                <w:i w:val="0"/>
                <w:sz w:val="15"/>
              </w:rPr>
              <w:t>~82% of handsets; runway to ~90%</w:t>
            </w:r>
          </w:p>
        </w:tc>
      </w:tr>
      <w:tr>
        <w:tc>
          <w:tcPr>
            <w:tcW w:type="dxa" w:w="2192"/>
          </w:tcPr>
          <w:p>
            <w:r>
              <w:rPr>
                <w:b w:val="0"/>
                <w:i w:val="0"/>
                <w:sz w:val="15"/>
              </w:rPr>
              <w:t>Monthly churn</w:t>
            </w:r>
          </w:p>
        </w:tc>
        <w:tc>
          <w:tcPr>
            <w:tcW w:type="dxa" w:w="2101"/>
          </w:tcPr>
          <w:p>
            <w:r>
              <w:rPr>
                <w:b w:val="0"/>
                <w:i w:val="0"/>
                <w:sz w:val="15"/>
              </w:rPr>
              <w:t>0.8% (2Q26)</w:t>
            </w:r>
          </w:p>
        </w:tc>
        <w:tc>
          <w:tcPr>
            <w:tcW w:type="dxa" w:w="2192"/>
          </w:tcPr>
          <w:p>
            <w:r>
              <w:rPr>
                <w:b w:val="0"/>
                <w:i w:val="0"/>
                <w:sz w:val="15"/>
              </w:rPr>
              <w:t>1.6% (2Q25)</w:t>
            </w:r>
          </w:p>
        </w:tc>
        <w:tc>
          <w:tcPr>
            <w:tcW w:type="dxa" w:w="3380"/>
          </w:tcPr>
          <w:p>
            <w:r>
              <w:rPr>
                <w:b w:val="0"/>
                <w:i w:val="0"/>
                <w:sz w:val="15"/>
              </w:rPr>
              <w:t>Normalised</w:t>
            </w:r>
          </w:p>
        </w:tc>
      </w:tr>
      <w:tr>
        <w:tc>
          <w:tcPr>
            <w:tcW w:type="dxa" w:w="2192"/>
            <w:shd w:val="clear" w:color="auto" w:fill="EEF1F6"/>
          </w:tcPr>
          <w:p>
            <w:r>
              <w:rPr>
                <w:b w:val="0"/>
                <w:i w:val="0"/>
                <w:sz w:val="15"/>
              </w:rPr>
              <w:t>Marketing cost</w:t>
            </w:r>
          </w:p>
        </w:tc>
        <w:tc>
          <w:tcPr>
            <w:tcW w:type="dxa" w:w="2101"/>
            <w:shd w:val="clear" w:color="auto" w:fill="EEF1F6"/>
          </w:tcPr>
          <w:p>
            <w:r>
              <w:rPr>
                <w:b w:val="0"/>
                <w:i w:val="0"/>
                <w:sz w:val="15"/>
              </w:rPr>
              <w:t>KRW 741bn (1Q26, +7.1%)</w:t>
            </w:r>
          </w:p>
        </w:tc>
        <w:tc>
          <w:tcPr>
            <w:tcW w:type="dxa" w:w="2192"/>
            <w:shd w:val="clear" w:color="auto" w:fill="EEF1F6"/>
          </w:tcPr>
          <w:p>
            <w:r>
              <w:rPr>
                <w:b w:val="0"/>
                <w:i w:val="0"/>
                <w:sz w:val="15"/>
              </w:rPr>
              <w:t>KT 687bn, LGU+ 614bn</w:t>
            </w:r>
          </w:p>
        </w:tc>
        <w:tc>
          <w:tcPr>
            <w:tcW w:type="dxa" w:w="3380"/>
            <w:shd w:val="clear" w:color="auto" w:fill="EEF1F6"/>
          </w:tcPr>
          <w:p>
            <w:r>
              <w:rPr>
                <w:b w:val="0"/>
                <w:i w:val="0"/>
                <w:sz w:val="15"/>
              </w:rPr>
              <w:t>Post-Dantong-beop competition contained</w:t>
            </w:r>
          </w:p>
        </w:tc>
      </w:tr>
      <w:tr>
        <w:tc>
          <w:tcPr>
            <w:tcW w:type="dxa" w:w="2192"/>
          </w:tcPr>
          <w:p>
            <w:r>
              <w:rPr>
                <w:b w:val="0"/>
                <w:i w:val="0"/>
                <w:sz w:val="15"/>
              </w:rPr>
              <w:t>Capex / sales</w:t>
            </w:r>
          </w:p>
        </w:tc>
        <w:tc>
          <w:tcPr>
            <w:tcW w:type="dxa" w:w="2101"/>
          </w:tcPr>
          <w:p>
            <w:r>
              <w:rPr>
                <w:b w:val="0"/>
                <w:i w:val="0"/>
                <w:sz w:val="15"/>
              </w:rPr>
              <w:t>~11% (2Q26 capex 487bn)</w:t>
            </w:r>
          </w:p>
        </w:tc>
        <w:tc>
          <w:tcPr>
            <w:tcW w:type="dxa" w:w="2192"/>
          </w:tcPr>
          <w:p>
            <w:r>
              <w:rPr>
                <w:b w:val="0"/>
                <w:i w:val="0"/>
                <w:sz w:val="15"/>
              </w:rPr>
              <w:t>~17-18% (2021-23)</w:t>
            </w:r>
          </w:p>
        </w:tc>
        <w:tc>
          <w:tcPr>
            <w:tcW w:type="dxa" w:w="3380"/>
          </w:tcPr>
          <w:p>
            <w:r>
              <w:rPr>
                <w:b w:val="0"/>
                <w:i w:val="0"/>
                <w:sz w:val="15"/>
              </w:rPr>
              <w:t>Structural decline; AI-DC capex moving to SK Horizon/Hyper</w:t>
            </w:r>
          </w:p>
        </w:tc>
      </w:tr>
      <w:tr>
        <w:tc>
          <w:tcPr>
            <w:tcW w:type="dxa" w:w="2192"/>
            <w:shd w:val="clear" w:color="auto" w:fill="EEF1F6"/>
          </w:tcPr>
          <w:p>
            <w:r>
              <w:rPr>
                <w:b w:val="0"/>
                <w:i w:val="0"/>
                <w:sz w:val="15"/>
              </w:rPr>
              <w:t>AI-DC revenue</w:t>
            </w:r>
          </w:p>
        </w:tc>
        <w:tc>
          <w:tcPr>
            <w:tcW w:type="dxa" w:w="2101"/>
            <w:shd w:val="clear" w:color="auto" w:fill="EEF1F6"/>
          </w:tcPr>
          <w:p>
            <w:r>
              <w:rPr>
                <w:b w:val="0"/>
                <w:i w:val="0"/>
                <w:sz w:val="15"/>
              </w:rPr>
              <w:t>KRW 136bn (2Q26, +92.5%)</w:t>
            </w:r>
          </w:p>
        </w:tc>
        <w:tc>
          <w:tcPr>
            <w:tcW w:type="dxa" w:w="2192"/>
            <w:shd w:val="clear" w:color="auto" w:fill="EEF1F6"/>
          </w:tcPr>
          <w:p>
            <w:r>
              <w:rPr>
                <w:b w:val="0"/>
                <w:i w:val="0"/>
                <w:sz w:val="15"/>
              </w:rPr>
              <w:t>KRW 131bn (1Q26, +89%)</w:t>
            </w:r>
          </w:p>
        </w:tc>
        <w:tc>
          <w:tcPr>
            <w:tcW w:type="dxa" w:w="3380"/>
            <w:shd w:val="clear" w:color="auto" w:fill="EEF1F6"/>
          </w:tcPr>
          <w:p>
            <w:r>
              <w:rPr>
                <w:b w:val="0"/>
                <w:i w:val="0"/>
                <w:sz w:val="15"/>
              </w:rPr>
              <w:t>Ulsan 41MW Nov-27; SK Horizon 318MW</w:t>
            </w:r>
          </w:p>
        </w:tc>
      </w:tr>
      <w:tr>
        <w:tc>
          <w:tcPr>
            <w:tcW w:type="dxa" w:w="2192"/>
          </w:tcPr>
          <w:p>
            <w:r>
              <w:rPr>
                <w:b w:val="0"/>
                <w:i w:val="0"/>
                <w:sz w:val="15"/>
              </w:rPr>
              <w:t>SKB FTTH lines / share</w:t>
            </w:r>
          </w:p>
        </w:tc>
        <w:tc>
          <w:tcPr>
            <w:tcW w:type="dxa" w:w="2101"/>
          </w:tcPr>
          <w:p>
            <w:r>
              <w:rPr>
                <w:b w:val="0"/>
                <w:i w:val="0"/>
                <w:sz w:val="15"/>
              </w:rPr>
              <w:t>~7.17m / 28.7% (Jun-25)</w:t>
            </w:r>
          </w:p>
        </w:tc>
        <w:tc>
          <w:tcPr>
            <w:tcW w:type="dxa" w:w="2192"/>
          </w:tcPr>
          <w:p/>
        </w:tc>
        <w:tc>
          <w:tcPr>
            <w:tcW w:type="dxa" w:w="3380"/>
          </w:tcPr>
          <w:p>
            <w:r>
              <w:rPr>
                <w:b w:val="0"/>
                <w:i w:val="0"/>
                <w:sz w:val="15"/>
              </w:rPr>
              <w:t>#2 behind KT</w:t>
            </w:r>
          </w:p>
        </w:tc>
      </w:tr>
      <w:tr>
        <w:tc>
          <w:tcPr>
            <w:tcW w:type="dxa" w:w="2192"/>
            <w:shd w:val="clear" w:color="auto" w:fill="EEF1F6"/>
          </w:tcPr>
          <w:p>
            <w:r>
              <w:rPr>
                <w:b w:val="0"/>
                <w:i w:val="0"/>
                <w:sz w:val="15"/>
              </w:rPr>
              <w:t>Pay-TV share (SKB IPTV+SO)</w:t>
            </w:r>
          </w:p>
        </w:tc>
        <w:tc>
          <w:tcPr>
            <w:tcW w:type="dxa" w:w="2101"/>
            <w:shd w:val="clear" w:color="auto" w:fill="EEF1F6"/>
          </w:tcPr>
          <w:p>
            <w:r>
              <w:rPr>
                <w:b w:val="0"/>
                <w:i w:val="0"/>
                <w:sz w:val="15"/>
              </w:rPr>
              <w:t>~26.4% (1H25)</w:t>
            </w:r>
          </w:p>
        </w:tc>
        <w:tc>
          <w:tcPr>
            <w:tcW w:type="dxa" w:w="2192"/>
            <w:shd w:val="clear" w:color="auto" w:fill="EEF1F6"/>
          </w:tcPr>
          <w:p/>
        </w:tc>
        <w:tc>
          <w:tcPr>
            <w:tcW w:type="dxa" w:w="3380"/>
            <w:shd w:val="clear" w:color="auto" w:fill="EEF1F6"/>
          </w:tcPr>
          <w:p>
            <w:r>
              <w:rPr>
                <w:b w:val="0"/>
                <w:i w:val="0"/>
                <w:sz w:val="15"/>
              </w:rPr>
              <w:t>#2; pay-TV market shrinking (36.15m)</w:t>
            </w:r>
          </w:p>
        </w:tc>
      </w:tr>
      <w:tr>
        <w:tc>
          <w:tcPr>
            <w:tcW w:type="dxa" w:w="2192"/>
          </w:tcPr>
          <w:p>
            <w:r>
              <w:rPr>
                <w:b w:val="0"/>
                <w:i w:val="0"/>
                <w:sz w:val="15"/>
              </w:rPr>
              <w:t>EBITDA margin</w:t>
            </w:r>
          </w:p>
        </w:tc>
        <w:tc>
          <w:tcPr>
            <w:tcW w:type="dxa" w:w="2101"/>
          </w:tcPr>
          <w:p>
            <w:r>
              <w:rPr>
                <w:b w:val="0"/>
                <w:i w:val="0"/>
                <w:sz w:val="15"/>
              </w:rPr>
              <w:t>33.1% (2Q26)</w:t>
            </w:r>
          </w:p>
        </w:tc>
        <w:tc>
          <w:tcPr>
            <w:tcW w:type="dxa" w:w="2192"/>
          </w:tcPr>
          <w:p>
            <w:r>
              <w:rPr>
                <w:b w:val="0"/>
                <w:i w:val="0"/>
                <w:sz w:val="15"/>
              </w:rPr>
              <w:t>27.3% (FY25)</w:t>
            </w:r>
          </w:p>
        </w:tc>
        <w:tc>
          <w:tcPr>
            <w:tcW w:type="dxa" w:w="3380"/>
          </w:tcPr>
          <w:p>
            <w:r>
              <w:rPr>
                <w:b w:val="0"/>
                <w:i w:val="0"/>
                <w:sz w:val="15"/>
              </w:rPr>
              <w:t>Record high</w:t>
            </w:r>
          </w:p>
        </w:tc>
      </w:tr>
      <w:tr>
        <w:tc>
          <w:tcPr>
            <w:tcW w:type="dxa" w:w="2192"/>
            <w:shd w:val="clear" w:color="auto" w:fill="EEF1F6"/>
          </w:tcPr>
          <w:p>
            <w:r>
              <w:rPr>
                <w:b w:val="0"/>
                <w:i w:val="0"/>
                <w:sz w:val="15"/>
              </w:rPr>
              <w:t>Installed base value (Anthropic book)</w:t>
            </w:r>
          </w:p>
        </w:tc>
        <w:tc>
          <w:tcPr>
            <w:tcW w:type="dxa" w:w="2101"/>
            <w:shd w:val="clear" w:color="auto" w:fill="EEF1F6"/>
          </w:tcPr>
          <w:p>
            <w:r>
              <w:rPr>
                <w:b w:val="0"/>
                <w:i w:val="0"/>
                <w:sz w:val="15"/>
              </w:rPr>
              <w:t>KRW 3.505tn (Jun-26)</w:t>
            </w:r>
          </w:p>
        </w:tc>
        <w:tc>
          <w:tcPr>
            <w:tcW w:type="dxa" w:w="2192"/>
            <w:shd w:val="clear" w:color="auto" w:fill="EEF1F6"/>
          </w:tcPr>
          <w:p>
            <w:r>
              <w:rPr>
                <w:b w:val="0"/>
                <w:i w:val="0"/>
                <w:sz w:val="15"/>
              </w:rPr>
              <w:t>KRW 1.376tn (Dec-25)</w:t>
            </w:r>
          </w:p>
        </w:tc>
        <w:tc>
          <w:tcPr>
            <w:tcW w:type="dxa" w:w="3380"/>
            <w:shd w:val="clear" w:color="auto" w:fill="EEF1F6"/>
          </w:tcPr>
          <w:p>
            <w:r>
              <w:rPr>
                <w:b w:val="0"/>
                <w:i w:val="0"/>
                <w:sz w:val="15"/>
              </w:rPr>
              <w:t>Revalued with each funding round</w:t>
            </w:r>
          </w:p>
        </w:tc>
      </w:tr>
    </w:tbl>
    <w:p>
      <w:r>
        <w:rPr>
          <w:b w:val="0"/>
          <w:i/>
          <w:color w:val="5B6475"/>
          <w:sz w:val="15"/>
        </w:rPr>
        <w:t>ARPU and IPTV subscriber series not retrievable [u]; check 2Q26 investor briefing.</w:t>
      </w:r>
    </w:p>
    <w:p>
      <w:r>
        <w:drawing>
          <wp:inline xmlns:a="http://schemas.openxmlformats.org/drawingml/2006/main" xmlns:pic="http://schemas.openxmlformats.org/drawingml/2006/picture">
            <wp:extent cx="3758400" cy="1610743"/>
            <wp:docPr id="5" name="Picture 5"/>
            <wp:cNvGraphicFramePr>
              <a:graphicFrameLocks noChangeAspect="1"/>
            </wp:cNvGraphicFramePr>
            <a:graphic>
              <a:graphicData uri="http://schemas.openxmlformats.org/drawingml/2006/picture">
                <pic:pic>
                  <pic:nvPicPr>
                    <pic:cNvPr id="0" name="c_share.png"/>
                    <pic:cNvPicPr/>
                  </pic:nvPicPr>
                  <pic:blipFill>
                    <a:blip r:embed="rId13"/>
                    <a:stretch>
                      <a:fillRect/>
                    </a:stretch>
                  </pic:blipFill>
                  <pic:spPr>
                    <a:xfrm>
                      <a:off x="0" y="0"/>
                      <a:ext cx="3758400" cy="1610743"/>
                    </a:xfrm>
                    <a:prstGeom prst="rect"/>
                  </pic:spPr>
                </pic:pic>
              </a:graphicData>
            </a:graphic>
          </wp:inline>
        </w:drawing>
      </w:r>
    </w:p>
    <w:p>
      <w:r>
        <w:rPr>
          <w:b w:val="0"/>
          <w:i w:val="0"/>
          <w:color w:val="5B6475"/>
          <w:sz w:val="15"/>
        </w:rPr>
        <w:t>SKT handset subscriber share (MSIT data via press).</w:t>
      </w:r>
    </w:p>
    <w:p>
      <w:r>
        <w:br w:type="page"/>
      </w:r>
    </w:p>
    <w:p>
      <w:pPr>
        <w:pStyle w:val="Heading1"/>
      </w:pPr>
      <w:r>
        <w:rPr>
          <w:b/>
          <w:i w:val="0"/>
          <w:color w:val="13223F"/>
          <w:sz w:val="32"/>
        </w:rPr>
        <w:t>9. Earnings calls, sentiment and the latest result</w:t>
      </w:r>
    </w:p>
    <w:p>
      <w:pPr>
        <w:pStyle w:val="Heading2"/>
      </w:pPr>
      <w:r>
        <w:rPr>
          <w:b/>
          <w:i w:val="0"/>
          <w:color w:val="2D6CCB"/>
          <w:sz w:val="24"/>
        </w:rPr>
        <w:t>9.1 What management is focused on</w:t>
      </w:r>
    </w:p>
    <w:p>
      <w:pPr>
        <w:pStyle w:val="ListBullet"/>
        <w:spacing w:after="20"/>
      </w:pPr>
      <w:r>
        <w:rPr>
          <w:b/>
          <w:i w:val="0"/>
        </w:rPr>
        <w:t>Trust recovery and security:</w:t>
      </w:r>
      <w:r>
        <w:rPr>
          <w:b w:val="0"/>
          <w:i w:val="0"/>
        </w:rPr>
        <w:t xml:space="preserve"> KRW 700bn/5-yr security plan; CISO reporting to the CEO; CISO/CPO split.</w:t>
      </w:r>
    </w:p>
    <w:p>
      <w:pPr>
        <w:pStyle w:val="ListBullet"/>
        <w:spacing w:after="20"/>
      </w:pPr>
      <w:r>
        <w:rPr>
          <w:b/>
          <w:i w:val="0"/>
        </w:rPr>
        <w:t>"Earnings above pre-breach levels" in 2026</w:t>
      </w:r>
      <w:r>
        <w:rPr>
          <w:b w:val="0"/>
          <w:i w:val="0"/>
        </w:rPr>
        <w:t xml:space="preserve"> - repeated on every 2026 call; revenue recovery acknowledged to be slower.</w:t>
      </w:r>
    </w:p>
    <w:p>
      <w:pPr>
        <w:pStyle w:val="ListBullet"/>
        <w:spacing w:after="20"/>
      </w:pPr>
      <w:r>
        <w:rPr>
          <w:b/>
          <w:i w:val="0"/>
        </w:rPr>
        <w:t>AI infrastructure:</w:t>
      </w:r>
      <w:r>
        <w:rPr>
          <w:b w:val="0"/>
          <w:i w:val="0"/>
        </w:rPr>
        <w:t xml:space="preserve"> AI-DC growth, SK Horizon (asset-light via PE partners), SK Hyper (GW-scale developer), GPUaaS, sovereign AI model A.X K2 (Phase 3).</w:t>
      </w:r>
    </w:p>
    <w:p>
      <w:pPr>
        <w:pStyle w:val="ListBullet"/>
        <w:spacing w:after="20"/>
      </w:pPr>
      <w:r>
        <w:rPr>
          <w:b/>
          <w:i w:val="0"/>
        </w:rPr>
        <w:t>Dividend continuity:</w:t>
      </w:r>
      <w:r>
        <w:rPr>
          <w:b w:val="0"/>
          <w:i w:val="0"/>
        </w:rPr>
        <w:t xml:space="preserve"> KRW 830/quarter explicitly ring-fenced from AI-DC spend (2Q26 call).</w:t>
      </w:r>
    </w:p>
    <w:p>
      <w:pPr>
        <w:pStyle w:val="ListBullet"/>
        <w:spacing w:after="20"/>
      </w:pPr>
      <w:r>
        <w:rPr>
          <w:b/>
          <w:i w:val="0"/>
        </w:rPr>
        <w:t>Cost structure:</w:t>
      </w:r>
      <w:r>
        <w:rPr>
          <w:b w:val="0"/>
          <w:i w:val="0"/>
        </w:rPr>
        <w:t xml:space="preserve"> two-CIC organisation (MNO, AI), 30% fewer executives, voluntary retirement.</w:t>
      </w:r>
    </w:p>
    <w:p>
      <w:pPr>
        <w:pStyle w:val="Heading2"/>
      </w:pPr>
      <w:r>
        <w:rPr>
          <w:b/>
          <w:i w:val="0"/>
          <w:color w:val="2D6CCB"/>
          <w:sz w:val="24"/>
        </w:rPr>
        <w:t>9.2 Sentiment trajectory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553"/>
            <w:shd w:val="clear" w:color="auto" w:fill="13223F"/>
          </w:tcPr>
          <w:p>
            <w:r>
              <w:rPr>
                <w:b/>
                <w:i w:val="0"/>
                <w:color w:val="FFFFFF"/>
                <w:sz w:val="15"/>
              </w:rPr>
              <w:t>Call</w:t>
            </w:r>
          </w:p>
        </w:tc>
        <w:tc>
          <w:tcPr>
            <w:tcW w:type="dxa" w:w="1370"/>
            <w:shd w:val="clear" w:color="auto" w:fill="13223F"/>
          </w:tcPr>
          <w:p>
            <w:r>
              <w:rPr>
                <w:b/>
                <w:i w:val="0"/>
                <w:color w:val="FFFFFF"/>
                <w:sz w:val="15"/>
              </w:rPr>
              <w:t>Tone (1-5)</w:t>
            </w:r>
          </w:p>
        </w:tc>
        <w:tc>
          <w:tcPr>
            <w:tcW w:type="dxa" w:w="3928"/>
            <w:shd w:val="clear" w:color="auto" w:fill="13223F"/>
          </w:tcPr>
          <w:p>
            <w:r>
              <w:rPr>
                <w:b/>
                <w:i w:val="0"/>
                <w:color w:val="FFFFFF"/>
                <w:sz w:val="15"/>
              </w:rPr>
              <w:t>Key messages</w:t>
            </w:r>
          </w:p>
        </w:tc>
        <w:tc>
          <w:tcPr>
            <w:tcW w:type="dxa" w:w="3014"/>
            <w:shd w:val="clear" w:color="auto" w:fill="13223F"/>
          </w:tcPr>
          <w:p>
            <w:r>
              <w:rPr>
                <w:b/>
                <w:i w:val="0"/>
                <w:color w:val="FFFFFF"/>
                <w:sz w:val="15"/>
              </w:rPr>
              <w:t>Analyst focus</w:t>
            </w:r>
          </w:p>
        </w:tc>
      </w:tr>
      <w:tr>
        <w:tc>
          <w:tcPr>
            <w:tcW w:type="dxa" w:w="1553"/>
          </w:tcPr>
          <w:p>
            <w:r>
              <w:rPr>
                <w:b w:val="0"/>
                <w:i w:val="0"/>
                <w:sz w:val="15"/>
              </w:rPr>
              <w:t>2Q25 (Aug-25)</w:t>
            </w:r>
          </w:p>
        </w:tc>
        <w:tc>
          <w:tcPr>
            <w:tcW w:type="dxa" w:w="1370"/>
          </w:tcPr>
          <w:p>
            <w:r>
              <w:rPr>
                <w:b w:val="0"/>
                <w:i w:val="0"/>
                <w:sz w:val="15"/>
              </w:rPr>
              <w:t>1.5 - defensive</w:t>
            </w:r>
          </w:p>
        </w:tc>
        <w:tc>
          <w:tcPr>
            <w:tcW w:type="dxa" w:w="3928"/>
          </w:tcPr>
          <w:p>
            <w:r>
              <w:rPr>
                <w:b w:val="0"/>
                <w:i w:val="0"/>
                <w:sz w:val="15"/>
              </w:rPr>
              <w:t>Crisis containment, compensation, security investment; AI as offset</w:t>
            </w:r>
          </w:p>
        </w:tc>
        <w:tc>
          <w:tcPr>
            <w:tcW w:type="dxa" w:w="3014"/>
          </w:tcPr>
          <w:p>
            <w:r>
              <w:rPr>
                <w:b w:val="0"/>
                <w:i w:val="0"/>
                <w:sz w:val="15"/>
              </w:rPr>
              <w:t>Size of hit, subscriber loss</w:t>
            </w:r>
          </w:p>
        </w:tc>
      </w:tr>
      <w:tr>
        <w:tc>
          <w:tcPr>
            <w:tcW w:type="dxa" w:w="1553"/>
            <w:shd w:val="clear" w:color="auto" w:fill="EEF1F6"/>
          </w:tcPr>
          <w:p>
            <w:r>
              <w:rPr>
                <w:b w:val="0"/>
                <w:i w:val="0"/>
                <w:sz w:val="15"/>
              </w:rPr>
              <w:t>3Q25 (30-Oct-25)</w:t>
            </w:r>
          </w:p>
        </w:tc>
        <w:tc>
          <w:tcPr>
            <w:tcW w:type="dxa" w:w="1370"/>
            <w:shd w:val="clear" w:color="auto" w:fill="EEF1F6"/>
          </w:tcPr>
          <w:p>
            <w:r>
              <w:rPr>
                <w:b w:val="0"/>
                <w:i w:val="0"/>
                <w:sz w:val="15"/>
              </w:rPr>
              <w:t>1.0 - trough</w:t>
            </w:r>
          </w:p>
        </w:tc>
        <w:tc>
          <w:tcPr>
            <w:tcW w:type="dxa" w:w="3928"/>
            <w:shd w:val="clear" w:color="auto" w:fill="EEF1F6"/>
          </w:tcPr>
          <w:p>
            <w:r>
              <w:rPr>
                <w:b w:val="0"/>
                <w:i w:val="0"/>
                <w:sz w:val="15"/>
              </w:rPr>
              <w:t>OP KRW 48bn; first-ever dividend skip; "absorbing one-offs"</w:t>
            </w:r>
          </w:p>
        </w:tc>
        <w:tc>
          <w:tcPr>
            <w:tcW w:type="dxa" w:w="3014"/>
            <w:shd w:val="clear" w:color="auto" w:fill="EEF1F6"/>
          </w:tcPr>
          <w:p>
            <w:r>
              <w:rPr>
                <w:b w:val="0"/>
                <w:i w:val="0"/>
                <w:sz w:val="15"/>
              </w:rPr>
              <w:t>When do dividends resume? Remaining one-offs?</w:t>
            </w:r>
          </w:p>
        </w:tc>
      </w:tr>
      <w:tr>
        <w:tc>
          <w:tcPr>
            <w:tcW w:type="dxa" w:w="1553"/>
          </w:tcPr>
          <w:p>
            <w:r>
              <w:rPr>
                <w:b w:val="0"/>
                <w:i w:val="0"/>
                <w:sz w:val="15"/>
              </w:rPr>
              <w:t>4Q25 (5-Feb-26)</w:t>
            </w:r>
          </w:p>
        </w:tc>
        <w:tc>
          <w:tcPr>
            <w:tcW w:type="dxa" w:w="1370"/>
          </w:tcPr>
          <w:p>
            <w:r>
              <w:rPr>
                <w:b w:val="0"/>
                <w:i w:val="0"/>
                <w:sz w:val="15"/>
              </w:rPr>
              <w:t>2.5 - reset</w:t>
            </w:r>
          </w:p>
        </w:tc>
        <w:tc>
          <w:tcPr>
            <w:tcW w:type="dxa" w:w="3928"/>
          </w:tcPr>
          <w:p>
            <w:r>
              <w:rPr>
                <w:b w:val="0"/>
                <w:i w:val="0"/>
                <w:sz w:val="15"/>
              </w:rPr>
              <w:t>FY25 DPS 1,660; VRS; "2026 earnings above pre-breach"</w:t>
            </w:r>
          </w:p>
        </w:tc>
        <w:tc>
          <w:tcPr>
            <w:tcW w:type="dxa" w:w="3014"/>
          </w:tcPr>
          <w:p>
            <w:r>
              <w:rPr>
                <w:b w:val="0"/>
                <w:i w:val="0"/>
                <w:sz w:val="15"/>
              </w:rPr>
              <w:t>Normalised OP; payout policy</w:t>
            </w:r>
          </w:p>
        </w:tc>
      </w:tr>
      <w:tr>
        <w:tc>
          <w:tcPr>
            <w:tcW w:type="dxa" w:w="1553"/>
            <w:shd w:val="clear" w:color="auto" w:fill="EEF1F6"/>
          </w:tcPr>
          <w:p>
            <w:r>
              <w:rPr>
                <w:b w:val="0"/>
                <w:i w:val="0"/>
                <w:sz w:val="15"/>
              </w:rPr>
              <w:t>1Q26 (7-May-26)</w:t>
            </w:r>
          </w:p>
        </w:tc>
        <w:tc>
          <w:tcPr>
            <w:tcW w:type="dxa" w:w="1370"/>
            <w:shd w:val="clear" w:color="auto" w:fill="EEF1F6"/>
          </w:tcPr>
          <w:p>
            <w:r>
              <w:rPr>
                <w:b w:val="0"/>
                <w:i w:val="0"/>
                <w:sz w:val="15"/>
              </w:rPr>
              <w:t>3.5 - recovery</w:t>
            </w:r>
          </w:p>
        </w:tc>
        <w:tc>
          <w:tcPr>
            <w:tcW w:type="dxa" w:w="3928"/>
            <w:shd w:val="clear" w:color="auto" w:fill="EEF1F6"/>
          </w:tcPr>
          <w:p>
            <w:r>
              <w:rPr>
                <w:b w:val="0"/>
                <w:i w:val="0"/>
                <w:sz w:val="15"/>
              </w:rPr>
              <w:t>DPS 830 reinstated; +210k handset adds; OP back to pre-breach; AI-DC +89%</w:t>
            </w:r>
          </w:p>
        </w:tc>
        <w:tc>
          <w:tcPr>
            <w:tcW w:type="dxa" w:w="3014"/>
            <w:shd w:val="clear" w:color="auto" w:fill="EEF1F6"/>
          </w:tcPr>
          <w:p>
            <w:r>
              <w:rPr>
                <w:b w:val="0"/>
                <w:i w:val="0"/>
                <w:sz w:val="15"/>
              </w:rPr>
              <w:t>Sustainability of share gains from KT</w:t>
            </w:r>
          </w:p>
        </w:tc>
      </w:tr>
      <w:tr>
        <w:tc>
          <w:tcPr>
            <w:tcW w:type="dxa" w:w="1553"/>
          </w:tcPr>
          <w:p>
            <w:r>
              <w:rPr>
                <w:b w:val="0"/>
                <w:i w:val="0"/>
                <w:sz w:val="15"/>
              </w:rPr>
              <w:t>2Q26 (5-Aug-26)</w:t>
            </w:r>
          </w:p>
        </w:tc>
        <w:tc>
          <w:tcPr>
            <w:tcW w:type="dxa" w:w="1370"/>
          </w:tcPr>
          <w:p>
            <w:r>
              <w:rPr>
                <w:b w:val="0"/>
                <w:i w:val="0"/>
                <w:sz w:val="15"/>
              </w:rPr>
              <w:t>4.0 - growth/offence</w:t>
            </w:r>
          </w:p>
        </w:tc>
        <w:tc>
          <w:tcPr>
            <w:tcW w:type="dxa" w:w="3928"/>
          </w:tcPr>
          <w:p>
            <w:r>
              <w:rPr>
                <w:b w:val="0"/>
                <w:i w:val="0"/>
                <w:sz w:val="15"/>
              </w:rPr>
              <w:t>SK Hyper (KRW 750bn; 5GW), SK Horizon pending; record margin</w:t>
            </w:r>
          </w:p>
        </w:tc>
        <w:tc>
          <w:tcPr>
            <w:tcW w:type="dxa" w:w="3014"/>
          </w:tcPr>
          <w:p>
            <w:r>
              <w:rPr>
                <w:b w:val="0"/>
                <w:i w:val="0"/>
                <w:sz w:val="15"/>
              </w:rPr>
              <w:t>AI-DC funding vs dividend; MNO revenue still flat</w:t>
            </w:r>
          </w:p>
        </w:tc>
      </w:tr>
    </w:tbl>
    <w:p/>
    <w:p>
      <w:pPr>
        <w:spacing w:after="80"/>
      </w:pPr>
      <w:r>
        <w:rPr>
          <w:b/>
          <w:i w:val="0"/>
        </w:rPr>
        <w:t>Shift:</w:t>
      </w:r>
      <w:r>
        <w:rPr>
          <w:b w:val="0"/>
          <w:i w:val="0"/>
        </w:rPr>
        <w:t xml:space="preserve"> language moved from "responsibility" and "customer trust" (2025) to "normalisation" (early 2026) and "AI infrastructure", "GW" and "partners" (mid-2026). The risk is that management tone is now ahead of the evidence in the core business: MNO revenue has not yet grown y/y.</w:t>
      </w:r>
    </w:p>
    <w:p>
      <w:pPr>
        <w:pStyle w:val="Heading2"/>
      </w:pPr>
      <w:r>
        <w:rPr>
          <w:b/>
          <w:i w:val="0"/>
          <w:color w:val="2D6CCB"/>
          <w:sz w:val="24"/>
        </w:rPr>
        <w:t>9.3 Latest result - 2Q26 (reported 5-Aug-2026)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2591"/>
            <w:shd w:val="clear" w:color="auto" w:fill="13223F"/>
          </w:tcPr>
          <w:p>
            <w:r>
              <w:rPr>
                <w:b/>
                <w:i w:val="0"/>
                <w:color w:val="FFFFFF"/>
                <w:sz w:val="15"/>
              </w:rPr>
              <w:t>KRW bn</w:t>
            </w:r>
          </w:p>
        </w:tc>
        <w:tc>
          <w:tcPr>
            <w:tcW w:type="dxa" w:w="1495"/>
            <w:shd w:val="clear" w:color="auto" w:fill="13223F"/>
          </w:tcPr>
          <w:p>
            <w:r>
              <w:rPr>
                <w:b/>
                <w:i w:val="0"/>
                <w:color w:val="FFFFFF"/>
                <w:sz w:val="15"/>
              </w:rPr>
              <w:t>2Q26A</w:t>
            </w:r>
          </w:p>
        </w:tc>
        <w:tc>
          <w:tcPr>
            <w:tcW w:type="dxa" w:w="1495"/>
            <w:shd w:val="clear" w:color="auto" w:fill="13223F"/>
          </w:tcPr>
          <w:p>
            <w:r>
              <w:rPr>
                <w:b/>
                <w:i w:val="0"/>
                <w:color w:val="FFFFFF"/>
                <w:sz w:val="15"/>
              </w:rPr>
              <w:t>Consensus</w:t>
            </w:r>
          </w:p>
        </w:tc>
        <w:tc>
          <w:tcPr>
            <w:tcW w:type="dxa" w:w="1495"/>
            <w:shd w:val="clear" w:color="auto" w:fill="13223F"/>
          </w:tcPr>
          <w:p>
            <w:r>
              <w:rPr>
                <w:b/>
                <w:i w:val="0"/>
                <w:color w:val="FFFFFF"/>
                <w:sz w:val="15"/>
              </w:rPr>
              <w:t>Beat / miss</w:t>
            </w:r>
          </w:p>
        </w:tc>
        <w:tc>
          <w:tcPr>
            <w:tcW w:type="dxa" w:w="1395"/>
            <w:shd w:val="clear" w:color="auto" w:fill="13223F"/>
          </w:tcPr>
          <w:p>
            <w:r>
              <w:rPr>
                <w:b/>
                <w:i w:val="0"/>
                <w:color w:val="FFFFFF"/>
                <w:sz w:val="15"/>
              </w:rPr>
              <w:t>2Q25A</w:t>
            </w:r>
          </w:p>
        </w:tc>
        <w:tc>
          <w:tcPr>
            <w:tcW w:type="dxa" w:w="1395"/>
            <w:shd w:val="clear" w:color="auto" w:fill="13223F"/>
          </w:tcPr>
          <w:p>
            <w:r>
              <w:rPr>
                <w:b/>
                <w:i w:val="0"/>
                <w:color w:val="FFFFFF"/>
                <w:sz w:val="15"/>
              </w:rPr>
              <w:t>y/y</w:t>
            </w:r>
          </w:p>
        </w:tc>
      </w:tr>
      <w:tr>
        <w:tc>
          <w:tcPr>
            <w:tcW w:type="dxa" w:w="2591"/>
          </w:tcPr>
          <w:p>
            <w:r>
              <w:rPr>
                <w:b w:val="0"/>
                <w:i w:val="0"/>
                <w:sz w:val="15"/>
              </w:rPr>
              <w:t>Revenue</w:t>
            </w:r>
          </w:p>
        </w:tc>
        <w:tc>
          <w:tcPr>
            <w:tcW w:type="dxa" w:w="1495"/>
          </w:tcPr>
          <w:p>
            <w:r>
              <w:rPr>
                <w:b w:val="0"/>
                <w:i w:val="0"/>
                <w:sz w:val="15"/>
              </w:rPr>
              <w:t>4,359.1</w:t>
            </w:r>
          </w:p>
        </w:tc>
        <w:tc>
          <w:tcPr>
            <w:tcW w:type="dxa" w:w="1495"/>
          </w:tcPr>
          <w:p>
            <w:r>
              <w:rPr>
                <w:b w:val="0"/>
                <w:i w:val="0"/>
                <w:sz w:val="15"/>
              </w:rPr>
              <w:t>4,413.3</w:t>
            </w:r>
          </w:p>
        </w:tc>
        <w:tc>
          <w:tcPr>
            <w:tcW w:type="dxa" w:w="1495"/>
          </w:tcPr>
          <w:p>
            <w:r>
              <w:rPr>
                <w:b w:val="0"/>
                <w:i w:val="0"/>
                <w:sz w:val="15"/>
              </w:rPr>
              <w:t>-1.2% miss</w:t>
            </w:r>
          </w:p>
        </w:tc>
        <w:tc>
          <w:tcPr>
            <w:tcW w:type="dxa" w:w="1395"/>
          </w:tcPr>
          <w:p>
            <w:r>
              <w:rPr>
                <w:b w:val="0"/>
                <w:i w:val="0"/>
                <w:sz w:val="15"/>
              </w:rPr>
              <w:t>~4,338</w:t>
            </w:r>
          </w:p>
        </w:tc>
        <w:tc>
          <w:tcPr>
            <w:tcW w:type="dxa" w:w="1395"/>
          </w:tcPr>
          <w:p>
            <w:r>
              <w:rPr>
                <w:b w:val="0"/>
                <w:i w:val="0"/>
                <w:sz w:val="15"/>
              </w:rPr>
              <w:t>+0.5%</w:t>
            </w:r>
          </w:p>
        </w:tc>
      </w:tr>
      <w:tr>
        <w:tc>
          <w:tcPr>
            <w:tcW w:type="dxa" w:w="2591"/>
            <w:shd w:val="clear" w:color="auto" w:fill="EEF1F6"/>
          </w:tcPr>
          <w:p>
            <w:r>
              <w:rPr>
                <w:b w:val="0"/>
                <w:i w:val="0"/>
                <w:sz w:val="15"/>
              </w:rPr>
              <w:t>Operating income</w:t>
            </w:r>
          </w:p>
        </w:tc>
        <w:tc>
          <w:tcPr>
            <w:tcW w:type="dxa" w:w="1495"/>
            <w:shd w:val="clear" w:color="auto" w:fill="EEF1F6"/>
          </w:tcPr>
          <w:p>
            <w:r>
              <w:rPr>
                <w:b w:val="0"/>
                <w:i w:val="0"/>
                <w:sz w:val="15"/>
              </w:rPr>
              <w:t>566.0</w:t>
            </w:r>
          </w:p>
        </w:tc>
        <w:tc>
          <w:tcPr>
            <w:tcW w:type="dxa" w:w="1495"/>
            <w:shd w:val="clear" w:color="auto" w:fill="EEF1F6"/>
          </w:tcPr>
          <w:p>
            <w:r>
              <w:rPr>
                <w:b w:val="0"/>
                <w:i w:val="0"/>
                <w:sz w:val="15"/>
              </w:rPr>
              <w:t>547.0</w:t>
            </w:r>
          </w:p>
        </w:tc>
        <w:tc>
          <w:tcPr>
            <w:tcW w:type="dxa" w:w="1495"/>
            <w:shd w:val="clear" w:color="auto" w:fill="EEF1F6"/>
          </w:tcPr>
          <w:p>
            <w:r>
              <w:rPr>
                <w:b w:val="0"/>
                <w:i w:val="0"/>
                <w:sz w:val="15"/>
              </w:rPr>
              <w:t>+3.5% beat</w:t>
            </w:r>
          </w:p>
        </w:tc>
        <w:tc>
          <w:tcPr>
            <w:tcW w:type="dxa" w:w="1395"/>
            <w:shd w:val="clear" w:color="auto" w:fill="EEF1F6"/>
          </w:tcPr>
          <w:p>
            <w:r>
              <w:rPr>
                <w:b w:val="0"/>
                <w:i w:val="0"/>
                <w:sz w:val="15"/>
              </w:rPr>
              <w:t>338.3</w:t>
            </w:r>
          </w:p>
        </w:tc>
        <w:tc>
          <w:tcPr>
            <w:tcW w:type="dxa" w:w="1395"/>
            <w:shd w:val="clear" w:color="auto" w:fill="EEF1F6"/>
          </w:tcPr>
          <w:p>
            <w:r>
              <w:rPr>
                <w:b w:val="0"/>
                <w:i w:val="0"/>
                <w:sz w:val="15"/>
              </w:rPr>
              <w:t>+67.3%</w:t>
            </w:r>
          </w:p>
        </w:tc>
      </w:tr>
      <w:tr>
        <w:tc>
          <w:tcPr>
            <w:tcW w:type="dxa" w:w="2591"/>
          </w:tcPr>
          <w:p>
            <w:r>
              <w:rPr>
                <w:b w:val="0"/>
                <w:i w:val="0"/>
                <w:sz w:val="15"/>
              </w:rPr>
              <w:t>OP margin</w:t>
            </w:r>
          </w:p>
        </w:tc>
        <w:tc>
          <w:tcPr>
            <w:tcW w:type="dxa" w:w="1495"/>
          </w:tcPr>
          <w:p>
            <w:r>
              <w:rPr>
                <w:b w:val="0"/>
                <w:i w:val="0"/>
                <w:sz w:val="15"/>
              </w:rPr>
              <w:t>13.0%</w:t>
            </w:r>
          </w:p>
        </w:tc>
        <w:tc>
          <w:tcPr>
            <w:tcW w:type="dxa" w:w="1495"/>
          </w:tcPr>
          <w:p>
            <w:r>
              <w:rPr>
                <w:b w:val="0"/>
                <w:i w:val="0"/>
                <w:sz w:val="15"/>
              </w:rPr>
              <w:t>12.4%</w:t>
            </w:r>
          </w:p>
        </w:tc>
        <w:tc>
          <w:tcPr>
            <w:tcW w:type="dxa" w:w="1495"/>
          </w:tcPr>
          <w:p>
            <w:r>
              <w:rPr>
                <w:b w:val="0"/>
                <w:i w:val="0"/>
                <w:sz w:val="15"/>
              </w:rPr>
              <w:t>+60bp</w:t>
            </w:r>
          </w:p>
        </w:tc>
        <w:tc>
          <w:tcPr>
            <w:tcW w:type="dxa" w:w="1395"/>
          </w:tcPr>
          <w:p>
            <w:r>
              <w:rPr>
                <w:b w:val="0"/>
                <w:i w:val="0"/>
                <w:sz w:val="15"/>
              </w:rPr>
              <w:t>7.8%</w:t>
            </w:r>
          </w:p>
        </w:tc>
        <w:tc>
          <w:tcPr>
            <w:tcW w:type="dxa" w:w="1395"/>
          </w:tcPr>
          <w:p>
            <w:r>
              <w:rPr>
                <w:b w:val="0"/>
                <w:i w:val="0"/>
                <w:sz w:val="15"/>
              </w:rPr>
              <w:t>+520bp</w:t>
            </w:r>
          </w:p>
        </w:tc>
      </w:tr>
      <w:tr>
        <w:tc>
          <w:tcPr>
            <w:tcW w:type="dxa" w:w="2591"/>
            <w:shd w:val="clear" w:color="auto" w:fill="EEF1F6"/>
          </w:tcPr>
          <w:p>
            <w:r>
              <w:rPr>
                <w:b w:val="0"/>
                <w:i w:val="0"/>
                <w:sz w:val="15"/>
              </w:rPr>
              <w:t>EBITDA</w:t>
            </w:r>
          </w:p>
        </w:tc>
        <w:tc>
          <w:tcPr>
            <w:tcW w:type="dxa" w:w="1495"/>
            <w:shd w:val="clear" w:color="auto" w:fill="EEF1F6"/>
          </w:tcPr>
          <w:p>
            <w:r>
              <w:rPr>
                <w:b w:val="0"/>
                <w:i w:val="0"/>
                <w:sz w:val="15"/>
              </w:rPr>
              <w:t>1,442</w:t>
            </w:r>
          </w:p>
        </w:tc>
        <w:tc>
          <w:tcPr>
            <w:tcW w:type="dxa" w:w="1495"/>
            <w:shd w:val="clear" w:color="auto" w:fill="EEF1F6"/>
          </w:tcPr>
          <w:p>
            <w:r>
              <w:rPr>
                <w:b w:val="0"/>
                <w:i w:val="0"/>
                <w:sz w:val="15"/>
              </w:rPr>
              <w:t>n/a</w:t>
            </w:r>
          </w:p>
        </w:tc>
        <w:tc>
          <w:tcPr>
            <w:tcW w:type="dxa" w:w="1495"/>
            <w:shd w:val="clear" w:color="auto" w:fill="EEF1F6"/>
          </w:tcPr>
          <w:p/>
        </w:tc>
        <w:tc>
          <w:tcPr>
            <w:tcW w:type="dxa" w:w="1395"/>
            <w:shd w:val="clear" w:color="auto" w:fill="EEF1F6"/>
          </w:tcPr>
          <w:p>
            <w:r>
              <w:rPr>
                <w:b w:val="0"/>
                <w:i w:val="0"/>
                <w:sz w:val="15"/>
              </w:rPr>
              <w:t>~1,232</w:t>
            </w:r>
          </w:p>
        </w:tc>
        <w:tc>
          <w:tcPr>
            <w:tcW w:type="dxa" w:w="1395"/>
            <w:shd w:val="clear" w:color="auto" w:fill="EEF1F6"/>
          </w:tcPr>
          <w:p>
            <w:r>
              <w:rPr>
                <w:b w:val="0"/>
                <w:i w:val="0"/>
                <w:sz w:val="15"/>
              </w:rPr>
              <w:t>+17%</w:t>
            </w:r>
          </w:p>
        </w:tc>
      </w:tr>
      <w:tr>
        <w:tc>
          <w:tcPr>
            <w:tcW w:type="dxa" w:w="2591"/>
          </w:tcPr>
          <w:p>
            <w:r>
              <w:rPr>
                <w:b w:val="0"/>
                <w:i w:val="0"/>
                <w:sz w:val="15"/>
              </w:rPr>
              <w:t>Net income</w:t>
            </w:r>
          </w:p>
        </w:tc>
        <w:tc>
          <w:tcPr>
            <w:tcW w:type="dxa" w:w="1495"/>
          </w:tcPr>
          <w:p>
            <w:r>
              <w:rPr>
                <w:b w:val="0"/>
                <w:i w:val="0"/>
                <w:sz w:val="15"/>
              </w:rPr>
              <w:t>466.0</w:t>
            </w:r>
          </w:p>
        </w:tc>
        <w:tc>
          <w:tcPr>
            <w:tcW w:type="dxa" w:w="1495"/>
          </w:tcPr>
          <w:p>
            <w:r>
              <w:rPr>
                <w:b w:val="0"/>
                <w:i w:val="0"/>
                <w:sz w:val="15"/>
              </w:rPr>
              <w:t>n/a</w:t>
            </w:r>
          </w:p>
        </w:tc>
        <w:tc>
          <w:tcPr>
            <w:tcW w:type="dxa" w:w="1495"/>
          </w:tcPr>
          <w:p/>
        </w:tc>
        <w:tc>
          <w:tcPr>
            <w:tcW w:type="dxa" w:w="1395"/>
          </w:tcPr>
          <w:p>
            <w:r>
              <w:rPr>
                <w:b w:val="0"/>
                <w:i w:val="0"/>
                <w:sz w:val="15"/>
              </w:rPr>
              <w:t>83.2</w:t>
            </w:r>
          </w:p>
        </w:tc>
        <w:tc>
          <w:tcPr>
            <w:tcW w:type="dxa" w:w="1395"/>
          </w:tcPr>
          <w:p>
            <w:r>
              <w:rPr>
                <w:b w:val="0"/>
                <w:i w:val="0"/>
                <w:sz w:val="15"/>
              </w:rPr>
              <w:t>+460%</w:t>
            </w:r>
          </w:p>
        </w:tc>
      </w:tr>
      <w:tr>
        <w:tc>
          <w:tcPr>
            <w:tcW w:type="dxa" w:w="2591"/>
            <w:shd w:val="clear" w:color="auto" w:fill="EEF1F6"/>
          </w:tcPr>
          <w:p>
            <w:r>
              <w:rPr>
                <w:b w:val="0"/>
                <w:i w:val="0"/>
                <w:sz w:val="15"/>
              </w:rPr>
              <w:t>SK Broadband revenue / OP</w:t>
            </w:r>
          </w:p>
        </w:tc>
        <w:tc>
          <w:tcPr>
            <w:tcW w:type="dxa" w:w="1495"/>
            <w:shd w:val="clear" w:color="auto" w:fill="EEF1F6"/>
          </w:tcPr>
          <w:p>
            <w:r>
              <w:rPr>
                <w:b w:val="0"/>
                <w:i w:val="0"/>
                <w:sz w:val="15"/>
              </w:rPr>
              <w:t>1,160.3 / 132.5</w:t>
            </w:r>
          </w:p>
        </w:tc>
        <w:tc>
          <w:tcPr>
            <w:tcW w:type="dxa" w:w="1495"/>
            <w:shd w:val="clear" w:color="auto" w:fill="EEF1F6"/>
          </w:tcPr>
          <w:p>
            <w:r>
              <w:rPr>
                <w:b w:val="0"/>
                <w:i w:val="0"/>
                <w:sz w:val="15"/>
              </w:rPr>
              <w:t>n/a</w:t>
            </w:r>
          </w:p>
        </w:tc>
        <w:tc>
          <w:tcPr>
            <w:tcW w:type="dxa" w:w="1495"/>
            <w:shd w:val="clear" w:color="auto" w:fill="EEF1F6"/>
          </w:tcPr>
          <w:p/>
        </w:tc>
        <w:tc>
          <w:tcPr>
            <w:tcW w:type="dxa" w:w="1395"/>
            <w:shd w:val="clear" w:color="auto" w:fill="EEF1F6"/>
          </w:tcPr>
          <w:p/>
        </w:tc>
        <w:tc>
          <w:tcPr>
            <w:tcW w:type="dxa" w:w="1395"/>
            <w:shd w:val="clear" w:color="auto" w:fill="EEF1F6"/>
          </w:tcPr>
          <w:p>
            <w:r>
              <w:rPr>
                <w:b w:val="0"/>
                <w:i w:val="0"/>
                <w:sz w:val="15"/>
              </w:rPr>
              <w:t>+3.6% / +44.3%</w:t>
            </w:r>
          </w:p>
        </w:tc>
      </w:tr>
      <w:tr>
        <w:tc>
          <w:tcPr>
            <w:tcW w:type="dxa" w:w="2591"/>
          </w:tcPr>
          <w:p>
            <w:r>
              <w:rPr>
                <w:b w:val="0"/>
                <w:i w:val="0"/>
                <w:sz w:val="15"/>
              </w:rPr>
              <w:t>AI-DC revenue</w:t>
            </w:r>
          </w:p>
        </w:tc>
        <w:tc>
          <w:tcPr>
            <w:tcW w:type="dxa" w:w="1495"/>
          </w:tcPr>
          <w:p>
            <w:r>
              <w:rPr>
                <w:b w:val="0"/>
                <w:i w:val="0"/>
                <w:sz w:val="15"/>
              </w:rPr>
              <w:t>136.2</w:t>
            </w:r>
          </w:p>
        </w:tc>
        <w:tc>
          <w:tcPr>
            <w:tcW w:type="dxa" w:w="1495"/>
          </w:tcPr>
          <w:p>
            <w:r>
              <w:rPr>
                <w:b w:val="0"/>
                <w:i w:val="0"/>
                <w:sz w:val="15"/>
              </w:rPr>
              <w:t>n/a</w:t>
            </w:r>
          </w:p>
        </w:tc>
        <w:tc>
          <w:tcPr>
            <w:tcW w:type="dxa" w:w="1495"/>
          </w:tcPr>
          <w:p/>
        </w:tc>
        <w:tc>
          <w:tcPr>
            <w:tcW w:type="dxa" w:w="1395"/>
          </w:tcPr>
          <w:p>
            <w:r>
              <w:rPr>
                <w:b w:val="0"/>
                <w:i w:val="0"/>
                <w:sz w:val="15"/>
              </w:rPr>
              <w:t>70.7</w:t>
            </w:r>
          </w:p>
        </w:tc>
        <w:tc>
          <w:tcPr>
            <w:tcW w:type="dxa" w:w="1395"/>
          </w:tcPr>
          <w:p>
            <w:r>
              <w:rPr>
                <w:b w:val="0"/>
                <w:i w:val="0"/>
                <w:sz w:val="15"/>
              </w:rPr>
              <w:t>+92.5%</w:t>
            </w:r>
          </w:p>
        </w:tc>
      </w:tr>
      <w:tr>
        <w:tc>
          <w:tcPr>
            <w:tcW w:type="dxa" w:w="2591"/>
            <w:shd w:val="clear" w:color="auto" w:fill="EEF1F6"/>
          </w:tcPr>
          <w:p>
            <w:r>
              <w:rPr>
                <w:b w:val="0"/>
                <w:i w:val="0"/>
                <w:sz w:val="15"/>
              </w:rPr>
              <w:t>Capex</w:t>
            </w:r>
          </w:p>
        </w:tc>
        <w:tc>
          <w:tcPr>
            <w:tcW w:type="dxa" w:w="1495"/>
            <w:shd w:val="clear" w:color="auto" w:fill="EEF1F6"/>
          </w:tcPr>
          <w:p>
            <w:r>
              <w:rPr>
                <w:b w:val="0"/>
                <w:i w:val="0"/>
                <w:sz w:val="15"/>
              </w:rPr>
              <w:t>487</w:t>
            </w:r>
          </w:p>
        </w:tc>
        <w:tc>
          <w:tcPr>
            <w:tcW w:type="dxa" w:w="1495"/>
            <w:shd w:val="clear" w:color="auto" w:fill="EEF1F6"/>
          </w:tcPr>
          <w:p>
            <w:r>
              <w:rPr>
                <w:b w:val="0"/>
                <w:i w:val="0"/>
                <w:sz w:val="15"/>
              </w:rPr>
              <w:t>n/a</w:t>
            </w:r>
          </w:p>
        </w:tc>
        <w:tc>
          <w:tcPr>
            <w:tcW w:type="dxa" w:w="1495"/>
            <w:shd w:val="clear" w:color="auto" w:fill="EEF1F6"/>
          </w:tcPr>
          <w:p/>
        </w:tc>
        <w:tc>
          <w:tcPr>
            <w:tcW w:type="dxa" w:w="1395"/>
            <w:shd w:val="clear" w:color="auto" w:fill="EEF1F6"/>
          </w:tcPr>
          <w:p/>
        </w:tc>
        <w:tc>
          <w:tcPr>
            <w:tcW w:type="dxa" w:w="1395"/>
            <w:shd w:val="clear" w:color="auto" w:fill="EEF1F6"/>
          </w:tcPr>
          <w:p/>
        </w:tc>
      </w:tr>
      <w:tr>
        <w:tc>
          <w:tcPr>
            <w:tcW w:type="dxa" w:w="2591"/>
          </w:tcPr>
          <w:p>
            <w:r>
              <w:rPr>
                <w:b w:val="0"/>
                <w:i w:val="0"/>
                <w:sz w:val="15"/>
              </w:rPr>
              <w:t>DPS (quarterly)</w:t>
            </w:r>
          </w:p>
        </w:tc>
        <w:tc>
          <w:tcPr>
            <w:tcW w:type="dxa" w:w="1495"/>
          </w:tcPr>
          <w:p>
            <w:r>
              <w:rPr>
                <w:b w:val="0"/>
                <w:i w:val="0"/>
                <w:sz w:val="15"/>
              </w:rPr>
              <w:t>KRW 830</w:t>
            </w:r>
          </w:p>
        </w:tc>
        <w:tc>
          <w:tcPr>
            <w:tcW w:type="dxa" w:w="1495"/>
          </w:tcPr>
          <w:p>
            <w:r>
              <w:rPr>
                <w:b w:val="0"/>
                <w:i w:val="0"/>
                <w:sz w:val="15"/>
              </w:rPr>
              <w:t>KRW 830</w:t>
            </w:r>
          </w:p>
        </w:tc>
        <w:tc>
          <w:tcPr>
            <w:tcW w:type="dxa" w:w="1495"/>
          </w:tcPr>
          <w:p>
            <w:r>
              <w:rPr>
                <w:b w:val="0"/>
                <w:i w:val="0"/>
                <w:sz w:val="15"/>
              </w:rPr>
              <w:t>in line</w:t>
            </w:r>
          </w:p>
        </w:tc>
        <w:tc>
          <w:tcPr>
            <w:tcW w:type="dxa" w:w="1395"/>
          </w:tcPr>
          <w:p>
            <w:r>
              <w:rPr>
                <w:b w:val="0"/>
                <w:i w:val="0"/>
                <w:sz w:val="15"/>
              </w:rPr>
              <w:t>830</w:t>
            </w:r>
          </w:p>
        </w:tc>
        <w:tc>
          <w:tcPr>
            <w:tcW w:type="dxa" w:w="1395"/>
          </w:tcPr>
          <w:p>
            <w:r>
              <w:rPr>
                <w:b w:val="0"/>
                <w:i w:val="0"/>
                <w:sz w:val="15"/>
              </w:rPr>
              <w:t>flat</w:t>
            </w:r>
          </w:p>
        </w:tc>
      </w:tr>
    </w:tbl>
    <w:p/>
    <w:p>
      <w:pPr>
        <w:pStyle w:val="ListBullet"/>
        <w:spacing w:after="20"/>
      </w:pPr>
      <w:r>
        <w:rPr>
          <w:b/>
          <w:i w:val="0"/>
        </w:rPr>
        <w:t>Drivers:</w:t>
      </w:r>
      <w:r>
        <w:rPr>
          <w:b w:val="0"/>
          <w:i w:val="0"/>
        </w:rPr>
        <w:t xml:space="preserve"> y/y growth is mostly the base effect of 2Q25 breach costs plus lower marketing and headcount; SKB (+44% OP) and AI-DC were the genuine growth engines. Mobile revenue was flat.</w:t>
      </w:r>
    </w:p>
    <w:p>
      <w:pPr>
        <w:pStyle w:val="ListBullet"/>
        <w:spacing w:after="20"/>
      </w:pPr>
      <w:r>
        <w:rPr>
          <w:b/>
          <w:i w:val="0"/>
        </w:rPr>
        <w:t>Margins:</w:t>
      </w:r>
      <w:r>
        <w:rPr>
          <w:b w:val="0"/>
          <w:i w:val="0"/>
        </w:rPr>
        <w:t xml:space="preserve"> record 33.1% EBITDA margin; opex discipline rather than pricing.</w:t>
      </w:r>
    </w:p>
    <w:p>
      <w:pPr>
        <w:pStyle w:val="ListBullet"/>
        <w:spacing w:after="20"/>
      </w:pPr>
      <w:r>
        <w:rPr>
          <w:b/>
          <w:i w:val="0"/>
        </w:rPr>
        <w:t>Guidance:</w:t>
      </w:r>
      <w:r>
        <w:rPr>
          <w:b w:val="0"/>
          <w:i w:val="0"/>
        </w:rPr>
        <w:t xml:space="preserve"> no numeric guidance; reiterated FY26 earnings above pre-breach (FY24 OP KRW 1.82tn) - implies 2H26 OP of at least ~0.72tn; we model 0.90tn.</w:t>
      </w:r>
    </w:p>
    <w:p>
      <w:pPr>
        <w:pStyle w:val="ListBullet"/>
        <w:spacing w:after="20"/>
      </w:pPr>
      <w:r>
        <w:rPr>
          <w:b/>
          <w:i w:val="0"/>
        </w:rPr>
        <w:t>Balance-sheet flags:</w:t>
      </w:r>
      <w:r>
        <w:rPr>
          <w:b w:val="0"/>
          <w:i w:val="0"/>
        </w:rPr>
        <w:t xml:space="preserve"> debt/equity 1.09x; new commitments of ~KRW 1.49tn (SK Hyper 750bn - 330bn upfront; plus KRW 738bn reportedly linked to an SK hynix NAND-related investment/capital injection [u]) - the related-party element is the most unusual item in the quarter and needs disclosure clarity.</w:t>
      </w:r>
    </w:p>
    <w:p>
      <w:pPr>
        <w:pStyle w:val="ListBullet"/>
        <w:spacing w:after="20"/>
      </w:pPr>
      <w:r>
        <w:rPr>
          <w:b/>
          <w:i w:val="0"/>
        </w:rPr>
        <w:t>Market reaction:</w:t>
      </w:r>
      <w:r>
        <w:rPr>
          <w:b w:val="0"/>
          <w:i w:val="0"/>
        </w:rPr>
        <w:t xml:space="preserve"> the stock had already fallen 16% on 28-Jul when the investments were disclosed; the beat did not reverse it - the market is discounting capital allocation risk, not earnings.</w:t>
      </w:r>
    </w:p>
    <w:p>
      <w:r>
        <w:br w:type="page"/>
      </w:r>
    </w:p>
    <w:p>
      <w:pPr>
        <w:pStyle w:val="Heading1"/>
      </w:pPr>
      <w:r>
        <w:rPr>
          <w:b/>
          <w:i w:val="0"/>
          <w:color w:val="13223F"/>
          <w:sz w:val="32"/>
        </w:rPr>
        <w:t>10. Earnings estimates, FY2026E-FY2028E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871"/>
            <w:shd w:val="clear" w:color="auto" w:fill="13223F"/>
          </w:tcPr>
          <w:p>
            <w:r>
              <w:rPr>
                <w:b/>
                <w:i w:val="0"/>
                <w:color w:val="FFFFFF"/>
                <w:sz w:val="15"/>
              </w:rPr>
              <w:t>KRW bn</w:t>
            </w:r>
          </w:p>
        </w:tc>
        <w:tc>
          <w:tcPr>
            <w:tcW w:type="dxa" w:w="1020"/>
            <w:shd w:val="clear" w:color="auto" w:fill="13223F"/>
          </w:tcPr>
          <w:p>
            <w:r>
              <w:rPr>
                <w:b/>
                <w:i w:val="0"/>
                <w:color w:val="FFFFFF"/>
                <w:sz w:val="15"/>
              </w:rPr>
              <w:t>FY2025A</w:t>
            </w:r>
          </w:p>
        </w:tc>
        <w:tc>
          <w:tcPr>
            <w:tcW w:type="dxa" w:w="1020"/>
            <w:shd w:val="clear" w:color="auto" w:fill="13223F"/>
          </w:tcPr>
          <w:p>
            <w:r>
              <w:rPr>
                <w:b/>
                <w:i w:val="0"/>
                <w:color w:val="FFFFFF"/>
                <w:sz w:val="15"/>
              </w:rPr>
              <w:t>FY2026E</w:t>
            </w:r>
          </w:p>
        </w:tc>
        <w:tc>
          <w:tcPr>
            <w:tcW w:type="dxa" w:w="1020"/>
            <w:shd w:val="clear" w:color="auto" w:fill="13223F"/>
          </w:tcPr>
          <w:p>
            <w:r>
              <w:rPr>
                <w:b/>
                <w:i w:val="0"/>
                <w:color w:val="FFFFFF"/>
                <w:sz w:val="15"/>
              </w:rPr>
              <w:t>FY2027E</w:t>
            </w:r>
          </w:p>
        </w:tc>
        <w:tc>
          <w:tcPr>
            <w:tcW w:type="dxa" w:w="1020"/>
            <w:shd w:val="clear" w:color="auto" w:fill="13223F"/>
          </w:tcPr>
          <w:p>
            <w:r>
              <w:rPr>
                <w:b/>
                <w:i w:val="0"/>
                <w:color w:val="FFFFFF"/>
                <w:sz w:val="15"/>
              </w:rPr>
              <w:t>FY2028E</w:t>
            </w:r>
          </w:p>
        </w:tc>
        <w:tc>
          <w:tcPr>
            <w:tcW w:type="dxa" w:w="3912"/>
            <w:shd w:val="clear" w:color="auto" w:fill="13223F"/>
          </w:tcPr>
          <w:p>
            <w:r>
              <w:rPr>
                <w:b/>
                <w:i w:val="0"/>
                <w:color w:val="FFFFFF"/>
                <w:sz w:val="15"/>
              </w:rPr>
              <w:t>Key assumptions</w:t>
            </w:r>
          </w:p>
        </w:tc>
      </w:tr>
      <w:tr>
        <w:tc>
          <w:tcPr>
            <w:tcW w:type="dxa" w:w="1871"/>
          </w:tcPr>
          <w:p>
            <w:r>
              <w:rPr>
                <w:b w:val="0"/>
                <w:i w:val="0"/>
                <w:sz w:val="15"/>
              </w:rPr>
              <w:t>Revenue</w:t>
            </w:r>
          </w:p>
        </w:tc>
        <w:tc>
          <w:tcPr>
            <w:tcW w:type="dxa" w:w="1020"/>
          </w:tcPr>
          <w:p>
            <w:r>
              <w:rPr>
                <w:b w:val="0"/>
                <w:i w:val="0"/>
                <w:sz w:val="15"/>
              </w:rPr>
              <w:t>17,099</w:t>
            </w:r>
          </w:p>
        </w:tc>
        <w:tc>
          <w:tcPr>
            <w:tcW w:type="dxa" w:w="1020"/>
          </w:tcPr>
          <w:p>
            <w:r>
              <w:rPr>
                <w:b w:val="0"/>
                <w:i w:val="0"/>
                <w:sz w:val="15"/>
              </w:rPr>
              <w:t>17,650</w:t>
            </w:r>
          </w:p>
        </w:tc>
        <w:tc>
          <w:tcPr>
            <w:tcW w:type="dxa" w:w="1020"/>
          </w:tcPr>
          <w:p>
            <w:r>
              <w:rPr>
                <w:b w:val="0"/>
                <w:i w:val="0"/>
                <w:sz w:val="15"/>
              </w:rPr>
              <w:t>18,250</w:t>
            </w:r>
          </w:p>
        </w:tc>
        <w:tc>
          <w:tcPr>
            <w:tcW w:type="dxa" w:w="1020"/>
          </w:tcPr>
          <w:p>
            <w:r>
              <w:rPr>
                <w:b w:val="0"/>
                <w:i w:val="0"/>
                <w:sz w:val="15"/>
              </w:rPr>
              <w:t>18,900</w:t>
            </w:r>
          </w:p>
        </w:tc>
        <w:tc>
          <w:tcPr>
            <w:tcW w:type="dxa" w:w="3912"/>
          </w:tcPr>
          <w:p>
            <w:r>
              <w:rPr>
                <w:b w:val="0"/>
                <w:i w:val="0"/>
                <w:sz w:val="15"/>
              </w:rPr>
              <w:t>Mobile +0.5-1% (5G mix, share recovery vs tariff cuts); SKB +3%; AI-DC +40-35%</w:t>
            </w:r>
          </w:p>
        </w:tc>
      </w:tr>
      <w:tr>
        <w:tc>
          <w:tcPr>
            <w:tcW w:type="dxa" w:w="1871"/>
            <w:shd w:val="clear" w:color="auto" w:fill="EEF1F6"/>
          </w:tcPr>
          <w:p>
            <w:r>
              <w:rPr>
                <w:b w:val="0"/>
                <w:i w:val="0"/>
                <w:sz w:val="15"/>
              </w:rPr>
              <w:t xml:space="preserve"> growth</w:t>
            </w:r>
          </w:p>
        </w:tc>
        <w:tc>
          <w:tcPr>
            <w:tcW w:type="dxa" w:w="1020"/>
            <w:shd w:val="clear" w:color="auto" w:fill="EEF1F6"/>
          </w:tcPr>
          <w:p>
            <w:r>
              <w:rPr>
                <w:b w:val="0"/>
                <w:i w:val="0"/>
                <w:sz w:val="15"/>
              </w:rPr>
              <w:t>-4.7%</w:t>
            </w:r>
          </w:p>
        </w:tc>
        <w:tc>
          <w:tcPr>
            <w:tcW w:type="dxa" w:w="1020"/>
            <w:shd w:val="clear" w:color="auto" w:fill="EEF1F6"/>
          </w:tcPr>
          <w:p>
            <w:r>
              <w:rPr>
                <w:b w:val="0"/>
                <w:i w:val="0"/>
                <w:sz w:val="15"/>
              </w:rPr>
              <w:t>+3.2%</w:t>
            </w:r>
          </w:p>
        </w:tc>
        <w:tc>
          <w:tcPr>
            <w:tcW w:type="dxa" w:w="1020"/>
            <w:shd w:val="clear" w:color="auto" w:fill="EEF1F6"/>
          </w:tcPr>
          <w:p>
            <w:r>
              <w:rPr>
                <w:b w:val="0"/>
                <w:i w:val="0"/>
                <w:sz w:val="15"/>
              </w:rPr>
              <w:t>+3.4%</w:t>
            </w:r>
          </w:p>
        </w:tc>
        <w:tc>
          <w:tcPr>
            <w:tcW w:type="dxa" w:w="1020"/>
            <w:shd w:val="clear" w:color="auto" w:fill="EEF1F6"/>
          </w:tcPr>
          <w:p>
            <w:r>
              <w:rPr>
                <w:b w:val="0"/>
                <w:i w:val="0"/>
                <w:sz w:val="15"/>
              </w:rPr>
              <w:t>+3.6%</w:t>
            </w:r>
          </w:p>
        </w:tc>
        <w:tc>
          <w:tcPr>
            <w:tcW w:type="dxa" w:w="3912"/>
            <w:shd w:val="clear" w:color="auto" w:fill="EEF1F6"/>
          </w:tcPr>
          <w:p>
            <w:r>
              <w:rPr>
                <w:b w:val="0"/>
                <w:i w:val="0"/>
                <w:sz w:val="15"/>
              </w:rPr>
              <w:t>Industry growth ~1%; share gains ~0.3pt p.a.</w:t>
            </w:r>
          </w:p>
        </w:tc>
      </w:tr>
      <w:tr>
        <w:tc>
          <w:tcPr>
            <w:tcW w:type="dxa" w:w="1871"/>
          </w:tcPr>
          <w:p>
            <w:r>
              <w:rPr>
                <w:b w:val="0"/>
                <w:i w:val="0"/>
                <w:sz w:val="15"/>
              </w:rPr>
              <w:t>EBITDA</w:t>
            </w:r>
          </w:p>
        </w:tc>
        <w:tc>
          <w:tcPr>
            <w:tcW w:type="dxa" w:w="1020"/>
          </w:tcPr>
          <w:p>
            <w:r>
              <w:rPr>
                <w:b w:val="0"/>
                <w:i w:val="0"/>
                <w:sz w:val="15"/>
              </w:rPr>
              <w:t>4,663</w:t>
            </w:r>
          </w:p>
        </w:tc>
        <w:tc>
          <w:tcPr>
            <w:tcW w:type="dxa" w:w="1020"/>
          </w:tcPr>
          <w:p>
            <w:r>
              <w:rPr>
                <w:b w:val="0"/>
                <w:i w:val="0"/>
                <w:sz w:val="15"/>
              </w:rPr>
              <w:t>5,620</w:t>
            </w:r>
          </w:p>
        </w:tc>
        <w:tc>
          <w:tcPr>
            <w:tcW w:type="dxa" w:w="1020"/>
          </w:tcPr>
          <w:p>
            <w:r>
              <w:rPr>
                <w:b w:val="0"/>
                <w:i w:val="0"/>
                <w:sz w:val="15"/>
              </w:rPr>
              <w:t>5,850</w:t>
            </w:r>
          </w:p>
        </w:tc>
        <w:tc>
          <w:tcPr>
            <w:tcW w:type="dxa" w:w="1020"/>
          </w:tcPr>
          <w:p>
            <w:r>
              <w:rPr>
                <w:b w:val="0"/>
                <w:i w:val="0"/>
                <w:sz w:val="15"/>
              </w:rPr>
              <w:t>6,100</w:t>
            </w:r>
          </w:p>
        </w:tc>
        <w:tc>
          <w:tcPr>
            <w:tcW w:type="dxa" w:w="3912"/>
          </w:tcPr>
          <w:p>
            <w:r>
              <w:rPr>
                <w:b w:val="0"/>
                <w:i w:val="0"/>
                <w:sz w:val="15"/>
              </w:rPr>
              <w:t>Margin 31.8% / 32.1% / 32.3%; marketing +3% p.a.; security capex/opex ~KRW 140bn p.a.</w:t>
            </w:r>
          </w:p>
        </w:tc>
      </w:tr>
      <w:tr>
        <w:tc>
          <w:tcPr>
            <w:tcW w:type="dxa" w:w="1871"/>
            <w:shd w:val="clear" w:color="auto" w:fill="EEF1F6"/>
          </w:tcPr>
          <w:p>
            <w:r>
              <w:rPr>
                <w:b w:val="0"/>
                <w:i w:val="0"/>
                <w:sz w:val="15"/>
              </w:rPr>
              <w:t>D&amp;A</w:t>
            </w:r>
          </w:p>
        </w:tc>
        <w:tc>
          <w:tcPr>
            <w:tcW w:type="dxa" w:w="1020"/>
            <w:shd w:val="clear" w:color="auto" w:fill="EEF1F6"/>
          </w:tcPr>
          <w:p>
            <w:r>
              <w:rPr>
                <w:b w:val="0"/>
                <w:i w:val="0"/>
                <w:sz w:val="15"/>
              </w:rPr>
              <w:t>~3,590</w:t>
            </w:r>
          </w:p>
        </w:tc>
        <w:tc>
          <w:tcPr>
            <w:tcW w:type="dxa" w:w="1020"/>
            <w:shd w:val="clear" w:color="auto" w:fill="EEF1F6"/>
          </w:tcPr>
          <w:p>
            <w:r>
              <w:rPr>
                <w:b w:val="0"/>
                <w:i w:val="0"/>
                <w:sz w:val="15"/>
              </w:rPr>
              <w:t>3,620</w:t>
            </w:r>
          </w:p>
        </w:tc>
        <w:tc>
          <w:tcPr>
            <w:tcW w:type="dxa" w:w="1020"/>
            <w:shd w:val="clear" w:color="auto" w:fill="EEF1F6"/>
          </w:tcPr>
          <w:p>
            <w:r>
              <w:rPr>
                <w:b w:val="0"/>
                <w:i w:val="0"/>
                <w:sz w:val="15"/>
              </w:rPr>
              <w:t>3,730</w:t>
            </w:r>
          </w:p>
        </w:tc>
        <w:tc>
          <w:tcPr>
            <w:tcW w:type="dxa" w:w="1020"/>
            <w:shd w:val="clear" w:color="auto" w:fill="EEF1F6"/>
          </w:tcPr>
          <w:p>
            <w:r>
              <w:rPr>
                <w:b w:val="0"/>
                <w:i w:val="0"/>
                <w:sz w:val="15"/>
              </w:rPr>
              <w:t>3,850</w:t>
            </w:r>
          </w:p>
        </w:tc>
        <w:tc>
          <w:tcPr>
            <w:tcW w:type="dxa" w:w="3912"/>
            <w:shd w:val="clear" w:color="auto" w:fill="EEF1F6"/>
          </w:tcPr>
          <w:p>
            <w:r>
              <w:rPr>
                <w:b w:val="0"/>
                <w:i w:val="0"/>
                <w:sz w:val="15"/>
              </w:rPr>
              <w:t>Spectrum re-allocation (~KRW 1.25tn SKT share) amortised; AI-DC depreciation rising</w:t>
            </w:r>
          </w:p>
        </w:tc>
      </w:tr>
      <w:tr>
        <w:tc>
          <w:tcPr>
            <w:tcW w:type="dxa" w:w="1871"/>
          </w:tcPr>
          <w:p>
            <w:r>
              <w:rPr>
                <w:b w:val="0"/>
                <w:i w:val="0"/>
                <w:sz w:val="15"/>
              </w:rPr>
              <w:t>EBIT (OP)</w:t>
            </w:r>
          </w:p>
        </w:tc>
        <w:tc>
          <w:tcPr>
            <w:tcW w:type="dxa" w:w="1020"/>
          </w:tcPr>
          <w:p>
            <w:r>
              <w:rPr>
                <w:b w:val="0"/>
                <w:i w:val="0"/>
                <w:sz w:val="15"/>
              </w:rPr>
              <w:t>1,073</w:t>
            </w:r>
          </w:p>
        </w:tc>
        <w:tc>
          <w:tcPr>
            <w:tcW w:type="dxa" w:w="1020"/>
          </w:tcPr>
          <w:p>
            <w:r>
              <w:rPr>
                <w:b w:val="0"/>
                <w:i w:val="0"/>
                <w:sz w:val="15"/>
              </w:rPr>
              <w:t>2,000</w:t>
            </w:r>
          </w:p>
        </w:tc>
        <w:tc>
          <w:tcPr>
            <w:tcW w:type="dxa" w:w="1020"/>
          </w:tcPr>
          <w:p>
            <w:r>
              <w:rPr>
                <w:b w:val="0"/>
                <w:i w:val="0"/>
                <w:sz w:val="15"/>
              </w:rPr>
              <w:t>2,120</w:t>
            </w:r>
          </w:p>
        </w:tc>
        <w:tc>
          <w:tcPr>
            <w:tcW w:type="dxa" w:w="1020"/>
          </w:tcPr>
          <w:p>
            <w:r>
              <w:rPr>
                <w:b w:val="0"/>
                <w:i w:val="0"/>
                <w:sz w:val="15"/>
              </w:rPr>
              <w:t>2,250</w:t>
            </w:r>
          </w:p>
        </w:tc>
        <w:tc>
          <w:tcPr>
            <w:tcW w:type="dxa" w:w="3912"/>
          </w:tcPr>
          <w:p>
            <w:r>
              <w:rPr>
                <w:b w:val="0"/>
                <w:i w:val="0"/>
                <w:sz w:val="15"/>
              </w:rPr>
              <w:t>Margin 11.3% / 11.6% / 11.9% - operating leverage from flat fixed cost base</w:t>
            </w:r>
          </w:p>
        </w:tc>
      </w:tr>
      <w:tr>
        <w:tc>
          <w:tcPr>
            <w:tcW w:type="dxa" w:w="1871"/>
            <w:shd w:val="clear" w:color="auto" w:fill="EEF1F6"/>
          </w:tcPr>
          <w:p>
            <w:r>
              <w:rPr>
                <w:b w:val="0"/>
                <w:i w:val="0"/>
                <w:sz w:val="15"/>
              </w:rPr>
              <w:t>Net finance cost</w:t>
            </w:r>
          </w:p>
        </w:tc>
        <w:tc>
          <w:tcPr>
            <w:tcW w:type="dxa" w:w="1020"/>
            <w:shd w:val="clear" w:color="auto" w:fill="EEF1F6"/>
          </w:tcPr>
          <w:p/>
        </w:tc>
        <w:tc>
          <w:tcPr>
            <w:tcW w:type="dxa" w:w="1020"/>
            <w:shd w:val="clear" w:color="auto" w:fill="EEF1F6"/>
          </w:tcPr>
          <w:p>
            <w:r>
              <w:rPr>
                <w:b w:val="0"/>
                <w:i w:val="0"/>
                <w:sz w:val="15"/>
              </w:rPr>
              <w:t>-330</w:t>
            </w:r>
          </w:p>
        </w:tc>
        <w:tc>
          <w:tcPr>
            <w:tcW w:type="dxa" w:w="1020"/>
            <w:shd w:val="clear" w:color="auto" w:fill="EEF1F6"/>
          </w:tcPr>
          <w:p>
            <w:r>
              <w:rPr>
                <w:b w:val="0"/>
                <w:i w:val="0"/>
                <w:sz w:val="15"/>
              </w:rPr>
              <w:t>-360</w:t>
            </w:r>
          </w:p>
        </w:tc>
        <w:tc>
          <w:tcPr>
            <w:tcW w:type="dxa" w:w="1020"/>
            <w:shd w:val="clear" w:color="auto" w:fill="EEF1F6"/>
          </w:tcPr>
          <w:p>
            <w:r>
              <w:rPr>
                <w:b w:val="0"/>
                <w:i w:val="0"/>
                <w:sz w:val="15"/>
              </w:rPr>
              <w:t>-380</w:t>
            </w:r>
          </w:p>
        </w:tc>
        <w:tc>
          <w:tcPr>
            <w:tcW w:type="dxa" w:w="3912"/>
            <w:shd w:val="clear" w:color="auto" w:fill="EEF1F6"/>
          </w:tcPr>
          <w:p>
            <w:r>
              <w:rPr>
                <w:b w:val="0"/>
                <w:i w:val="0"/>
                <w:sz w:val="15"/>
              </w:rPr>
              <w:t>Avg cost of debt ~3.3%, BoK at 3.0%+</w:t>
            </w:r>
          </w:p>
        </w:tc>
      </w:tr>
      <w:tr>
        <w:tc>
          <w:tcPr>
            <w:tcW w:type="dxa" w:w="1871"/>
          </w:tcPr>
          <w:p>
            <w:r>
              <w:rPr>
                <w:b w:val="0"/>
                <w:i w:val="0"/>
                <w:sz w:val="15"/>
              </w:rPr>
              <w:t>Equity method / other</w:t>
            </w:r>
          </w:p>
        </w:tc>
        <w:tc>
          <w:tcPr>
            <w:tcW w:type="dxa" w:w="1020"/>
          </w:tcPr>
          <w:p/>
        </w:tc>
        <w:tc>
          <w:tcPr>
            <w:tcW w:type="dxa" w:w="1020"/>
          </w:tcPr>
          <w:p>
            <w:r>
              <w:rPr>
                <w:b w:val="0"/>
                <w:i w:val="0"/>
                <w:sz w:val="15"/>
              </w:rPr>
              <w:t>50</w:t>
            </w:r>
          </w:p>
        </w:tc>
        <w:tc>
          <w:tcPr>
            <w:tcW w:type="dxa" w:w="1020"/>
          </w:tcPr>
          <w:p>
            <w:r>
              <w:rPr>
                <w:b w:val="0"/>
                <w:i w:val="0"/>
                <w:sz w:val="15"/>
              </w:rPr>
              <w:t>50</w:t>
            </w:r>
          </w:p>
        </w:tc>
        <w:tc>
          <w:tcPr>
            <w:tcW w:type="dxa" w:w="1020"/>
          </w:tcPr>
          <w:p>
            <w:r>
              <w:rPr>
                <w:b w:val="0"/>
                <w:i w:val="0"/>
                <w:sz w:val="15"/>
              </w:rPr>
              <w:t>50</w:t>
            </w:r>
          </w:p>
        </w:tc>
        <w:tc>
          <w:tcPr>
            <w:tcW w:type="dxa" w:w="3912"/>
          </w:tcPr>
          <w:p>
            <w:r>
              <w:rPr>
                <w:b w:val="0"/>
                <w:i w:val="0"/>
                <w:sz w:val="15"/>
              </w:rPr>
              <w:t>Excludes Anthropic fair-value gains (treatment [u])</w:t>
            </w:r>
          </w:p>
        </w:tc>
      </w:tr>
      <w:tr>
        <w:tc>
          <w:tcPr>
            <w:tcW w:type="dxa" w:w="1871"/>
            <w:shd w:val="clear" w:color="auto" w:fill="EEF1F6"/>
          </w:tcPr>
          <w:p>
            <w:r>
              <w:rPr>
                <w:b w:val="0"/>
                <w:i w:val="0"/>
                <w:sz w:val="15"/>
              </w:rPr>
              <w:t>Pre-tax profit</w:t>
            </w:r>
          </w:p>
        </w:tc>
        <w:tc>
          <w:tcPr>
            <w:tcW w:type="dxa" w:w="1020"/>
            <w:shd w:val="clear" w:color="auto" w:fill="EEF1F6"/>
          </w:tcPr>
          <w:p/>
        </w:tc>
        <w:tc>
          <w:tcPr>
            <w:tcW w:type="dxa" w:w="1020"/>
            <w:shd w:val="clear" w:color="auto" w:fill="EEF1F6"/>
          </w:tcPr>
          <w:p>
            <w:r>
              <w:rPr>
                <w:b w:val="0"/>
                <w:i w:val="0"/>
                <w:sz w:val="15"/>
              </w:rPr>
              <w:t>1,720</w:t>
            </w:r>
          </w:p>
        </w:tc>
        <w:tc>
          <w:tcPr>
            <w:tcW w:type="dxa" w:w="1020"/>
            <w:shd w:val="clear" w:color="auto" w:fill="EEF1F6"/>
          </w:tcPr>
          <w:p>
            <w:r>
              <w:rPr>
                <w:b w:val="0"/>
                <w:i w:val="0"/>
                <w:sz w:val="15"/>
              </w:rPr>
              <w:t>1,810</w:t>
            </w:r>
          </w:p>
        </w:tc>
        <w:tc>
          <w:tcPr>
            <w:tcW w:type="dxa" w:w="1020"/>
            <w:shd w:val="clear" w:color="auto" w:fill="EEF1F6"/>
          </w:tcPr>
          <w:p>
            <w:r>
              <w:rPr>
                <w:b w:val="0"/>
                <w:i w:val="0"/>
                <w:sz w:val="15"/>
              </w:rPr>
              <w:t>1,920</w:t>
            </w:r>
          </w:p>
        </w:tc>
        <w:tc>
          <w:tcPr>
            <w:tcW w:type="dxa" w:w="3912"/>
            <w:shd w:val="clear" w:color="auto" w:fill="EEF1F6"/>
          </w:tcPr>
          <w:p/>
        </w:tc>
      </w:tr>
      <w:tr>
        <w:tc>
          <w:tcPr>
            <w:tcW w:type="dxa" w:w="1871"/>
          </w:tcPr>
          <w:p>
            <w:r>
              <w:rPr>
                <w:b w:val="0"/>
                <w:i w:val="0"/>
                <w:sz w:val="15"/>
              </w:rPr>
              <w:t>Tax (24%)</w:t>
            </w:r>
          </w:p>
        </w:tc>
        <w:tc>
          <w:tcPr>
            <w:tcW w:type="dxa" w:w="1020"/>
          </w:tcPr>
          <w:p/>
        </w:tc>
        <w:tc>
          <w:tcPr>
            <w:tcW w:type="dxa" w:w="1020"/>
          </w:tcPr>
          <w:p>
            <w:r>
              <w:rPr>
                <w:b w:val="0"/>
                <w:i w:val="0"/>
                <w:sz w:val="15"/>
              </w:rPr>
              <w:t>-410</w:t>
            </w:r>
          </w:p>
        </w:tc>
        <w:tc>
          <w:tcPr>
            <w:tcW w:type="dxa" w:w="1020"/>
          </w:tcPr>
          <w:p>
            <w:r>
              <w:rPr>
                <w:b w:val="0"/>
                <w:i w:val="0"/>
                <w:sz w:val="15"/>
              </w:rPr>
              <w:t>-430</w:t>
            </w:r>
          </w:p>
        </w:tc>
        <w:tc>
          <w:tcPr>
            <w:tcW w:type="dxa" w:w="1020"/>
          </w:tcPr>
          <w:p>
            <w:r>
              <w:rPr>
                <w:b w:val="0"/>
                <w:i w:val="0"/>
                <w:sz w:val="15"/>
              </w:rPr>
              <w:t>-460</w:t>
            </w:r>
          </w:p>
        </w:tc>
        <w:tc>
          <w:tcPr>
            <w:tcW w:type="dxa" w:w="3912"/>
          </w:tcPr>
          <w:p/>
        </w:tc>
      </w:tr>
      <w:tr>
        <w:tc>
          <w:tcPr>
            <w:tcW w:type="dxa" w:w="1871"/>
            <w:shd w:val="clear" w:color="auto" w:fill="EEF1F6"/>
          </w:tcPr>
          <w:p>
            <w:r>
              <w:rPr>
                <w:b w:val="0"/>
                <w:i w:val="0"/>
                <w:sz w:val="15"/>
              </w:rPr>
              <w:t>Minorities</w:t>
            </w:r>
          </w:p>
        </w:tc>
        <w:tc>
          <w:tcPr>
            <w:tcW w:type="dxa" w:w="1020"/>
            <w:shd w:val="clear" w:color="auto" w:fill="EEF1F6"/>
          </w:tcPr>
          <w:p/>
        </w:tc>
        <w:tc>
          <w:tcPr>
            <w:tcW w:type="dxa" w:w="1020"/>
            <w:shd w:val="clear" w:color="auto" w:fill="EEF1F6"/>
          </w:tcPr>
          <w:p>
            <w:r>
              <w:rPr>
                <w:b w:val="0"/>
                <w:i w:val="0"/>
                <w:sz w:val="15"/>
              </w:rPr>
              <w:t>-10</w:t>
            </w:r>
          </w:p>
        </w:tc>
        <w:tc>
          <w:tcPr>
            <w:tcW w:type="dxa" w:w="1020"/>
            <w:shd w:val="clear" w:color="auto" w:fill="EEF1F6"/>
          </w:tcPr>
          <w:p>
            <w:r>
              <w:rPr>
                <w:b w:val="0"/>
                <w:i w:val="0"/>
                <w:sz w:val="15"/>
              </w:rPr>
              <w:t>-50</w:t>
            </w:r>
          </w:p>
        </w:tc>
        <w:tc>
          <w:tcPr>
            <w:tcW w:type="dxa" w:w="1020"/>
            <w:shd w:val="clear" w:color="auto" w:fill="EEF1F6"/>
          </w:tcPr>
          <w:p>
            <w:r>
              <w:rPr>
                <w:b w:val="0"/>
                <w:i w:val="0"/>
                <w:sz w:val="15"/>
              </w:rPr>
              <w:t>-70</w:t>
            </w:r>
          </w:p>
        </w:tc>
        <w:tc>
          <w:tcPr>
            <w:tcW w:type="dxa" w:w="3912"/>
            <w:shd w:val="clear" w:color="auto" w:fill="EEF1F6"/>
          </w:tcPr>
          <w:p>
            <w:r>
              <w:rPr>
                <w:b w:val="0"/>
                <w:i w:val="0"/>
                <w:sz w:val="15"/>
              </w:rPr>
              <w:t>SK Horizon 49% outside holders from 1Q27</w:t>
            </w:r>
          </w:p>
        </w:tc>
      </w:tr>
      <w:tr>
        <w:tc>
          <w:tcPr>
            <w:tcW w:type="dxa" w:w="1871"/>
          </w:tcPr>
          <w:p>
            <w:r>
              <w:rPr>
                <w:b w:val="0"/>
                <w:i w:val="0"/>
                <w:sz w:val="15"/>
              </w:rPr>
              <w:t>NI attributable</w:t>
            </w:r>
          </w:p>
        </w:tc>
        <w:tc>
          <w:tcPr>
            <w:tcW w:type="dxa" w:w="1020"/>
          </w:tcPr>
          <w:p>
            <w:r>
              <w:rPr>
                <w:b w:val="0"/>
                <w:i w:val="0"/>
                <w:sz w:val="15"/>
              </w:rPr>
              <w:t>~390</w:t>
            </w:r>
          </w:p>
        </w:tc>
        <w:tc>
          <w:tcPr>
            <w:tcW w:type="dxa" w:w="1020"/>
          </w:tcPr>
          <w:p>
            <w:r>
              <w:rPr>
                <w:b w:val="0"/>
                <w:i w:val="0"/>
                <w:sz w:val="15"/>
              </w:rPr>
              <w:t>1,300</w:t>
            </w:r>
          </w:p>
        </w:tc>
        <w:tc>
          <w:tcPr>
            <w:tcW w:type="dxa" w:w="1020"/>
          </w:tcPr>
          <w:p>
            <w:r>
              <w:rPr>
                <w:b w:val="0"/>
                <w:i w:val="0"/>
                <w:sz w:val="15"/>
              </w:rPr>
              <w:t>1,330</w:t>
            </w:r>
          </w:p>
        </w:tc>
        <w:tc>
          <w:tcPr>
            <w:tcW w:type="dxa" w:w="1020"/>
          </w:tcPr>
          <w:p>
            <w:r>
              <w:rPr>
                <w:b w:val="0"/>
                <w:i w:val="0"/>
                <w:sz w:val="15"/>
              </w:rPr>
              <w:t>1,390</w:t>
            </w:r>
          </w:p>
        </w:tc>
        <w:tc>
          <w:tcPr>
            <w:tcW w:type="dxa" w:w="3912"/>
          </w:tcPr>
          <w:p/>
        </w:tc>
      </w:tr>
      <w:tr>
        <w:tc>
          <w:tcPr>
            <w:tcW w:type="dxa" w:w="1871"/>
            <w:shd w:val="clear" w:color="auto" w:fill="EEF1F6"/>
          </w:tcPr>
          <w:p>
            <w:r>
              <w:rPr>
                <w:b w:val="0"/>
                <w:i w:val="0"/>
                <w:sz w:val="15"/>
              </w:rPr>
              <w:t>Diluted shares (m)</w:t>
            </w:r>
          </w:p>
        </w:tc>
        <w:tc>
          <w:tcPr>
            <w:tcW w:type="dxa" w:w="1020"/>
            <w:shd w:val="clear" w:color="auto" w:fill="EEF1F6"/>
          </w:tcPr>
          <w:p>
            <w:r>
              <w:rPr>
                <w:b w:val="0"/>
                <w:i w:val="0"/>
                <w:sz w:val="15"/>
              </w:rPr>
              <w:t>~213</w:t>
            </w:r>
          </w:p>
        </w:tc>
        <w:tc>
          <w:tcPr>
            <w:tcW w:type="dxa" w:w="1020"/>
            <w:shd w:val="clear" w:color="auto" w:fill="EEF1F6"/>
          </w:tcPr>
          <w:p>
            <w:r>
              <w:rPr>
                <w:b w:val="0"/>
                <w:i w:val="0"/>
                <w:sz w:val="15"/>
              </w:rPr>
              <w:t>213.0</w:t>
            </w:r>
          </w:p>
        </w:tc>
        <w:tc>
          <w:tcPr>
            <w:tcW w:type="dxa" w:w="1020"/>
            <w:shd w:val="clear" w:color="auto" w:fill="EEF1F6"/>
          </w:tcPr>
          <w:p>
            <w:r>
              <w:rPr>
                <w:b w:val="0"/>
                <w:i w:val="0"/>
                <w:sz w:val="15"/>
              </w:rPr>
              <w:t>213.0</w:t>
            </w:r>
          </w:p>
        </w:tc>
        <w:tc>
          <w:tcPr>
            <w:tcW w:type="dxa" w:w="1020"/>
            <w:shd w:val="clear" w:color="auto" w:fill="EEF1F6"/>
          </w:tcPr>
          <w:p>
            <w:r>
              <w:rPr>
                <w:b w:val="0"/>
                <w:i w:val="0"/>
                <w:sz w:val="15"/>
              </w:rPr>
              <w:t>213.0</w:t>
            </w:r>
          </w:p>
        </w:tc>
        <w:tc>
          <w:tcPr>
            <w:tcW w:type="dxa" w:w="3912"/>
            <w:shd w:val="clear" w:color="auto" w:fill="EEF1F6"/>
          </w:tcPr>
          <w:p>
            <w:r>
              <w:rPr>
                <w:b w:val="0"/>
                <w:i w:val="0"/>
                <w:sz w:val="15"/>
              </w:rPr>
              <w:t>No buybacks assumed; SBC dilution negligible</w:t>
            </w:r>
          </w:p>
        </w:tc>
      </w:tr>
      <w:tr>
        <w:tc>
          <w:tcPr>
            <w:tcW w:type="dxa" w:w="1871"/>
          </w:tcPr>
          <w:p>
            <w:r>
              <w:rPr>
                <w:b w:val="0"/>
                <w:i w:val="0"/>
                <w:sz w:val="15"/>
              </w:rPr>
              <w:t>EPS (KRW)</w:t>
            </w:r>
          </w:p>
        </w:tc>
        <w:tc>
          <w:tcPr>
            <w:tcW w:type="dxa" w:w="1020"/>
          </w:tcPr>
          <w:p>
            <w:r>
              <w:rPr>
                <w:b w:val="0"/>
                <w:i w:val="0"/>
                <w:sz w:val="15"/>
              </w:rPr>
              <w:t>1,825</w:t>
            </w:r>
          </w:p>
        </w:tc>
        <w:tc>
          <w:tcPr>
            <w:tcW w:type="dxa" w:w="1020"/>
          </w:tcPr>
          <w:p>
            <w:r>
              <w:rPr>
                <w:b w:val="0"/>
                <w:i w:val="0"/>
                <w:sz w:val="15"/>
              </w:rPr>
              <w:t>6,100</w:t>
            </w:r>
          </w:p>
        </w:tc>
        <w:tc>
          <w:tcPr>
            <w:tcW w:type="dxa" w:w="1020"/>
          </w:tcPr>
          <w:p>
            <w:r>
              <w:rPr>
                <w:b w:val="0"/>
                <w:i w:val="0"/>
                <w:sz w:val="15"/>
              </w:rPr>
              <w:t>6,240</w:t>
            </w:r>
          </w:p>
        </w:tc>
        <w:tc>
          <w:tcPr>
            <w:tcW w:type="dxa" w:w="1020"/>
          </w:tcPr>
          <w:p>
            <w:r>
              <w:rPr>
                <w:b w:val="0"/>
                <w:i w:val="0"/>
                <w:sz w:val="15"/>
              </w:rPr>
              <w:t>6,530</w:t>
            </w:r>
          </w:p>
        </w:tc>
        <w:tc>
          <w:tcPr>
            <w:tcW w:type="dxa" w:w="3912"/>
          </w:tcPr>
          <w:p>
            <w:r>
              <w:rPr>
                <w:b w:val="0"/>
                <w:i w:val="0"/>
                <w:sz w:val="15"/>
              </w:rPr>
              <w:t>Consensus FY26: 5,661-6,281</w:t>
            </w:r>
          </w:p>
        </w:tc>
      </w:tr>
      <w:tr>
        <w:tc>
          <w:tcPr>
            <w:tcW w:type="dxa" w:w="1871"/>
            <w:shd w:val="clear" w:color="auto" w:fill="EEF1F6"/>
          </w:tcPr>
          <w:p>
            <w:r>
              <w:rPr>
                <w:b w:val="0"/>
                <w:i w:val="0"/>
                <w:sz w:val="15"/>
              </w:rPr>
              <w:t>DPS (KRW)</w:t>
            </w:r>
          </w:p>
        </w:tc>
        <w:tc>
          <w:tcPr>
            <w:tcW w:type="dxa" w:w="1020"/>
            <w:shd w:val="clear" w:color="auto" w:fill="EEF1F6"/>
          </w:tcPr>
          <w:p>
            <w:r>
              <w:rPr>
                <w:b w:val="0"/>
                <w:i w:val="0"/>
                <w:sz w:val="15"/>
              </w:rPr>
              <w:t>1,660</w:t>
            </w:r>
          </w:p>
        </w:tc>
        <w:tc>
          <w:tcPr>
            <w:tcW w:type="dxa" w:w="1020"/>
            <w:shd w:val="clear" w:color="auto" w:fill="EEF1F6"/>
          </w:tcPr>
          <w:p>
            <w:r>
              <w:rPr>
                <w:b w:val="0"/>
                <w:i w:val="0"/>
                <w:sz w:val="15"/>
              </w:rPr>
              <w:t>3,320</w:t>
            </w:r>
          </w:p>
        </w:tc>
        <w:tc>
          <w:tcPr>
            <w:tcW w:type="dxa" w:w="1020"/>
            <w:shd w:val="clear" w:color="auto" w:fill="EEF1F6"/>
          </w:tcPr>
          <w:p>
            <w:r>
              <w:rPr>
                <w:b w:val="0"/>
                <w:i w:val="0"/>
                <w:sz w:val="15"/>
              </w:rPr>
              <w:t>3,400</w:t>
            </w:r>
          </w:p>
        </w:tc>
        <w:tc>
          <w:tcPr>
            <w:tcW w:type="dxa" w:w="1020"/>
            <w:shd w:val="clear" w:color="auto" w:fill="EEF1F6"/>
          </w:tcPr>
          <w:p>
            <w:r>
              <w:rPr>
                <w:b w:val="0"/>
                <w:i w:val="0"/>
                <w:sz w:val="15"/>
              </w:rPr>
              <w:t>3,500</w:t>
            </w:r>
          </w:p>
        </w:tc>
        <w:tc>
          <w:tcPr>
            <w:tcW w:type="dxa" w:w="3912"/>
            <w:shd w:val="clear" w:color="auto" w:fill="EEF1F6"/>
          </w:tcPr>
          <w:p>
            <w:r>
              <w:rPr>
                <w:b w:val="0"/>
                <w:i w:val="0"/>
                <w:sz w:val="15"/>
              </w:rPr>
              <w:t>Payout ~54%</w:t>
            </w:r>
          </w:p>
        </w:tc>
      </w:tr>
      <w:tr>
        <w:tc>
          <w:tcPr>
            <w:tcW w:type="dxa" w:w="1871"/>
          </w:tcPr>
          <w:p>
            <w:r>
              <w:rPr>
                <w:b w:val="0"/>
                <w:i w:val="0"/>
                <w:sz w:val="15"/>
              </w:rPr>
              <w:t>P/E at KRW 86,200</w:t>
            </w:r>
          </w:p>
        </w:tc>
        <w:tc>
          <w:tcPr>
            <w:tcW w:type="dxa" w:w="1020"/>
          </w:tcPr>
          <w:p>
            <w:r>
              <w:rPr>
                <w:b w:val="0"/>
                <w:i w:val="0"/>
                <w:sz w:val="15"/>
              </w:rPr>
              <w:t>47x</w:t>
            </w:r>
          </w:p>
        </w:tc>
        <w:tc>
          <w:tcPr>
            <w:tcW w:type="dxa" w:w="1020"/>
          </w:tcPr>
          <w:p>
            <w:r>
              <w:rPr>
                <w:b w:val="0"/>
                <w:i w:val="0"/>
                <w:sz w:val="15"/>
              </w:rPr>
              <w:t>14.1x</w:t>
            </w:r>
          </w:p>
        </w:tc>
        <w:tc>
          <w:tcPr>
            <w:tcW w:type="dxa" w:w="1020"/>
          </w:tcPr>
          <w:p>
            <w:r>
              <w:rPr>
                <w:b w:val="0"/>
                <w:i w:val="0"/>
                <w:sz w:val="15"/>
              </w:rPr>
              <w:t>13.8x</w:t>
            </w:r>
          </w:p>
        </w:tc>
        <w:tc>
          <w:tcPr>
            <w:tcW w:type="dxa" w:w="1020"/>
          </w:tcPr>
          <w:p>
            <w:r>
              <w:rPr>
                <w:b w:val="0"/>
                <w:i w:val="0"/>
                <w:sz w:val="15"/>
              </w:rPr>
              <w:t>13.2x</w:t>
            </w:r>
          </w:p>
        </w:tc>
        <w:tc>
          <w:tcPr>
            <w:tcW w:type="dxa" w:w="3912"/>
          </w:tcPr>
          <w:p/>
        </w:tc>
      </w:tr>
    </w:tbl>
    <w:p/>
    <w:p>
      <w:pPr>
        <w:spacing w:after="80"/>
      </w:pPr>
      <w:r>
        <w:rPr>
          <w:b/>
          <w:i w:val="0"/>
        </w:rPr>
        <w:t>Sensitivities:</w:t>
      </w:r>
      <w:r>
        <w:rPr>
          <w:b w:val="0"/>
          <w:i w:val="0"/>
        </w:rPr>
        <w:t xml:space="preserve"> each 1pt of handset share = ~KRW 280bn revenue / ~KRW 140bn OP (~KRW 500 EPS). A 5% rise in marketing costs = -KRW 150bn OP. +100bp on floating debt = ~-KRW 50bn pre-tax. If Anthropic is carried at FVTPL, each US$100bn change in Anthropic valuation moves pre-tax profit by ~KRW 0.35tn (~KRW 1,250 EPS) - this could make reported EPS highly volatile after the IPO.</w:t>
      </w:r>
    </w:p>
    <w:p>
      <w:r>
        <w:br w:type="page"/>
      </w:r>
    </w:p>
    <w:p>
      <w:pPr>
        <w:pStyle w:val="Heading1"/>
      </w:pPr>
      <w:r>
        <w:rPr>
          <w:b/>
          <w:i w:val="0"/>
          <w:color w:val="13223F"/>
          <w:sz w:val="32"/>
        </w:rPr>
        <w:t>11. Capital structure, debt, liquidity and credit</w:t>
      </w:r>
    </w:p>
    <w:tbl>
      <w:tblPr>
        <w:tblStyle w:val="TableGrid"/>
        <w:tblW w:type="auto" w:w="0"/>
        <w:jc w:val="center"/>
        <w:tblLook w:firstColumn="1" w:firstRow="1" w:lastColumn="0" w:lastRow="0" w:noHBand="0" w:noVBand="1" w:val="04A0"/>
      </w:tblPr>
      <w:tblGrid>
        <w:gridCol w:w="3400"/>
        <w:gridCol w:w="3400"/>
        <w:gridCol w:w="3400"/>
      </w:tblGrid>
      <w:tr>
        <w:tc>
          <w:tcPr>
            <w:tcW w:type="dxa" w:w="2375"/>
            <w:shd w:val="clear" w:color="auto" w:fill="13223F"/>
          </w:tcPr>
          <w:p>
            <w:r>
              <w:rPr>
                <w:b/>
                <w:i w:val="0"/>
                <w:color w:val="FFFFFF"/>
                <w:sz w:val="15"/>
              </w:rPr>
              <w:t>Item (consolidated)</w:t>
            </w:r>
          </w:p>
        </w:tc>
        <w:tc>
          <w:tcPr>
            <w:tcW w:type="dxa" w:w="3288"/>
            <w:shd w:val="clear" w:color="auto" w:fill="13223F"/>
          </w:tcPr>
          <w:p>
            <w:r>
              <w:rPr>
                <w:b/>
                <w:i w:val="0"/>
                <w:color w:val="FFFFFF"/>
                <w:sz w:val="15"/>
              </w:rPr>
              <w:t>Value</w:t>
            </w:r>
          </w:p>
        </w:tc>
        <w:tc>
          <w:tcPr>
            <w:tcW w:type="dxa" w:w="4202"/>
            <w:shd w:val="clear" w:color="auto" w:fill="13223F"/>
          </w:tcPr>
          <w:p>
            <w:r>
              <w:rPr>
                <w:b/>
                <w:i w:val="0"/>
                <w:color w:val="FFFFFF"/>
                <w:sz w:val="15"/>
              </w:rPr>
              <w:t>Comment</w:t>
            </w:r>
          </w:p>
        </w:tc>
      </w:tr>
      <w:tr>
        <w:tc>
          <w:tcPr>
            <w:tcW w:type="dxa" w:w="2375"/>
          </w:tcPr>
          <w:p>
            <w:r>
              <w:rPr>
                <w:b w:val="0"/>
                <w:i w:val="0"/>
                <w:sz w:val="15"/>
              </w:rPr>
              <w:t>Cash &amp; short-term investments</w:t>
            </w:r>
          </w:p>
        </w:tc>
        <w:tc>
          <w:tcPr>
            <w:tcW w:type="dxa" w:w="3288"/>
          </w:tcPr>
          <w:p>
            <w:r>
              <w:rPr>
                <w:b w:val="0"/>
                <w:i w:val="0"/>
                <w:sz w:val="15"/>
              </w:rPr>
              <w:t>~KRW 1.68tn (Dec-25)</w:t>
            </w:r>
          </w:p>
        </w:tc>
        <w:tc>
          <w:tcPr>
            <w:tcW w:type="dxa" w:w="4202"/>
          </w:tcPr>
          <w:p>
            <w:r>
              <w:rPr>
                <w:b w:val="0"/>
                <w:i w:val="0"/>
                <w:sz w:val="15"/>
              </w:rPr>
              <w:t>Jun-26 figure not retrieved [u]</w:t>
            </w:r>
          </w:p>
        </w:tc>
      </w:tr>
      <w:tr>
        <w:tc>
          <w:tcPr>
            <w:tcW w:type="dxa" w:w="2375"/>
            <w:shd w:val="clear" w:color="auto" w:fill="EEF1F6"/>
          </w:tcPr>
          <w:p>
            <w:r>
              <w:rPr>
                <w:b w:val="0"/>
                <w:i w:val="0"/>
                <w:sz w:val="15"/>
              </w:rPr>
              <w:t>Gross debt incl. leases</w:t>
            </w:r>
          </w:p>
        </w:tc>
        <w:tc>
          <w:tcPr>
            <w:tcW w:type="dxa" w:w="3288"/>
            <w:shd w:val="clear" w:color="auto" w:fill="EEF1F6"/>
          </w:tcPr>
          <w:p>
            <w:r>
              <w:rPr>
                <w:b w:val="0"/>
                <w:i w:val="0"/>
                <w:sz w:val="15"/>
              </w:rPr>
              <w:t>~KRW 10.8tn (Dec-25) [u]</w:t>
            </w:r>
          </w:p>
        </w:tc>
        <w:tc>
          <w:tcPr>
            <w:tcW w:type="dxa" w:w="4202"/>
            <w:shd w:val="clear" w:color="auto" w:fill="EEF1F6"/>
          </w:tcPr>
          <w:p>
            <w:r>
              <w:rPr>
                <w:b w:val="0"/>
                <w:i w:val="0"/>
                <w:sz w:val="15"/>
              </w:rPr>
              <w:t>Mostly fixed-rate KRW bonds (AAA), bank loans, IFRS-16 leases (DCs, sites)</w:t>
            </w:r>
          </w:p>
        </w:tc>
      </w:tr>
      <w:tr>
        <w:tc>
          <w:tcPr>
            <w:tcW w:type="dxa" w:w="2375"/>
          </w:tcPr>
          <w:p>
            <w:r>
              <w:rPr>
                <w:b w:val="0"/>
                <w:i w:val="0"/>
                <w:sz w:val="15"/>
              </w:rPr>
              <w:t>Net debt incl. leases</w:t>
            </w:r>
          </w:p>
        </w:tc>
        <w:tc>
          <w:tcPr>
            <w:tcW w:type="dxa" w:w="3288"/>
          </w:tcPr>
          <w:p>
            <w:r>
              <w:rPr>
                <w:b w:val="0"/>
                <w:i w:val="0"/>
                <w:sz w:val="15"/>
              </w:rPr>
              <w:t>~KRW 9.1-9.3tn</w:t>
            </w:r>
          </w:p>
        </w:tc>
        <w:tc>
          <w:tcPr>
            <w:tcW w:type="dxa" w:w="4202"/>
          </w:tcPr>
          <w:p>
            <w:r>
              <w:rPr>
                <w:b w:val="0"/>
                <w:i w:val="0"/>
                <w:sz w:val="15"/>
              </w:rPr>
              <w:t>Source figures internally inconsistent (9.09 vs 9.28tn)</w:t>
            </w:r>
          </w:p>
        </w:tc>
      </w:tr>
      <w:tr>
        <w:tc>
          <w:tcPr>
            <w:tcW w:type="dxa" w:w="2375"/>
            <w:shd w:val="clear" w:color="auto" w:fill="EEF1F6"/>
          </w:tcPr>
          <w:p>
            <w:r>
              <w:rPr>
                <w:b w:val="0"/>
                <w:i w:val="0"/>
                <w:sz w:val="15"/>
              </w:rPr>
              <w:t>Net debt / EBITDA</w:t>
            </w:r>
          </w:p>
        </w:tc>
        <w:tc>
          <w:tcPr>
            <w:tcW w:type="dxa" w:w="3288"/>
            <w:shd w:val="clear" w:color="auto" w:fill="EEF1F6"/>
          </w:tcPr>
          <w:p>
            <w:r>
              <w:rPr>
                <w:b w:val="0"/>
                <w:i w:val="0"/>
                <w:sz w:val="15"/>
              </w:rPr>
              <w:t>2.0x FY25 (trough) / ~1.6x FY26E</w:t>
            </w:r>
          </w:p>
        </w:tc>
        <w:tc>
          <w:tcPr>
            <w:tcW w:type="dxa" w:w="4202"/>
            <w:shd w:val="clear" w:color="auto" w:fill="EEF1F6"/>
          </w:tcPr>
          <w:p>
            <w:r>
              <w:rPr>
                <w:b w:val="0"/>
                <w:i w:val="0"/>
                <w:sz w:val="15"/>
              </w:rPr>
              <w:t>Comfortable for AAA; headroom ~1.0x before 2.5x</w:t>
            </w:r>
          </w:p>
        </w:tc>
      </w:tr>
      <w:tr>
        <w:tc>
          <w:tcPr>
            <w:tcW w:type="dxa" w:w="2375"/>
          </w:tcPr>
          <w:p>
            <w:r>
              <w:rPr>
                <w:b w:val="0"/>
                <w:i w:val="0"/>
                <w:sz w:val="15"/>
              </w:rPr>
              <w:t>Debt / equity</w:t>
            </w:r>
          </w:p>
        </w:tc>
        <w:tc>
          <w:tcPr>
            <w:tcW w:type="dxa" w:w="3288"/>
          </w:tcPr>
          <w:p>
            <w:r>
              <w:rPr>
                <w:b w:val="0"/>
                <w:i w:val="0"/>
                <w:sz w:val="15"/>
              </w:rPr>
              <w:t>1.09x (Jun-26, definition [u])</w:t>
            </w:r>
          </w:p>
        </w:tc>
        <w:tc>
          <w:tcPr>
            <w:tcW w:type="dxa" w:w="4202"/>
          </w:tcPr>
          <w:p/>
        </w:tc>
      </w:tr>
      <w:tr>
        <w:tc>
          <w:tcPr>
            <w:tcW w:type="dxa" w:w="2375"/>
            <w:shd w:val="clear" w:color="auto" w:fill="EEF1F6"/>
          </w:tcPr>
          <w:p>
            <w:r>
              <w:rPr>
                <w:b w:val="0"/>
                <w:i w:val="0"/>
                <w:sz w:val="15"/>
              </w:rPr>
              <w:t>Interest expense</w:t>
            </w:r>
          </w:p>
        </w:tc>
        <w:tc>
          <w:tcPr>
            <w:tcW w:type="dxa" w:w="3288"/>
            <w:shd w:val="clear" w:color="auto" w:fill="EEF1F6"/>
          </w:tcPr>
          <w:p>
            <w:r>
              <w:rPr>
                <w:b w:val="0"/>
                <w:i w:val="0"/>
                <w:sz w:val="15"/>
              </w:rPr>
              <w:t>~KRW 0.35-0.45tn p.a. [u]</w:t>
            </w:r>
          </w:p>
        </w:tc>
        <w:tc>
          <w:tcPr>
            <w:tcW w:type="dxa" w:w="4202"/>
            <w:shd w:val="clear" w:color="auto" w:fill="EEF1F6"/>
          </w:tcPr>
          <w:p>
            <w:r>
              <w:rPr>
                <w:b w:val="0"/>
                <w:i w:val="0"/>
                <w:sz w:val="15"/>
              </w:rPr>
              <w:t>Average cost ~3.0-3.5% [e]</w:t>
            </w:r>
          </w:p>
        </w:tc>
      </w:tr>
      <w:tr>
        <w:tc>
          <w:tcPr>
            <w:tcW w:type="dxa" w:w="2375"/>
          </w:tcPr>
          <w:p>
            <w:r>
              <w:rPr>
                <w:b w:val="0"/>
                <w:i w:val="0"/>
                <w:sz w:val="15"/>
              </w:rPr>
              <w:t>USD bonds</w:t>
            </w:r>
          </w:p>
        </w:tc>
        <w:tc>
          <w:tcPr>
            <w:tcW w:type="dxa" w:w="3288"/>
          </w:tcPr>
          <w:p>
            <w:r>
              <w:rPr>
                <w:b w:val="0"/>
                <w:i w:val="0"/>
                <w:sz w:val="15"/>
              </w:rPr>
              <w:t>US$400m 6.625% notes due 20-Jul-2027</w:t>
            </w:r>
          </w:p>
        </w:tc>
        <w:tc>
          <w:tcPr>
            <w:tcW w:type="dxa" w:w="4202"/>
          </w:tcPr>
          <w:p>
            <w:r>
              <w:rPr>
                <w:b w:val="0"/>
                <w:i w:val="0"/>
                <w:sz w:val="15"/>
              </w:rPr>
              <w:t>Legacy 2007 issue; refinancing need in 2027</w:t>
            </w:r>
          </w:p>
        </w:tc>
      </w:tr>
      <w:tr>
        <w:tc>
          <w:tcPr>
            <w:tcW w:type="dxa" w:w="2375"/>
            <w:shd w:val="clear" w:color="auto" w:fill="EEF1F6"/>
          </w:tcPr>
          <w:p>
            <w:r>
              <w:rPr>
                <w:b w:val="0"/>
                <w:i w:val="0"/>
                <w:sz w:val="15"/>
              </w:rPr>
              <w:t>KRW bonds (examples)</w:t>
            </w:r>
          </w:p>
        </w:tc>
        <w:tc>
          <w:tcPr>
            <w:tcW w:type="dxa" w:w="3288"/>
            <w:shd w:val="clear" w:color="auto" w:fill="EEF1F6"/>
          </w:tcPr>
          <w:p>
            <w:r>
              <w:rPr>
                <w:b w:val="0"/>
                <w:i w:val="0"/>
                <w:sz w:val="15"/>
              </w:rPr>
              <w:t>2.84% due Nov-2027; 1.865% due Jan-2040</w:t>
            </w:r>
          </w:p>
        </w:tc>
        <w:tc>
          <w:tcPr>
            <w:tcW w:type="dxa" w:w="4202"/>
            <w:shd w:val="clear" w:color="auto" w:fill="EEF1F6"/>
          </w:tcPr>
          <w:p>
            <w:r>
              <w:rPr>
                <w:b w:val="0"/>
                <w:i w:val="0"/>
                <w:sz w:val="15"/>
              </w:rPr>
              <w:t>Nov-24 deal: KRW 150bn book, KRW 1.255tn demand, 3yr -3bp to curve</w:t>
            </w:r>
          </w:p>
        </w:tc>
      </w:tr>
      <w:tr>
        <w:tc>
          <w:tcPr>
            <w:tcW w:type="dxa" w:w="2375"/>
          </w:tcPr>
          <w:p>
            <w:r>
              <w:rPr>
                <w:b w:val="0"/>
                <w:i w:val="0"/>
                <w:sz w:val="15"/>
              </w:rPr>
              <w:t>Recent market access</w:t>
            </w:r>
          </w:p>
        </w:tc>
        <w:tc>
          <w:tcPr>
            <w:tcW w:type="dxa" w:w="3288"/>
          </w:tcPr>
          <w:p>
            <w:r>
              <w:rPr>
                <w:b w:val="0"/>
                <w:i w:val="0"/>
                <w:sz w:val="15"/>
              </w:rPr>
              <w:t>Nov-25 KRW 150-240bn deal withdrawn (govt yields spiked)</w:t>
            </w:r>
          </w:p>
        </w:tc>
        <w:tc>
          <w:tcPr>
            <w:tcW w:type="dxa" w:w="4202"/>
          </w:tcPr>
          <w:p>
            <w:r>
              <w:rPr>
                <w:b w:val="0"/>
                <w:i w:val="0"/>
                <w:sz w:val="15"/>
              </w:rPr>
              <w:t>No 2026 public issue found - funded from FCF and SKB/asset sales</w:t>
            </w:r>
          </w:p>
        </w:tc>
      </w:tr>
      <w:tr>
        <w:tc>
          <w:tcPr>
            <w:tcW w:type="dxa" w:w="2375"/>
            <w:shd w:val="clear" w:color="auto" w:fill="EEF1F6"/>
          </w:tcPr>
          <w:p>
            <w:r>
              <w:rPr>
                <w:b w:val="0"/>
                <w:i w:val="0"/>
                <w:sz w:val="15"/>
              </w:rPr>
              <w:t>Hybrid capital</w:t>
            </w:r>
          </w:p>
        </w:tc>
        <w:tc>
          <w:tcPr>
            <w:tcW w:type="dxa" w:w="3288"/>
            <w:shd w:val="clear" w:color="auto" w:fill="EEF1F6"/>
          </w:tcPr>
          <w:p>
            <w:r>
              <w:rPr>
                <w:b w:val="0"/>
                <w:i w:val="0"/>
                <w:sz w:val="15"/>
              </w:rPr>
              <w:t>None found for SKT [u]</w:t>
            </w:r>
          </w:p>
        </w:tc>
        <w:tc>
          <w:tcPr>
            <w:tcW w:type="dxa" w:w="4202"/>
            <w:shd w:val="clear" w:color="auto" w:fill="EEF1F6"/>
          </w:tcPr>
          <w:p>
            <w:r>
              <w:rPr>
                <w:b w:val="0"/>
                <w:i w:val="0"/>
                <w:sz w:val="15"/>
              </w:rPr>
              <w:t>Hybrid considered in 2025</w:t>
            </w:r>
          </w:p>
        </w:tc>
      </w:tr>
      <w:tr>
        <w:tc>
          <w:tcPr>
            <w:tcW w:type="dxa" w:w="2375"/>
          </w:tcPr>
          <w:p>
            <w:r>
              <w:rPr>
                <w:b w:val="0"/>
                <w:i w:val="0"/>
                <w:sz w:val="15"/>
              </w:rPr>
              <w:t>Ratings</w:t>
            </w:r>
          </w:p>
        </w:tc>
        <w:tc>
          <w:tcPr>
            <w:tcW w:type="dxa" w:w="3288"/>
          </w:tcPr>
          <w:p>
            <w:r>
              <w:rPr>
                <w:b w:val="0"/>
                <w:i w:val="0"/>
                <w:sz w:val="15"/>
              </w:rPr>
              <w:t>Moody's A3 / S&amp;P A- / KIS-NICE-KR AAA (stable)</w:t>
            </w:r>
          </w:p>
        </w:tc>
        <w:tc>
          <w:tcPr>
            <w:tcW w:type="dxa" w:w="4202"/>
          </w:tcPr>
          <w:p>
            <w:r>
              <w:rPr>
                <w:b w:val="0"/>
                <w:i w:val="0"/>
                <w:sz w:val="15"/>
              </w:rPr>
              <w:t>Domestic AAA affirmed post-breach (H1-25 and Jul-26)</w:t>
            </w:r>
          </w:p>
        </w:tc>
      </w:tr>
      <w:tr>
        <w:tc>
          <w:tcPr>
            <w:tcW w:type="dxa" w:w="2375"/>
            <w:shd w:val="clear" w:color="auto" w:fill="EEF1F6"/>
          </w:tcPr>
          <w:p>
            <w:r>
              <w:rPr>
                <w:b w:val="0"/>
                <w:i w:val="0"/>
                <w:sz w:val="15"/>
              </w:rPr>
              <w:t>Covenants</w:t>
            </w:r>
          </w:p>
        </w:tc>
        <w:tc>
          <w:tcPr>
            <w:tcW w:type="dxa" w:w="3288"/>
            <w:shd w:val="clear" w:color="auto" w:fill="EEF1F6"/>
          </w:tcPr>
          <w:p>
            <w:r>
              <w:rPr>
                <w:b w:val="0"/>
                <w:i w:val="0"/>
                <w:sz w:val="15"/>
              </w:rPr>
              <w:t>No financial maintenance covenants typical for Korean public bonds</w:t>
            </w:r>
          </w:p>
        </w:tc>
        <w:tc>
          <w:tcPr>
            <w:tcW w:type="dxa" w:w="4202"/>
            <w:shd w:val="clear" w:color="auto" w:fill="EEF1F6"/>
          </w:tcPr>
          <w:p>
            <w:r>
              <w:rPr>
                <w:b w:val="0"/>
                <w:i w:val="0"/>
                <w:sz w:val="15"/>
              </w:rPr>
              <w:t>Standard negative pledge / disposal limits</w:t>
            </w:r>
          </w:p>
        </w:tc>
      </w:tr>
      <w:tr>
        <w:tc>
          <w:tcPr>
            <w:tcW w:type="dxa" w:w="2375"/>
          </w:tcPr>
          <w:p>
            <w:r>
              <w:rPr>
                <w:b w:val="0"/>
                <w:i w:val="0"/>
                <w:sz w:val="15"/>
              </w:rPr>
              <w:t>Committed outflows</w:t>
            </w:r>
          </w:p>
        </w:tc>
        <w:tc>
          <w:tcPr>
            <w:tcW w:type="dxa" w:w="3288"/>
          </w:tcPr>
          <w:p>
            <w:r>
              <w:rPr>
                <w:b w:val="0"/>
                <w:i w:val="0"/>
                <w:sz w:val="15"/>
              </w:rPr>
              <w:t>SK Hyper KRW 750bn (to 2030); spectrum ~KRW 1.2-1.3tn [e]; security KRW 700bn (5 yrs); SK hynix-linked KRW 738bn [u]</w:t>
            </w:r>
          </w:p>
        </w:tc>
        <w:tc>
          <w:tcPr>
            <w:tcW w:type="dxa" w:w="4202"/>
          </w:tcPr>
          <w:p/>
        </w:tc>
      </w:tr>
      <w:tr>
        <w:tc>
          <w:tcPr>
            <w:tcW w:type="dxa" w:w="2375"/>
            <w:shd w:val="clear" w:color="auto" w:fill="EEF1F6"/>
          </w:tcPr>
          <w:p>
            <w:r>
              <w:rPr>
                <w:b w:val="0"/>
                <w:i w:val="0"/>
                <w:sz w:val="15"/>
              </w:rPr>
              <w:t>Committed inflows</w:t>
            </w:r>
          </w:p>
        </w:tc>
        <w:tc>
          <w:tcPr>
            <w:tcW w:type="dxa" w:w="3288"/>
            <w:shd w:val="clear" w:color="auto" w:fill="EEF1F6"/>
          </w:tcPr>
          <w:p>
            <w:r>
              <w:rPr>
                <w:b w:val="0"/>
                <w:i w:val="0"/>
                <w:sz w:val="15"/>
              </w:rPr>
              <w:t>SK Horizon KRW 3.08tn (KKR/IMM, close 1Q27); SK Stoa ~KRW 110bn (pending); Joby partial sale KRW 131bn (done)</w:t>
            </w:r>
          </w:p>
        </w:tc>
        <w:tc>
          <w:tcPr>
            <w:tcW w:type="dxa" w:w="4202"/>
            <w:shd w:val="clear" w:color="auto" w:fill="EEF1F6"/>
          </w:tcPr>
          <w:p>
            <w:r>
              <w:rPr>
                <w:b w:val="0"/>
                <w:i w:val="0"/>
                <w:sz w:val="15"/>
              </w:rPr>
              <w:t>Horizon cash largely retained at Horizon for build-out [u]</w:t>
            </w:r>
          </w:p>
        </w:tc>
      </w:tr>
    </w:tbl>
    <w:p/>
    <w:p>
      <w:pPr>
        <w:pStyle w:val="Heading2"/>
      </w:pPr>
      <w:r>
        <w:rPr>
          <w:b/>
          <w:i w:val="0"/>
          <w:color w:val="2D6CCB"/>
          <w:sz w:val="24"/>
        </w:rPr>
        <w:t>Indicative maturity profile [e/u]</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2792"/>
            <w:shd w:val="clear" w:color="auto" w:fill="13223F"/>
          </w:tcPr>
          <w:p>
            <w:r>
              <w:rPr>
                <w:b/>
                <w:i w:val="0"/>
                <w:color w:val="FFFFFF"/>
                <w:sz w:val="15"/>
              </w:rPr>
              <w:t>Year</w:t>
            </w:r>
          </w:p>
        </w:tc>
        <w:tc>
          <w:tcPr>
            <w:tcW w:type="dxa" w:w="1117"/>
            <w:shd w:val="clear" w:color="auto" w:fill="13223F"/>
          </w:tcPr>
          <w:p>
            <w:r>
              <w:rPr>
                <w:b/>
                <w:i w:val="0"/>
                <w:color w:val="FFFFFF"/>
                <w:sz w:val="15"/>
              </w:rPr>
              <w:t>2026 (rem.)</w:t>
            </w:r>
          </w:p>
        </w:tc>
        <w:tc>
          <w:tcPr>
            <w:tcW w:type="dxa" w:w="1489"/>
            <w:shd w:val="clear" w:color="auto" w:fill="13223F"/>
          </w:tcPr>
          <w:p>
            <w:r>
              <w:rPr>
                <w:b/>
                <w:i w:val="0"/>
                <w:color w:val="FFFFFF"/>
                <w:sz w:val="15"/>
              </w:rPr>
              <w:t>2027</w:t>
            </w:r>
          </w:p>
        </w:tc>
        <w:tc>
          <w:tcPr>
            <w:tcW w:type="dxa" w:w="1117"/>
            <w:shd w:val="clear" w:color="auto" w:fill="13223F"/>
          </w:tcPr>
          <w:p>
            <w:r>
              <w:rPr>
                <w:b/>
                <w:i w:val="0"/>
                <w:color w:val="FFFFFF"/>
                <w:sz w:val="15"/>
              </w:rPr>
              <w:t>2028</w:t>
            </w:r>
          </w:p>
        </w:tc>
        <w:tc>
          <w:tcPr>
            <w:tcW w:type="dxa" w:w="1117"/>
            <w:shd w:val="clear" w:color="auto" w:fill="13223F"/>
          </w:tcPr>
          <w:p>
            <w:r>
              <w:rPr>
                <w:b/>
                <w:i w:val="0"/>
                <w:color w:val="FFFFFF"/>
                <w:sz w:val="15"/>
              </w:rPr>
              <w:t>2029</w:t>
            </w:r>
          </w:p>
        </w:tc>
        <w:tc>
          <w:tcPr>
            <w:tcW w:type="dxa" w:w="1117"/>
            <w:shd w:val="clear" w:color="auto" w:fill="13223F"/>
          </w:tcPr>
          <w:p>
            <w:r>
              <w:rPr>
                <w:b/>
                <w:i w:val="0"/>
                <w:color w:val="FFFFFF"/>
                <w:sz w:val="15"/>
              </w:rPr>
              <w:t>2030</w:t>
            </w:r>
          </w:p>
        </w:tc>
        <w:tc>
          <w:tcPr>
            <w:tcW w:type="dxa" w:w="1117"/>
            <w:shd w:val="clear" w:color="auto" w:fill="13223F"/>
          </w:tcPr>
          <w:p>
            <w:r>
              <w:rPr>
                <w:b/>
                <w:i w:val="0"/>
                <w:color w:val="FFFFFF"/>
                <w:sz w:val="15"/>
              </w:rPr>
              <w:t>2031+</w:t>
            </w:r>
          </w:p>
        </w:tc>
      </w:tr>
      <w:tr>
        <w:tc>
          <w:tcPr>
            <w:tcW w:type="dxa" w:w="2792"/>
          </w:tcPr>
          <w:p>
            <w:r>
              <w:rPr>
                <w:b w:val="0"/>
                <w:i w:val="0"/>
                <w:sz w:val="15"/>
              </w:rPr>
              <w:t>Bonds &amp; loans (KRW tn, indicative)</w:t>
            </w:r>
          </w:p>
        </w:tc>
        <w:tc>
          <w:tcPr>
            <w:tcW w:type="dxa" w:w="1117"/>
          </w:tcPr>
          <w:p>
            <w:r>
              <w:rPr>
                <w:b w:val="0"/>
                <w:i w:val="0"/>
                <w:sz w:val="15"/>
              </w:rPr>
              <w:t>~0.3</w:t>
            </w:r>
          </w:p>
        </w:tc>
        <w:tc>
          <w:tcPr>
            <w:tcW w:type="dxa" w:w="1489"/>
          </w:tcPr>
          <w:p>
            <w:r>
              <w:rPr>
                <w:b w:val="0"/>
                <w:i w:val="0"/>
                <w:sz w:val="15"/>
              </w:rPr>
              <w:t>~1.6 (incl. US$400m)</w:t>
            </w:r>
          </w:p>
        </w:tc>
        <w:tc>
          <w:tcPr>
            <w:tcW w:type="dxa" w:w="1117"/>
          </w:tcPr>
          <w:p>
            <w:r>
              <w:rPr>
                <w:b w:val="0"/>
                <w:i w:val="0"/>
                <w:sz w:val="15"/>
              </w:rPr>
              <w:t>~1.3</w:t>
            </w:r>
          </w:p>
        </w:tc>
        <w:tc>
          <w:tcPr>
            <w:tcW w:type="dxa" w:w="1117"/>
          </w:tcPr>
          <w:p>
            <w:r>
              <w:rPr>
                <w:b w:val="0"/>
                <w:i w:val="0"/>
                <w:sz w:val="15"/>
              </w:rPr>
              <w:t>~1.1</w:t>
            </w:r>
          </w:p>
        </w:tc>
        <w:tc>
          <w:tcPr>
            <w:tcW w:type="dxa" w:w="1117"/>
          </w:tcPr>
          <w:p>
            <w:r>
              <w:rPr>
                <w:b w:val="0"/>
                <w:i w:val="0"/>
                <w:sz w:val="15"/>
              </w:rPr>
              <w:t>~0.9</w:t>
            </w:r>
          </w:p>
        </w:tc>
        <w:tc>
          <w:tcPr>
            <w:tcW w:type="dxa" w:w="1117"/>
          </w:tcPr>
          <w:p>
            <w:r>
              <w:rPr>
                <w:b w:val="0"/>
                <w:i w:val="0"/>
                <w:sz w:val="15"/>
              </w:rPr>
              <w:t>~3.0</w:t>
            </w:r>
          </w:p>
        </w:tc>
      </w:tr>
    </w:tbl>
    <w:p>
      <w:r>
        <w:rPr>
          <w:b w:val="0"/>
          <w:i/>
          <w:color w:val="5B6475"/>
          <w:sz w:val="15"/>
        </w:rPr>
        <w:t>Not obtained from DART note; shown as a typical ladder for SKT's ~KRW 8-9tn funded debt - verify before use. Liquidity (cash + undrawn bank lines + AAA market access) comfortably covers 2027 maturities.</w:t>
      </w:r>
    </w:p>
    <w:p>
      <w:pPr>
        <w:spacing w:after="80"/>
      </w:pPr>
      <w:r>
        <w:rPr>
          <w:b/>
          <w:i w:val="0"/>
        </w:rPr>
        <w:t>Assessment:</w:t>
      </w:r>
      <w:r>
        <w:rPr>
          <w:b w:val="0"/>
          <w:i w:val="0"/>
        </w:rPr>
        <w:t xml:space="preserve"> the balance sheet is conservative for a telco (1.6x ND/EBITDA vs 2.3-3.0x at DT, NTT, Verizon). The pressure points are (1) the stacking of spectrum, security and AI-DC commitments in 2026-28, (2) a rising-rate environment and (3) potential PE-style exit rights granted to KKR/IMM at SK Horizon, which could become quasi-debt. None threaten the AAA near term.</w:t>
      </w:r>
    </w:p>
    <w:p>
      <w:r>
        <w:br w:type="page"/>
      </w:r>
    </w:p>
    <w:p>
      <w:pPr>
        <w:pStyle w:val="Heading1"/>
      </w:pPr>
      <w:r>
        <w:rPr>
          <w:b/>
          <w:i w:val="0"/>
          <w:color w:val="13223F"/>
          <w:sz w:val="32"/>
        </w:rPr>
        <w:t>12. Valuation - vs peers and vs own history</w:t>
      </w:r>
    </w:p>
    <w:p>
      <w:pPr>
        <w:pStyle w:val="Heading2"/>
      </w:pPr>
      <w:r>
        <w:rPr>
          <w:b/>
          <w:i w:val="0"/>
          <w:color w:val="2D6CCB"/>
          <w:sz w:val="24"/>
        </w:rPr>
        <w:t>12.1 SKT multiples: now vs five-year history</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644"/>
            <w:shd w:val="clear" w:color="auto" w:fill="13223F"/>
          </w:tcPr>
          <w:p>
            <w:r>
              <w:rPr>
                <w:b/>
                <w:i w:val="0"/>
                <w:color w:val="FFFFFF"/>
                <w:sz w:val="15"/>
              </w:rPr>
              <w:t>Multiple</w:t>
            </w:r>
          </w:p>
        </w:tc>
        <w:tc>
          <w:tcPr>
            <w:tcW w:type="dxa" w:w="822"/>
            <w:shd w:val="clear" w:color="auto" w:fill="13223F"/>
          </w:tcPr>
          <w:p>
            <w:r>
              <w:rPr>
                <w:b/>
                <w:i w:val="0"/>
                <w:color w:val="FFFFFF"/>
                <w:sz w:val="15"/>
              </w:rPr>
              <w:t>FY2021</w:t>
            </w:r>
          </w:p>
        </w:tc>
        <w:tc>
          <w:tcPr>
            <w:tcW w:type="dxa" w:w="822"/>
            <w:shd w:val="clear" w:color="auto" w:fill="13223F"/>
          </w:tcPr>
          <w:p>
            <w:r>
              <w:rPr>
                <w:b/>
                <w:i w:val="0"/>
                <w:color w:val="FFFFFF"/>
                <w:sz w:val="15"/>
              </w:rPr>
              <w:t>FY2022</w:t>
            </w:r>
          </w:p>
        </w:tc>
        <w:tc>
          <w:tcPr>
            <w:tcW w:type="dxa" w:w="822"/>
            <w:shd w:val="clear" w:color="auto" w:fill="13223F"/>
          </w:tcPr>
          <w:p>
            <w:r>
              <w:rPr>
                <w:b/>
                <w:i w:val="0"/>
                <w:color w:val="FFFFFF"/>
                <w:sz w:val="15"/>
              </w:rPr>
              <w:t>FY2023</w:t>
            </w:r>
          </w:p>
        </w:tc>
        <w:tc>
          <w:tcPr>
            <w:tcW w:type="dxa" w:w="822"/>
            <w:shd w:val="clear" w:color="auto" w:fill="13223F"/>
          </w:tcPr>
          <w:p>
            <w:r>
              <w:rPr>
                <w:b/>
                <w:i w:val="0"/>
                <w:color w:val="FFFFFF"/>
                <w:sz w:val="15"/>
              </w:rPr>
              <w:t>FY2024</w:t>
            </w:r>
          </w:p>
        </w:tc>
        <w:tc>
          <w:tcPr>
            <w:tcW w:type="dxa" w:w="822"/>
            <w:shd w:val="clear" w:color="auto" w:fill="13223F"/>
          </w:tcPr>
          <w:p>
            <w:r>
              <w:rPr>
                <w:b/>
                <w:i w:val="0"/>
                <w:color w:val="FFFFFF"/>
                <w:sz w:val="15"/>
              </w:rPr>
              <w:t>FY2025</w:t>
            </w:r>
          </w:p>
        </w:tc>
        <w:tc>
          <w:tcPr>
            <w:tcW w:type="dxa" w:w="1096"/>
            <w:shd w:val="clear" w:color="auto" w:fill="13223F"/>
          </w:tcPr>
          <w:p>
            <w:r>
              <w:rPr>
                <w:b/>
                <w:i w:val="0"/>
                <w:color w:val="FFFFFF"/>
                <w:sz w:val="15"/>
              </w:rPr>
              <w:t>5-yr avg</w:t>
            </w:r>
          </w:p>
        </w:tc>
        <w:tc>
          <w:tcPr>
            <w:tcW w:type="dxa" w:w="1370"/>
            <w:shd w:val="clear" w:color="auto" w:fill="13223F"/>
          </w:tcPr>
          <w:p>
            <w:r>
              <w:rPr>
                <w:b/>
                <w:i w:val="0"/>
                <w:color w:val="FFFFFF"/>
                <w:sz w:val="15"/>
              </w:rPr>
              <w:t>Current (FY26E)</w:t>
            </w:r>
          </w:p>
        </w:tc>
        <w:tc>
          <w:tcPr>
            <w:tcW w:type="dxa" w:w="1644"/>
            <w:shd w:val="clear" w:color="auto" w:fill="13223F"/>
          </w:tcPr>
          <w:p>
            <w:r>
              <w:rPr>
                <w:b/>
                <w:i w:val="0"/>
                <w:color w:val="FFFFFF"/>
                <w:sz w:val="15"/>
              </w:rPr>
              <w:t>Verdict</w:t>
            </w:r>
          </w:p>
        </w:tc>
      </w:tr>
      <w:tr>
        <w:tc>
          <w:tcPr>
            <w:tcW w:type="dxa" w:w="1644"/>
          </w:tcPr>
          <w:p>
            <w:r>
              <w:rPr>
                <w:b w:val="0"/>
                <w:i w:val="0"/>
                <w:sz w:val="15"/>
              </w:rPr>
              <w:t>EV / Sales</w:t>
            </w:r>
          </w:p>
        </w:tc>
        <w:tc>
          <w:tcPr>
            <w:tcW w:type="dxa" w:w="822"/>
          </w:tcPr>
          <w:p>
            <w:r>
              <w:rPr>
                <w:b w:val="0"/>
                <w:i w:val="0"/>
                <w:sz w:val="15"/>
              </w:rPr>
              <w:t>~1.6x</w:t>
            </w:r>
          </w:p>
        </w:tc>
        <w:tc>
          <w:tcPr>
            <w:tcW w:type="dxa" w:w="822"/>
          </w:tcPr>
          <w:p>
            <w:r>
              <w:rPr>
                <w:b w:val="0"/>
                <w:i w:val="0"/>
                <w:sz w:val="15"/>
              </w:rPr>
              <w:t>~1.4x</w:t>
            </w:r>
          </w:p>
        </w:tc>
        <w:tc>
          <w:tcPr>
            <w:tcW w:type="dxa" w:w="822"/>
          </w:tcPr>
          <w:p>
            <w:r>
              <w:rPr>
                <w:b w:val="0"/>
                <w:i w:val="0"/>
                <w:sz w:val="15"/>
              </w:rPr>
              <w:t>~1.2x</w:t>
            </w:r>
          </w:p>
        </w:tc>
        <w:tc>
          <w:tcPr>
            <w:tcW w:type="dxa" w:w="822"/>
          </w:tcPr>
          <w:p>
            <w:r>
              <w:rPr>
                <w:b w:val="0"/>
                <w:i w:val="0"/>
                <w:sz w:val="15"/>
              </w:rPr>
              <w:t>~1.1x</w:t>
            </w:r>
          </w:p>
        </w:tc>
        <w:tc>
          <w:tcPr>
            <w:tcW w:type="dxa" w:w="822"/>
          </w:tcPr>
          <w:p>
            <w:r>
              <w:rPr>
                <w:b w:val="0"/>
                <w:i w:val="0"/>
                <w:sz w:val="15"/>
              </w:rPr>
              <w:t>~1.2x</w:t>
            </w:r>
          </w:p>
        </w:tc>
        <w:tc>
          <w:tcPr>
            <w:tcW w:type="dxa" w:w="1096"/>
          </w:tcPr>
          <w:p>
            <w:r>
              <w:rPr>
                <w:b w:val="0"/>
                <w:i w:val="0"/>
                <w:sz w:val="15"/>
              </w:rPr>
              <w:t>~1.3x</w:t>
            </w:r>
          </w:p>
        </w:tc>
        <w:tc>
          <w:tcPr>
            <w:tcW w:type="dxa" w:w="1370"/>
          </w:tcPr>
          <w:p>
            <w:r>
              <w:rPr>
                <w:b w:val="0"/>
                <w:i w:val="0"/>
                <w:sz w:val="15"/>
              </w:rPr>
              <w:t>1.59x</w:t>
            </w:r>
          </w:p>
        </w:tc>
        <w:tc>
          <w:tcPr>
            <w:tcW w:type="dxa" w:w="1644"/>
          </w:tcPr>
          <w:p>
            <w:r>
              <w:rPr>
                <w:b w:val="0"/>
                <w:i w:val="0"/>
                <w:sz w:val="15"/>
              </w:rPr>
              <w:t>Expensive vs history</w:t>
            </w:r>
          </w:p>
        </w:tc>
      </w:tr>
      <w:tr>
        <w:tc>
          <w:tcPr>
            <w:tcW w:type="dxa" w:w="1644"/>
            <w:shd w:val="clear" w:color="auto" w:fill="EEF1F6"/>
          </w:tcPr>
          <w:p>
            <w:r>
              <w:rPr>
                <w:b w:val="0"/>
                <w:i w:val="0"/>
                <w:sz w:val="15"/>
              </w:rPr>
              <w:t>EV / EBITDA</w:t>
            </w:r>
          </w:p>
        </w:tc>
        <w:tc>
          <w:tcPr>
            <w:tcW w:type="dxa" w:w="822"/>
            <w:shd w:val="clear" w:color="auto" w:fill="EEF1F6"/>
          </w:tcPr>
          <w:p>
            <w:r>
              <w:rPr>
                <w:b w:val="0"/>
                <w:i w:val="0"/>
                <w:sz w:val="15"/>
              </w:rPr>
              <w:t>5.1x</w:t>
            </w:r>
          </w:p>
        </w:tc>
        <w:tc>
          <w:tcPr>
            <w:tcW w:type="dxa" w:w="822"/>
            <w:shd w:val="clear" w:color="auto" w:fill="EEF1F6"/>
          </w:tcPr>
          <w:p>
            <w:r>
              <w:rPr>
                <w:b w:val="0"/>
                <w:i w:val="0"/>
                <w:sz w:val="15"/>
              </w:rPr>
              <w:t>4.4x</w:t>
            </w:r>
          </w:p>
        </w:tc>
        <w:tc>
          <w:tcPr>
            <w:tcW w:type="dxa" w:w="822"/>
            <w:shd w:val="clear" w:color="auto" w:fill="EEF1F6"/>
          </w:tcPr>
          <w:p>
            <w:r>
              <w:rPr>
                <w:b w:val="0"/>
                <w:i w:val="0"/>
                <w:sz w:val="15"/>
              </w:rPr>
              <w:t>3.8x</w:t>
            </w:r>
          </w:p>
        </w:tc>
        <w:tc>
          <w:tcPr>
            <w:tcW w:type="dxa" w:w="822"/>
            <w:shd w:val="clear" w:color="auto" w:fill="EEF1F6"/>
          </w:tcPr>
          <w:p>
            <w:r>
              <w:rPr>
                <w:b w:val="0"/>
                <w:i w:val="0"/>
                <w:sz w:val="15"/>
              </w:rPr>
              <w:t>3.7x</w:t>
            </w:r>
          </w:p>
        </w:tc>
        <w:tc>
          <w:tcPr>
            <w:tcW w:type="dxa" w:w="822"/>
            <w:shd w:val="clear" w:color="auto" w:fill="EEF1F6"/>
          </w:tcPr>
          <w:p>
            <w:r>
              <w:rPr>
                <w:b w:val="0"/>
                <w:i w:val="0"/>
                <w:sz w:val="15"/>
              </w:rPr>
              <w:t>4.3x</w:t>
            </w:r>
          </w:p>
        </w:tc>
        <w:tc>
          <w:tcPr>
            <w:tcW w:type="dxa" w:w="1096"/>
            <w:shd w:val="clear" w:color="auto" w:fill="EEF1F6"/>
          </w:tcPr>
          <w:p>
            <w:r>
              <w:rPr>
                <w:b w:val="0"/>
                <w:i w:val="0"/>
                <w:sz w:val="15"/>
              </w:rPr>
              <w:t>4.2x</w:t>
            </w:r>
          </w:p>
        </w:tc>
        <w:tc>
          <w:tcPr>
            <w:tcW w:type="dxa" w:w="1370"/>
            <w:shd w:val="clear" w:color="auto" w:fill="EEF1F6"/>
          </w:tcPr>
          <w:p>
            <w:r>
              <w:rPr>
                <w:b w:val="0"/>
                <w:i w:val="0"/>
                <w:sz w:val="15"/>
              </w:rPr>
              <w:t>5.0x (core ~4.0x)</w:t>
            </w:r>
          </w:p>
        </w:tc>
        <w:tc>
          <w:tcPr>
            <w:tcW w:type="dxa" w:w="1644"/>
            <w:shd w:val="clear" w:color="auto" w:fill="EEF1F6"/>
          </w:tcPr>
          <w:p>
            <w:r>
              <w:rPr>
                <w:b w:val="0"/>
                <w:i w:val="0"/>
                <w:sz w:val="15"/>
              </w:rPr>
              <w:t>Fair on core</w:t>
            </w:r>
          </w:p>
        </w:tc>
      </w:tr>
      <w:tr>
        <w:tc>
          <w:tcPr>
            <w:tcW w:type="dxa" w:w="1644"/>
          </w:tcPr>
          <w:p>
            <w:r>
              <w:rPr>
                <w:b w:val="0"/>
                <w:i w:val="0"/>
                <w:sz w:val="15"/>
              </w:rPr>
              <w:t>EV / EBIT</w:t>
            </w:r>
          </w:p>
        </w:tc>
        <w:tc>
          <w:tcPr>
            <w:tcW w:type="dxa" w:w="822"/>
          </w:tcPr>
          <w:p>
            <w:r>
              <w:rPr>
                <w:b w:val="0"/>
                <w:i w:val="0"/>
                <w:sz w:val="15"/>
              </w:rPr>
              <w:t>~19x</w:t>
            </w:r>
          </w:p>
        </w:tc>
        <w:tc>
          <w:tcPr>
            <w:tcW w:type="dxa" w:w="822"/>
          </w:tcPr>
          <w:p>
            <w:r>
              <w:rPr>
                <w:b w:val="0"/>
                <w:i w:val="0"/>
                <w:sz w:val="15"/>
              </w:rPr>
              <w:t>~15x</w:t>
            </w:r>
          </w:p>
        </w:tc>
        <w:tc>
          <w:tcPr>
            <w:tcW w:type="dxa" w:w="822"/>
          </w:tcPr>
          <w:p>
            <w:r>
              <w:rPr>
                <w:b w:val="0"/>
                <w:i w:val="0"/>
                <w:sz w:val="15"/>
              </w:rPr>
              <w:t>~12x</w:t>
            </w:r>
          </w:p>
        </w:tc>
        <w:tc>
          <w:tcPr>
            <w:tcW w:type="dxa" w:w="822"/>
          </w:tcPr>
          <w:p>
            <w:r>
              <w:rPr>
                <w:b w:val="0"/>
                <w:i w:val="0"/>
                <w:sz w:val="15"/>
              </w:rPr>
              <w:t>~11x</w:t>
            </w:r>
          </w:p>
        </w:tc>
        <w:tc>
          <w:tcPr>
            <w:tcW w:type="dxa" w:w="822"/>
          </w:tcPr>
          <w:p>
            <w:r>
              <w:rPr>
                <w:b w:val="0"/>
                <w:i w:val="0"/>
                <w:sz w:val="15"/>
              </w:rPr>
              <w:t>~19x</w:t>
            </w:r>
          </w:p>
        </w:tc>
        <w:tc>
          <w:tcPr>
            <w:tcW w:type="dxa" w:w="1096"/>
          </w:tcPr>
          <w:p>
            <w:r>
              <w:rPr>
                <w:b w:val="0"/>
                <w:i w:val="0"/>
                <w:sz w:val="15"/>
              </w:rPr>
              <w:t>~15x</w:t>
            </w:r>
          </w:p>
        </w:tc>
        <w:tc>
          <w:tcPr>
            <w:tcW w:type="dxa" w:w="1370"/>
          </w:tcPr>
          <w:p>
            <w:r>
              <w:rPr>
                <w:b w:val="0"/>
                <w:i w:val="0"/>
                <w:sz w:val="15"/>
              </w:rPr>
              <w:t>14.0x</w:t>
            </w:r>
          </w:p>
        </w:tc>
        <w:tc>
          <w:tcPr>
            <w:tcW w:type="dxa" w:w="1644"/>
          </w:tcPr>
          <w:p>
            <w:r>
              <w:rPr>
                <w:b w:val="0"/>
                <w:i w:val="0"/>
                <w:sz w:val="15"/>
              </w:rPr>
              <w:t>Fair</w:t>
            </w:r>
          </w:p>
        </w:tc>
      </w:tr>
      <w:tr>
        <w:tc>
          <w:tcPr>
            <w:tcW w:type="dxa" w:w="1644"/>
            <w:shd w:val="clear" w:color="auto" w:fill="EEF1F6"/>
          </w:tcPr>
          <w:p>
            <w:r>
              <w:rPr>
                <w:b w:val="0"/>
                <w:i w:val="0"/>
                <w:sz w:val="15"/>
              </w:rPr>
              <w:t>P / E</w:t>
            </w:r>
          </w:p>
        </w:tc>
        <w:tc>
          <w:tcPr>
            <w:tcW w:type="dxa" w:w="822"/>
            <w:shd w:val="clear" w:color="auto" w:fill="EEF1F6"/>
          </w:tcPr>
          <w:p>
            <w:r>
              <w:rPr>
                <w:b w:val="0"/>
                <w:i w:val="0"/>
                <w:sz w:val="15"/>
              </w:rPr>
              <w:t>8.5x</w:t>
            </w:r>
          </w:p>
        </w:tc>
        <w:tc>
          <w:tcPr>
            <w:tcW w:type="dxa" w:w="822"/>
            <w:shd w:val="clear" w:color="auto" w:fill="EEF1F6"/>
          </w:tcPr>
          <w:p>
            <w:r>
              <w:rPr>
                <w:b w:val="0"/>
                <w:i w:val="0"/>
                <w:sz w:val="15"/>
              </w:rPr>
              <w:t>~9.5x</w:t>
            </w:r>
          </w:p>
        </w:tc>
        <w:tc>
          <w:tcPr>
            <w:tcW w:type="dxa" w:w="822"/>
            <w:shd w:val="clear" w:color="auto" w:fill="EEF1F6"/>
          </w:tcPr>
          <w:p>
            <w:r>
              <w:rPr>
                <w:b w:val="0"/>
                <w:i w:val="0"/>
                <w:sz w:val="15"/>
              </w:rPr>
              <w:t>~9.8x</w:t>
            </w:r>
          </w:p>
        </w:tc>
        <w:tc>
          <w:tcPr>
            <w:tcW w:type="dxa" w:w="822"/>
            <w:shd w:val="clear" w:color="auto" w:fill="EEF1F6"/>
          </w:tcPr>
          <w:p>
            <w:r>
              <w:rPr>
                <w:b w:val="0"/>
                <w:i w:val="0"/>
                <w:sz w:val="15"/>
              </w:rPr>
              <w:t>~9.4x</w:t>
            </w:r>
          </w:p>
        </w:tc>
        <w:tc>
          <w:tcPr>
            <w:tcW w:type="dxa" w:w="822"/>
            <w:shd w:val="clear" w:color="auto" w:fill="EEF1F6"/>
          </w:tcPr>
          <w:p>
            <w:r>
              <w:rPr>
                <w:b w:val="0"/>
                <w:i w:val="0"/>
                <w:sz w:val="15"/>
              </w:rPr>
              <w:t>28.1x</w:t>
            </w:r>
          </w:p>
        </w:tc>
        <w:tc>
          <w:tcPr>
            <w:tcW w:type="dxa" w:w="1096"/>
            <w:shd w:val="clear" w:color="auto" w:fill="EEF1F6"/>
          </w:tcPr>
          <w:p>
            <w:r>
              <w:rPr>
                <w:b w:val="0"/>
                <w:i w:val="0"/>
                <w:sz w:val="15"/>
              </w:rPr>
              <w:t>~9.5x (ex-FY25)</w:t>
            </w:r>
          </w:p>
        </w:tc>
        <w:tc>
          <w:tcPr>
            <w:tcW w:type="dxa" w:w="1370"/>
            <w:shd w:val="clear" w:color="auto" w:fill="EEF1F6"/>
          </w:tcPr>
          <w:p>
            <w:r>
              <w:rPr>
                <w:b w:val="0"/>
                <w:i w:val="0"/>
                <w:sz w:val="15"/>
              </w:rPr>
              <w:t>14.1x</w:t>
            </w:r>
          </w:p>
        </w:tc>
        <w:tc>
          <w:tcPr>
            <w:tcW w:type="dxa" w:w="1644"/>
            <w:shd w:val="clear" w:color="auto" w:fill="EEF1F6"/>
          </w:tcPr>
          <w:p>
            <w:r>
              <w:rPr>
                <w:b w:val="0"/>
                <w:i w:val="0"/>
                <w:sz w:val="15"/>
              </w:rPr>
              <w:t>Expensive headline</w:t>
            </w:r>
          </w:p>
        </w:tc>
      </w:tr>
      <w:tr>
        <w:tc>
          <w:tcPr>
            <w:tcW w:type="dxa" w:w="1644"/>
          </w:tcPr>
          <w:p>
            <w:r>
              <w:rPr>
                <w:b w:val="0"/>
                <w:i w:val="0"/>
                <w:sz w:val="15"/>
              </w:rPr>
              <w:t>P / B</w:t>
            </w:r>
          </w:p>
        </w:tc>
        <w:tc>
          <w:tcPr>
            <w:tcW w:type="dxa" w:w="822"/>
          </w:tcPr>
          <w:p>
            <w:r>
              <w:rPr>
                <w:b w:val="0"/>
                <w:i w:val="0"/>
                <w:sz w:val="15"/>
              </w:rPr>
              <w:t>1.1x</w:t>
            </w:r>
          </w:p>
        </w:tc>
        <w:tc>
          <w:tcPr>
            <w:tcW w:type="dxa" w:w="822"/>
          </w:tcPr>
          <w:p>
            <w:r>
              <w:rPr>
                <w:b w:val="0"/>
                <w:i w:val="0"/>
                <w:sz w:val="15"/>
              </w:rPr>
              <w:t>~1.0x</w:t>
            </w:r>
          </w:p>
        </w:tc>
        <w:tc>
          <w:tcPr>
            <w:tcW w:type="dxa" w:w="822"/>
          </w:tcPr>
          <w:p>
            <w:r>
              <w:rPr>
                <w:b w:val="0"/>
                <w:i w:val="0"/>
                <w:sz w:val="15"/>
              </w:rPr>
              <w:t>~1.0x</w:t>
            </w:r>
          </w:p>
        </w:tc>
        <w:tc>
          <w:tcPr>
            <w:tcW w:type="dxa" w:w="822"/>
          </w:tcPr>
          <w:p>
            <w:r>
              <w:rPr>
                <w:b w:val="0"/>
                <w:i w:val="0"/>
                <w:sz w:val="15"/>
              </w:rPr>
              <w:t>1.0x</w:t>
            </w:r>
          </w:p>
        </w:tc>
        <w:tc>
          <w:tcPr>
            <w:tcW w:type="dxa" w:w="822"/>
          </w:tcPr>
          <w:p>
            <w:r>
              <w:rPr>
                <w:b w:val="0"/>
                <w:i w:val="0"/>
                <w:sz w:val="15"/>
              </w:rPr>
              <w:t>1.0x</w:t>
            </w:r>
          </w:p>
        </w:tc>
        <w:tc>
          <w:tcPr>
            <w:tcW w:type="dxa" w:w="1096"/>
          </w:tcPr>
          <w:p>
            <w:r>
              <w:rPr>
                <w:b w:val="0"/>
                <w:i w:val="0"/>
                <w:sz w:val="15"/>
              </w:rPr>
              <w:t>1.0x</w:t>
            </w:r>
          </w:p>
        </w:tc>
        <w:tc>
          <w:tcPr>
            <w:tcW w:type="dxa" w:w="1370"/>
          </w:tcPr>
          <w:p>
            <w:r>
              <w:rPr>
                <w:b w:val="0"/>
                <w:i w:val="0"/>
                <w:sz w:val="15"/>
              </w:rPr>
              <w:t>~1.45x</w:t>
            </w:r>
          </w:p>
        </w:tc>
        <w:tc>
          <w:tcPr>
            <w:tcW w:type="dxa" w:w="1644"/>
          </w:tcPr>
          <w:p>
            <w:r>
              <w:rPr>
                <w:b w:val="0"/>
                <w:i w:val="0"/>
                <w:sz w:val="15"/>
              </w:rPr>
              <w:t>Expensive (Anthropic in book)</w:t>
            </w:r>
          </w:p>
        </w:tc>
      </w:tr>
      <w:tr>
        <w:tc>
          <w:tcPr>
            <w:tcW w:type="dxa" w:w="1644"/>
            <w:shd w:val="clear" w:color="auto" w:fill="EEF1F6"/>
          </w:tcPr>
          <w:p>
            <w:r>
              <w:rPr>
                <w:b w:val="0"/>
                <w:i w:val="0"/>
                <w:sz w:val="15"/>
              </w:rPr>
              <w:t>Dividend yield</w:t>
            </w:r>
          </w:p>
        </w:tc>
        <w:tc>
          <w:tcPr>
            <w:tcW w:type="dxa" w:w="822"/>
            <w:shd w:val="clear" w:color="auto" w:fill="EEF1F6"/>
          </w:tcPr>
          <w:p>
            <w:r>
              <w:rPr>
                <w:b w:val="0"/>
                <w:i w:val="0"/>
                <w:sz w:val="15"/>
              </w:rPr>
              <w:t>4.6%</w:t>
            </w:r>
          </w:p>
        </w:tc>
        <w:tc>
          <w:tcPr>
            <w:tcW w:type="dxa" w:w="822"/>
            <w:shd w:val="clear" w:color="auto" w:fill="EEF1F6"/>
          </w:tcPr>
          <w:p>
            <w:r>
              <w:rPr>
                <w:b w:val="0"/>
                <w:i w:val="0"/>
                <w:sz w:val="15"/>
              </w:rPr>
              <w:t>~6.5%</w:t>
            </w:r>
          </w:p>
        </w:tc>
        <w:tc>
          <w:tcPr>
            <w:tcW w:type="dxa" w:w="822"/>
            <w:shd w:val="clear" w:color="auto" w:fill="EEF1F6"/>
          </w:tcPr>
          <w:p>
            <w:r>
              <w:rPr>
                <w:b w:val="0"/>
                <w:i w:val="0"/>
                <w:sz w:val="15"/>
              </w:rPr>
              <w:t>7.1%</w:t>
            </w:r>
          </w:p>
        </w:tc>
        <w:tc>
          <w:tcPr>
            <w:tcW w:type="dxa" w:w="822"/>
            <w:shd w:val="clear" w:color="auto" w:fill="EEF1F6"/>
          </w:tcPr>
          <w:p>
            <w:r>
              <w:rPr>
                <w:b w:val="0"/>
                <w:i w:val="0"/>
                <w:sz w:val="15"/>
              </w:rPr>
              <w:t>6.4%</w:t>
            </w:r>
          </w:p>
        </w:tc>
        <w:tc>
          <w:tcPr>
            <w:tcW w:type="dxa" w:w="822"/>
            <w:shd w:val="clear" w:color="auto" w:fill="EEF1F6"/>
          </w:tcPr>
          <w:p>
            <w:r>
              <w:rPr>
                <w:b w:val="0"/>
                <w:i w:val="0"/>
                <w:sz w:val="15"/>
              </w:rPr>
              <w:t>3.1%</w:t>
            </w:r>
          </w:p>
        </w:tc>
        <w:tc>
          <w:tcPr>
            <w:tcW w:type="dxa" w:w="1096"/>
            <w:shd w:val="clear" w:color="auto" w:fill="EEF1F6"/>
          </w:tcPr>
          <w:p>
            <w:r>
              <w:rPr>
                <w:b w:val="0"/>
                <w:i w:val="0"/>
                <w:sz w:val="15"/>
              </w:rPr>
              <w:t>5.5%</w:t>
            </w:r>
          </w:p>
        </w:tc>
        <w:tc>
          <w:tcPr>
            <w:tcW w:type="dxa" w:w="1370"/>
            <w:shd w:val="clear" w:color="auto" w:fill="EEF1F6"/>
          </w:tcPr>
          <w:p>
            <w:r>
              <w:rPr>
                <w:b w:val="0"/>
                <w:i w:val="0"/>
                <w:sz w:val="15"/>
              </w:rPr>
              <w:t>3.9%</w:t>
            </w:r>
          </w:p>
        </w:tc>
        <w:tc>
          <w:tcPr>
            <w:tcW w:type="dxa" w:w="1644"/>
            <w:shd w:val="clear" w:color="auto" w:fill="EEF1F6"/>
          </w:tcPr>
          <w:p>
            <w:r>
              <w:rPr>
                <w:b w:val="0"/>
                <w:i w:val="0"/>
                <w:sz w:val="15"/>
              </w:rPr>
              <w:t>Low vs history</w:t>
            </w:r>
          </w:p>
        </w:tc>
      </w:tr>
      <w:tr>
        <w:tc>
          <w:tcPr>
            <w:tcW w:type="dxa" w:w="1644"/>
          </w:tcPr>
          <w:p>
            <w:r>
              <w:rPr>
                <w:b w:val="0"/>
                <w:i w:val="0"/>
                <w:sz w:val="15"/>
              </w:rPr>
              <w:t>Net debt / EBITDA</w:t>
            </w:r>
          </w:p>
        </w:tc>
        <w:tc>
          <w:tcPr>
            <w:tcW w:type="dxa" w:w="822"/>
          </w:tcPr>
          <w:p>
            <w:r>
              <w:rPr>
                <w:b w:val="0"/>
                <w:i w:val="0"/>
                <w:sz w:val="15"/>
              </w:rPr>
              <w:t>~1.7x</w:t>
            </w:r>
          </w:p>
        </w:tc>
        <w:tc>
          <w:tcPr>
            <w:tcW w:type="dxa" w:w="822"/>
          </w:tcPr>
          <w:p>
            <w:r>
              <w:rPr>
                <w:b w:val="0"/>
                <w:i w:val="0"/>
                <w:sz w:val="15"/>
              </w:rPr>
              <w:t>~1.7x</w:t>
            </w:r>
          </w:p>
        </w:tc>
        <w:tc>
          <w:tcPr>
            <w:tcW w:type="dxa" w:w="822"/>
          </w:tcPr>
          <w:p>
            <w:r>
              <w:rPr>
                <w:b w:val="0"/>
                <w:i w:val="0"/>
                <w:sz w:val="15"/>
              </w:rPr>
              <w:t>~1.7x</w:t>
            </w:r>
          </w:p>
        </w:tc>
        <w:tc>
          <w:tcPr>
            <w:tcW w:type="dxa" w:w="822"/>
          </w:tcPr>
          <w:p>
            <w:r>
              <w:rPr>
                <w:b w:val="0"/>
                <w:i w:val="0"/>
                <w:sz w:val="15"/>
              </w:rPr>
              <w:t>~1.6x</w:t>
            </w:r>
          </w:p>
        </w:tc>
        <w:tc>
          <w:tcPr>
            <w:tcW w:type="dxa" w:w="822"/>
          </w:tcPr>
          <w:p>
            <w:r>
              <w:rPr>
                <w:b w:val="0"/>
                <w:i w:val="0"/>
                <w:sz w:val="15"/>
              </w:rPr>
              <w:t>~2.0x</w:t>
            </w:r>
          </w:p>
        </w:tc>
        <w:tc>
          <w:tcPr>
            <w:tcW w:type="dxa" w:w="1096"/>
          </w:tcPr>
          <w:p>
            <w:r>
              <w:rPr>
                <w:b w:val="0"/>
                <w:i w:val="0"/>
                <w:sz w:val="15"/>
              </w:rPr>
              <w:t>~1.7x</w:t>
            </w:r>
          </w:p>
        </w:tc>
        <w:tc>
          <w:tcPr>
            <w:tcW w:type="dxa" w:w="1370"/>
          </w:tcPr>
          <w:p>
            <w:r>
              <w:rPr>
                <w:b w:val="0"/>
                <w:i w:val="0"/>
                <w:sz w:val="15"/>
              </w:rPr>
              <w:t>~1.6x</w:t>
            </w:r>
          </w:p>
        </w:tc>
        <w:tc>
          <w:tcPr>
            <w:tcW w:type="dxa" w:w="1644"/>
          </w:tcPr>
          <w:p>
            <w:r>
              <w:rPr>
                <w:b w:val="0"/>
                <w:i w:val="0"/>
                <w:sz w:val="15"/>
              </w:rPr>
              <w:t>Stable</w:t>
            </w:r>
          </w:p>
        </w:tc>
      </w:tr>
      <w:tr>
        <w:tc>
          <w:tcPr>
            <w:tcW w:type="dxa" w:w="1644"/>
            <w:shd w:val="clear" w:color="auto" w:fill="EEF1F6"/>
          </w:tcPr>
          <w:p>
            <w:r>
              <w:rPr>
                <w:b w:val="0"/>
                <w:i w:val="0"/>
                <w:sz w:val="15"/>
              </w:rPr>
              <w:t>EBITDA margin</w:t>
            </w:r>
          </w:p>
        </w:tc>
        <w:tc>
          <w:tcPr>
            <w:tcW w:type="dxa" w:w="822"/>
            <w:shd w:val="clear" w:color="auto" w:fill="EEF1F6"/>
          </w:tcPr>
          <w:p>
            <w:r>
              <w:rPr>
                <w:b w:val="0"/>
                <w:i w:val="0"/>
                <w:sz w:val="15"/>
              </w:rPr>
              <w:t>31.1%</w:t>
            </w:r>
          </w:p>
        </w:tc>
        <w:tc>
          <w:tcPr>
            <w:tcW w:type="dxa" w:w="822"/>
            <w:shd w:val="clear" w:color="auto" w:fill="EEF1F6"/>
          </w:tcPr>
          <w:p>
            <w:r>
              <w:rPr>
                <w:b w:val="0"/>
                <w:i w:val="0"/>
                <w:sz w:val="15"/>
              </w:rPr>
              <w:t>31.0%</w:t>
            </w:r>
          </w:p>
        </w:tc>
        <w:tc>
          <w:tcPr>
            <w:tcW w:type="dxa" w:w="822"/>
            <w:shd w:val="clear" w:color="auto" w:fill="EEF1F6"/>
          </w:tcPr>
          <w:p>
            <w:r>
              <w:rPr>
                <w:b w:val="0"/>
                <w:i w:val="0"/>
                <w:sz w:val="15"/>
              </w:rPr>
              <w:t>31.3%</w:t>
            </w:r>
          </w:p>
        </w:tc>
        <w:tc>
          <w:tcPr>
            <w:tcW w:type="dxa" w:w="822"/>
            <w:shd w:val="clear" w:color="auto" w:fill="EEF1F6"/>
          </w:tcPr>
          <w:p>
            <w:r>
              <w:rPr>
                <w:b w:val="0"/>
                <w:i w:val="0"/>
                <w:sz w:val="15"/>
              </w:rPr>
              <w:t>30.8%</w:t>
            </w:r>
          </w:p>
        </w:tc>
        <w:tc>
          <w:tcPr>
            <w:tcW w:type="dxa" w:w="822"/>
            <w:shd w:val="clear" w:color="auto" w:fill="EEF1F6"/>
          </w:tcPr>
          <w:p>
            <w:r>
              <w:rPr>
                <w:b w:val="0"/>
                <w:i w:val="0"/>
                <w:sz w:val="15"/>
              </w:rPr>
              <w:t>27.3%</w:t>
            </w:r>
          </w:p>
        </w:tc>
        <w:tc>
          <w:tcPr>
            <w:tcW w:type="dxa" w:w="1096"/>
            <w:shd w:val="clear" w:color="auto" w:fill="EEF1F6"/>
          </w:tcPr>
          <w:p>
            <w:r>
              <w:rPr>
                <w:b w:val="0"/>
                <w:i w:val="0"/>
                <w:sz w:val="15"/>
              </w:rPr>
              <w:t>30.3%</w:t>
            </w:r>
          </w:p>
        </w:tc>
        <w:tc>
          <w:tcPr>
            <w:tcW w:type="dxa" w:w="1370"/>
            <w:shd w:val="clear" w:color="auto" w:fill="EEF1F6"/>
          </w:tcPr>
          <w:p>
            <w:r>
              <w:rPr>
                <w:b w:val="0"/>
                <w:i w:val="0"/>
                <w:sz w:val="15"/>
              </w:rPr>
              <w:t>31.8%</w:t>
            </w:r>
          </w:p>
        </w:tc>
        <w:tc>
          <w:tcPr>
            <w:tcW w:type="dxa" w:w="1644"/>
            <w:shd w:val="clear" w:color="auto" w:fill="EEF1F6"/>
          </w:tcPr>
          <w:p>
            <w:r>
              <w:rPr>
                <w:b w:val="0"/>
                <w:i w:val="0"/>
                <w:sz w:val="15"/>
              </w:rPr>
              <w:t>Improving</w:t>
            </w:r>
          </w:p>
        </w:tc>
      </w:tr>
      <w:tr>
        <w:tc>
          <w:tcPr>
            <w:tcW w:type="dxa" w:w="1644"/>
          </w:tcPr>
          <w:p>
            <w:r>
              <w:rPr>
                <w:b w:val="0"/>
                <w:i w:val="0"/>
                <w:sz w:val="15"/>
              </w:rPr>
              <w:t>EBIT margin</w:t>
            </w:r>
          </w:p>
        </w:tc>
        <w:tc>
          <w:tcPr>
            <w:tcW w:type="dxa" w:w="822"/>
          </w:tcPr>
          <w:p>
            <w:r>
              <w:rPr>
                <w:b w:val="0"/>
                <w:i w:val="0"/>
                <w:sz w:val="15"/>
              </w:rPr>
              <w:t>8.3%</w:t>
            </w:r>
          </w:p>
        </w:tc>
        <w:tc>
          <w:tcPr>
            <w:tcW w:type="dxa" w:w="822"/>
          </w:tcPr>
          <w:p>
            <w:r>
              <w:rPr>
                <w:b w:val="0"/>
                <w:i w:val="0"/>
                <w:sz w:val="15"/>
              </w:rPr>
              <w:t>9.3%</w:t>
            </w:r>
          </w:p>
        </w:tc>
        <w:tc>
          <w:tcPr>
            <w:tcW w:type="dxa" w:w="822"/>
          </w:tcPr>
          <w:p>
            <w:r>
              <w:rPr>
                <w:b w:val="0"/>
                <w:i w:val="0"/>
                <w:sz w:val="15"/>
              </w:rPr>
              <w:t>10.0%</w:t>
            </w:r>
          </w:p>
        </w:tc>
        <w:tc>
          <w:tcPr>
            <w:tcW w:type="dxa" w:w="822"/>
          </w:tcPr>
          <w:p>
            <w:r>
              <w:rPr>
                <w:b w:val="0"/>
                <w:i w:val="0"/>
                <w:sz w:val="15"/>
              </w:rPr>
              <w:t>10.2%</w:t>
            </w:r>
          </w:p>
        </w:tc>
        <w:tc>
          <w:tcPr>
            <w:tcW w:type="dxa" w:w="822"/>
          </w:tcPr>
          <w:p>
            <w:r>
              <w:rPr>
                <w:b w:val="0"/>
                <w:i w:val="0"/>
                <w:sz w:val="15"/>
              </w:rPr>
              <w:t>6.3%</w:t>
            </w:r>
          </w:p>
        </w:tc>
        <w:tc>
          <w:tcPr>
            <w:tcW w:type="dxa" w:w="1096"/>
          </w:tcPr>
          <w:p>
            <w:r>
              <w:rPr>
                <w:b w:val="0"/>
                <w:i w:val="0"/>
                <w:sz w:val="15"/>
              </w:rPr>
              <w:t>8.8%</w:t>
            </w:r>
          </w:p>
        </w:tc>
        <w:tc>
          <w:tcPr>
            <w:tcW w:type="dxa" w:w="1370"/>
          </w:tcPr>
          <w:p>
            <w:r>
              <w:rPr>
                <w:b w:val="0"/>
                <w:i w:val="0"/>
                <w:sz w:val="15"/>
              </w:rPr>
              <w:t>11.3%</w:t>
            </w:r>
          </w:p>
        </w:tc>
        <w:tc>
          <w:tcPr>
            <w:tcW w:type="dxa" w:w="1644"/>
          </w:tcPr>
          <w:p>
            <w:r>
              <w:rPr>
                <w:b w:val="0"/>
                <w:i w:val="0"/>
                <w:sz w:val="15"/>
              </w:rPr>
              <w:t>Record</w:t>
            </w:r>
          </w:p>
        </w:tc>
      </w:tr>
      <w:tr>
        <w:tc>
          <w:tcPr>
            <w:tcW w:type="dxa" w:w="1644"/>
            <w:shd w:val="clear" w:color="auto" w:fill="EEF1F6"/>
          </w:tcPr>
          <w:p>
            <w:r>
              <w:rPr>
                <w:b w:val="0"/>
                <w:i w:val="0"/>
                <w:sz w:val="15"/>
              </w:rPr>
              <w:t>Sales growth</w:t>
            </w:r>
          </w:p>
        </w:tc>
        <w:tc>
          <w:tcPr>
            <w:tcW w:type="dxa" w:w="822"/>
            <w:shd w:val="clear" w:color="auto" w:fill="EEF1F6"/>
          </w:tcPr>
          <w:p>
            <w:r>
              <w:rPr>
                <w:b w:val="0"/>
                <w:i w:val="0"/>
                <w:sz w:val="15"/>
              </w:rPr>
              <w:t>+4.1%</w:t>
            </w:r>
          </w:p>
        </w:tc>
        <w:tc>
          <w:tcPr>
            <w:tcW w:type="dxa" w:w="822"/>
            <w:shd w:val="clear" w:color="auto" w:fill="EEF1F6"/>
          </w:tcPr>
          <w:p>
            <w:r>
              <w:rPr>
                <w:b w:val="0"/>
                <w:i w:val="0"/>
                <w:sz w:val="15"/>
              </w:rPr>
              <w:t>+3.3%</w:t>
            </w:r>
          </w:p>
        </w:tc>
        <w:tc>
          <w:tcPr>
            <w:tcW w:type="dxa" w:w="822"/>
            <w:shd w:val="clear" w:color="auto" w:fill="EEF1F6"/>
          </w:tcPr>
          <w:p>
            <w:r>
              <w:rPr>
                <w:b w:val="0"/>
                <w:i w:val="0"/>
                <w:sz w:val="15"/>
              </w:rPr>
              <w:t>+1.8%</w:t>
            </w:r>
          </w:p>
        </w:tc>
        <w:tc>
          <w:tcPr>
            <w:tcW w:type="dxa" w:w="822"/>
            <w:shd w:val="clear" w:color="auto" w:fill="EEF1F6"/>
          </w:tcPr>
          <w:p>
            <w:r>
              <w:rPr>
                <w:b w:val="0"/>
                <w:i w:val="0"/>
                <w:sz w:val="15"/>
              </w:rPr>
              <w:t>+1.9%</w:t>
            </w:r>
          </w:p>
        </w:tc>
        <w:tc>
          <w:tcPr>
            <w:tcW w:type="dxa" w:w="822"/>
            <w:shd w:val="clear" w:color="auto" w:fill="EEF1F6"/>
          </w:tcPr>
          <w:p>
            <w:r>
              <w:rPr>
                <w:b w:val="0"/>
                <w:i w:val="0"/>
                <w:sz w:val="15"/>
              </w:rPr>
              <w:t>-4.7%</w:t>
            </w:r>
          </w:p>
        </w:tc>
        <w:tc>
          <w:tcPr>
            <w:tcW w:type="dxa" w:w="1096"/>
            <w:shd w:val="clear" w:color="auto" w:fill="EEF1F6"/>
          </w:tcPr>
          <w:p>
            <w:r>
              <w:rPr>
                <w:b w:val="0"/>
                <w:i w:val="0"/>
                <w:sz w:val="15"/>
              </w:rPr>
              <w:t>+1.3%</w:t>
            </w:r>
          </w:p>
        </w:tc>
        <w:tc>
          <w:tcPr>
            <w:tcW w:type="dxa" w:w="1370"/>
            <w:shd w:val="clear" w:color="auto" w:fill="EEF1F6"/>
          </w:tcPr>
          <w:p>
            <w:r>
              <w:rPr>
                <w:b w:val="0"/>
                <w:i w:val="0"/>
                <w:sz w:val="15"/>
              </w:rPr>
              <w:t>+3.2%</w:t>
            </w:r>
          </w:p>
        </w:tc>
        <w:tc>
          <w:tcPr>
            <w:tcW w:type="dxa" w:w="1644"/>
            <w:shd w:val="clear" w:color="auto" w:fill="EEF1F6"/>
          </w:tcPr>
          <w:p>
            <w:r>
              <w:rPr>
                <w:b w:val="0"/>
                <w:i w:val="0"/>
                <w:sz w:val="15"/>
              </w:rPr>
              <w:t>Rebound</w:t>
            </w:r>
          </w:p>
        </w:tc>
      </w:tr>
      <w:tr>
        <w:tc>
          <w:tcPr>
            <w:tcW w:type="dxa" w:w="1644"/>
          </w:tcPr>
          <w:p>
            <w:r>
              <w:rPr>
                <w:b w:val="0"/>
                <w:i w:val="0"/>
                <w:sz w:val="15"/>
              </w:rPr>
              <w:t>FCF yield (on mkt cap)</w:t>
            </w:r>
          </w:p>
        </w:tc>
        <w:tc>
          <w:tcPr>
            <w:tcW w:type="dxa" w:w="822"/>
          </w:tcPr>
          <w:p>
            <w:r>
              <w:rPr>
                <w:b w:val="0"/>
                <w:i w:val="0"/>
                <w:sz w:val="15"/>
              </w:rPr>
              <w:t>n/a</w:t>
            </w:r>
          </w:p>
        </w:tc>
        <w:tc>
          <w:tcPr>
            <w:tcW w:type="dxa" w:w="822"/>
          </w:tcPr>
          <w:p>
            <w:r>
              <w:rPr>
                <w:b w:val="0"/>
                <w:i w:val="0"/>
                <w:sz w:val="15"/>
              </w:rPr>
              <w:t>n/a</w:t>
            </w:r>
          </w:p>
        </w:tc>
        <w:tc>
          <w:tcPr>
            <w:tcW w:type="dxa" w:w="822"/>
          </w:tcPr>
          <w:p>
            <w:r>
              <w:rPr>
                <w:b w:val="0"/>
                <w:i w:val="0"/>
                <w:sz w:val="15"/>
              </w:rPr>
              <w:t>~17%</w:t>
            </w:r>
          </w:p>
        </w:tc>
        <w:tc>
          <w:tcPr>
            <w:tcW w:type="dxa" w:w="822"/>
          </w:tcPr>
          <w:p>
            <w:r>
              <w:rPr>
                <w:b w:val="0"/>
                <w:i w:val="0"/>
                <w:sz w:val="15"/>
              </w:rPr>
              <w:t>~21%</w:t>
            </w:r>
          </w:p>
        </w:tc>
        <w:tc>
          <w:tcPr>
            <w:tcW w:type="dxa" w:w="822"/>
          </w:tcPr>
          <w:p>
            <w:r>
              <w:rPr>
                <w:b w:val="0"/>
                <w:i w:val="0"/>
                <w:sz w:val="15"/>
              </w:rPr>
              <w:t>~14%</w:t>
            </w:r>
          </w:p>
        </w:tc>
        <w:tc>
          <w:tcPr>
            <w:tcW w:type="dxa" w:w="1096"/>
          </w:tcPr>
          <w:p/>
        </w:tc>
        <w:tc>
          <w:tcPr>
            <w:tcW w:type="dxa" w:w="1370"/>
          </w:tcPr>
          <w:p>
            <w:r>
              <w:rPr>
                <w:b w:val="0"/>
                <w:i w:val="0"/>
                <w:sz w:val="15"/>
              </w:rPr>
              <w:t>~11% [e]</w:t>
            </w:r>
          </w:p>
        </w:tc>
        <w:tc>
          <w:tcPr>
            <w:tcW w:type="dxa" w:w="1644"/>
          </w:tcPr>
          <w:p/>
        </w:tc>
      </w:tr>
    </w:tbl>
    <w:p>
      <w:r>
        <w:rPr>
          <w:b w:val="0"/>
          <w:i/>
          <w:color w:val="5B6475"/>
          <w:sz w:val="15"/>
        </w:rPr>
        <w:t>Historical multiples from broker tables (Daishin, Eugene, FnGuide) and our derivation; sources disagree by ±0.3x [u]. Current: price KRW 86,200, mkt cap KRW 18.5tn, EV ~KRW 28.0tn.</w:t>
      </w:r>
    </w:p>
    <w:p>
      <w:pPr>
        <w:spacing w:after="80"/>
      </w:pPr>
      <w:r>
        <w:rPr>
          <w:b/>
          <w:i w:val="0"/>
        </w:rPr>
        <w:t>Conclusion:</w:t>
      </w:r>
      <w:r>
        <w:rPr>
          <w:b w:val="0"/>
          <w:i w:val="0"/>
        </w:rPr>
        <w:t xml:space="preserve"> on headline multiples SKT screens </w:t>
      </w:r>
      <w:r>
        <w:rPr>
          <w:b/>
          <w:i w:val="0"/>
        </w:rPr>
        <w:t>expensive vs its own history</w:t>
      </w:r>
      <w:r>
        <w:rPr>
          <w:b w:val="0"/>
          <w:i w:val="0"/>
        </w:rPr>
        <w:t xml:space="preserve"> (P/E 14x vs ~9.5x; yield 3.9% vs 5.5%), because the market now capitalises Anthropic. Stripping out Anthropic (book KRW 3.5tn) and other investments (~KRW 1.9tn), the core telco trades on ~4.0x FY26E EBITDA - </w:t>
      </w:r>
      <w:r>
        <w:rPr>
          <w:b/>
          <w:i w:val="0"/>
        </w:rPr>
        <w:t>in line with its 4.2x average and at a discount to regional peers</w:t>
      </w:r>
      <w:r>
        <w:rPr>
          <w:b w:val="0"/>
          <w:i w:val="0"/>
        </w:rPr>
        <w:t>.</w:t>
      </w:r>
    </w:p>
    <w:p>
      <w:pPr>
        <w:pStyle w:val="Heading2"/>
      </w:pPr>
      <w:r>
        <w:rPr>
          <w:b/>
          <w:i w:val="0"/>
          <w:color w:val="2D6CCB"/>
          <w:sz w:val="24"/>
        </w:rPr>
        <w:t>12.2 Peer comparison (indicative, FY26E / NTM)</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378"/>
            <w:shd w:val="clear" w:color="auto" w:fill="13223F"/>
          </w:tcPr>
          <w:p>
            <w:r>
              <w:rPr>
                <w:b/>
                <w:i w:val="0"/>
                <w:color w:val="FFFFFF"/>
                <w:sz w:val="15"/>
              </w:rPr>
              <w:t>Company</w:t>
            </w:r>
          </w:p>
        </w:tc>
        <w:tc>
          <w:tcPr>
            <w:tcW w:type="dxa" w:w="1161"/>
            <w:shd w:val="clear" w:color="auto" w:fill="13223F"/>
          </w:tcPr>
          <w:p>
            <w:r>
              <w:rPr>
                <w:b/>
                <w:i w:val="0"/>
                <w:color w:val="FFFFFF"/>
                <w:sz w:val="15"/>
              </w:rPr>
              <w:t>Ticker</w:t>
            </w:r>
          </w:p>
        </w:tc>
        <w:tc>
          <w:tcPr>
            <w:tcW w:type="dxa" w:w="870"/>
            <w:shd w:val="clear" w:color="auto" w:fill="13223F"/>
          </w:tcPr>
          <w:p>
            <w:r>
              <w:rPr>
                <w:b/>
                <w:i w:val="0"/>
                <w:color w:val="FFFFFF"/>
                <w:sz w:val="15"/>
              </w:rPr>
              <w:t>Listed</w:t>
            </w:r>
          </w:p>
        </w:tc>
        <w:tc>
          <w:tcPr>
            <w:tcW w:type="dxa" w:w="725"/>
            <w:shd w:val="clear" w:color="auto" w:fill="13223F"/>
          </w:tcPr>
          <w:p>
            <w:r>
              <w:rPr>
                <w:b/>
                <w:i w:val="0"/>
                <w:color w:val="FFFFFF"/>
                <w:sz w:val="15"/>
              </w:rPr>
              <w:t>Mkt cap US$bn</w:t>
            </w:r>
          </w:p>
        </w:tc>
        <w:tc>
          <w:tcPr>
            <w:tcW w:type="dxa" w:w="653"/>
            <w:shd w:val="clear" w:color="auto" w:fill="13223F"/>
          </w:tcPr>
          <w:p>
            <w:r>
              <w:rPr>
                <w:b/>
                <w:i w:val="0"/>
                <w:color w:val="FFFFFF"/>
                <w:sz w:val="15"/>
              </w:rPr>
              <w:t>EV/Sales</w:t>
            </w:r>
          </w:p>
        </w:tc>
        <w:tc>
          <w:tcPr>
            <w:tcW w:type="dxa" w:w="725"/>
            <w:shd w:val="clear" w:color="auto" w:fill="13223F"/>
          </w:tcPr>
          <w:p>
            <w:r>
              <w:rPr>
                <w:b/>
                <w:i w:val="0"/>
                <w:color w:val="FFFFFF"/>
                <w:sz w:val="15"/>
              </w:rPr>
              <w:t>EV/EBITDA</w:t>
            </w:r>
          </w:p>
        </w:tc>
        <w:tc>
          <w:tcPr>
            <w:tcW w:type="dxa" w:w="653"/>
            <w:shd w:val="clear" w:color="auto" w:fill="13223F"/>
          </w:tcPr>
          <w:p>
            <w:r>
              <w:rPr>
                <w:b/>
                <w:i w:val="0"/>
                <w:color w:val="FFFFFF"/>
                <w:sz w:val="15"/>
              </w:rPr>
              <w:t>EV/EBIT</w:t>
            </w:r>
          </w:p>
        </w:tc>
        <w:tc>
          <w:tcPr>
            <w:tcW w:type="dxa" w:w="580"/>
            <w:shd w:val="clear" w:color="auto" w:fill="13223F"/>
          </w:tcPr>
          <w:p>
            <w:r>
              <w:rPr>
                <w:b/>
                <w:i w:val="0"/>
                <w:color w:val="FFFFFF"/>
                <w:sz w:val="15"/>
              </w:rPr>
              <w:t>P/E</w:t>
            </w:r>
          </w:p>
        </w:tc>
        <w:tc>
          <w:tcPr>
            <w:tcW w:type="dxa" w:w="653"/>
            <w:shd w:val="clear" w:color="auto" w:fill="13223F"/>
          </w:tcPr>
          <w:p>
            <w:r>
              <w:rPr>
                <w:b/>
                <w:i w:val="0"/>
                <w:color w:val="FFFFFF"/>
                <w:sz w:val="15"/>
              </w:rPr>
              <w:t>EBITDA mgn</w:t>
            </w:r>
          </w:p>
        </w:tc>
        <w:tc>
          <w:tcPr>
            <w:tcW w:type="dxa" w:w="580"/>
            <w:shd w:val="clear" w:color="auto" w:fill="13223F"/>
          </w:tcPr>
          <w:p>
            <w:r>
              <w:rPr>
                <w:b/>
                <w:i w:val="0"/>
                <w:color w:val="FFFFFF"/>
                <w:sz w:val="15"/>
              </w:rPr>
              <w:t>EBIT mgn</w:t>
            </w:r>
          </w:p>
        </w:tc>
        <w:tc>
          <w:tcPr>
            <w:tcW w:type="dxa" w:w="580"/>
            <w:shd w:val="clear" w:color="auto" w:fill="13223F"/>
          </w:tcPr>
          <w:p>
            <w:r>
              <w:rPr>
                <w:b/>
                <w:i w:val="0"/>
                <w:color w:val="FFFFFF"/>
                <w:sz w:val="15"/>
              </w:rPr>
              <w:t>Sales gr.</w:t>
            </w:r>
          </w:p>
        </w:tc>
        <w:tc>
          <w:tcPr>
            <w:tcW w:type="dxa" w:w="725"/>
            <w:shd w:val="clear" w:color="auto" w:fill="13223F"/>
          </w:tcPr>
          <w:p>
            <w:r>
              <w:rPr>
                <w:b/>
                <w:i w:val="0"/>
                <w:color w:val="FFFFFF"/>
                <w:sz w:val="15"/>
              </w:rPr>
              <w:t>ND/EBITDA</w:t>
            </w:r>
          </w:p>
        </w:tc>
        <w:tc>
          <w:tcPr>
            <w:tcW w:type="dxa" w:w="580"/>
            <w:shd w:val="clear" w:color="auto" w:fill="13223F"/>
          </w:tcPr>
          <w:p>
            <w:r>
              <w:rPr>
                <w:b/>
                <w:i w:val="0"/>
                <w:color w:val="FFFFFF"/>
                <w:sz w:val="15"/>
              </w:rPr>
              <w:t>Div yld</w:t>
            </w:r>
          </w:p>
        </w:tc>
      </w:tr>
      <w:tr>
        <w:tc>
          <w:tcPr>
            <w:tcW w:type="dxa" w:w="1378"/>
            <w:shd w:val="clear" w:color="auto" w:fill="DCE8FA"/>
          </w:tcPr>
          <w:p>
            <w:r>
              <w:rPr>
                <w:b w:val="0"/>
                <w:i w:val="0"/>
                <w:sz w:val="15"/>
              </w:rPr>
              <w:t>SK Telecom</w:t>
            </w:r>
          </w:p>
        </w:tc>
        <w:tc>
          <w:tcPr>
            <w:tcW w:type="dxa" w:w="1161"/>
            <w:shd w:val="clear" w:color="auto" w:fill="DCE8FA"/>
          </w:tcPr>
          <w:p>
            <w:r>
              <w:rPr>
                <w:b w:val="0"/>
                <w:i w:val="0"/>
                <w:sz w:val="15"/>
              </w:rPr>
              <w:t>017670 KS / SKM</w:t>
            </w:r>
          </w:p>
        </w:tc>
        <w:tc>
          <w:tcPr>
            <w:tcW w:type="dxa" w:w="870"/>
            <w:shd w:val="clear" w:color="auto" w:fill="DCE8FA"/>
          </w:tcPr>
          <w:p>
            <w:r>
              <w:rPr>
                <w:b w:val="0"/>
                <w:i w:val="0"/>
                <w:sz w:val="15"/>
              </w:rPr>
              <w:t>KRX, NYSE</w:t>
            </w:r>
          </w:p>
        </w:tc>
        <w:tc>
          <w:tcPr>
            <w:tcW w:type="dxa" w:w="725"/>
            <w:shd w:val="clear" w:color="auto" w:fill="DCE8FA"/>
          </w:tcPr>
          <w:p>
            <w:r>
              <w:rPr>
                <w:b w:val="0"/>
                <w:i w:val="0"/>
                <w:sz w:val="15"/>
              </w:rPr>
              <w:t>13.6</w:t>
            </w:r>
          </w:p>
        </w:tc>
        <w:tc>
          <w:tcPr>
            <w:tcW w:type="dxa" w:w="653"/>
            <w:shd w:val="clear" w:color="auto" w:fill="DCE8FA"/>
          </w:tcPr>
          <w:p>
            <w:r>
              <w:rPr>
                <w:b w:val="0"/>
                <w:i w:val="0"/>
                <w:sz w:val="15"/>
              </w:rPr>
              <w:t>1.6x</w:t>
            </w:r>
          </w:p>
        </w:tc>
        <w:tc>
          <w:tcPr>
            <w:tcW w:type="dxa" w:w="725"/>
            <w:shd w:val="clear" w:color="auto" w:fill="DCE8FA"/>
          </w:tcPr>
          <w:p>
            <w:r>
              <w:rPr>
                <w:b w:val="0"/>
                <w:i w:val="0"/>
                <w:sz w:val="15"/>
              </w:rPr>
              <w:t>5.0x</w:t>
            </w:r>
          </w:p>
        </w:tc>
        <w:tc>
          <w:tcPr>
            <w:tcW w:type="dxa" w:w="653"/>
            <w:shd w:val="clear" w:color="auto" w:fill="DCE8FA"/>
          </w:tcPr>
          <w:p>
            <w:r>
              <w:rPr>
                <w:b w:val="0"/>
                <w:i w:val="0"/>
                <w:sz w:val="15"/>
              </w:rPr>
              <w:t>14.0x</w:t>
            </w:r>
          </w:p>
        </w:tc>
        <w:tc>
          <w:tcPr>
            <w:tcW w:type="dxa" w:w="580"/>
            <w:shd w:val="clear" w:color="auto" w:fill="DCE8FA"/>
          </w:tcPr>
          <w:p>
            <w:r>
              <w:rPr>
                <w:b w:val="0"/>
                <w:i w:val="0"/>
                <w:sz w:val="15"/>
              </w:rPr>
              <w:t>14.1x</w:t>
            </w:r>
          </w:p>
        </w:tc>
        <w:tc>
          <w:tcPr>
            <w:tcW w:type="dxa" w:w="653"/>
            <w:shd w:val="clear" w:color="auto" w:fill="DCE8FA"/>
          </w:tcPr>
          <w:p>
            <w:r>
              <w:rPr>
                <w:b w:val="0"/>
                <w:i w:val="0"/>
                <w:sz w:val="15"/>
              </w:rPr>
              <w:t>32%</w:t>
            </w:r>
          </w:p>
        </w:tc>
        <w:tc>
          <w:tcPr>
            <w:tcW w:type="dxa" w:w="580"/>
            <w:shd w:val="clear" w:color="auto" w:fill="DCE8FA"/>
          </w:tcPr>
          <w:p>
            <w:r>
              <w:rPr>
                <w:b w:val="0"/>
                <w:i w:val="0"/>
                <w:sz w:val="15"/>
              </w:rPr>
              <w:t>11%</w:t>
            </w:r>
          </w:p>
        </w:tc>
        <w:tc>
          <w:tcPr>
            <w:tcW w:type="dxa" w:w="580"/>
            <w:shd w:val="clear" w:color="auto" w:fill="DCE8FA"/>
          </w:tcPr>
          <w:p>
            <w:r>
              <w:rPr>
                <w:b w:val="0"/>
                <w:i w:val="0"/>
                <w:sz w:val="15"/>
              </w:rPr>
              <w:t>+3%</w:t>
            </w:r>
          </w:p>
        </w:tc>
        <w:tc>
          <w:tcPr>
            <w:tcW w:type="dxa" w:w="725"/>
            <w:shd w:val="clear" w:color="auto" w:fill="DCE8FA"/>
          </w:tcPr>
          <w:p>
            <w:r>
              <w:rPr>
                <w:b w:val="0"/>
                <w:i w:val="0"/>
                <w:sz w:val="15"/>
              </w:rPr>
              <w:t>1.6x</w:t>
            </w:r>
          </w:p>
        </w:tc>
        <w:tc>
          <w:tcPr>
            <w:tcW w:type="dxa" w:w="580"/>
            <w:shd w:val="clear" w:color="auto" w:fill="DCE8FA"/>
          </w:tcPr>
          <w:p>
            <w:r>
              <w:rPr>
                <w:b w:val="0"/>
                <w:i w:val="0"/>
                <w:sz w:val="15"/>
              </w:rPr>
              <w:t>3.9%</w:t>
            </w:r>
          </w:p>
        </w:tc>
      </w:tr>
      <w:tr>
        <w:tc>
          <w:tcPr>
            <w:tcW w:type="dxa" w:w="1378"/>
            <w:shd w:val="clear" w:color="auto" w:fill="EEF1F6"/>
          </w:tcPr>
          <w:p>
            <w:r>
              <w:rPr>
                <w:b w:val="0"/>
                <w:i w:val="0"/>
                <w:sz w:val="15"/>
              </w:rPr>
              <w:t>KT Corp</w:t>
            </w:r>
          </w:p>
        </w:tc>
        <w:tc>
          <w:tcPr>
            <w:tcW w:type="dxa" w:w="1161"/>
            <w:shd w:val="clear" w:color="auto" w:fill="EEF1F6"/>
          </w:tcPr>
          <w:p>
            <w:r>
              <w:rPr>
                <w:b w:val="0"/>
                <w:i w:val="0"/>
                <w:sz w:val="15"/>
              </w:rPr>
              <w:t>030200 KS / KT</w:t>
            </w:r>
          </w:p>
        </w:tc>
        <w:tc>
          <w:tcPr>
            <w:tcW w:type="dxa" w:w="870"/>
            <w:shd w:val="clear" w:color="auto" w:fill="EEF1F6"/>
          </w:tcPr>
          <w:p>
            <w:r>
              <w:rPr>
                <w:b w:val="0"/>
                <w:i w:val="0"/>
                <w:sz w:val="15"/>
              </w:rPr>
              <w:t>KRX, NYSE</w:t>
            </w:r>
          </w:p>
        </w:tc>
        <w:tc>
          <w:tcPr>
            <w:tcW w:type="dxa" w:w="725"/>
            <w:shd w:val="clear" w:color="auto" w:fill="EEF1F6"/>
          </w:tcPr>
          <w:p>
            <w:r>
              <w:rPr>
                <w:b w:val="0"/>
                <w:i w:val="0"/>
                <w:sz w:val="15"/>
              </w:rPr>
              <w:t>~10</w:t>
            </w:r>
          </w:p>
        </w:tc>
        <w:tc>
          <w:tcPr>
            <w:tcW w:type="dxa" w:w="653"/>
            <w:shd w:val="clear" w:color="auto" w:fill="EEF1F6"/>
          </w:tcPr>
          <w:p>
            <w:r>
              <w:rPr>
                <w:b w:val="0"/>
                <w:i w:val="0"/>
                <w:sz w:val="15"/>
              </w:rPr>
              <w:t>~0.6x</w:t>
            </w:r>
          </w:p>
        </w:tc>
        <w:tc>
          <w:tcPr>
            <w:tcW w:type="dxa" w:w="725"/>
            <w:shd w:val="clear" w:color="auto" w:fill="EEF1F6"/>
          </w:tcPr>
          <w:p>
            <w:r>
              <w:rPr>
                <w:b w:val="0"/>
                <w:i w:val="0"/>
                <w:sz w:val="15"/>
              </w:rPr>
              <w:t>~3.7x</w:t>
            </w:r>
          </w:p>
        </w:tc>
        <w:tc>
          <w:tcPr>
            <w:tcW w:type="dxa" w:w="653"/>
            <w:shd w:val="clear" w:color="auto" w:fill="EEF1F6"/>
          </w:tcPr>
          <w:p>
            <w:r>
              <w:rPr>
                <w:b w:val="0"/>
                <w:i w:val="0"/>
                <w:sz w:val="15"/>
              </w:rPr>
              <w:t>~10x</w:t>
            </w:r>
          </w:p>
        </w:tc>
        <w:tc>
          <w:tcPr>
            <w:tcW w:type="dxa" w:w="580"/>
            <w:shd w:val="clear" w:color="auto" w:fill="EEF1F6"/>
          </w:tcPr>
          <w:p>
            <w:r>
              <w:rPr>
                <w:b w:val="0"/>
                <w:i w:val="0"/>
                <w:sz w:val="15"/>
              </w:rPr>
              <w:t>~10x</w:t>
            </w:r>
          </w:p>
        </w:tc>
        <w:tc>
          <w:tcPr>
            <w:tcW w:type="dxa" w:w="653"/>
            <w:shd w:val="clear" w:color="auto" w:fill="EEF1F6"/>
          </w:tcPr>
          <w:p>
            <w:r>
              <w:rPr>
                <w:b w:val="0"/>
                <w:i w:val="0"/>
                <w:sz w:val="15"/>
              </w:rPr>
              <w:t>~20%</w:t>
            </w:r>
          </w:p>
        </w:tc>
        <w:tc>
          <w:tcPr>
            <w:tcW w:type="dxa" w:w="580"/>
            <w:shd w:val="clear" w:color="auto" w:fill="EEF1F6"/>
          </w:tcPr>
          <w:p>
            <w:r>
              <w:rPr>
                <w:b w:val="0"/>
                <w:i w:val="0"/>
                <w:sz w:val="15"/>
              </w:rPr>
              <w:t>~7%</w:t>
            </w:r>
          </w:p>
        </w:tc>
        <w:tc>
          <w:tcPr>
            <w:tcW w:type="dxa" w:w="580"/>
            <w:shd w:val="clear" w:color="auto" w:fill="EEF1F6"/>
          </w:tcPr>
          <w:p>
            <w:r>
              <w:rPr>
                <w:b w:val="0"/>
                <w:i w:val="0"/>
                <w:sz w:val="15"/>
              </w:rPr>
              <w:t>1-3%</w:t>
            </w:r>
          </w:p>
        </w:tc>
        <w:tc>
          <w:tcPr>
            <w:tcW w:type="dxa" w:w="725"/>
            <w:shd w:val="clear" w:color="auto" w:fill="EEF1F6"/>
          </w:tcPr>
          <w:p>
            <w:r>
              <w:rPr>
                <w:b w:val="0"/>
                <w:i w:val="0"/>
                <w:sz w:val="15"/>
              </w:rPr>
              <w:t>~1.3x</w:t>
            </w:r>
          </w:p>
        </w:tc>
        <w:tc>
          <w:tcPr>
            <w:tcW w:type="dxa" w:w="580"/>
            <w:shd w:val="clear" w:color="auto" w:fill="EEF1F6"/>
          </w:tcPr>
          <w:p>
            <w:r>
              <w:rPr>
                <w:b w:val="0"/>
                <w:i w:val="0"/>
                <w:sz w:val="15"/>
              </w:rPr>
              <w:t>~4.5%</w:t>
            </w:r>
          </w:p>
        </w:tc>
      </w:tr>
      <w:tr>
        <w:tc>
          <w:tcPr>
            <w:tcW w:type="dxa" w:w="1378"/>
          </w:tcPr>
          <w:p>
            <w:r>
              <w:rPr>
                <w:b w:val="0"/>
                <w:i w:val="0"/>
                <w:sz w:val="15"/>
              </w:rPr>
              <w:t>LG Uplus</w:t>
            </w:r>
          </w:p>
        </w:tc>
        <w:tc>
          <w:tcPr>
            <w:tcW w:type="dxa" w:w="1161"/>
          </w:tcPr>
          <w:p>
            <w:r>
              <w:rPr>
                <w:b w:val="0"/>
                <w:i w:val="0"/>
                <w:sz w:val="15"/>
              </w:rPr>
              <w:t>032640 KS</w:t>
            </w:r>
          </w:p>
        </w:tc>
        <w:tc>
          <w:tcPr>
            <w:tcW w:type="dxa" w:w="870"/>
          </w:tcPr>
          <w:p>
            <w:r>
              <w:rPr>
                <w:b w:val="0"/>
                <w:i w:val="0"/>
                <w:sz w:val="15"/>
              </w:rPr>
              <w:t>KRX</w:t>
            </w:r>
          </w:p>
        </w:tc>
        <w:tc>
          <w:tcPr>
            <w:tcW w:type="dxa" w:w="725"/>
          </w:tcPr>
          <w:p>
            <w:r>
              <w:rPr>
                <w:b w:val="0"/>
                <w:i w:val="0"/>
                <w:sz w:val="15"/>
              </w:rPr>
              <w:t>~4.5</w:t>
            </w:r>
          </w:p>
        </w:tc>
        <w:tc>
          <w:tcPr>
            <w:tcW w:type="dxa" w:w="653"/>
          </w:tcPr>
          <w:p>
            <w:r>
              <w:rPr>
                <w:b w:val="0"/>
                <w:i w:val="0"/>
                <w:sz w:val="15"/>
              </w:rPr>
              <w:t>~0.8x</w:t>
            </w:r>
          </w:p>
        </w:tc>
        <w:tc>
          <w:tcPr>
            <w:tcW w:type="dxa" w:w="725"/>
          </w:tcPr>
          <w:p>
            <w:r>
              <w:rPr>
                <w:b w:val="0"/>
                <w:i w:val="0"/>
                <w:sz w:val="15"/>
              </w:rPr>
              <w:t>~3.5x</w:t>
            </w:r>
          </w:p>
        </w:tc>
        <w:tc>
          <w:tcPr>
            <w:tcW w:type="dxa" w:w="653"/>
          </w:tcPr>
          <w:p>
            <w:r>
              <w:rPr>
                <w:b w:val="0"/>
                <w:i w:val="0"/>
                <w:sz w:val="15"/>
              </w:rPr>
              <w:t>~12x</w:t>
            </w:r>
          </w:p>
        </w:tc>
        <w:tc>
          <w:tcPr>
            <w:tcW w:type="dxa" w:w="580"/>
          </w:tcPr>
          <w:p>
            <w:r>
              <w:rPr>
                <w:b w:val="0"/>
                <w:i w:val="0"/>
                <w:sz w:val="15"/>
              </w:rPr>
              <w:t>~9x</w:t>
            </w:r>
          </w:p>
        </w:tc>
        <w:tc>
          <w:tcPr>
            <w:tcW w:type="dxa" w:w="653"/>
          </w:tcPr>
          <w:p>
            <w:r>
              <w:rPr>
                <w:b w:val="0"/>
                <w:i w:val="0"/>
                <w:sz w:val="15"/>
              </w:rPr>
              <w:t>~25%</w:t>
            </w:r>
          </w:p>
        </w:tc>
        <w:tc>
          <w:tcPr>
            <w:tcW w:type="dxa" w:w="580"/>
          </w:tcPr>
          <w:p>
            <w:r>
              <w:rPr>
                <w:b w:val="0"/>
                <w:i w:val="0"/>
                <w:sz w:val="15"/>
              </w:rPr>
              <w:t>~6.5%</w:t>
            </w:r>
          </w:p>
        </w:tc>
        <w:tc>
          <w:tcPr>
            <w:tcW w:type="dxa" w:w="580"/>
          </w:tcPr>
          <w:p>
            <w:r>
              <w:rPr>
                <w:b w:val="0"/>
                <w:i w:val="0"/>
                <w:sz w:val="15"/>
              </w:rPr>
              <w:t>1-2%</w:t>
            </w:r>
          </w:p>
        </w:tc>
        <w:tc>
          <w:tcPr>
            <w:tcW w:type="dxa" w:w="725"/>
          </w:tcPr>
          <w:p>
            <w:r>
              <w:rPr>
                <w:b w:val="0"/>
                <w:i w:val="0"/>
                <w:sz w:val="15"/>
              </w:rPr>
              <w:t>~1.6x</w:t>
            </w:r>
          </w:p>
        </w:tc>
        <w:tc>
          <w:tcPr>
            <w:tcW w:type="dxa" w:w="580"/>
          </w:tcPr>
          <w:p>
            <w:r>
              <w:rPr>
                <w:b w:val="0"/>
                <w:i w:val="0"/>
                <w:sz w:val="15"/>
              </w:rPr>
              <w:t>~5%</w:t>
            </w:r>
          </w:p>
        </w:tc>
      </w:tr>
      <w:tr>
        <w:tc>
          <w:tcPr>
            <w:tcW w:type="dxa" w:w="1378"/>
            <w:shd w:val="clear" w:color="auto" w:fill="EEF1F6"/>
          </w:tcPr>
          <w:p>
            <w:r>
              <w:rPr>
                <w:b w:val="0"/>
                <w:i w:val="0"/>
                <w:sz w:val="15"/>
              </w:rPr>
              <w:t>NTT</w:t>
            </w:r>
          </w:p>
        </w:tc>
        <w:tc>
          <w:tcPr>
            <w:tcW w:type="dxa" w:w="1161"/>
            <w:shd w:val="clear" w:color="auto" w:fill="EEF1F6"/>
          </w:tcPr>
          <w:p>
            <w:r>
              <w:rPr>
                <w:b w:val="0"/>
                <w:i w:val="0"/>
                <w:sz w:val="15"/>
              </w:rPr>
              <w:t>9432 JP</w:t>
            </w:r>
          </w:p>
        </w:tc>
        <w:tc>
          <w:tcPr>
            <w:tcW w:type="dxa" w:w="870"/>
            <w:shd w:val="clear" w:color="auto" w:fill="EEF1F6"/>
          </w:tcPr>
          <w:p>
            <w:r>
              <w:rPr>
                <w:b w:val="0"/>
                <w:i w:val="0"/>
                <w:sz w:val="15"/>
              </w:rPr>
              <w:t>TSE</w:t>
            </w:r>
          </w:p>
        </w:tc>
        <w:tc>
          <w:tcPr>
            <w:tcW w:type="dxa" w:w="725"/>
            <w:shd w:val="clear" w:color="auto" w:fill="EEF1F6"/>
          </w:tcPr>
          <w:p>
            <w:r>
              <w:rPr>
                <w:b w:val="0"/>
                <w:i w:val="0"/>
                <w:sz w:val="15"/>
              </w:rPr>
              <w:t>~90</w:t>
            </w:r>
          </w:p>
        </w:tc>
        <w:tc>
          <w:tcPr>
            <w:tcW w:type="dxa" w:w="653"/>
            <w:shd w:val="clear" w:color="auto" w:fill="EEF1F6"/>
          </w:tcPr>
          <w:p>
            <w:r>
              <w:rPr>
                <w:b w:val="0"/>
                <w:i w:val="0"/>
                <w:sz w:val="15"/>
              </w:rPr>
              <w:t>~1.7x</w:t>
            </w:r>
          </w:p>
        </w:tc>
        <w:tc>
          <w:tcPr>
            <w:tcW w:type="dxa" w:w="725"/>
            <w:shd w:val="clear" w:color="auto" w:fill="EEF1F6"/>
          </w:tcPr>
          <w:p>
            <w:r>
              <w:rPr>
                <w:b w:val="0"/>
                <w:i w:val="0"/>
                <w:sz w:val="15"/>
              </w:rPr>
              <w:t>~6.8x</w:t>
            </w:r>
          </w:p>
        </w:tc>
        <w:tc>
          <w:tcPr>
            <w:tcW w:type="dxa" w:w="653"/>
            <w:shd w:val="clear" w:color="auto" w:fill="EEF1F6"/>
          </w:tcPr>
          <w:p>
            <w:r>
              <w:rPr>
                <w:b w:val="0"/>
                <w:i w:val="0"/>
                <w:sz w:val="15"/>
              </w:rPr>
              <w:t>~15x</w:t>
            </w:r>
          </w:p>
        </w:tc>
        <w:tc>
          <w:tcPr>
            <w:tcW w:type="dxa" w:w="580"/>
            <w:shd w:val="clear" w:color="auto" w:fill="EEF1F6"/>
          </w:tcPr>
          <w:p>
            <w:r>
              <w:rPr>
                <w:b w:val="0"/>
                <w:i w:val="0"/>
                <w:sz w:val="15"/>
              </w:rPr>
              <w:t>~11.5x</w:t>
            </w:r>
          </w:p>
        </w:tc>
        <w:tc>
          <w:tcPr>
            <w:tcW w:type="dxa" w:w="653"/>
            <w:shd w:val="clear" w:color="auto" w:fill="EEF1F6"/>
          </w:tcPr>
          <w:p>
            <w:r>
              <w:rPr>
                <w:b w:val="0"/>
                <w:i w:val="0"/>
                <w:sz w:val="15"/>
              </w:rPr>
              <w:t>~27%</w:t>
            </w:r>
          </w:p>
        </w:tc>
        <w:tc>
          <w:tcPr>
            <w:tcW w:type="dxa" w:w="580"/>
            <w:shd w:val="clear" w:color="auto" w:fill="EEF1F6"/>
          </w:tcPr>
          <w:p>
            <w:r>
              <w:rPr>
                <w:b w:val="0"/>
                <w:i w:val="0"/>
                <w:sz w:val="15"/>
              </w:rPr>
              <w:t>~12%</w:t>
            </w:r>
          </w:p>
        </w:tc>
        <w:tc>
          <w:tcPr>
            <w:tcW w:type="dxa" w:w="580"/>
            <w:shd w:val="clear" w:color="auto" w:fill="EEF1F6"/>
          </w:tcPr>
          <w:p>
            <w:r>
              <w:rPr>
                <w:b w:val="0"/>
                <w:i w:val="0"/>
                <w:sz w:val="15"/>
              </w:rPr>
              <w:t>2-3%</w:t>
            </w:r>
          </w:p>
        </w:tc>
        <w:tc>
          <w:tcPr>
            <w:tcW w:type="dxa" w:w="725"/>
            <w:shd w:val="clear" w:color="auto" w:fill="EEF1F6"/>
          </w:tcPr>
          <w:p>
            <w:r>
              <w:rPr>
                <w:b w:val="0"/>
                <w:i w:val="0"/>
                <w:sz w:val="15"/>
              </w:rPr>
              <w:t>~2.8x</w:t>
            </w:r>
          </w:p>
        </w:tc>
        <w:tc>
          <w:tcPr>
            <w:tcW w:type="dxa" w:w="580"/>
            <w:shd w:val="clear" w:color="auto" w:fill="EEF1F6"/>
          </w:tcPr>
          <w:p>
            <w:r>
              <w:rPr>
                <w:b w:val="0"/>
                <w:i w:val="0"/>
                <w:sz w:val="15"/>
              </w:rPr>
              <w:t>~3.3%</w:t>
            </w:r>
          </w:p>
        </w:tc>
      </w:tr>
      <w:tr>
        <w:tc>
          <w:tcPr>
            <w:tcW w:type="dxa" w:w="1378"/>
          </w:tcPr>
          <w:p>
            <w:r>
              <w:rPr>
                <w:b w:val="0"/>
                <w:i w:val="0"/>
                <w:sz w:val="15"/>
              </w:rPr>
              <w:t>KDDI</w:t>
            </w:r>
          </w:p>
        </w:tc>
        <w:tc>
          <w:tcPr>
            <w:tcW w:type="dxa" w:w="1161"/>
          </w:tcPr>
          <w:p>
            <w:r>
              <w:rPr>
                <w:b w:val="0"/>
                <w:i w:val="0"/>
                <w:sz w:val="15"/>
              </w:rPr>
              <w:t>9433 JP</w:t>
            </w:r>
          </w:p>
        </w:tc>
        <w:tc>
          <w:tcPr>
            <w:tcW w:type="dxa" w:w="870"/>
          </w:tcPr>
          <w:p>
            <w:r>
              <w:rPr>
                <w:b w:val="0"/>
                <w:i w:val="0"/>
                <w:sz w:val="15"/>
              </w:rPr>
              <w:t>TSE</w:t>
            </w:r>
          </w:p>
        </w:tc>
        <w:tc>
          <w:tcPr>
            <w:tcW w:type="dxa" w:w="725"/>
          </w:tcPr>
          <w:p>
            <w:r>
              <w:rPr>
                <w:b w:val="0"/>
                <w:i w:val="0"/>
                <w:sz w:val="15"/>
              </w:rPr>
              <w:t>~67</w:t>
            </w:r>
          </w:p>
        </w:tc>
        <w:tc>
          <w:tcPr>
            <w:tcW w:type="dxa" w:w="653"/>
          </w:tcPr>
          <w:p>
            <w:r>
              <w:rPr>
                <w:b w:val="0"/>
                <w:i w:val="0"/>
                <w:sz w:val="15"/>
              </w:rPr>
              <w:t>~1.8x</w:t>
            </w:r>
          </w:p>
        </w:tc>
        <w:tc>
          <w:tcPr>
            <w:tcW w:type="dxa" w:w="725"/>
          </w:tcPr>
          <w:p>
            <w:r>
              <w:rPr>
                <w:b w:val="0"/>
                <w:i w:val="0"/>
                <w:sz w:val="15"/>
              </w:rPr>
              <w:t>~6.0x</w:t>
            </w:r>
          </w:p>
        </w:tc>
        <w:tc>
          <w:tcPr>
            <w:tcW w:type="dxa" w:w="653"/>
          </w:tcPr>
          <w:p>
            <w:r>
              <w:rPr>
                <w:b w:val="0"/>
                <w:i w:val="0"/>
                <w:sz w:val="15"/>
              </w:rPr>
              <w:t>~11x</w:t>
            </w:r>
          </w:p>
        </w:tc>
        <w:tc>
          <w:tcPr>
            <w:tcW w:type="dxa" w:w="580"/>
          </w:tcPr>
          <w:p>
            <w:r>
              <w:rPr>
                <w:b w:val="0"/>
                <w:i w:val="0"/>
                <w:sz w:val="15"/>
              </w:rPr>
              <w:t>~13.5x</w:t>
            </w:r>
          </w:p>
        </w:tc>
        <w:tc>
          <w:tcPr>
            <w:tcW w:type="dxa" w:w="653"/>
          </w:tcPr>
          <w:p>
            <w:r>
              <w:rPr>
                <w:b w:val="0"/>
                <w:i w:val="0"/>
                <w:sz w:val="15"/>
              </w:rPr>
              <w:t>~33%</w:t>
            </w:r>
          </w:p>
        </w:tc>
        <w:tc>
          <w:tcPr>
            <w:tcW w:type="dxa" w:w="580"/>
          </w:tcPr>
          <w:p>
            <w:r>
              <w:rPr>
                <w:b w:val="0"/>
                <w:i w:val="0"/>
                <w:sz w:val="15"/>
              </w:rPr>
              <w:t>~18%</w:t>
            </w:r>
          </w:p>
        </w:tc>
        <w:tc>
          <w:tcPr>
            <w:tcW w:type="dxa" w:w="580"/>
          </w:tcPr>
          <w:p>
            <w:r>
              <w:rPr>
                <w:b w:val="0"/>
                <w:i w:val="0"/>
                <w:sz w:val="15"/>
              </w:rPr>
              <w:t>2-4%</w:t>
            </w:r>
          </w:p>
        </w:tc>
        <w:tc>
          <w:tcPr>
            <w:tcW w:type="dxa" w:w="725"/>
          </w:tcPr>
          <w:p>
            <w:r>
              <w:rPr>
                <w:b w:val="0"/>
                <w:i w:val="0"/>
                <w:sz w:val="15"/>
              </w:rPr>
              <w:t>~1.0x</w:t>
            </w:r>
          </w:p>
        </w:tc>
        <w:tc>
          <w:tcPr>
            <w:tcW w:type="dxa" w:w="580"/>
          </w:tcPr>
          <w:p>
            <w:r>
              <w:rPr>
                <w:b w:val="0"/>
                <w:i w:val="0"/>
                <w:sz w:val="15"/>
              </w:rPr>
              <w:t>~3.0%</w:t>
            </w:r>
          </w:p>
        </w:tc>
      </w:tr>
      <w:tr>
        <w:tc>
          <w:tcPr>
            <w:tcW w:type="dxa" w:w="1378"/>
            <w:shd w:val="clear" w:color="auto" w:fill="EEF1F6"/>
          </w:tcPr>
          <w:p>
            <w:r>
              <w:rPr>
                <w:b w:val="0"/>
                <w:i w:val="0"/>
                <w:sz w:val="15"/>
              </w:rPr>
              <w:t>SoftBank Corp</w:t>
            </w:r>
          </w:p>
        </w:tc>
        <w:tc>
          <w:tcPr>
            <w:tcW w:type="dxa" w:w="1161"/>
            <w:shd w:val="clear" w:color="auto" w:fill="EEF1F6"/>
          </w:tcPr>
          <w:p>
            <w:r>
              <w:rPr>
                <w:b w:val="0"/>
                <w:i w:val="0"/>
                <w:sz w:val="15"/>
              </w:rPr>
              <w:t>9434 JP</w:t>
            </w:r>
          </w:p>
        </w:tc>
        <w:tc>
          <w:tcPr>
            <w:tcW w:type="dxa" w:w="870"/>
            <w:shd w:val="clear" w:color="auto" w:fill="EEF1F6"/>
          </w:tcPr>
          <w:p>
            <w:r>
              <w:rPr>
                <w:b w:val="0"/>
                <w:i w:val="0"/>
                <w:sz w:val="15"/>
              </w:rPr>
              <w:t>TSE</w:t>
            </w:r>
          </w:p>
        </w:tc>
        <w:tc>
          <w:tcPr>
            <w:tcW w:type="dxa" w:w="725"/>
            <w:shd w:val="clear" w:color="auto" w:fill="EEF1F6"/>
          </w:tcPr>
          <w:p>
            <w:r>
              <w:rPr>
                <w:b w:val="0"/>
                <w:i w:val="0"/>
                <w:sz w:val="15"/>
              </w:rPr>
              <w:t>~67</w:t>
            </w:r>
          </w:p>
        </w:tc>
        <w:tc>
          <w:tcPr>
            <w:tcW w:type="dxa" w:w="653"/>
            <w:shd w:val="clear" w:color="auto" w:fill="EEF1F6"/>
          </w:tcPr>
          <w:p>
            <w:r>
              <w:rPr>
                <w:b w:val="0"/>
                <w:i w:val="0"/>
                <w:sz w:val="15"/>
              </w:rPr>
              <w:t>~2.2x</w:t>
            </w:r>
          </w:p>
        </w:tc>
        <w:tc>
          <w:tcPr>
            <w:tcW w:type="dxa" w:w="725"/>
            <w:shd w:val="clear" w:color="auto" w:fill="EEF1F6"/>
          </w:tcPr>
          <w:p>
            <w:r>
              <w:rPr>
                <w:b w:val="0"/>
                <w:i w:val="0"/>
                <w:sz w:val="15"/>
              </w:rPr>
              <w:t>~8.0x</w:t>
            </w:r>
          </w:p>
        </w:tc>
        <w:tc>
          <w:tcPr>
            <w:tcW w:type="dxa" w:w="653"/>
            <w:shd w:val="clear" w:color="auto" w:fill="EEF1F6"/>
          </w:tcPr>
          <w:p>
            <w:r>
              <w:rPr>
                <w:b w:val="0"/>
                <w:i w:val="0"/>
                <w:sz w:val="15"/>
              </w:rPr>
              <w:t>~15x</w:t>
            </w:r>
          </w:p>
        </w:tc>
        <w:tc>
          <w:tcPr>
            <w:tcW w:type="dxa" w:w="580"/>
            <w:shd w:val="clear" w:color="auto" w:fill="EEF1F6"/>
          </w:tcPr>
          <w:p>
            <w:r>
              <w:rPr>
                <w:b w:val="0"/>
                <w:i w:val="0"/>
                <w:sz w:val="15"/>
              </w:rPr>
              <w:t>~19x</w:t>
            </w:r>
          </w:p>
        </w:tc>
        <w:tc>
          <w:tcPr>
            <w:tcW w:type="dxa" w:w="653"/>
            <w:shd w:val="clear" w:color="auto" w:fill="EEF1F6"/>
          </w:tcPr>
          <w:p>
            <w:r>
              <w:rPr>
                <w:b w:val="0"/>
                <w:i w:val="0"/>
                <w:sz w:val="15"/>
              </w:rPr>
              <w:t>~28%</w:t>
            </w:r>
          </w:p>
        </w:tc>
        <w:tc>
          <w:tcPr>
            <w:tcW w:type="dxa" w:w="580"/>
            <w:shd w:val="clear" w:color="auto" w:fill="EEF1F6"/>
          </w:tcPr>
          <w:p>
            <w:r>
              <w:rPr>
                <w:b w:val="0"/>
                <w:i w:val="0"/>
                <w:sz w:val="15"/>
              </w:rPr>
              <w:t>~15%</w:t>
            </w:r>
          </w:p>
        </w:tc>
        <w:tc>
          <w:tcPr>
            <w:tcW w:type="dxa" w:w="580"/>
            <w:shd w:val="clear" w:color="auto" w:fill="EEF1F6"/>
          </w:tcPr>
          <w:p>
            <w:r>
              <w:rPr>
                <w:b w:val="0"/>
                <w:i w:val="0"/>
                <w:sz w:val="15"/>
              </w:rPr>
              <w:t>3-5%</w:t>
            </w:r>
          </w:p>
        </w:tc>
        <w:tc>
          <w:tcPr>
            <w:tcW w:type="dxa" w:w="725"/>
            <w:shd w:val="clear" w:color="auto" w:fill="EEF1F6"/>
          </w:tcPr>
          <w:p>
            <w:r>
              <w:rPr>
                <w:b w:val="0"/>
                <w:i w:val="0"/>
                <w:sz w:val="15"/>
              </w:rPr>
              <w:t>~2.8x</w:t>
            </w:r>
          </w:p>
        </w:tc>
        <w:tc>
          <w:tcPr>
            <w:tcW w:type="dxa" w:w="580"/>
            <w:shd w:val="clear" w:color="auto" w:fill="EEF1F6"/>
          </w:tcPr>
          <w:p>
            <w:r>
              <w:rPr>
                <w:b w:val="0"/>
                <w:i w:val="0"/>
                <w:sz w:val="15"/>
              </w:rPr>
              <w:t>~4.0%</w:t>
            </w:r>
          </w:p>
        </w:tc>
      </w:tr>
      <w:tr>
        <w:tc>
          <w:tcPr>
            <w:tcW w:type="dxa" w:w="1378"/>
          </w:tcPr>
          <w:p>
            <w:r>
              <w:rPr>
                <w:b w:val="0"/>
                <w:i w:val="0"/>
                <w:sz w:val="15"/>
              </w:rPr>
              <w:t>Chunghwa Telecom</w:t>
            </w:r>
          </w:p>
        </w:tc>
        <w:tc>
          <w:tcPr>
            <w:tcW w:type="dxa" w:w="1161"/>
          </w:tcPr>
          <w:p>
            <w:r>
              <w:rPr>
                <w:b w:val="0"/>
                <w:i w:val="0"/>
                <w:sz w:val="15"/>
              </w:rPr>
              <w:t>2412 TT / CHT</w:t>
            </w:r>
          </w:p>
        </w:tc>
        <w:tc>
          <w:tcPr>
            <w:tcW w:type="dxa" w:w="870"/>
          </w:tcPr>
          <w:p>
            <w:r>
              <w:rPr>
                <w:b w:val="0"/>
                <w:i w:val="0"/>
                <w:sz w:val="15"/>
              </w:rPr>
              <w:t>TWSE, NYSE</w:t>
            </w:r>
          </w:p>
        </w:tc>
        <w:tc>
          <w:tcPr>
            <w:tcW w:type="dxa" w:w="725"/>
          </w:tcPr>
          <w:p>
            <w:r>
              <w:rPr>
                <w:b w:val="0"/>
                <w:i w:val="0"/>
                <w:sz w:val="15"/>
              </w:rPr>
              <w:t>~33</w:t>
            </w:r>
          </w:p>
        </w:tc>
        <w:tc>
          <w:tcPr>
            <w:tcW w:type="dxa" w:w="653"/>
          </w:tcPr>
          <w:p>
            <w:r>
              <w:rPr>
                <w:b w:val="0"/>
                <w:i w:val="0"/>
                <w:sz w:val="15"/>
              </w:rPr>
              <w:t>~4.0x</w:t>
            </w:r>
          </w:p>
        </w:tc>
        <w:tc>
          <w:tcPr>
            <w:tcW w:type="dxa" w:w="725"/>
          </w:tcPr>
          <w:p>
            <w:r>
              <w:rPr>
                <w:b w:val="0"/>
                <w:i w:val="0"/>
                <w:sz w:val="15"/>
              </w:rPr>
              <w:t>~11.5x</w:t>
            </w:r>
          </w:p>
        </w:tc>
        <w:tc>
          <w:tcPr>
            <w:tcW w:type="dxa" w:w="653"/>
          </w:tcPr>
          <w:p>
            <w:r>
              <w:rPr>
                <w:b w:val="0"/>
                <w:i w:val="0"/>
                <w:sz w:val="15"/>
              </w:rPr>
              <w:t>~20x</w:t>
            </w:r>
          </w:p>
        </w:tc>
        <w:tc>
          <w:tcPr>
            <w:tcW w:type="dxa" w:w="580"/>
          </w:tcPr>
          <w:p>
            <w:r>
              <w:rPr>
                <w:b w:val="0"/>
                <w:i w:val="0"/>
                <w:sz w:val="15"/>
              </w:rPr>
              <w:t>~25x</w:t>
            </w:r>
          </w:p>
        </w:tc>
        <w:tc>
          <w:tcPr>
            <w:tcW w:type="dxa" w:w="653"/>
          </w:tcPr>
          <w:p>
            <w:r>
              <w:rPr>
                <w:b w:val="0"/>
                <w:i w:val="0"/>
                <w:sz w:val="15"/>
              </w:rPr>
              <w:t>~37%</w:t>
            </w:r>
          </w:p>
        </w:tc>
        <w:tc>
          <w:tcPr>
            <w:tcW w:type="dxa" w:w="580"/>
          </w:tcPr>
          <w:p>
            <w:r>
              <w:rPr>
                <w:b w:val="0"/>
                <w:i w:val="0"/>
                <w:sz w:val="15"/>
              </w:rPr>
              <w:t>~20%</w:t>
            </w:r>
          </w:p>
        </w:tc>
        <w:tc>
          <w:tcPr>
            <w:tcW w:type="dxa" w:w="580"/>
          </w:tcPr>
          <w:p>
            <w:r>
              <w:rPr>
                <w:b w:val="0"/>
                <w:i w:val="0"/>
                <w:sz w:val="15"/>
              </w:rPr>
              <w:t>1-3%</w:t>
            </w:r>
          </w:p>
        </w:tc>
        <w:tc>
          <w:tcPr>
            <w:tcW w:type="dxa" w:w="725"/>
          </w:tcPr>
          <w:p>
            <w:r>
              <w:rPr>
                <w:b w:val="0"/>
                <w:i w:val="0"/>
                <w:sz w:val="15"/>
              </w:rPr>
              <w:t>net cash</w:t>
            </w:r>
          </w:p>
        </w:tc>
        <w:tc>
          <w:tcPr>
            <w:tcW w:type="dxa" w:w="580"/>
          </w:tcPr>
          <w:p>
            <w:r>
              <w:rPr>
                <w:b w:val="0"/>
                <w:i w:val="0"/>
                <w:sz w:val="15"/>
              </w:rPr>
              <w:t>~3.8%</w:t>
            </w:r>
          </w:p>
        </w:tc>
      </w:tr>
      <w:tr>
        <w:tc>
          <w:tcPr>
            <w:tcW w:type="dxa" w:w="1378"/>
            <w:shd w:val="clear" w:color="auto" w:fill="EEF1F6"/>
          </w:tcPr>
          <w:p>
            <w:r>
              <w:rPr>
                <w:b w:val="0"/>
                <w:i w:val="0"/>
                <w:sz w:val="15"/>
              </w:rPr>
              <w:t>Taiwan Mobile</w:t>
            </w:r>
          </w:p>
        </w:tc>
        <w:tc>
          <w:tcPr>
            <w:tcW w:type="dxa" w:w="1161"/>
            <w:shd w:val="clear" w:color="auto" w:fill="EEF1F6"/>
          </w:tcPr>
          <w:p>
            <w:r>
              <w:rPr>
                <w:b w:val="0"/>
                <w:i w:val="0"/>
                <w:sz w:val="15"/>
              </w:rPr>
              <w:t>3045 TT</w:t>
            </w:r>
          </w:p>
        </w:tc>
        <w:tc>
          <w:tcPr>
            <w:tcW w:type="dxa" w:w="870"/>
            <w:shd w:val="clear" w:color="auto" w:fill="EEF1F6"/>
          </w:tcPr>
          <w:p>
            <w:r>
              <w:rPr>
                <w:b w:val="0"/>
                <w:i w:val="0"/>
                <w:sz w:val="15"/>
              </w:rPr>
              <w:t>TWSE</w:t>
            </w:r>
          </w:p>
        </w:tc>
        <w:tc>
          <w:tcPr>
            <w:tcW w:type="dxa" w:w="725"/>
            <w:shd w:val="clear" w:color="auto" w:fill="EEF1F6"/>
          </w:tcPr>
          <w:p>
            <w:r>
              <w:rPr>
                <w:b w:val="0"/>
                <w:i w:val="0"/>
                <w:sz w:val="15"/>
              </w:rPr>
              <w:t>~11.5</w:t>
            </w:r>
          </w:p>
        </w:tc>
        <w:tc>
          <w:tcPr>
            <w:tcW w:type="dxa" w:w="653"/>
            <w:shd w:val="clear" w:color="auto" w:fill="EEF1F6"/>
          </w:tcPr>
          <w:p>
            <w:r>
              <w:rPr>
                <w:b w:val="0"/>
                <w:i w:val="0"/>
                <w:sz w:val="15"/>
              </w:rPr>
              <w:t>~2.0x</w:t>
            </w:r>
          </w:p>
        </w:tc>
        <w:tc>
          <w:tcPr>
            <w:tcW w:type="dxa" w:w="725"/>
            <w:shd w:val="clear" w:color="auto" w:fill="EEF1F6"/>
          </w:tcPr>
          <w:p>
            <w:r>
              <w:rPr>
                <w:b w:val="0"/>
                <w:i w:val="0"/>
                <w:sz w:val="15"/>
              </w:rPr>
              <w:t>~11.5x</w:t>
            </w:r>
          </w:p>
        </w:tc>
        <w:tc>
          <w:tcPr>
            <w:tcW w:type="dxa" w:w="653"/>
            <w:shd w:val="clear" w:color="auto" w:fill="EEF1F6"/>
          </w:tcPr>
          <w:p>
            <w:r>
              <w:rPr>
                <w:b w:val="0"/>
                <w:i w:val="0"/>
                <w:sz w:val="15"/>
              </w:rPr>
              <w:t>~20x</w:t>
            </w:r>
          </w:p>
        </w:tc>
        <w:tc>
          <w:tcPr>
            <w:tcW w:type="dxa" w:w="580"/>
            <w:shd w:val="clear" w:color="auto" w:fill="EEF1F6"/>
          </w:tcPr>
          <w:p>
            <w:r>
              <w:rPr>
                <w:b w:val="0"/>
                <w:i w:val="0"/>
                <w:sz w:val="15"/>
              </w:rPr>
              <w:t>~21x</w:t>
            </w:r>
          </w:p>
        </w:tc>
        <w:tc>
          <w:tcPr>
            <w:tcW w:type="dxa" w:w="653"/>
            <w:shd w:val="clear" w:color="auto" w:fill="EEF1F6"/>
          </w:tcPr>
          <w:p>
            <w:r>
              <w:rPr>
                <w:b w:val="0"/>
                <w:i w:val="0"/>
                <w:sz w:val="15"/>
              </w:rPr>
              <w:t>~22%</w:t>
            </w:r>
          </w:p>
        </w:tc>
        <w:tc>
          <w:tcPr>
            <w:tcW w:type="dxa" w:w="580"/>
            <w:shd w:val="clear" w:color="auto" w:fill="EEF1F6"/>
          </w:tcPr>
          <w:p>
            <w:r>
              <w:rPr>
                <w:b w:val="0"/>
                <w:i w:val="0"/>
                <w:sz w:val="15"/>
              </w:rPr>
              <w:t>~11%</w:t>
            </w:r>
          </w:p>
        </w:tc>
        <w:tc>
          <w:tcPr>
            <w:tcW w:type="dxa" w:w="580"/>
            <w:shd w:val="clear" w:color="auto" w:fill="EEF1F6"/>
          </w:tcPr>
          <w:p>
            <w:r>
              <w:rPr>
                <w:b w:val="0"/>
                <w:i w:val="0"/>
                <w:sz w:val="15"/>
              </w:rPr>
              <w:t>2-5%</w:t>
            </w:r>
          </w:p>
        </w:tc>
        <w:tc>
          <w:tcPr>
            <w:tcW w:type="dxa" w:w="725"/>
            <w:shd w:val="clear" w:color="auto" w:fill="EEF1F6"/>
          </w:tcPr>
          <w:p>
            <w:r>
              <w:rPr>
                <w:b w:val="0"/>
                <w:i w:val="0"/>
                <w:sz w:val="15"/>
              </w:rPr>
              <w:t>~2.0x</w:t>
            </w:r>
          </w:p>
        </w:tc>
        <w:tc>
          <w:tcPr>
            <w:tcW w:type="dxa" w:w="580"/>
            <w:shd w:val="clear" w:color="auto" w:fill="EEF1F6"/>
          </w:tcPr>
          <w:p>
            <w:r>
              <w:rPr>
                <w:b w:val="0"/>
                <w:i w:val="0"/>
                <w:sz w:val="15"/>
              </w:rPr>
              <w:t>~4.0%</w:t>
            </w:r>
          </w:p>
        </w:tc>
      </w:tr>
      <w:tr>
        <w:tc>
          <w:tcPr>
            <w:tcW w:type="dxa" w:w="1378"/>
          </w:tcPr>
          <w:p>
            <w:r>
              <w:rPr>
                <w:b w:val="0"/>
                <w:i w:val="0"/>
                <w:sz w:val="15"/>
              </w:rPr>
              <w:t>Far EasTone</w:t>
            </w:r>
          </w:p>
        </w:tc>
        <w:tc>
          <w:tcPr>
            <w:tcW w:type="dxa" w:w="1161"/>
          </w:tcPr>
          <w:p>
            <w:r>
              <w:rPr>
                <w:b w:val="0"/>
                <w:i w:val="0"/>
                <w:sz w:val="15"/>
              </w:rPr>
              <w:t>4904 TT</w:t>
            </w:r>
          </w:p>
        </w:tc>
        <w:tc>
          <w:tcPr>
            <w:tcW w:type="dxa" w:w="870"/>
          </w:tcPr>
          <w:p>
            <w:r>
              <w:rPr>
                <w:b w:val="0"/>
                <w:i w:val="0"/>
                <w:sz w:val="15"/>
              </w:rPr>
              <w:t>TWSE</w:t>
            </w:r>
          </w:p>
        </w:tc>
        <w:tc>
          <w:tcPr>
            <w:tcW w:type="dxa" w:w="725"/>
          </w:tcPr>
          <w:p>
            <w:r>
              <w:rPr>
                <w:b w:val="0"/>
                <w:i w:val="0"/>
                <w:sz w:val="15"/>
              </w:rPr>
              <w:t>~10.5</w:t>
            </w:r>
          </w:p>
        </w:tc>
        <w:tc>
          <w:tcPr>
            <w:tcW w:type="dxa" w:w="653"/>
          </w:tcPr>
          <w:p>
            <w:r>
              <w:rPr>
                <w:b w:val="0"/>
                <w:i w:val="0"/>
                <w:sz w:val="15"/>
              </w:rPr>
              <w:t>~3.0x</w:t>
            </w:r>
          </w:p>
        </w:tc>
        <w:tc>
          <w:tcPr>
            <w:tcW w:type="dxa" w:w="725"/>
          </w:tcPr>
          <w:p>
            <w:r>
              <w:rPr>
                <w:b w:val="0"/>
                <w:i w:val="0"/>
                <w:sz w:val="15"/>
              </w:rPr>
              <w:t>~10.5x</w:t>
            </w:r>
          </w:p>
        </w:tc>
        <w:tc>
          <w:tcPr>
            <w:tcW w:type="dxa" w:w="653"/>
          </w:tcPr>
          <w:p>
            <w:r>
              <w:rPr>
                <w:b w:val="0"/>
                <w:i w:val="0"/>
                <w:sz w:val="15"/>
              </w:rPr>
              <w:t>~20x</w:t>
            </w:r>
          </w:p>
        </w:tc>
        <w:tc>
          <w:tcPr>
            <w:tcW w:type="dxa" w:w="580"/>
          </w:tcPr>
          <w:p>
            <w:r>
              <w:rPr>
                <w:b w:val="0"/>
                <w:i w:val="0"/>
                <w:sz w:val="15"/>
              </w:rPr>
              <w:t>~23x</w:t>
            </w:r>
          </w:p>
        </w:tc>
        <w:tc>
          <w:tcPr>
            <w:tcW w:type="dxa" w:w="653"/>
          </w:tcPr>
          <w:p>
            <w:r>
              <w:rPr>
                <w:b w:val="0"/>
                <w:i w:val="0"/>
                <w:sz w:val="15"/>
              </w:rPr>
              <w:t>~33%</w:t>
            </w:r>
          </w:p>
        </w:tc>
        <w:tc>
          <w:tcPr>
            <w:tcW w:type="dxa" w:w="580"/>
          </w:tcPr>
          <w:p>
            <w:r>
              <w:rPr>
                <w:b w:val="0"/>
                <w:i w:val="0"/>
                <w:sz w:val="15"/>
              </w:rPr>
              <w:t>~15%</w:t>
            </w:r>
          </w:p>
        </w:tc>
        <w:tc>
          <w:tcPr>
            <w:tcW w:type="dxa" w:w="580"/>
          </w:tcPr>
          <w:p>
            <w:r>
              <w:rPr>
                <w:b w:val="0"/>
                <w:i w:val="0"/>
                <w:sz w:val="15"/>
              </w:rPr>
              <w:t>2-4%</w:t>
            </w:r>
          </w:p>
        </w:tc>
        <w:tc>
          <w:tcPr>
            <w:tcW w:type="dxa" w:w="725"/>
          </w:tcPr>
          <w:p>
            <w:r>
              <w:rPr>
                <w:b w:val="0"/>
                <w:i w:val="0"/>
                <w:sz w:val="15"/>
              </w:rPr>
              <w:t>~1.2x</w:t>
            </w:r>
          </w:p>
        </w:tc>
        <w:tc>
          <w:tcPr>
            <w:tcW w:type="dxa" w:w="580"/>
          </w:tcPr>
          <w:p>
            <w:r>
              <w:rPr>
                <w:b w:val="0"/>
                <w:i w:val="0"/>
                <w:sz w:val="15"/>
              </w:rPr>
              <w:t>~3.7%</w:t>
            </w:r>
          </w:p>
        </w:tc>
      </w:tr>
      <w:tr>
        <w:tc>
          <w:tcPr>
            <w:tcW w:type="dxa" w:w="1378"/>
            <w:shd w:val="clear" w:color="auto" w:fill="EEF1F6"/>
          </w:tcPr>
          <w:p>
            <w:r>
              <w:rPr>
                <w:b w:val="0"/>
                <w:i w:val="0"/>
                <w:sz w:val="15"/>
              </w:rPr>
              <w:t>Singtel</w:t>
            </w:r>
          </w:p>
        </w:tc>
        <w:tc>
          <w:tcPr>
            <w:tcW w:type="dxa" w:w="1161"/>
            <w:shd w:val="clear" w:color="auto" w:fill="EEF1F6"/>
          </w:tcPr>
          <w:p>
            <w:r>
              <w:rPr>
                <w:b w:val="0"/>
                <w:i w:val="0"/>
                <w:sz w:val="15"/>
              </w:rPr>
              <w:t>Z74 SP</w:t>
            </w:r>
          </w:p>
        </w:tc>
        <w:tc>
          <w:tcPr>
            <w:tcW w:type="dxa" w:w="870"/>
            <w:shd w:val="clear" w:color="auto" w:fill="EEF1F6"/>
          </w:tcPr>
          <w:p>
            <w:r>
              <w:rPr>
                <w:b w:val="0"/>
                <w:i w:val="0"/>
                <w:sz w:val="15"/>
              </w:rPr>
              <w:t>SGX</w:t>
            </w:r>
          </w:p>
        </w:tc>
        <w:tc>
          <w:tcPr>
            <w:tcW w:type="dxa" w:w="725"/>
            <w:shd w:val="clear" w:color="auto" w:fill="EEF1F6"/>
          </w:tcPr>
          <w:p>
            <w:r>
              <w:rPr>
                <w:b w:val="0"/>
                <w:i w:val="0"/>
                <w:sz w:val="15"/>
              </w:rPr>
              <w:t>~52</w:t>
            </w:r>
          </w:p>
        </w:tc>
        <w:tc>
          <w:tcPr>
            <w:tcW w:type="dxa" w:w="653"/>
            <w:shd w:val="clear" w:color="auto" w:fill="EEF1F6"/>
          </w:tcPr>
          <w:p>
            <w:r>
              <w:rPr>
                <w:b w:val="0"/>
                <w:i w:val="0"/>
                <w:sz w:val="15"/>
              </w:rPr>
              <w:t>~5.0x*</w:t>
            </w:r>
          </w:p>
        </w:tc>
        <w:tc>
          <w:tcPr>
            <w:tcW w:type="dxa" w:w="725"/>
            <w:shd w:val="clear" w:color="auto" w:fill="EEF1F6"/>
          </w:tcPr>
          <w:p>
            <w:r>
              <w:rPr>
                <w:b w:val="0"/>
                <w:i w:val="0"/>
                <w:sz w:val="15"/>
              </w:rPr>
              <w:t>~14.5x*</w:t>
            </w:r>
          </w:p>
        </w:tc>
        <w:tc>
          <w:tcPr>
            <w:tcW w:type="dxa" w:w="653"/>
            <w:shd w:val="clear" w:color="auto" w:fill="EEF1F6"/>
          </w:tcPr>
          <w:p>
            <w:r>
              <w:rPr>
                <w:b w:val="0"/>
                <w:i w:val="0"/>
                <w:sz w:val="15"/>
              </w:rPr>
              <w:t>~30x*</w:t>
            </w:r>
          </w:p>
        </w:tc>
        <w:tc>
          <w:tcPr>
            <w:tcW w:type="dxa" w:w="580"/>
            <w:shd w:val="clear" w:color="auto" w:fill="EEF1F6"/>
          </w:tcPr>
          <w:p>
            <w:r>
              <w:rPr>
                <w:b w:val="0"/>
                <w:i w:val="0"/>
                <w:sz w:val="15"/>
              </w:rPr>
              <w:t>~20x</w:t>
            </w:r>
          </w:p>
        </w:tc>
        <w:tc>
          <w:tcPr>
            <w:tcW w:type="dxa" w:w="653"/>
            <w:shd w:val="clear" w:color="auto" w:fill="EEF1F6"/>
          </w:tcPr>
          <w:p>
            <w:r>
              <w:rPr>
                <w:b w:val="0"/>
                <w:i w:val="0"/>
                <w:sz w:val="15"/>
              </w:rPr>
              <w:t>~27%</w:t>
            </w:r>
          </w:p>
        </w:tc>
        <w:tc>
          <w:tcPr>
            <w:tcW w:type="dxa" w:w="580"/>
            <w:shd w:val="clear" w:color="auto" w:fill="EEF1F6"/>
          </w:tcPr>
          <w:p>
            <w:r>
              <w:rPr>
                <w:b w:val="0"/>
                <w:i w:val="0"/>
                <w:sz w:val="15"/>
              </w:rPr>
              <w:t>~12%</w:t>
            </w:r>
          </w:p>
        </w:tc>
        <w:tc>
          <w:tcPr>
            <w:tcW w:type="dxa" w:w="580"/>
            <w:shd w:val="clear" w:color="auto" w:fill="EEF1F6"/>
          </w:tcPr>
          <w:p>
            <w:r>
              <w:rPr>
                <w:b w:val="0"/>
                <w:i w:val="0"/>
                <w:sz w:val="15"/>
              </w:rPr>
              <w:t>0-3%</w:t>
            </w:r>
          </w:p>
        </w:tc>
        <w:tc>
          <w:tcPr>
            <w:tcW w:type="dxa" w:w="725"/>
            <w:shd w:val="clear" w:color="auto" w:fill="EEF1F6"/>
          </w:tcPr>
          <w:p>
            <w:r>
              <w:rPr>
                <w:b w:val="0"/>
                <w:i w:val="0"/>
                <w:sz w:val="15"/>
              </w:rPr>
              <w:t>~2.5x</w:t>
            </w:r>
          </w:p>
        </w:tc>
        <w:tc>
          <w:tcPr>
            <w:tcW w:type="dxa" w:w="580"/>
            <w:shd w:val="clear" w:color="auto" w:fill="EEF1F6"/>
          </w:tcPr>
          <w:p>
            <w:r>
              <w:rPr>
                <w:b w:val="0"/>
                <w:i w:val="0"/>
                <w:sz w:val="15"/>
              </w:rPr>
              <w:t>~4.0%</w:t>
            </w:r>
          </w:p>
        </w:tc>
      </w:tr>
      <w:tr>
        <w:tc>
          <w:tcPr>
            <w:tcW w:type="dxa" w:w="1378"/>
          </w:tcPr>
          <w:p>
            <w:r>
              <w:rPr>
                <w:b w:val="0"/>
                <w:i w:val="0"/>
                <w:sz w:val="15"/>
              </w:rPr>
              <w:t>Telstra</w:t>
            </w:r>
          </w:p>
        </w:tc>
        <w:tc>
          <w:tcPr>
            <w:tcW w:type="dxa" w:w="1161"/>
          </w:tcPr>
          <w:p>
            <w:r>
              <w:rPr>
                <w:b w:val="0"/>
                <w:i w:val="0"/>
                <w:sz w:val="15"/>
              </w:rPr>
              <w:t>TLS AU</w:t>
            </w:r>
          </w:p>
        </w:tc>
        <w:tc>
          <w:tcPr>
            <w:tcW w:type="dxa" w:w="870"/>
          </w:tcPr>
          <w:p>
            <w:r>
              <w:rPr>
                <w:b w:val="0"/>
                <w:i w:val="0"/>
                <w:sz w:val="15"/>
              </w:rPr>
              <w:t>ASX</w:t>
            </w:r>
          </w:p>
        </w:tc>
        <w:tc>
          <w:tcPr>
            <w:tcW w:type="dxa" w:w="725"/>
          </w:tcPr>
          <w:p>
            <w:r>
              <w:rPr>
                <w:b w:val="0"/>
                <w:i w:val="0"/>
                <w:sz w:val="15"/>
              </w:rPr>
              <w:t>~38</w:t>
            </w:r>
          </w:p>
        </w:tc>
        <w:tc>
          <w:tcPr>
            <w:tcW w:type="dxa" w:w="653"/>
          </w:tcPr>
          <w:p>
            <w:r>
              <w:rPr>
                <w:b w:val="0"/>
                <w:i w:val="0"/>
                <w:sz w:val="15"/>
              </w:rPr>
              <w:t>~2.3x</w:t>
            </w:r>
          </w:p>
        </w:tc>
        <w:tc>
          <w:tcPr>
            <w:tcW w:type="dxa" w:w="725"/>
          </w:tcPr>
          <w:p>
            <w:r>
              <w:rPr>
                <w:b w:val="0"/>
                <w:i w:val="0"/>
                <w:sz w:val="15"/>
              </w:rPr>
              <w:t>~8.0x</w:t>
            </w:r>
          </w:p>
        </w:tc>
        <w:tc>
          <w:tcPr>
            <w:tcW w:type="dxa" w:w="653"/>
          </w:tcPr>
          <w:p>
            <w:r>
              <w:rPr>
                <w:b w:val="0"/>
                <w:i w:val="0"/>
                <w:sz w:val="15"/>
              </w:rPr>
              <w:t>~16x</w:t>
            </w:r>
          </w:p>
        </w:tc>
        <w:tc>
          <w:tcPr>
            <w:tcW w:type="dxa" w:w="580"/>
          </w:tcPr>
          <w:p>
            <w:r>
              <w:rPr>
                <w:b w:val="0"/>
                <w:i w:val="0"/>
                <w:sz w:val="15"/>
              </w:rPr>
              <w:t>~24x</w:t>
            </w:r>
          </w:p>
        </w:tc>
        <w:tc>
          <w:tcPr>
            <w:tcW w:type="dxa" w:w="653"/>
          </w:tcPr>
          <w:p>
            <w:r>
              <w:rPr>
                <w:b w:val="0"/>
                <w:i w:val="0"/>
                <w:sz w:val="15"/>
              </w:rPr>
              <w:t>~36%</w:t>
            </w:r>
          </w:p>
        </w:tc>
        <w:tc>
          <w:tcPr>
            <w:tcW w:type="dxa" w:w="580"/>
          </w:tcPr>
          <w:p>
            <w:r>
              <w:rPr>
                <w:b w:val="0"/>
                <w:i w:val="0"/>
                <w:sz w:val="15"/>
              </w:rPr>
              <w:t>~17%</w:t>
            </w:r>
          </w:p>
        </w:tc>
        <w:tc>
          <w:tcPr>
            <w:tcW w:type="dxa" w:w="580"/>
          </w:tcPr>
          <w:p>
            <w:r>
              <w:rPr>
                <w:b w:val="0"/>
                <w:i w:val="0"/>
                <w:sz w:val="15"/>
              </w:rPr>
              <w:t>1-3%</w:t>
            </w:r>
          </w:p>
        </w:tc>
        <w:tc>
          <w:tcPr>
            <w:tcW w:type="dxa" w:w="725"/>
          </w:tcPr>
          <w:p>
            <w:r>
              <w:rPr>
                <w:b w:val="0"/>
                <w:i w:val="0"/>
                <w:sz w:val="15"/>
              </w:rPr>
              <w:t>~1.8x</w:t>
            </w:r>
          </w:p>
        </w:tc>
        <w:tc>
          <w:tcPr>
            <w:tcW w:type="dxa" w:w="580"/>
          </w:tcPr>
          <w:p>
            <w:r>
              <w:rPr>
                <w:b w:val="0"/>
                <w:i w:val="0"/>
                <w:sz w:val="15"/>
              </w:rPr>
              <w:t>~4.0%</w:t>
            </w:r>
          </w:p>
        </w:tc>
      </w:tr>
      <w:tr>
        <w:tc>
          <w:tcPr>
            <w:tcW w:type="dxa" w:w="1378"/>
            <w:shd w:val="clear" w:color="auto" w:fill="EEF1F6"/>
          </w:tcPr>
          <w:p>
            <w:r>
              <w:rPr>
                <w:b w:val="0"/>
                <w:i w:val="0"/>
                <w:sz w:val="15"/>
              </w:rPr>
              <w:t>China Mobile</w:t>
            </w:r>
          </w:p>
        </w:tc>
        <w:tc>
          <w:tcPr>
            <w:tcW w:type="dxa" w:w="1161"/>
            <w:shd w:val="clear" w:color="auto" w:fill="EEF1F6"/>
          </w:tcPr>
          <w:p>
            <w:r>
              <w:rPr>
                <w:b w:val="0"/>
                <w:i w:val="0"/>
                <w:sz w:val="15"/>
              </w:rPr>
              <w:t>941 HK</w:t>
            </w:r>
          </w:p>
        </w:tc>
        <w:tc>
          <w:tcPr>
            <w:tcW w:type="dxa" w:w="870"/>
            <w:shd w:val="clear" w:color="auto" w:fill="EEF1F6"/>
          </w:tcPr>
          <w:p>
            <w:r>
              <w:rPr>
                <w:b w:val="0"/>
                <w:i w:val="0"/>
                <w:sz w:val="15"/>
              </w:rPr>
              <w:t>HKEX, SSE</w:t>
            </w:r>
          </w:p>
        </w:tc>
        <w:tc>
          <w:tcPr>
            <w:tcW w:type="dxa" w:w="725"/>
            <w:shd w:val="clear" w:color="auto" w:fill="EEF1F6"/>
          </w:tcPr>
          <w:p>
            <w:r>
              <w:rPr>
                <w:b w:val="0"/>
                <w:i w:val="0"/>
                <w:sz w:val="15"/>
              </w:rPr>
              <w:t>~295</w:t>
            </w:r>
          </w:p>
        </w:tc>
        <w:tc>
          <w:tcPr>
            <w:tcW w:type="dxa" w:w="653"/>
            <w:shd w:val="clear" w:color="auto" w:fill="EEF1F6"/>
          </w:tcPr>
          <w:p>
            <w:r>
              <w:rPr>
                <w:b w:val="0"/>
                <w:i w:val="0"/>
                <w:sz w:val="15"/>
              </w:rPr>
              <w:t>~1.1x</w:t>
            </w:r>
          </w:p>
        </w:tc>
        <w:tc>
          <w:tcPr>
            <w:tcW w:type="dxa" w:w="725"/>
            <w:shd w:val="clear" w:color="auto" w:fill="EEF1F6"/>
          </w:tcPr>
          <w:p>
            <w:r>
              <w:rPr>
                <w:b w:val="0"/>
                <w:i w:val="0"/>
                <w:sz w:val="15"/>
              </w:rPr>
              <w:t>~3.8x</w:t>
            </w:r>
          </w:p>
        </w:tc>
        <w:tc>
          <w:tcPr>
            <w:tcW w:type="dxa" w:w="653"/>
            <w:shd w:val="clear" w:color="auto" w:fill="EEF1F6"/>
          </w:tcPr>
          <w:p>
            <w:r>
              <w:rPr>
                <w:b w:val="0"/>
                <w:i w:val="0"/>
                <w:sz w:val="15"/>
              </w:rPr>
              <w:t>~9x</w:t>
            </w:r>
          </w:p>
        </w:tc>
        <w:tc>
          <w:tcPr>
            <w:tcW w:type="dxa" w:w="580"/>
            <w:shd w:val="clear" w:color="auto" w:fill="EEF1F6"/>
          </w:tcPr>
          <w:p>
            <w:r>
              <w:rPr>
                <w:b w:val="0"/>
                <w:i w:val="0"/>
                <w:sz w:val="15"/>
              </w:rPr>
              <w:t>~11.5x</w:t>
            </w:r>
          </w:p>
        </w:tc>
        <w:tc>
          <w:tcPr>
            <w:tcW w:type="dxa" w:w="653"/>
            <w:shd w:val="clear" w:color="auto" w:fill="EEF1F6"/>
          </w:tcPr>
          <w:p>
            <w:r>
              <w:rPr>
                <w:b w:val="0"/>
                <w:i w:val="0"/>
                <w:sz w:val="15"/>
              </w:rPr>
              <w:t>~32%</w:t>
            </w:r>
          </w:p>
        </w:tc>
        <w:tc>
          <w:tcPr>
            <w:tcW w:type="dxa" w:w="580"/>
            <w:shd w:val="clear" w:color="auto" w:fill="EEF1F6"/>
          </w:tcPr>
          <w:p>
            <w:r>
              <w:rPr>
                <w:b w:val="0"/>
                <w:i w:val="0"/>
                <w:sz w:val="15"/>
              </w:rPr>
              <w:t>~13%</w:t>
            </w:r>
          </w:p>
        </w:tc>
        <w:tc>
          <w:tcPr>
            <w:tcW w:type="dxa" w:w="580"/>
            <w:shd w:val="clear" w:color="auto" w:fill="EEF1F6"/>
          </w:tcPr>
          <w:p>
            <w:r>
              <w:rPr>
                <w:b w:val="0"/>
                <w:i w:val="0"/>
                <w:sz w:val="15"/>
              </w:rPr>
              <w:t>0-2%</w:t>
            </w:r>
          </w:p>
        </w:tc>
        <w:tc>
          <w:tcPr>
            <w:tcW w:type="dxa" w:w="725"/>
            <w:shd w:val="clear" w:color="auto" w:fill="EEF1F6"/>
          </w:tcPr>
          <w:p>
            <w:r>
              <w:rPr>
                <w:b w:val="0"/>
                <w:i w:val="0"/>
                <w:sz w:val="15"/>
              </w:rPr>
              <w:t>net cash</w:t>
            </w:r>
          </w:p>
        </w:tc>
        <w:tc>
          <w:tcPr>
            <w:tcW w:type="dxa" w:w="580"/>
            <w:shd w:val="clear" w:color="auto" w:fill="EEF1F6"/>
          </w:tcPr>
          <w:p>
            <w:r>
              <w:rPr>
                <w:b w:val="0"/>
                <w:i w:val="0"/>
                <w:sz w:val="15"/>
              </w:rPr>
              <w:t>~6.5%</w:t>
            </w:r>
          </w:p>
        </w:tc>
      </w:tr>
      <w:tr>
        <w:tc>
          <w:tcPr>
            <w:tcW w:type="dxa" w:w="1378"/>
          </w:tcPr>
          <w:p>
            <w:r>
              <w:rPr>
                <w:b w:val="0"/>
                <w:i w:val="0"/>
                <w:sz w:val="15"/>
              </w:rPr>
              <w:t>Telkom Indonesia</w:t>
            </w:r>
          </w:p>
        </w:tc>
        <w:tc>
          <w:tcPr>
            <w:tcW w:type="dxa" w:w="1161"/>
          </w:tcPr>
          <w:p>
            <w:r>
              <w:rPr>
                <w:b w:val="0"/>
                <w:i w:val="0"/>
                <w:sz w:val="15"/>
              </w:rPr>
              <w:t>TLKM IJ</w:t>
            </w:r>
          </w:p>
        </w:tc>
        <w:tc>
          <w:tcPr>
            <w:tcW w:type="dxa" w:w="870"/>
          </w:tcPr>
          <w:p>
            <w:r>
              <w:rPr>
                <w:b w:val="0"/>
                <w:i w:val="0"/>
                <w:sz w:val="15"/>
              </w:rPr>
              <w:t>IDX, NYSE</w:t>
            </w:r>
          </w:p>
        </w:tc>
        <w:tc>
          <w:tcPr>
            <w:tcW w:type="dxa" w:w="725"/>
          </w:tcPr>
          <w:p>
            <w:r>
              <w:rPr>
                <w:b w:val="0"/>
                <w:i w:val="0"/>
                <w:sz w:val="15"/>
              </w:rPr>
              <w:t>~19</w:t>
            </w:r>
          </w:p>
        </w:tc>
        <w:tc>
          <w:tcPr>
            <w:tcW w:type="dxa" w:w="653"/>
          </w:tcPr>
          <w:p>
            <w:r>
              <w:rPr>
                <w:b w:val="0"/>
                <w:i w:val="0"/>
                <w:sz w:val="15"/>
              </w:rPr>
              <w:t>~1.4x</w:t>
            </w:r>
          </w:p>
        </w:tc>
        <w:tc>
          <w:tcPr>
            <w:tcW w:type="dxa" w:w="725"/>
          </w:tcPr>
          <w:p>
            <w:r>
              <w:rPr>
                <w:b w:val="0"/>
                <w:i w:val="0"/>
                <w:sz w:val="15"/>
              </w:rPr>
              <w:t>~4.5x</w:t>
            </w:r>
          </w:p>
        </w:tc>
        <w:tc>
          <w:tcPr>
            <w:tcW w:type="dxa" w:w="653"/>
          </w:tcPr>
          <w:p>
            <w:r>
              <w:rPr>
                <w:b w:val="0"/>
                <w:i w:val="0"/>
                <w:sz w:val="15"/>
              </w:rPr>
              <w:t>~8x</w:t>
            </w:r>
          </w:p>
        </w:tc>
        <w:tc>
          <w:tcPr>
            <w:tcW w:type="dxa" w:w="580"/>
          </w:tcPr>
          <w:p>
            <w:r>
              <w:rPr>
                <w:b w:val="0"/>
                <w:i w:val="0"/>
                <w:sz w:val="15"/>
              </w:rPr>
              <w:t>~11x</w:t>
            </w:r>
          </w:p>
        </w:tc>
        <w:tc>
          <w:tcPr>
            <w:tcW w:type="dxa" w:w="653"/>
          </w:tcPr>
          <w:p>
            <w:r>
              <w:rPr>
                <w:b w:val="0"/>
                <w:i w:val="0"/>
                <w:sz w:val="15"/>
              </w:rPr>
              <w:t>~50%</w:t>
            </w:r>
          </w:p>
        </w:tc>
        <w:tc>
          <w:tcPr>
            <w:tcW w:type="dxa" w:w="580"/>
          </w:tcPr>
          <w:p>
            <w:r>
              <w:rPr>
                <w:b w:val="0"/>
                <w:i w:val="0"/>
                <w:sz w:val="15"/>
              </w:rPr>
              <w:t>~28%</w:t>
            </w:r>
          </w:p>
        </w:tc>
        <w:tc>
          <w:tcPr>
            <w:tcW w:type="dxa" w:w="580"/>
          </w:tcPr>
          <w:p>
            <w:r>
              <w:rPr>
                <w:b w:val="0"/>
                <w:i w:val="0"/>
                <w:sz w:val="15"/>
              </w:rPr>
              <w:t>0-2%</w:t>
            </w:r>
          </w:p>
        </w:tc>
        <w:tc>
          <w:tcPr>
            <w:tcW w:type="dxa" w:w="725"/>
          </w:tcPr>
          <w:p>
            <w:r>
              <w:rPr>
                <w:b w:val="0"/>
                <w:i w:val="0"/>
                <w:sz w:val="15"/>
              </w:rPr>
              <w:t>~0.5x</w:t>
            </w:r>
          </w:p>
        </w:tc>
        <w:tc>
          <w:tcPr>
            <w:tcW w:type="dxa" w:w="580"/>
          </w:tcPr>
          <w:p>
            <w:r>
              <w:rPr>
                <w:b w:val="0"/>
                <w:i w:val="0"/>
                <w:sz w:val="15"/>
              </w:rPr>
              <w:t>~6.0%</w:t>
            </w:r>
          </w:p>
        </w:tc>
      </w:tr>
      <w:tr>
        <w:tc>
          <w:tcPr>
            <w:tcW w:type="dxa" w:w="1378"/>
            <w:shd w:val="clear" w:color="auto" w:fill="EEF1F6"/>
          </w:tcPr>
          <w:p>
            <w:r>
              <w:rPr>
                <w:b w:val="0"/>
                <w:i w:val="0"/>
                <w:sz w:val="15"/>
              </w:rPr>
              <w:t>Axiata</w:t>
            </w:r>
          </w:p>
        </w:tc>
        <w:tc>
          <w:tcPr>
            <w:tcW w:type="dxa" w:w="1161"/>
            <w:shd w:val="clear" w:color="auto" w:fill="EEF1F6"/>
          </w:tcPr>
          <w:p>
            <w:r>
              <w:rPr>
                <w:b w:val="0"/>
                <w:i w:val="0"/>
                <w:sz w:val="15"/>
              </w:rPr>
              <w:t>AXIATA MK</w:t>
            </w:r>
          </w:p>
        </w:tc>
        <w:tc>
          <w:tcPr>
            <w:tcW w:type="dxa" w:w="870"/>
            <w:shd w:val="clear" w:color="auto" w:fill="EEF1F6"/>
          </w:tcPr>
          <w:p>
            <w:r>
              <w:rPr>
                <w:b w:val="0"/>
                <w:i w:val="0"/>
                <w:sz w:val="15"/>
              </w:rPr>
              <w:t>Bursa</w:t>
            </w:r>
          </w:p>
        </w:tc>
        <w:tc>
          <w:tcPr>
            <w:tcW w:type="dxa" w:w="725"/>
            <w:shd w:val="clear" w:color="auto" w:fill="EEF1F6"/>
          </w:tcPr>
          <w:p>
            <w:r>
              <w:rPr>
                <w:b w:val="0"/>
                <w:i w:val="0"/>
                <w:sz w:val="15"/>
              </w:rPr>
              <w:t>~5.5</w:t>
            </w:r>
          </w:p>
        </w:tc>
        <w:tc>
          <w:tcPr>
            <w:tcW w:type="dxa" w:w="653"/>
            <w:shd w:val="clear" w:color="auto" w:fill="EEF1F6"/>
          </w:tcPr>
          <w:p>
            <w:r>
              <w:rPr>
                <w:b w:val="0"/>
                <w:i w:val="0"/>
                <w:sz w:val="15"/>
              </w:rPr>
              <w:t>~1.8x</w:t>
            </w:r>
          </w:p>
        </w:tc>
        <w:tc>
          <w:tcPr>
            <w:tcW w:type="dxa" w:w="725"/>
            <w:shd w:val="clear" w:color="auto" w:fill="EEF1F6"/>
          </w:tcPr>
          <w:p>
            <w:r>
              <w:rPr>
                <w:b w:val="0"/>
                <w:i w:val="0"/>
                <w:sz w:val="15"/>
              </w:rPr>
              <w:t>~5.5x</w:t>
            </w:r>
          </w:p>
        </w:tc>
        <w:tc>
          <w:tcPr>
            <w:tcW w:type="dxa" w:w="653"/>
            <w:shd w:val="clear" w:color="auto" w:fill="EEF1F6"/>
          </w:tcPr>
          <w:p>
            <w:r>
              <w:rPr>
                <w:b w:val="0"/>
                <w:i w:val="0"/>
                <w:sz w:val="15"/>
              </w:rPr>
              <w:t>~15x</w:t>
            </w:r>
          </w:p>
        </w:tc>
        <w:tc>
          <w:tcPr>
            <w:tcW w:type="dxa" w:w="580"/>
            <w:shd w:val="clear" w:color="auto" w:fill="EEF1F6"/>
          </w:tcPr>
          <w:p>
            <w:r>
              <w:rPr>
                <w:b w:val="0"/>
                <w:i w:val="0"/>
                <w:sz w:val="15"/>
              </w:rPr>
              <w:t>20x+</w:t>
            </w:r>
          </w:p>
        </w:tc>
        <w:tc>
          <w:tcPr>
            <w:tcW w:type="dxa" w:w="653"/>
            <w:shd w:val="clear" w:color="auto" w:fill="EEF1F6"/>
          </w:tcPr>
          <w:p>
            <w:r>
              <w:rPr>
                <w:b w:val="0"/>
                <w:i w:val="0"/>
                <w:sz w:val="15"/>
              </w:rPr>
              <w:t>~45%</w:t>
            </w:r>
          </w:p>
        </w:tc>
        <w:tc>
          <w:tcPr>
            <w:tcW w:type="dxa" w:w="580"/>
            <w:shd w:val="clear" w:color="auto" w:fill="EEF1F6"/>
          </w:tcPr>
          <w:p>
            <w:r>
              <w:rPr>
                <w:b w:val="0"/>
                <w:i w:val="0"/>
                <w:sz w:val="15"/>
              </w:rPr>
              <w:t>~15%</w:t>
            </w:r>
          </w:p>
        </w:tc>
        <w:tc>
          <w:tcPr>
            <w:tcW w:type="dxa" w:w="580"/>
            <w:shd w:val="clear" w:color="auto" w:fill="EEF1F6"/>
          </w:tcPr>
          <w:p>
            <w:r>
              <w:rPr>
                <w:b w:val="0"/>
                <w:i w:val="0"/>
                <w:sz w:val="15"/>
              </w:rPr>
              <w:t>2-4%</w:t>
            </w:r>
          </w:p>
        </w:tc>
        <w:tc>
          <w:tcPr>
            <w:tcW w:type="dxa" w:w="725"/>
            <w:shd w:val="clear" w:color="auto" w:fill="EEF1F6"/>
          </w:tcPr>
          <w:p>
            <w:r>
              <w:rPr>
                <w:b w:val="0"/>
                <w:i w:val="0"/>
                <w:sz w:val="15"/>
              </w:rPr>
              <w:t>~2.0x+</w:t>
            </w:r>
          </w:p>
        </w:tc>
        <w:tc>
          <w:tcPr>
            <w:tcW w:type="dxa" w:w="580"/>
            <w:shd w:val="clear" w:color="auto" w:fill="EEF1F6"/>
          </w:tcPr>
          <w:p>
            <w:r>
              <w:rPr>
                <w:b w:val="0"/>
                <w:i w:val="0"/>
                <w:sz w:val="15"/>
              </w:rPr>
              <w:t>~3.5%</w:t>
            </w:r>
          </w:p>
        </w:tc>
      </w:tr>
      <w:tr>
        <w:tc>
          <w:tcPr>
            <w:tcW w:type="dxa" w:w="1378"/>
          </w:tcPr>
          <w:p>
            <w:r>
              <w:rPr>
                <w:b w:val="0"/>
                <w:i w:val="0"/>
                <w:sz w:val="15"/>
              </w:rPr>
              <w:t>Verizon</w:t>
            </w:r>
          </w:p>
        </w:tc>
        <w:tc>
          <w:tcPr>
            <w:tcW w:type="dxa" w:w="1161"/>
          </w:tcPr>
          <w:p>
            <w:r>
              <w:rPr>
                <w:b w:val="0"/>
                <w:i w:val="0"/>
                <w:sz w:val="15"/>
              </w:rPr>
              <w:t>VZ</w:t>
            </w:r>
          </w:p>
        </w:tc>
        <w:tc>
          <w:tcPr>
            <w:tcW w:type="dxa" w:w="870"/>
          </w:tcPr>
          <w:p>
            <w:r>
              <w:rPr>
                <w:b w:val="0"/>
                <w:i w:val="0"/>
                <w:sz w:val="15"/>
              </w:rPr>
              <w:t>NYSE</w:t>
            </w:r>
          </w:p>
        </w:tc>
        <w:tc>
          <w:tcPr>
            <w:tcW w:type="dxa" w:w="725"/>
          </w:tcPr>
          <w:p>
            <w:r>
              <w:rPr>
                <w:b w:val="0"/>
                <w:i w:val="0"/>
                <w:sz w:val="15"/>
              </w:rPr>
              <w:t>~180</w:t>
            </w:r>
          </w:p>
        </w:tc>
        <w:tc>
          <w:tcPr>
            <w:tcW w:type="dxa" w:w="653"/>
          </w:tcPr>
          <w:p>
            <w:r>
              <w:rPr>
                <w:b w:val="0"/>
                <w:i w:val="0"/>
                <w:sz w:val="15"/>
              </w:rPr>
              <w:t>~2.5x</w:t>
            </w:r>
          </w:p>
        </w:tc>
        <w:tc>
          <w:tcPr>
            <w:tcW w:type="dxa" w:w="725"/>
          </w:tcPr>
          <w:p>
            <w:r>
              <w:rPr>
                <w:b w:val="0"/>
                <w:i w:val="0"/>
                <w:sz w:val="15"/>
              </w:rPr>
              <w:t>~7.0x</w:t>
            </w:r>
          </w:p>
        </w:tc>
        <w:tc>
          <w:tcPr>
            <w:tcW w:type="dxa" w:w="653"/>
          </w:tcPr>
          <w:p>
            <w:r>
              <w:rPr>
                <w:b w:val="0"/>
                <w:i w:val="0"/>
                <w:sz w:val="15"/>
              </w:rPr>
              <w:t>~12x</w:t>
            </w:r>
          </w:p>
        </w:tc>
        <w:tc>
          <w:tcPr>
            <w:tcW w:type="dxa" w:w="580"/>
          </w:tcPr>
          <w:p>
            <w:r>
              <w:rPr>
                <w:b w:val="0"/>
                <w:i w:val="0"/>
                <w:sz w:val="15"/>
              </w:rPr>
              <w:t>~9x</w:t>
            </w:r>
          </w:p>
        </w:tc>
        <w:tc>
          <w:tcPr>
            <w:tcW w:type="dxa" w:w="653"/>
          </w:tcPr>
          <w:p>
            <w:r>
              <w:rPr>
                <w:b w:val="0"/>
                <w:i w:val="0"/>
                <w:sz w:val="15"/>
              </w:rPr>
              <w:t>~36%</w:t>
            </w:r>
          </w:p>
        </w:tc>
        <w:tc>
          <w:tcPr>
            <w:tcW w:type="dxa" w:w="580"/>
          </w:tcPr>
          <w:p>
            <w:r>
              <w:rPr>
                <w:b w:val="0"/>
                <w:i w:val="0"/>
                <w:sz w:val="15"/>
              </w:rPr>
              <w:t>~22%</w:t>
            </w:r>
          </w:p>
        </w:tc>
        <w:tc>
          <w:tcPr>
            <w:tcW w:type="dxa" w:w="580"/>
          </w:tcPr>
          <w:p>
            <w:r>
              <w:rPr>
                <w:b w:val="0"/>
                <w:i w:val="0"/>
                <w:sz w:val="15"/>
              </w:rPr>
              <w:t>1-2%</w:t>
            </w:r>
          </w:p>
        </w:tc>
        <w:tc>
          <w:tcPr>
            <w:tcW w:type="dxa" w:w="725"/>
          </w:tcPr>
          <w:p>
            <w:r>
              <w:rPr>
                <w:b w:val="0"/>
                <w:i w:val="0"/>
                <w:sz w:val="15"/>
              </w:rPr>
              <w:t>~2.5x</w:t>
            </w:r>
          </w:p>
        </w:tc>
        <w:tc>
          <w:tcPr>
            <w:tcW w:type="dxa" w:w="580"/>
          </w:tcPr>
          <w:p>
            <w:r>
              <w:rPr>
                <w:b w:val="0"/>
                <w:i w:val="0"/>
                <w:sz w:val="15"/>
              </w:rPr>
              <w:t>~6.5%</w:t>
            </w:r>
          </w:p>
        </w:tc>
      </w:tr>
      <w:tr>
        <w:tc>
          <w:tcPr>
            <w:tcW w:type="dxa" w:w="1378"/>
            <w:shd w:val="clear" w:color="auto" w:fill="EEF1F6"/>
          </w:tcPr>
          <w:p>
            <w:r>
              <w:rPr>
                <w:b w:val="0"/>
                <w:i w:val="0"/>
                <w:sz w:val="15"/>
              </w:rPr>
              <w:t>T-Mobile US</w:t>
            </w:r>
          </w:p>
        </w:tc>
        <w:tc>
          <w:tcPr>
            <w:tcW w:type="dxa" w:w="1161"/>
            <w:shd w:val="clear" w:color="auto" w:fill="EEF1F6"/>
          </w:tcPr>
          <w:p>
            <w:r>
              <w:rPr>
                <w:b w:val="0"/>
                <w:i w:val="0"/>
                <w:sz w:val="15"/>
              </w:rPr>
              <w:t>TMUS</w:t>
            </w:r>
          </w:p>
        </w:tc>
        <w:tc>
          <w:tcPr>
            <w:tcW w:type="dxa" w:w="870"/>
            <w:shd w:val="clear" w:color="auto" w:fill="EEF1F6"/>
          </w:tcPr>
          <w:p>
            <w:r>
              <w:rPr>
                <w:b w:val="0"/>
                <w:i w:val="0"/>
                <w:sz w:val="15"/>
              </w:rPr>
              <w:t>NASDAQ</w:t>
            </w:r>
          </w:p>
        </w:tc>
        <w:tc>
          <w:tcPr>
            <w:tcW w:type="dxa" w:w="725"/>
            <w:shd w:val="clear" w:color="auto" w:fill="EEF1F6"/>
          </w:tcPr>
          <w:p>
            <w:r>
              <w:rPr>
                <w:b w:val="0"/>
                <w:i w:val="0"/>
                <w:sz w:val="15"/>
              </w:rPr>
              <w:t>~265</w:t>
            </w:r>
          </w:p>
        </w:tc>
        <w:tc>
          <w:tcPr>
            <w:tcW w:type="dxa" w:w="653"/>
            <w:shd w:val="clear" w:color="auto" w:fill="EEF1F6"/>
          </w:tcPr>
          <w:p>
            <w:r>
              <w:rPr>
                <w:b w:val="0"/>
                <w:i w:val="0"/>
                <w:sz w:val="15"/>
              </w:rPr>
              <w:t>~3.9x</w:t>
            </w:r>
          </w:p>
        </w:tc>
        <w:tc>
          <w:tcPr>
            <w:tcW w:type="dxa" w:w="725"/>
            <w:shd w:val="clear" w:color="auto" w:fill="EEF1F6"/>
          </w:tcPr>
          <w:p>
            <w:r>
              <w:rPr>
                <w:b w:val="0"/>
                <w:i w:val="0"/>
                <w:sz w:val="15"/>
              </w:rPr>
              <w:t>~10.5x</w:t>
            </w:r>
          </w:p>
        </w:tc>
        <w:tc>
          <w:tcPr>
            <w:tcW w:type="dxa" w:w="653"/>
            <w:shd w:val="clear" w:color="auto" w:fill="EEF1F6"/>
          </w:tcPr>
          <w:p>
            <w:r>
              <w:rPr>
                <w:b w:val="0"/>
                <w:i w:val="0"/>
                <w:sz w:val="15"/>
              </w:rPr>
              <w:t>~17x</w:t>
            </w:r>
          </w:p>
        </w:tc>
        <w:tc>
          <w:tcPr>
            <w:tcW w:type="dxa" w:w="580"/>
            <w:shd w:val="clear" w:color="auto" w:fill="EEF1F6"/>
          </w:tcPr>
          <w:p>
            <w:r>
              <w:rPr>
                <w:b w:val="0"/>
                <w:i w:val="0"/>
                <w:sz w:val="15"/>
              </w:rPr>
              <w:t>~20x</w:t>
            </w:r>
          </w:p>
        </w:tc>
        <w:tc>
          <w:tcPr>
            <w:tcW w:type="dxa" w:w="653"/>
            <w:shd w:val="clear" w:color="auto" w:fill="EEF1F6"/>
          </w:tcPr>
          <w:p>
            <w:r>
              <w:rPr>
                <w:b w:val="0"/>
                <w:i w:val="0"/>
                <w:sz w:val="15"/>
              </w:rPr>
              <w:t>~39%</w:t>
            </w:r>
          </w:p>
        </w:tc>
        <w:tc>
          <w:tcPr>
            <w:tcW w:type="dxa" w:w="580"/>
            <w:shd w:val="clear" w:color="auto" w:fill="EEF1F6"/>
          </w:tcPr>
          <w:p>
            <w:r>
              <w:rPr>
                <w:b w:val="0"/>
                <w:i w:val="0"/>
                <w:sz w:val="15"/>
              </w:rPr>
              <w:t>~23%</w:t>
            </w:r>
          </w:p>
        </w:tc>
        <w:tc>
          <w:tcPr>
            <w:tcW w:type="dxa" w:w="580"/>
            <w:shd w:val="clear" w:color="auto" w:fill="EEF1F6"/>
          </w:tcPr>
          <w:p>
            <w:r>
              <w:rPr>
                <w:b w:val="0"/>
                <w:i w:val="0"/>
                <w:sz w:val="15"/>
              </w:rPr>
              <w:t>4-6%</w:t>
            </w:r>
          </w:p>
        </w:tc>
        <w:tc>
          <w:tcPr>
            <w:tcW w:type="dxa" w:w="725"/>
            <w:shd w:val="clear" w:color="auto" w:fill="EEF1F6"/>
          </w:tcPr>
          <w:p>
            <w:r>
              <w:rPr>
                <w:b w:val="0"/>
                <w:i w:val="0"/>
                <w:sz w:val="15"/>
              </w:rPr>
              <w:t>~2.3x</w:t>
            </w:r>
          </w:p>
        </w:tc>
        <w:tc>
          <w:tcPr>
            <w:tcW w:type="dxa" w:w="580"/>
            <w:shd w:val="clear" w:color="auto" w:fill="EEF1F6"/>
          </w:tcPr>
          <w:p>
            <w:r>
              <w:rPr>
                <w:b w:val="0"/>
                <w:i w:val="0"/>
                <w:sz w:val="15"/>
              </w:rPr>
              <w:t>~1.7%</w:t>
            </w:r>
          </w:p>
        </w:tc>
      </w:tr>
      <w:tr>
        <w:tc>
          <w:tcPr>
            <w:tcW w:type="dxa" w:w="1378"/>
          </w:tcPr>
          <w:p>
            <w:r>
              <w:rPr>
                <w:b w:val="0"/>
                <w:i w:val="0"/>
                <w:sz w:val="15"/>
              </w:rPr>
              <w:t>Deutsche Telekom</w:t>
            </w:r>
          </w:p>
        </w:tc>
        <w:tc>
          <w:tcPr>
            <w:tcW w:type="dxa" w:w="1161"/>
          </w:tcPr>
          <w:p>
            <w:r>
              <w:rPr>
                <w:b w:val="0"/>
                <w:i w:val="0"/>
                <w:sz w:val="15"/>
              </w:rPr>
              <w:t>DTE GY</w:t>
            </w:r>
          </w:p>
        </w:tc>
        <w:tc>
          <w:tcPr>
            <w:tcW w:type="dxa" w:w="870"/>
          </w:tcPr>
          <w:p>
            <w:r>
              <w:rPr>
                <w:b w:val="0"/>
                <w:i w:val="0"/>
                <w:sz w:val="15"/>
              </w:rPr>
              <w:t>XETRA</w:t>
            </w:r>
          </w:p>
        </w:tc>
        <w:tc>
          <w:tcPr>
            <w:tcW w:type="dxa" w:w="725"/>
          </w:tcPr>
          <w:p>
            <w:r>
              <w:rPr>
                <w:b w:val="0"/>
                <w:i w:val="0"/>
                <w:sz w:val="15"/>
              </w:rPr>
              <w:t>~178</w:t>
            </w:r>
          </w:p>
        </w:tc>
        <w:tc>
          <w:tcPr>
            <w:tcW w:type="dxa" w:w="653"/>
          </w:tcPr>
          <w:p>
            <w:r>
              <w:rPr>
                <w:b w:val="0"/>
                <w:i w:val="0"/>
                <w:sz w:val="15"/>
              </w:rPr>
              <w:t>~2.6x</w:t>
            </w:r>
          </w:p>
        </w:tc>
        <w:tc>
          <w:tcPr>
            <w:tcW w:type="dxa" w:w="725"/>
          </w:tcPr>
          <w:p>
            <w:r>
              <w:rPr>
                <w:b w:val="0"/>
                <w:i w:val="0"/>
                <w:sz w:val="15"/>
              </w:rPr>
              <w:t>~6.8x</w:t>
            </w:r>
          </w:p>
        </w:tc>
        <w:tc>
          <w:tcPr>
            <w:tcW w:type="dxa" w:w="653"/>
          </w:tcPr>
          <w:p>
            <w:r>
              <w:rPr>
                <w:b w:val="0"/>
                <w:i w:val="0"/>
                <w:sz w:val="15"/>
              </w:rPr>
              <w:t>~13x</w:t>
            </w:r>
          </w:p>
        </w:tc>
        <w:tc>
          <w:tcPr>
            <w:tcW w:type="dxa" w:w="580"/>
          </w:tcPr>
          <w:p>
            <w:r>
              <w:rPr>
                <w:b w:val="0"/>
                <w:i w:val="0"/>
                <w:sz w:val="15"/>
              </w:rPr>
              <w:t>~14x</w:t>
            </w:r>
          </w:p>
        </w:tc>
        <w:tc>
          <w:tcPr>
            <w:tcW w:type="dxa" w:w="653"/>
          </w:tcPr>
          <w:p>
            <w:r>
              <w:rPr>
                <w:b w:val="0"/>
                <w:i w:val="0"/>
                <w:sz w:val="15"/>
              </w:rPr>
              <w:t>~40%</w:t>
            </w:r>
          </w:p>
        </w:tc>
        <w:tc>
          <w:tcPr>
            <w:tcW w:type="dxa" w:w="580"/>
          </w:tcPr>
          <w:p>
            <w:r>
              <w:rPr>
                <w:b w:val="0"/>
                <w:i w:val="0"/>
                <w:sz w:val="15"/>
              </w:rPr>
              <w:t>~20%</w:t>
            </w:r>
          </w:p>
        </w:tc>
        <w:tc>
          <w:tcPr>
            <w:tcW w:type="dxa" w:w="580"/>
          </w:tcPr>
          <w:p>
            <w:r>
              <w:rPr>
                <w:b w:val="0"/>
                <w:i w:val="0"/>
                <w:sz w:val="15"/>
              </w:rPr>
              <w:t>2-4%</w:t>
            </w:r>
          </w:p>
        </w:tc>
        <w:tc>
          <w:tcPr>
            <w:tcW w:type="dxa" w:w="725"/>
          </w:tcPr>
          <w:p>
            <w:r>
              <w:rPr>
                <w:b w:val="0"/>
                <w:i w:val="0"/>
                <w:sz w:val="15"/>
              </w:rPr>
              <w:t>~2.3x</w:t>
            </w:r>
          </w:p>
        </w:tc>
        <w:tc>
          <w:tcPr>
            <w:tcW w:type="dxa" w:w="580"/>
          </w:tcPr>
          <w:p>
            <w:r>
              <w:rPr>
                <w:b w:val="0"/>
                <w:i w:val="0"/>
                <w:sz w:val="15"/>
              </w:rPr>
              <w:t>~3.0%</w:t>
            </w:r>
          </w:p>
        </w:tc>
      </w:tr>
      <w:tr>
        <w:tc>
          <w:tcPr>
            <w:tcW w:type="dxa" w:w="1378"/>
            <w:shd w:val="clear" w:color="auto" w:fill="EEF1F6"/>
          </w:tcPr>
          <w:p>
            <w:r>
              <w:rPr>
                <w:b w:val="0"/>
                <w:i w:val="0"/>
                <w:sz w:val="15"/>
              </w:rPr>
              <w:t>Peer median (ex-SKT)</w:t>
            </w:r>
          </w:p>
        </w:tc>
        <w:tc>
          <w:tcPr>
            <w:tcW w:type="dxa" w:w="1161"/>
            <w:shd w:val="clear" w:color="auto" w:fill="EEF1F6"/>
          </w:tcPr>
          <w:p/>
        </w:tc>
        <w:tc>
          <w:tcPr>
            <w:tcW w:type="dxa" w:w="870"/>
            <w:shd w:val="clear" w:color="auto" w:fill="EEF1F6"/>
          </w:tcPr>
          <w:p/>
        </w:tc>
        <w:tc>
          <w:tcPr>
            <w:tcW w:type="dxa" w:w="725"/>
            <w:shd w:val="clear" w:color="auto" w:fill="EEF1F6"/>
          </w:tcPr>
          <w:p/>
        </w:tc>
        <w:tc>
          <w:tcPr>
            <w:tcW w:type="dxa" w:w="653"/>
            <w:shd w:val="clear" w:color="auto" w:fill="EEF1F6"/>
          </w:tcPr>
          <w:p>
            <w:r>
              <w:rPr>
                <w:b w:val="0"/>
                <w:i w:val="0"/>
                <w:sz w:val="15"/>
              </w:rPr>
              <w:t>~2.2x</w:t>
            </w:r>
          </w:p>
        </w:tc>
        <w:tc>
          <w:tcPr>
            <w:tcW w:type="dxa" w:w="725"/>
            <w:shd w:val="clear" w:color="auto" w:fill="EEF1F6"/>
          </w:tcPr>
          <w:p>
            <w:r>
              <w:rPr>
                <w:b w:val="0"/>
                <w:i w:val="0"/>
                <w:sz w:val="15"/>
              </w:rPr>
              <w:t>~7.0x</w:t>
            </w:r>
          </w:p>
        </w:tc>
        <w:tc>
          <w:tcPr>
            <w:tcW w:type="dxa" w:w="653"/>
            <w:shd w:val="clear" w:color="auto" w:fill="EEF1F6"/>
          </w:tcPr>
          <w:p>
            <w:r>
              <w:rPr>
                <w:b w:val="0"/>
                <w:i w:val="0"/>
                <w:sz w:val="15"/>
              </w:rPr>
              <w:t>~15x</w:t>
            </w:r>
          </w:p>
        </w:tc>
        <w:tc>
          <w:tcPr>
            <w:tcW w:type="dxa" w:w="580"/>
            <w:shd w:val="clear" w:color="auto" w:fill="EEF1F6"/>
          </w:tcPr>
          <w:p>
            <w:r>
              <w:rPr>
                <w:b w:val="0"/>
                <w:i w:val="0"/>
                <w:sz w:val="15"/>
              </w:rPr>
              <w:t>~14x</w:t>
            </w:r>
          </w:p>
        </w:tc>
        <w:tc>
          <w:tcPr>
            <w:tcW w:type="dxa" w:w="653"/>
            <w:shd w:val="clear" w:color="auto" w:fill="EEF1F6"/>
          </w:tcPr>
          <w:p>
            <w:r>
              <w:rPr>
                <w:b w:val="0"/>
                <w:i w:val="0"/>
                <w:sz w:val="15"/>
              </w:rPr>
              <w:t>~33%</w:t>
            </w:r>
          </w:p>
        </w:tc>
        <w:tc>
          <w:tcPr>
            <w:tcW w:type="dxa" w:w="580"/>
            <w:shd w:val="clear" w:color="auto" w:fill="EEF1F6"/>
          </w:tcPr>
          <w:p>
            <w:r>
              <w:rPr>
                <w:b w:val="0"/>
                <w:i w:val="0"/>
                <w:sz w:val="15"/>
              </w:rPr>
              <w:t>~15%</w:t>
            </w:r>
          </w:p>
        </w:tc>
        <w:tc>
          <w:tcPr>
            <w:tcW w:type="dxa" w:w="580"/>
            <w:shd w:val="clear" w:color="auto" w:fill="EEF1F6"/>
          </w:tcPr>
          <w:p>
            <w:r>
              <w:rPr>
                <w:b w:val="0"/>
                <w:i w:val="0"/>
                <w:sz w:val="15"/>
              </w:rPr>
              <w:t>~2%</w:t>
            </w:r>
          </w:p>
        </w:tc>
        <w:tc>
          <w:tcPr>
            <w:tcW w:type="dxa" w:w="725"/>
            <w:shd w:val="clear" w:color="auto" w:fill="EEF1F6"/>
          </w:tcPr>
          <w:p>
            <w:r>
              <w:rPr>
                <w:b w:val="0"/>
                <w:i w:val="0"/>
                <w:sz w:val="15"/>
              </w:rPr>
              <w:t>~2.0x</w:t>
            </w:r>
          </w:p>
        </w:tc>
        <w:tc>
          <w:tcPr>
            <w:tcW w:type="dxa" w:w="580"/>
            <w:shd w:val="clear" w:color="auto" w:fill="EEF1F6"/>
          </w:tcPr>
          <w:p>
            <w:r>
              <w:rPr>
                <w:b w:val="0"/>
                <w:i w:val="0"/>
                <w:sz w:val="15"/>
              </w:rPr>
              <w:t>~4.0%</w:t>
            </w:r>
          </w:p>
        </w:tc>
      </w:tr>
    </w:tbl>
    <w:p>
      <w:r>
        <w:rPr>
          <w:b w:val="0"/>
          <w:i/>
          <w:color w:val="5B6475"/>
          <w:sz w:val="15"/>
        </w:rPr>
        <w:t>Indicative ranges (approx. H1-2026 levels, ±15-20%) compiled from memory/aggregators because terminals and filings were not accessible [u]. *Singtel consolidated multiples inflated by regional associates. Refresh from Bloomberg before use.</w:t>
      </w:r>
    </w:p>
    <w:p>
      <w:pPr>
        <w:pStyle w:val="Heading2"/>
      </w:pPr>
      <w:r>
        <w:rPr>
          <w:b/>
          <w:i w:val="0"/>
          <w:color w:val="2D6CCB"/>
          <w:sz w:val="24"/>
        </w:rPr>
        <w:t>Private / unlisted competitors</w:t>
      </w:r>
    </w:p>
    <w:tbl>
      <w:tblPr>
        <w:tblStyle w:val="TableGrid"/>
        <w:tblW w:type="auto" w:w="0"/>
        <w:jc w:val="center"/>
        <w:tblLook w:firstColumn="1" w:firstRow="1" w:lastColumn="0" w:lastRow="0" w:noHBand="0" w:noVBand="1" w:val="04A0"/>
      </w:tblPr>
      <w:tblGrid>
        <w:gridCol w:w="3400"/>
        <w:gridCol w:w="3400"/>
        <w:gridCol w:w="3400"/>
      </w:tblGrid>
      <w:tr>
        <w:tc>
          <w:tcPr>
            <w:tcW w:type="dxa" w:w="2740"/>
            <w:shd w:val="clear" w:color="auto" w:fill="13223F"/>
          </w:tcPr>
          <w:p>
            <w:r>
              <w:rPr>
                <w:b/>
                <w:i w:val="0"/>
                <w:color w:val="FFFFFF"/>
                <w:sz w:val="15"/>
              </w:rPr>
              <w:t>Company</w:t>
            </w:r>
          </w:p>
        </w:tc>
        <w:tc>
          <w:tcPr>
            <w:tcW w:type="dxa" w:w="3654"/>
            <w:shd w:val="clear" w:color="auto" w:fill="13223F"/>
          </w:tcPr>
          <w:p>
            <w:r>
              <w:rPr>
                <w:b/>
                <w:i w:val="0"/>
                <w:color w:val="FFFFFF"/>
                <w:sz w:val="15"/>
              </w:rPr>
              <w:t>Segment</w:t>
            </w:r>
          </w:p>
        </w:tc>
        <w:tc>
          <w:tcPr>
            <w:tcW w:type="dxa" w:w="3471"/>
            <w:shd w:val="clear" w:color="auto" w:fill="13223F"/>
          </w:tcPr>
          <w:p>
            <w:r>
              <w:rPr>
                <w:b/>
                <w:i w:val="0"/>
                <w:color w:val="FFFFFF"/>
                <w:sz w:val="15"/>
              </w:rPr>
              <w:t>Status</w:t>
            </w:r>
          </w:p>
        </w:tc>
      </w:tr>
      <w:tr>
        <w:tc>
          <w:tcPr>
            <w:tcW w:type="dxa" w:w="2740"/>
          </w:tcPr>
          <w:p>
            <w:r>
              <w:rPr>
                <w:b w:val="0"/>
                <w:i w:val="0"/>
                <w:sz w:val="15"/>
              </w:rPr>
              <w:t>Toss Mobile (Viva Republica)</w:t>
            </w:r>
          </w:p>
        </w:tc>
        <w:tc>
          <w:tcPr>
            <w:tcW w:type="dxa" w:w="3654"/>
          </w:tcPr>
          <w:p>
            <w:r>
              <w:rPr>
                <w:b w:val="0"/>
                <w:i w:val="0"/>
                <w:sz w:val="15"/>
              </w:rPr>
              <w:t>MVNO</w:t>
            </w:r>
          </w:p>
        </w:tc>
        <w:tc>
          <w:tcPr>
            <w:tcW w:type="dxa" w:w="3471"/>
          </w:tcPr>
          <w:p>
            <w:r>
              <w:rPr>
                <w:b w:val="0"/>
                <w:i w:val="0"/>
                <w:sz w:val="15"/>
              </w:rPr>
              <w:t>Unlisted</w:t>
            </w:r>
          </w:p>
        </w:tc>
      </w:tr>
      <w:tr>
        <w:tc>
          <w:tcPr>
            <w:tcW w:type="dxa" w:w="2740"/>
            <w:shd w:val="clear" w:color="auto" w:fill="EEF1F6"/>
          </w:tcPr>
          <w:p>
            <w:r>
              <w:rPr>
                <w:b w:val="0"/>
                <w:i w:val="0"/>
                <w:sz w:val="15"/>
              </w:rPr>
              <w:t>Freet (Free Telecom)</w:t>
            </w:r>
          </w:p>
        </w:tc>
        <w:tc>
          <w:tcPr>
            <w:tcW w:type="dxa" w:w="3654"/>
            <w:shd w:val="clear" w:color="auto" w:fill="EEF1F6"/>
          </w:tcPr>
          <w:p>
            <w:r>
              <w:rPr>
                <w:b w:val="0"/>
                <w:i w:val="0"/>
                <w:sz w:val="15"/>
              </w:rPr>
              <w:t>MVNO</w:t>
            </w:r>
          </w:p>
        </w:tc>
        <w:tc>
          <w:tcPr>
            <w:tcW w:type="dxa" w:w="3471"/>
            <w:shd w:val="clear" w:color="auto" w:fill="EEF1F6"/>
          </w:tcPr>
          <w:p>
            <w:r>
              <w:rPr>
                <w:b w:val="0"/>
                <w:i w:val="0"/>
                <w:sz w:val="15"/>
              </w:rPr>
              <w:t>Unlisted</w:t>
            </w:r>
          </w:p>
        </w:tc>
      </w:tr>
      <w:tr>
        <w:tc>
          <w:tcPr>
            <w:tcW w:type="dxa" w:w="2740"/>
          </w:tcPr>
          <w:p>
            <w:r>
              <w:rPr>
                <w:b w:val="0"/>
                <w:i w:val="0"/>
                <w:sz w:val="15"/>
              </w:rPr>
              <w:t>KB Liiv M / Woori WON Mobile</w:t>
            </w:r>
          </w:p>
        </w:tc>
        <w:tc>
          <w:tcPr>
            <w:tcW w:type="dxa" w:w="3654"/>
          </w:tcPr>
          <w:p>
            <w:r>
              <w:rPr>
                <w:b w:val="0"/>
                <w:i w:val="0"/>
                <w:sz w:val="15"/>
              </w:rPr>
              <w:t>Bank MVNOs</w:t>
            </w:r>
          </w:p>
        </w:tc>
        <w:tc>
          <w:tcPr>
            <w:tcW w:type="dxa" w:w="3471"/>
          </w:tcPr>
          <w:p>
            <w:r>
              <w:rPr>
                <w:b w:val="0"/>
                <w:i w:val="0"/>
                <w:sz w:val="15"/>
              </w:rPr>
              <w:t>Parents listed (105560 KS / 316140 KS)</w:t>
            </w:r>
          </w:p>
        </w:tc>
      </w:tr>
      <w:tr>
        <w:tc>
          <w:tcPr>
            <w:tcW w:type="dxa" w:w="2740"/>
            <w:shd w:val="clear" w:color="auto" w:fill="EEF1F6"/>
          </w:tcPr>
          <w:p>
            <w:r>
              <w:rPr>
                <w:b w:val="0"/>
                <w:i w:val="0"/>
                <w:sz w:val="15"/>
              </w:rPr>
              <w:t>D'Live, CMB</w:t>
            </w:r>
          </w:p>
        </w:tc>
        <w:tc>
          <w:tcPr>
            <w:tcW w:type="dxa" w:w="3654"/>
            <w:shd w:val="clear" w:color="auto" w:fill="EEF1F6"/>
          </w:tcPr>
          <w:p>
            <w:r>
              <w:rPr>
                <w:b w:val="0"/>
                <w:i w:val="0"/>
                <w:sz w:val="15"/>
              </w:rPr>
              <w:t>Cable SO</w:t>
            </w:r>
          </w:p>
        </w:tc>
        <w:tc>
          <w:tcPr>
            <w:tcW w:type="dxa" w:w="3471"/>
            <w:shd w:val="clear" w:color="auto" w:fill="EEF1F6"/>
          </w:tcPr>
          <w:p>
            <w:r>
              <w:rPr>
                <w:b w:val="0"/>
                <w:i w:val="0"/>
                <w:sz w:val="15"/>
              </w:rPr>
              <w:t>Unlisted</w:t>
            </w:r>
          </w:p>
        </w:tc>
      </w:tr>
      <w:tr>
        <w:tc>
          <w:tcPr>
            <w:tcW w:type="dxa" w:w="2740"/>
          </w:tcPr>
          <w:p>
            <w:r>
              <w:rPr>
                <w:b w:val="0"/>
                <w:i w:val="0"/>
                <w:sz w:val="15"/>
              </w:rPr>
              <w:t>KT Cloud</w:t>
            </w:r>
          </w:p>
        </w:tc>
        <w:tc>
          <w:tcPr>
            <w:tcW w:type="dxa" w:w="3654"/>
          </w:tcPr>
          <w:p>
            <w:r>
              <w:rPr>
                <w:b w:val="0"/>
                <w:i w:val="0"/>
                <w:sz w:val="15"/>
              </w:rPr>
              <w:t>Cloud / DC</w:t>
            </w:r>
          </w:p>
        </w:tc>
        <w:tc>
          <w:tcPr>
            <w:tcW w:type="dxa" w:w="3471"/>
          </w:tcPr>
          <w:p>
            <w:r>
              <w:rPr>
                <w:b w:val="0"/>
                <w:i w:val="0"/>
                <w:sz w:val="15"/>
              </w:rPr>
              <w:t>Unlisted (KT subsidiary)</w:t>
            </w:r>
          </w:p>
        </w:tc>
      </w:tr>
      <w:tr>
        <w:tc>
          <w:tcPr>
            <w:tcW w:type="dxa" w:w="2740"/>
            <w:shd w:val="clear" w:color="auto" w:fill="EEF1F6"/>
          </w:tcPr>
          <w:p>
            <w:r>
              <w:rPr>
                <w:b w:val="0"/>
                <w:i w:val="0"/>
                <w:sz w:val="15"/>
              </w:rPr>
              <w:t>Naver Cloud</w:t>
            </w:r>
          </w:p>
        </w:tc>
        <w:tc>
          <w:tcPr>
            <w:tcW w:type="dxa" w:w="3654"/>
            <w:shd w:val="clear" w:color="auto" w:fill="EEF1F6"/>
          </w:tcPr>
          <w:p>
            <w:r>
              <w:rPr>
                <w:b w:val="0"/>
                <w:i w:val="0"/>
                <w:sz w:val="15"/>
              </w:rPr>
              <w:t>Cloud / AI</w:t>
            </w:r>
          </w:p>
        </w:tc>
        <w:tc>
          <w:tcPr>
            <w:tcW w:type="dxa" w:w="3471"/>
            <w:shd w:val="clear" w:color="auto" w:fill="EEF1F6"/>
          </w:tcPr>
          <w:p>
            <w:r>
              <w:rPr>
                <w:b w:val="0"/>
                <w:i w:val="0"/>
                <w:sz w:val="15"/>
              </w:rPr>
              <w:t>Unlisted (Naver 035420 KS)</w:t>
            </w:r>
          </w:p>
        </w:tc>
      </w:tr>
      <w:tr>
        <w:tc>
          <w:tcPr>
            <w:tcW w:type="dxa" w:w="2740"/>
          </w:tcPr>
          <w:p>
            <w:r>
              <w:rPr>
                <w:b w:val="0"/>
                <w:i w:val="0"/>
                <w:sz w:val="15"/>
              </w:rPr>
              <w:t>Anthropic / OpenAI</w:t>
            </w:r>
          </w:p>
        </w:tc>
        <w:tc>
          <w:tcPr>
            <w:tcW w:type="dxa" w:w="3654"/>
          </w:tcPr>
          <w:p>
            <w:r>
              <w:rPr>
                <w:b w:val="0"/>
                <w:i w:val="0"/>
                <w:sz w:val="15"/>
              </w:rPr>
              <w:t>AI models (partners &amp; potential competitors in AI services)</w:t>
            </w:r>
          </w:p>
        </w:tc>
        <w:tc>
          <w:tcPr>
            <w:tcW w:type="dxa" w:w="3471"/>
          </w:tcPr>
          <w:p>
            <w:r>
              <w:rPr>
                <w:b w:val="0"/>
                <w:i w:val="0"/>
                <w:sz w:val="15"/>
              </w:rPr>
              <w:t>Pre-IPO / unlisted</w:t>
            </w:r>
          </w:p>
        </w:tc>
      </w:tr>
      <w:tr>
        <w:tc>
          <w:tcPr>
            <w:tcW w:type="dxa" w:w="2740"/>
            <w:shd w:val="clear" w:color="auto" w:fill="EEF1F6"/>
          </w:tcPr>
          <w:p>
            <w:r>
              <w:rPr>
                <w:b w:val="0"/>
                <w:i w:val="0"/>
                <w:sz w:val="15"/>
              </w:rPr>
              <w:t>Watcha / TVING-Wavve</w:t>
            </w:r>
          </w:p>
        </w:tc>
        <w:tc>
          <w:tcPr>
            <w:tcW w:type="dxa" w:w="3654"/>
            <w:shd w:val="clear" w:color="auto" w:fill="EEF1F6"/>
          </w:tcPr>
          <w:p>
            <w:r>
              <w:rPr>
                <w:b w:val="0"/>
                <w:i w:val="0"/>
                <w:sz w:val="15"/>
              </w:rPr>
              <w:t>OTT</w:t>
            </w:r>
          </w:p>
        </w:tc>
        <w:tc>
          <w:tcPr>
            <w:tcW w:type="dxa" w:w="3471"/>
            <w:shd w:val="clear" w:color="auto" w:fill="EEF1F6"/>
          </w:tcPr>
          <w:p>
            <w:r>
              <w:rPr>
                <w:b w:val="0"/>
                <w:i w:val="0"/>
                <w:sz w:val="15"/>
              </w:rPr>
              <w:t>Unlisted / merging (CJ ENM 035760 KQ)</w:t>
            </w:r>
          </w:p>
        </w:tc>
      </w:tr>
    </w:tbl>
    <w:p/>
    <w:p>
      <w:pPr>
        <w:pStyle w:val="Heading2"/>
      </w:pPr>
      <w:r>
        <w:rPr>
          <w:b/>
          <w:i w:val="0"/>
          <w:color w:val="2D6CCB"/>
          <w:sz w:val="24"/>
        </w:rPr>
        <w:t>12.3 Regression - EV/Sales vs EBIT margin (listed peers)</w:t>
      </w:r>
    </w:p>
    <w:p>
      <w:r>
        <w:drawing>
          <wp:inline xmlns:a="http://schemas.openxmlformats.org/drawingml/2006/main" xmlns:pic="http://schemas.openxmlformats.org/drawingml/2006/picture">
            <wp:extent cx="5637599" cy="3241619"/>
            <wp:docPr id="6" name="Picture 6"/>
            <wp:cNvGraphicFramePr>
              <a:graphicFrameLocks noChangeAspect="1"/>
            </wp:cNvGraphicFramePr>
            <a:graphic>
              <a:graphicData uri="http://schemas.openxmlformats.org/drawingml/2006/picture">
                <pic:pic>
                  <pic:nvPicPr>
                    <pic:cNvPr id="0" name="c_reg.png"/>
                    <pic:cNvPicPr/>
                  </pic:nvPicPr>
                  <pic:blipFill>
                    <a:blip r:embed="rId14"/>
                    <a:stretch>
                      <a:fillRect/>
                    </a:stretch>
                  </pic:blipFill>
                  <pic:spPr>
                    <a:xfrm>
                      <a:off x="0" y="0"/>
                      <a:ext cx="5637599" cy="3241619"/>
                    </a:xfrm>
                    <a:prstGeom prst="rect"/>
                  </pic:spPr>
                </pic:pic>
              </a:graphicData>
            </a:graphic>
          </wp:inline>
        </w:drawing>
      </w:r>
    </w:p>
    <w:p>
      <w:r>
        <w:rPr>
          <w:b w:val="0"/>
          <w:i w:val="0"/>
          <w:color w:val="5B6475"/>
          <w:sz w:val="15"/>
        </w:rPr>
        <w:t>Indicative peer data (FY26E). Regression excludes Singtel (associate-inflated EV).</w:t>
      </w:r>
    </w:p>
    <w:p>
      <w:pPr>
        <w:pStyle w:val="ListBullet"/>
        <w:spacing w:after="20"/>
      </w:pPr>
      <w:r>
        <w:rPr>
          <w:b w:val="0"/>
          <w:i w:val="0"/>
        </w:rPr>
        <w:t>Regression: EV/Sales = 0.59 + 0.094 x EBIT margin (%), R² = 0.31 across 15 peers - a moderate fit (country risk premia, growth and tower/fibre structures explain the residual).</w:t>
      </w:r>
    </w:p>
    <w:p>
      <w:pPr>
        <w:pStyle w:val="ListBullet"/>
        <w:spacing w:after="20"/>
      </w:pPr>
      <w:r>
        <w:rPr>
          <w:b w:val="0"/>
          <w:i w:val="0"/>
        </w:rPr>
        <w:t xml:space="preserve">At SKT's FY26E EBIT margin of 11.3% the line implies a fair EV/Sales of ~1.66x vs 1.59x headline - </w:t>
      </w:r>
      <w:r>
        <w:rPr>
          <w:b/>
          <w:i w:val="0"/>
        </w:rPr>
        <w:t>fairly valued on the headline EV</w:t>
      </w:r>
      <w:r>
        <w:rPr>
          <w:b w:val="0"/>
          <w:i w:val="0"/>
        </w:rPr>
        <w:t>.</w:t>
      </w:r>
    </w:p>
    <w:p>
      <w:pPr>
        <w:pStyle w:val="ListBullet"/>
        <w:spacing w:after="20"/>
      </w:pPr>
      <w:r>
        <w:rPr>
          <w:b w:val="0"/>
          <w:i w:val="0"/>
        </w:rPr>
        <w:t xml:space="preserve">On a core basis (EV less Anthropic book value and other stakes) SKT trades at ~1.28x - </w:t>
      </w:r>
      <w:r>
        <w:rPr>
          <w:b/>
          <w:i w:val="0"/>
        </w:rPr>
        <w:t>~23% below the regression line</w:t>
      </w:r>
      <w:r>
        <w:rPr>
          <w:b w:val="0"/>
          <w:i w:val="0"/>
        </w:rPr>
        <w:t>, i.e. the market is giving the telco a KT/LG U+ style "Korea discount".</w:t>
      </w:r>
    </w:p>
    <w:p>
      <w:pPr>
        <w:pStyle w:val="ListBullet"/>
        <w:spacing w:after="20"/>
      </w:pPr>
      <w:r>
        <w:rPr>
          <w:b w:val="0"/>
          <w:i w:val="0"/>
        </w:rPr>
        <w:t>The Korean trio sits below the line as a cluster - regulation, tariff intervention and the governance ("Korea") discount are systemic; the Value-Up programme has so far narrowed but not closed the gap.</w:t>
      </w:r>
    </w:p>
    <w:p>
      <w:pPr>
        <w:pStyle w:val="Heading2"/>
      </w:pPr>
      <w:r>
        <w:rPr>
          <w:b/>
          <w:i w:val="0"/>
          <w:color w:val="2D6CCB"/>
          <w:sz w:val="24"/>
        </w:rPr>
        <w:t>12.4 Sum-of-the-parts (base case, 12-month)</w:t>
      </w:r>
    </w:p>
    <w:p>
      <w:r>
        <w:drawing>
          <wp:inline xmlns:a="http://schemas.openxmlformats.org/drawingml/2006/main" xmlns:pic="http://schemas.openxmlformats.org/drawingml/2006/picture">
            <wp:extent cx="5324400" cy="2395980"/>
            <wp:docPr id="7" name="Picture 7"/>
            <wp:cNvGraphicFramePr>
              <a:graphicFrameLocks noChangeAspect="1"/>
            </wp:cNvGraphicFramePr>
            <a:graphic>
              <a:graphicData uri="http://schemas.openxmlformats.org/drawingml/2006/picture">
                <pic:pic>
                  <pic:nvPicPr>
                    <pic:cNvPr id="0" name="c_sotp.png"/>
                    <pic:cNvPicPr/>
                  </pic:nvPicPr>
                  <pic:blipFill>
                    <a:blip r:embed="rId15"/>
                    <a:stretch>
                      <a:fillRect/>
                    </a:stretch>
                  </pic:blipFill>
                  <pic:spPr>
                    <a:xfrm>
                      <a:off x="0" y="0"/>
                      <a:ext cx="5324400" cy="2395980"/>
                    </a:xfrm>
                    <a:prstGeom prst="rect"/>
                  </pic:spPr>
                </pic:pic>
              </a:graphicData>
            </a:graphic>
          </wp:inline>
        </w:drawing>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631"/>
            <w:shd w:val="clear" w:color="auto" w:fill="13223F"/>
          </w:tcPr>
          <w:p>
            <w:r>
              <w:rPr>
                <w:b/>
                <w:i w:val="0"/>
                <w:color w:val="FFFFFF"/>
                <w:sz w:val="15"/>
              </w:rPr>
              <w:t>Component</w:t>
            </w:r>
          </w:p>
        </w:tc>
        <w:tc>
          <w:tcPr>
            <w:tcW w:type="dxa" w:w="4697"/>
            <w:shd w:val="clear" w:color="auto" w:fill="13223F"/>
          </w:tcPr>
          <w:p>
            <w:r>
              <w:rPr>
                <w:b/>
                <w:i w:val="0"/>
                <w:color w:val="FFFFFF"/>
                <w:sz w:val="15"/>
              </w:rPr>
              <w:t>Method</w:t>
            </w:r>
          </w:p>
        </w:tc>
        <w:tc>
          <w:tcPr>
            <w:tcW w:type="dxa" w:w="1127"/>
            <w:shd w:val="clear" w:color="auto" w:fill="13223F"/>
          </w:tcPr>
          <w:p>
            <w:r>
              <w:rPr>
                <w:b/>
                <w:i w:val="0"/>
                <w:color w:val="FFFFFF"/>
                <w:sz w:val="15"/>
              </w:rPr>
              <w:t>KRW tn</w:t>
            </w:r>
          </w:p>
        </w:tc>
        <w:tc>
          <w:tcPr>
            <w:tcW w:type="dxa" w:w="1409"/>
            <w:shd w:val="clear" w:color="auto" w:fill="13223F"/>
          </w:tcPr>
          <w:p>
            <w:r>
              <w:rPr>
                <w:b/>
                <w:i w:val="0"/>
                <w:color w:val="FFFFFF"/>
                <w:sz w:val="15"/>
              </w:rPr>
              <w:t>Per share</w:t>
            </w:r>
          </w:p>
        </w:tc>
      </w:tr>
      <w:tr>
        <w:tc>
          <w:tcPr>
            <w:tcW w:type="dxa" w:w="2631"/>
          </w:tcPr>
          <w:p>
            <w:r>
              <w:rPr>
                <w:b w:val="0"/>
                <w:i w:val="0"/>
                <w:sz w:val="15"/>
              </w:rPr>
              <w:t>Core telco (MNO + SKB ex-DC)</w:t>
            </w:r>
          </w:p>
        </w:tc>
        <w:tc>
          <w:tcPr>
            <w:tcW w:type="dxa" w:w="4697"/>
          </w:tcPr>
          <w:p>
            <w:r>
              <w:rPr>
                <w:b w:val="0"/>
                <w:i w:val="0"/>
                <w:sz w:val="15"/>
              </w:rPr>
              <w:t>4.2x FY27E EBITDA ex-AI-DC (KRW 5.6tn) - in line with 5-yr average</w:t>
            </w:r>
          </w:p>
        </w:tc>
        <w:tc>
          <w:tcPr>
            <w:tcW w:type="dxa" w:w="1127"/>
          </w:tcPr>
          <w:p>
            <w:r>
              <w:rPr>
                <w:b w:val="0"/>
                <w:i w:val="0"/>
                <w:sz w:val="15"/>
              </w:rPr>
              <w:t>23.5</w:t>
            </w:r>
          </w:p>
        </w:tc>
        <w:tc>
          <w:tcPr>
            <w:tcW w:type="dxa" w:w="1409"/>
          </w:tcPr>
          <w:p>
            <w:r>
              <w:rPr>
                <w:b w:val="0"/>
                <w:i w:val="0"/>
                <w:sz w:val="15"/>
              </w:rPr>
              <w:t>110,300</w:t>
            </w:r>
          </w:p>
        </w:tc>
      </w:tr>
      <w:tr>
        <w:tc>
          <w:tcPr>
            <w:tcW w:type="dxa" w:w="2631"/>
            <w:shd w:val="clear" w:color="auto" w:fill="EEF1F6"/>
          </w:tcPr>
          <w:p>
            <w:r>
              <w:rPr>
                <w:b w:val="0"/>
                <w:i w:val="0"/>
                <w:sz w:val="15"/>
              </w:rPr>
              <w:t>SK Horizon (51%)</w:t>
            </w:r>
          </w:p>
        </w:tc>
        <w:tc>
          <w:tcPr>
            <w:tcW w:type="dxa" w:w="4697"/>
            <w:shd w:val="clear" w:color="auto" w:fill="EEF1F6"/>
          </w:tcPr>
          <w:p>
            <w:r>
              <w:rPr>
                <w:b w:val="0"/>
                <w:i w:val="0"/>
                <w:sz w:val="15"/>
              </w:rPr>
              <w:t>KKR/IMM transaction value (KRW 3.08tn for 49%)</w:t>
            </w:r>
          </w:p>
        </w:tc>
        <w:tc>
          <w:tcPr>
            <w:tcW w:type="dxa" w:w="1127"/>
            <w:shd w:val="clear" w:color="auto" w:fill="EEF1F6"/>
          </w:tcPr>
          <w:p>
            <w:r>
              <w:rPr>
                <w:b w:val="0"/>
                <w:i w:val="0"/>
                <w:sz w:val="15"/>
              </w:rPr>
              <w:t>3.2</w:t>
            </w:r>
          </w:p>
        </w:tc>
        <w:tc>
          <w:tcPr>
            <w:tcW w:type="dxa" w:w="1409"/>
            <w:shd w:val="clear" w:color="auto" w:fill="EEF1F6"/>
          </w:tcPr>
          <w:p>
            <w:r>
              <w:rPr>
                <w:b w:val="0"/>
                <w:i w:val="0"/>
                <w:sz w:val="15"/>
              </w:rPr>
              <w:t>15,000</w:t>
            </w:r>
          </w:p>
        </w:tc>
      </w:tr>
      <w:tr>
        <w:tc>
          <w:tcPr>
            <w:tcW w:type="dxa" w:w="2631"/>
          </w:tcPr>
          <w:p>
            <w:r>
              <w:rPr>
                <w:b w:val="0"/>
                <w:i w:val="0"/>
                <w:sz w:val="15"/>
              </w:rPr>
              <w:t>Anthropic (3.86m shares)</w:t>
            </w:r>
          </w:p>
        </w:tc>
        <w:tc>
          <w:tcPr>
            <w:tcW w:type="dxa" w:w="4697"/>
          </w:tcPr>
          <w:p>
            <w:r>
              <w:rPr>
                <w:b w:val="0"/>
                <w:i w:val="0"/>
                <w:sz w:val="15"/>
              </w:rPr>
              <w:t>US$1.75tn IPO value, 24% tax on gain, 15% holdco discount</w:t>
            </w:r>
          </w:p>
        </w:tc>
        <w:tc>
          <w:tcPr>
            <w:tcW w:type="dxa" w:w="1127"/>
          </w:tcPr>
          <w:p>
            <w:r>
              <w:rPr>
                <w:b w:val="0"/>
                <w:i w:val="0"/>
                <w:sz w:val="15"/>
              </w:rPr>
              <w:t>4.0</w:t>
            </w:r>
          </w:p>
        </w:tc>
        <w:tc>
          <w:tcPr>
            <w:tcW w:type="dxa" w:w="1409"/>
          </w:tcPr>
          <w:p>
            <w:r>
              <w:rPr>
                <w:b w:val="0"/>
                <w:i w:val="0"/>
                <w:sz w:val="15"/>
              </w:rPr>
              <w:t>18,800</w:t>
            </w:r>
          </w:p>
        </w:tc>
      </w:tr>
      <w:tr>
        <w:tc>
          <w:tcPr>
            <w:tcW w:type="dxa" w:w="2631"/>
            <w:shd w:val="clear" w:color="auto" w:fill="EEF1F6"/>
          </w:tcPr>
          <w:p>
            <w:r>
              <w:rPr>
                <w:b w:val="0"/>
                <w:i w:val="0"/>
                <w:sz w:val="15"/>
              </w:rPr>
              <w:t>Other stakes</w:t>
            </w:r>
          </w:p>
        </w:tc>
        <w:tc>
          <w:tcPr>
            <w:tcW w:type="dxa" w:w="4697"/>
            <w:shd w:val="clear" w:color="auto" w:fill="EEF1F6"/>
          </w:tcPr>
          <w:p>
            <w:r>
              <w:rPr>
                <w:b w:val="0"/>
                <w:i w:val="0"/>
                <w:sz w:val="15"/>
              </w:rPr>
              <w:t>Hana Financial, Rebellions (look-through), Penguin, Joby, Lambda etc. at 80%</w:t>
            </w:r>
          </w:p>
        </w:tc>
        <w:tc>
          <w:tcPr>
            <w:tcW w:type="dxa" w:w="1127"/>
            <w:shd w:val="clear" w:color="auto" w:fill="EEF1F6"/>
          </w:tcPr>
          <w:p>
            <w:r>
              <w:rPr>
                <w:b w:val="0"/>
                <w:i w:val="0"/>
                <w:sz w:val="15"/>
              </w:rPr>
              <w:t>1.5</w:t>
            </w:r>
          </w:p>
        </w:tc>
        <w:tc>
          <w:tcPr>
            <w:tcW w:type="dxa" w:w="1409"/>
            <w:shd w:val="clear" w:color="auto" w:fill="EEF1F6"/>
          </w:tcPr>
          <w:p>
            <w:r>
              <w:rPr>
                <w:b w:val="0"/>
                <w:i w:val="0"/>
                <w:sz w:val="15"/>
              </w:rPr>
              <w:t>7,000</w:t>
            </w:r>
          </w:p>
        </w:tc>
      </w:tr>
      <w:tr>
        <w:tc>
          <w:tcPr>
            <w:tcW w:type="dxa" w:w="2631"/>
          </w:tcPr>
          <w:p>
            <w:r>
              <w:rPr>
                <w:b w:val="0"/>
                <w:i w:val="0"/>
                <w:sz w:val="15"/>
              </w:rPr>
              <w:t>Net debt &amp; minorities</w:t>
            </w:r>
          </w:p>
        </w:tc>
        <w:tc>
          <w:tcPr>
            <w:tcW w:type="dxa" w:w="4697"/>
          </w:tcPr>
          <w:p>
            <w:r>
              <w:rPr>
                <w:b w:val="0"/>
                <w:i w:val="0"/>
                <w:sz w:val="15"/>
              </w:rPr>
              <w:t>Dec-25 net debt incl. leases + minorities</w:t>
            </w:r>
          </w:p>
        </w:tc>
        <w:tc>
          <w:tcPr>
            <w:tcW w:type="dxa" w:w="1127"/>
          </w:tcPr>
          <w:p>
            <w:r>
              <w:rPr>
                <w:b w:val="0"/>
                <w:i w:val="0"/>
                <w:sz w:val="15"/>
              </w:rPr>
              <w:t>-9.6</w:t>
            </w:r>
          </w:p>
        </w:tc>
        <w:tc>
          <w:tcPr>
            <w:tcW w:type="dxa" w:w="1409"/>
          </w:tcPr>
          <w:p>
            <w:r>
              <w:rPr>
                <w:b w:val="0"/>
                <w:i w:val="0"/>
                <w:sz w:val="15"/>
              </w:rPr>
              <w:t>-45,000</w:t>
            </w:r>
          </w:p>
        </w:tc>
      </w:tr>
      <w:tr>
        <w:tc>
          <w:tcPr>
            <w:tcW w:type="dxa" w:w="2631"/>
            <w:shd w:val="clear" w:color="auto" w:fill="DCE8FA"/>
          </w:tcPr>
          <w:p>
            <w:r>
              <w:rPr>
                <w:b w:val="0"/>
                <w:i w:val="0"/>
                <w:sz w:val="15"/>
              </w:rPr>
              <w:t>Equity value</w:t>
            </w:r>
          </w:p>
        </w:tc>
        <w:tc>
          <w:tcPr>
            <w:tcW w:type="dxa" w:w="4697"/>
            <w:shd w:val="clear" w:color="auto" w:fill="DCE8FA"/>
          </w:tcPr>
          <w:p>
            <w:r>
              <w:rPr>
                <w:b w:val="0"/>
                <w:i w:val="0"/>
                <w:sz w:val="15"/>
              </w:rPr>
              <w:t>213.0m shares</w:t>
            </w:r>
          </w:p>
        </w:tc>
        <w:tc>
          <w:tcPr>
            <w:tcW w:type="dxa" w:w="1127"/>
            <w:shd w:val="clear" w:color="auto" w:fill="DCE8FA"/>
          </w:tcPr>
          <w:p>
            <w:r>
              <w:rPr>
                <w:b w:val="0"/>
                <w:i w:val="0"/>
                <w:sz w:val="15"/>
              </w:rPr>
              <w:t>22.6</w:t>
            </w:r>
          </w:p>
        </w:tc>
        <w:tc>
          <w:tcPr>
            <w:tcW w:type="dxa" w:w="1409"/>
            <w:shd w:val="clear" w:color="auto" w:fill="DCE8FA"/>
          </w:tcPr>
          <w:p>
            <w:r>
              <w:rPr>
                <w:b w:val="0"/>
                <w:i w:val="0"/>
                <w:sz w:val="15"/>
              </w:rPr>
              <w:t>~106,000</w:t>
            </w:r>
          </w:p>
        </w:tc>
      </w:tr>
    </w:tbl>
    <w:p/>
    <w:p>
      <w:r>
        <w:br w:type="page"/>
      </w:r>
    </w:p>
    <w:p>
      <w:pPr>
        <w:pStyle w:val="Heading1"/>
      </w:pPr>
      <w:r>
        <w:rPr>
          <w:b/>
          <w:i w:val="0"/>
          <w:color w:val="13223F"/>
          <w:sz w:val="32"/>
        </w:rPr>
        <w:t>13. M&amp;A - industry transactions, takeover potential and SKT's own deals</w:t>
      </w:r>
    </w:p>
    <w:p>
      <w:pPr>
        <w:pStyle w:val="Heading2"/>
      </w:pPr>
      <w:r>
        <w:rPr>
          <w:b/>
          <w:i w:val="0"/>
          <w:color w:val="2D6CCB"/>
          <w:sz w:val="24"/>
        </w:rPr>
        <w:t>13.1 Relevant industry transactions, 2021-2026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2321"/>
            <w:shd w:val="clear" w:color="auto" w:fill="13223F"/>
          </w:tcPr>
          <w:p>
            <w:r>
              <w:rPr>
                <w:b/>
                <w:i w:val="0"/>
                <w:color w:val="FFFFFF"/>
                <w:sz w:val="15"/>
              </w:rPr>
              <w:t>Target</w:t>
            </w:r>
          </w:p>
        </w:tc>
        <w:tc>
          <w:tcPr>
            <w:tcW w:type="dxa" w:w="1989"/>
            <w:shd w:val="clear" w:color="auto" w:fill="13223F"/>
          </w:tcPr>
          <w:p>
            <w:r>
              <w:rPr>
                <w:b/>
                <w:i w:val="0"/>
                <w:color w:val="FFFFFF"/>
                <w:sz w:val="15"/>
              </w:rPr>
              <w:t>Acquirer</w:t>
            </w:r>
          </w:p>
        </w:tc>
        <w:tc>
          <w:tcPr>
            <w:tcW w:type="dxa" w:w="1078"/>
            <w:shd w:val="clear" w:color="auto" w:fill="13223F"/>
          </w:tcPr>
          <w:p>
            <w:r>
              <w:rPr>
                <w:b/>
                <w:i w:val="0"/>
                <w:color w:val="FFFFFF"/>
                <w:sz w:val="15"/>
              </w:rPr>
              <w:t>Date</w:t>
            </w:r>
          </w:p>
        </w:tc>
        <w:tc>
          <w:tcPr>
            <w:tcW w:type="dxa" w:w="1326"/>
            <w:shd w:val="clear" w:color="auto" w:fill="13223F"/>
          </w:tcPr>
          <w:p>
            <w:r>
              <w:rPr>
                <w:b/>
                <w:i w:val="0"/>
                <w:color w:val="FFFFFF"/>
                <w:sz w:val="15"/>
              </w:rPr>
              <w:t>Value</w:t>
            </w:r>
          </w:p>
        </w:tc>
        <w:tc>
          <w:tcPr>
            <w:tcW w:type="dxa" w:w="1658"/>
            <w:shd w:val="clear" w:color="auto" w:fill="13223F"/>
          </w:tcPr>
          <w:p>
            <w:r>
              <w:rPr>
                <w:b/>
                <w:i w:val="0"/>
                <w:color w:val="FFFFFF"/>
                <w:sz w:val="15"/>
              </w:rPr>
              <w:t>Multiple</w:t>
            </w:r>
          </w:p>
        </w:tc>
        <w:tc>
          <w:tcPr>
            <w:tcW w:type="dxa" w:w="1492"/>
            <w:shd w:val="clear" w:color="auto" w:fill="13223F"/>
          </w:tcPr>
          <w:p>
            <w:r>
              <w:rPr>
                <w:b/>
                <w:i w:val="0"/>
                <w:color w:val="FFFFFF"/>
                <w:sz w:val="15"/>
              </w:rPr>
              <w:t>Relevance</w:t>
            </w:r>
          </w:p>
        </w:tc>
      </w:tr>
      <w:tr>
        <w:tc>
          <w:tcPr>
            <w:tcW w:type="dxa" w:w="2321"/>
          </w:tcPr>
          <w:p>
            <w:r>
              <w:rPr>
                <w:b w:val="0"/>
                <w:i w:val="0"/>
                <w:sz w:val="15"/>
              </w:rPr>
              <w:t>SK Horizon (49%; SKB AI-DC + subsea cables, 318MW)</w:t>
            </w:r>
          </w:p>
        </w:tc>
        <w:tc>
          <w:tcPr>
            <w:tcW w:type="dxa" w:w="1989"/>
          </w:tcPr>
          <w:p>
            <w:r>
              <w:rPr>
                <w:b w:val="0"/>
                <w:i w:val="0"/>
                <w:sz w:val="15"/>
              </w:rPr>
              <w:t>KKR (29%), IMM-Stonebridge (20%)</w:t>
            </w:r>
          </w:p>
        </w:tc>
        <w:tc>
          <w:tcPr>
            <w:tcW w:type="dxa" w:w="1078"/>
          </w:tcPr>
          <w:p>
            <w:r>
              <w:rPr>
                <w:b w:val="0"/>
                <w:i w:val="0"/>
                <w:sz w:val="15"/>
              </w:rPr>
              <w:t>Aug-26 (close 1Q27)</w:t>
            </w:r>
          </w:p>
        </w:tc>
        <w:tc>
          <w:tcPr>
            <w:tcW w:type="dxa" w:w="1326"/>
          </w:tcPr>
          <w:p>
            <w:r>
              <w:rPr>
                <w:b w:val="0"/>
                <w:i w:val="0"/>
                <w:sz w:val="15"/>
              </w:rPr>
              <w:t>KRW 3.08tn</w:t>
            </w:r>
          </w:p>
        </w:tc>
        <w:tc>
          <w:tcPr>
            <w:tcW w:type="dxa" w:w="1658"/>
          </w:tcPr>
          <w:p>
            <w:r>
              <w:rPr>
                <w:b w:val="0"/>
                <w:i w:val="0"/>
                <w:sz w:val="15"/>
              </w:rPr>
              <w:t>~KRW 20bn/MW; ~6.3tn equity for 100% [e]</w:t>
            </w:r>
          </w:p>
        </w:tc>
        <w:tc>
          <w:tcPr>
            <w:tcW w:type="dxa" w:w="1492"/>
          </w:tcPr>
          <w:p>
            <w:r>
              <w:rPr>
                <w:b w:val="0"/>
                <w:i w:val="0"/>
                <w:sz w:val="15"/>
              </w:rPr>
              <w:t>Direct - marks SKT's DC estate</w:t>
            </w:r>
          </w:p>
        </w:tc>
      </w:tr>
      <w:tr>
        <w:tc>
          <w:tcPr>
            <w:tcW w:type="dxa" w:w="2321"/>
            <w:shd w:val="clear" w:color="auto" w:fill="EEF1F6"/>
          </w:tcPr>
          <w:p>
            <w:r>
              <w:rPr>
                <w:b w:val="0"/>
                <w:i w:val="0"/>
                <w:sz w:val="15"/>
              </w:rPr>
              <w:t>SK Broadband 24.8% minority</w:t>
            </w:r>
          </w:p>
        </w:tc>
        <w:tc>
          <w:tcPr>
            <w:tcW w:type="dxa" w:w="1989"/>
            <w:shd w:val="clear" w:color="auto" w:fill="EEF1F6"/>
          </w:tcPr>
          <w:p>
            <w:r>
              <w:rPr>
                <w:b w:val="0"/>
                <w:i w:val="0"/>
                <w:sz w:val="15"/>
              </w:rPr>
              <w:t>SK Telecom (from Taekwang, Mirae Asset)</w:t>
            </w:r>
          </w:p>
        </w:tc>
        <w:tc>
          <w:tcPr>
            <w:tcW w:type="dxa" w:w="1078"/>
            <w:shd w:val="clear" w:color="auto" w:fill="EEF1F6"/>
          </w:tcPr>
          <w:p>
            <w:r>
              <w:rPr>
                <w:b w:val="0"/>
                <w:i w:val="0"/>
                <w:sz w:val="15"/>
              </w:rPr>
              <w:t>Nov-24 / May-25</w:t>
            </w:r>
          </w:p>
        </w:tc>
        <w:tc>
          <w:tcPr>
            <w:tcW w:type="dxa" w:w="1326"/>
            <w:shd w:val="clear" w:color="auto" w:fill="EEF1F6"/>
          </w:tcPr>
          <w:p>
            <w:r>
              <w:rPr>
                <w:b w:val="0"/>
                <w:i w:val="0"/>
                <w:sz w:val="15"/>
              </w:rPr>
              <w:t>KRW 1.15tn</w:t>
            </w:r>
          </w:p>
        </w:tc>
        <w:tc>
          <w:tcPr>
            <w:tcW w:type="dxa" w:w="1658"/>
            <w:shd w:val="clear" w:color="auto" w:fill="EEF1F6"/>
          </w:tcPr>
          <w:p>
            <w:r>
              <w:rPr>
                <w:b w:val="0"/>
                <w:i w:val="0"/>
                <w:sz w:val="15"/>
              </w:rPr>
              <w:t>KRW 4.6tn for 100% equity; ~5x EBITDA [e/u]</w:t>
            </w:r>
          </w:p>
        </w:tc>
        <w:tc>
          <w:tcPr>
            <w:tcW w:type="dxa" w:w="1492"/>
            <w:shd w:val="clear" w:color="auto" w:fill="EEF1F6"/>
          </w:tcPr>
          <w:p>
            <w:r>
              <w:rPr>
                <w:b w:val="0"/>
                <w:i w:val="0"/>
                <w:sz w:val="15"/>
              </w:rPr>
              <w:t>Korean fixed-line benchmark</w:t>
            </w:r>
          </w:p>
        </w:tc>
      </w:tr>
      <w:tr>
        <w:tc>
          <w:tcPr>
            <w:tcW w:type="dxa" w:w="2321"/>
          </w:tcPr>
          <w:p>
            <w:r>
              <w:rPr>
                <w:b w:val="0"/>
                <w:i w:val="0"/>
                <w:sz w:val="15"/>
              </w:rPr>
              <w:t>SK Shieldus (68%)</w:t>
            </w:r>
          </w:p>
        </w:tc>
        <w:tc>
          <w:tcPr>
            <w:tcW w:type="dxa" w:w="1989"/>
          </w:tcPr>
          <w:p>
            <w:r>
              <w:rPr>
                <w:b w:val="0"/>
                <w:i w:val="0"/>
                <w:sz w:val="15"/>
              </w:rPr>
              <w:t>EQT (from SK Square/Macquarie)</w:t>
            </w:r>
          </w:p>
        </w:tc>
        <w:tc>
          <w:tcPr>
            <w:tcW w:type="dxa" w:w="1078"/>
          </w:tcPr>
          <w:p>
            <w:r>
              <w:rPr>
                <w:b w:val="0"/>
                <w:i w:val="0"/>
                <w:sz w:val="15"/>
              </w:rPr>
              <w:t>2023</w:t>
            </w:r>
          </w:p>
        </w:tc>
        <w:tc>
          <w:tcPr>
            <w:tcW w:type="dxa" w:w="1326"/>
          </w:tcPr>
          <w:p>
            <w:r>
              <w:rPr>
                <w:b w:val="0"/>
                <w:i w:val="0"/>
                <w:sz w:val="15"/>
              </w:rPr>
              <w:t>~KRW 2tn (EV ~3.3tn)</w:t>
            </w:r>
          </w:p>
        </w:tc>
        <w:tc>
          <w:tcPr>
            <w:tcW w:type="dxa" w:w="1658"/>
          </w:tcPr>
          <w:p>
            <w:r>
              <w:rPr>
                <w:b w:val="0"/>
                <w:i w:val="0"/>
                <w:sz w:val="15"/>
              </w:rPr>
              <w:t>~11x EBITDA [u]</w:t>
            </w:r>
          </w:p>
        </w:tc>
        <w:tc>
          <w:tcPr>
            <w:tcW w:type="dxa" w:w="1492"/>
          </w:tcPr>
          <w:p>
            <w:r>
              <w:rPr>
                <w:b w:val="0"/>
                <w:i w:val="0"/>
                <w:sz w:val="15"/>
              </w:rPr>
              <w:t>Former SKT asset</w:t>
            </w:r>
          </w:p>
        </w:tc>
      </w:tr>
      <w:tr>
        <w:tc>
          <w:tcPr>
            <w:tcW w:type="dxa" w:w="2321"/>
            <w:shd w:val="clear" w:color="auto" w:fill="EEF1F6"/>
          </w:tcPr>
          <w:p>
            <w:r>
              <w:rPr>
                <w:b w:val="0"/>
                <w:i w:val="0"/>
                <w:sz w:val="15"/>
              </w:rPr>
              <w:t>HCN (cable SO)</w:t>
            </w:r>
          </w:p>
        </w:tc>
        <w:tc>
          <w:tcPr>
            <w:tcW w:type="dxa" w:w="1989"/>
            <w:shd w:val="clear" w:color="auto" w:fill="EEF1F6"/>
          </w:tcPr>
          <w:p>
            <w:r>
              <w:rPr>
                <w:b w:val="0"/>
                <w:i w:val="0"/>
                <w:sz w:val="15"/>
              </w:rPr>
              <w:t>KT Skylife</w:t>
            </w:r>
          </w:p>
        </w:tc>
        <w:tc>
          <w:tcPr>
            <w:tcW w:type="dxa" w:w="1078"/>
            <w:shd w:val="clear" w:color="auto" w:fill="EEF1F6"/>
          </w:tcPr>
          <w:p>
            <w:r>
              <w:rPr>
                <w:b w:val="0"/>
                <w:i w:val="0"/>
                <w:sz w:val="15"/>
              </w:rPr>
              <w:t>2021</w:t>
            </w:r>
          </w:p>
        </w:tc>
        <w:tc>
          <w:tcPr>
            <w:tcW w:type="dxa" w:w="1326"/>
            <w:shd w:val="clear" w:color="auto" w:fill="EEF1F6"/>
          </w:tcPr>
          <w:p>
            <w:r>
              <w:rPr>
                <w:b w:val="0"/>
                <w:i w:val="0"/>
                <w:sz w:val="15"/>
              </w:rPr>
              <w:t>~KRW 490bn</w:t>
            </w:r>
          </w:p>
        </w:tc>
        <w:tc>
          <w:tcPr>
            <w:tcW w:type="dxa" w:w="1658"/>
            <w:shd w:val="clear" w:color="auto" w:fill="EEF1F6"/>
          </w:tcPr>
          <w:p>
            <w:r>
              <w:rPr>
                <w:b w:val="0"/>
                <w:i w:val="0"/>
                <w:sz w:val="15"/>
              </w:rPr>
              <w:t>n/a</w:t>
            </w:r>
          </w:p>
        </w:tc>
        <w:tc>
          <w:tcPr>
            <w:tcW w:type="dxa" w:w="1492"/>
            <w:shd w:val="clear" w:color="auto" w:fill="EEF1F6"/>
          </w:tcPr>
          <w:p>
            <w:r>
              <w:rPr>
                <w:b w:val="0"/>
                <w:i w:val="0"/>
                <w:sz w:val="15"/>
              </w:rPr>
              <w:t>Korean pay-TV consolidation</w:t>
            </w:r>
          </w:p>
        </w:tc>
      </w:tr>
      <w:tr>
        <w:tc>
          <w:tcPr>
            <w:tcW w:type="dxa" w:w="2321"/>
          </w:tcPr>
          <w:p>
            <w:r>
              <w:rPr>
                <w:b w:val="0"/>
                <w:i w:val="0"/>
                <w:sz w:val="15"/>
              </w:rPr>
              <w:t>NTT Data minorities</w:t>
            </w:r>
          </w:p>
        </w:tc>
        <w:tc>
          <w:tcPr>
            <w:tcW w:type="dxa" w:w="1989"/>
          </w:tcPr>
          <w:p>
            <w:r>
              <w:rPr>
                <w:b w:val="0"/>
                <w:i w:val="0"/>
                <w:sz w:val="15"/>
              </w:rPr>
              <w:t>NTT (take-private)</w:t>
            </w:r>
          </w:p>
        </w:tc>
        <w:tc>
          <w:tcPr>
            <w:tcW w:type="dxa" w:w="1078"/>
          </w:tcPr>
          <w:p>
            <w:r>
              <w:rPr>
                <w:b w:val="0"/>
                <w:i w:val="0"/>
                <w:sz w:val="15"/>
              </w:rPr>
              <w:t>2025</w:t>
            </w:r>
          </w:p>
        </w:tc>
        <w:tc>
          <w:tcPr>
            <w:tcW w:type="dxa" w:w="1326"/>
          </w:tcPr>
          <w:p>
            <w:r>
              <w:rPr>
                <w:b w:val="0"/>
                <w:i w:val="0"/>
                <w:sz w:val="15"/>
              </w:rPr>
              <w:t>~¥2.4tn</w:t>
            </w:r>
          </w:p>
        </w:tc>
        <w:tc>
          <w:tcPr>
            <w:tcW w:type="dxa" w:w="1658"/>
          </w:tcPr>
          <w:p>
            <w:r>
              <w:rPr>
                <w:b w:val="0"/>
                <w:i w:val="0"/>
                <w:sz w:val="15"/>
              </w:rPr>
              <w:t>n/a</w:t>
            </w:r>
          </w:p>
        </w:tc>
        <w:tc>
          <w:tcPr>
            <w:tcW w:type="dxa" w:w="1492"/>
          </w:tcPr>
          <w:p>
            <w:r>
              <w:rPr>
                <w:b w:val="0"/>
                <w:i w:val="0"/>
                <w:sz w:val="15"/>
              </w:rPr>
              <w:t>Asian telco group simplification</w:t>
            </w:r>
          </w:p>
        </w:tc>
      </w:tr>
      <w:tr>
        <w:tc>
          <w:tcPr>
            <w:tcW w:type="dxa" w:w="2321"/>
            <w:shd w:val="clear" w:color="auto" w:fill="EEF1F6"/>
          </w:tcPr>
          <w:p>
            <w:r>
              <w:rPr>
                <w:b w:val="0"/>
                <w:i w:val="0"/>
                <w:sz w:val="15"/>
              </w:rPr>
              <w:t>Lawson (~50%)</w:t>
            </w:r>
          </w:p>
        </w:tc>
        <w:tc>
          <w:tcPr>
            <w:tcW w:type="dxa" w:w="1989"/>
            <w:shd w:val="clear" w:color="auto" w:fill="EEF1F6"/>
          </w:tcPr>
          <w:p>
            <w:r>
              <w:rPr>
                <w:b w:val="0"/>
                <w:i w:val="0"/>
                <w:sz w:val="15"/>
              </w:rPr>
              <w:t>KDDI tender offer</w:t>
            </w:r>
          </w:p>
        </w:tc>
        <w:tc>
          <w:tcPr>
            <w:tcW w:type="dxa" w:w="1078"/>
            <w:shd w:val="clear" w:color="auto" w:fill="EEF1F6"/>
          </w:tcPr>
          <w:p>
            <w:r>
              <w:rPr>
                <w:b w:val="0"/>
                <w:i w:val="0"/>
                <w:sz w:val="15"/>
              </w:rPr>
              <w:t>2024</w:t>
            </w:r>
          </w:p>
        </w:tc>
        <w:tc>
          <w:tcPr>
            <w:tcW w:type="dxa" w:w="1326"/>
            <w:shd w:val="clear" w:color="auto" w:fill="EEF1F6"/>
          </w:tcPr>
          <w:p>
            <w:r>
              <w:rPr>
                <w:b w:val="0"/>
                <w:i w:val="0"/>
                <w:sz w:val="15"/>
              </w:rPr>
              <w:t>~¥500bn</w:t>
            </w:r>
          </w:p>
        </w:tc>
        <w:tc>
          <w:tcPr>
            <w:tcW w:type="dxa" w:w="1658"/>
            <w:shd w:val="clear" w:color="auto" w:fill="EEF1F6"/>
          </w:tcPr>
          <w:p>
            <w:r>
              <w:rPr>
                <w:b w:val="0"/>
                <w:i w:val="0"/>
                <w:sz w:val="15"/>
              </w:rPr>
              <w:t>n/a</w:t>
            </w:r>
          </w:p>
        </w:tc>
        <w:tc>
          <w:tcPr>
            <w:tcW w:type="dxa" w:w="1492"/>
            <w:shd w:val="clear" w:color="auto" w:fill="EEF1F6"/>
          </w:tcPr>
          <w:p>
            <w:r>
              <w:rPr>
                <w:b w:val="0"/>
                <w:i w:val="0"/>
                <w:sz w:val="15"/>
              </w:rPr>
              <w:t>Telco diversification</w:t>
            </w:r>
          </w:p>
        </w:tc>
      </w:tr>
      <w:tr>
        <w:tc>
          <w:tcPr>
            <w:tcW w:type="dxa" w:w="2321"/>
          </w:tcPr>
          <w:p>
            <w:r>
              <w:rPr>
                <w:b w:val="0"/>
                <w:i w:val="0"/>
                <w:sz w:val="15"/>
              </w:rPr>
              <w:t>TIM NetCo (fixed network)</w:t>
            </w:r>
          </w:p>
        </w:tc>
        <w:tc>
          <w:tcPr>
            <w:tcW w:type="dxa" w:w="1989"/>
          </w:tcPr>
          <w:p>
            <w:r>
              <w:rPr>
                <w:b w:val="0"/>
                <w:i w:val="0"/>
                <w:sz w:val="15"/>
              </w:rPr>
              <w:t>KKR</w:t>
            </w:r>
          </w:p>
        </w:tc>
        <w:tc>
          <w:tcPr>
            <w:tcW w:type="dxa" w:w="1078"/>
          </w:tcPr>
          <w:p>
            <w:r>
              <w:rPr>
                <w:b w:val="0"/>
                <w:i w:val="0"/>
                <w:sz w:val="15"/>
              </w:rPr>
              <w:t>Jul-24</w:t>
            </w:r>
          </w:p>
        </w:tc>
        <w:tc>
          <w:tcPr>
            <w:tcW w:type="dxa" w:w="1326"/>
          </w:tcPr>
          <w:p>
            <w:r>
              <w:rPr>
                <w:b w:val="0"/>
                <w:i w:val="0"/>
                <w:sz w:val="15"/>
              </w:rPr>
              <w:t>up to €22bn EV</w:t>
            </w:r>
          </w:p>
        </w:tc>
        <w:tc>
          <w:tcPr>
            <w:tcW w:type="dxa" w:w="1658"/>
          </w:tcPr>
          <w:p>
            <w:r>
              <w:rPr>
                <w:b w:val="0"/>
                <w:i w:val="0"/>
                <w:sz w:val="15"/>
              </w:rPr>
              <w:t>~9-10x EBITDA [u]</w:t>
            </w:r>
          </w:p>
        </w:tc>
        <w:tc>
          <w:tcPr>
            <w:tcW w:type="dxa" w:w="1492"/>
          </w:tcPr>
          <w:p>
            <w:r>
              <w:rPr>
                <w:b w:val="0"/>
                <w:i w:val="0"/>
                <w:sz w:val="15"/>
              </w:rPr>
              <w:t>Infra carve-out comp</w:t>
            </w:r>
          </w:p>
        </w:tc>
      </w:tr>
      <w:tr>
        <w:tc>
          <w:tcPr>
            <w:tcW w:type="dxa" w:w="2321"/>
            <w:shd w:val="clear" w:color="auto" w:fill="EEF1F6"/>
          </w:tcPr>
          <w:p>
            <w:r>
              <w:rPr>
                <w:b w:val="0"/>
                <w:i w:val="0"/>
                <w:sz w:val="15"/>
              </w:rPr>
              <w:t>Orange Spain + MásMóvil (MasOrange)</w:t>
            </w:r>
          </w:p>
        </w:tc>
        <w:tc>
          <w:tcPr>
            <w:tcW w:type="dxa" w:w="1989"/>
            <w:shd w:val="clear" w:color="auto" w:fill="EEF1F6"/>
          </w:tcPr>
          <w:p>
            <w:r>
              <w:rPr>
                <w:b w:val="0"/>
                <w:i w:val="0"/>
                <w:sz w:val="15"/>
              </w:rPr>
              <w:t>Merger (Orange / KKR, Cinven, Providence)</w:t>
            </w:r>
          </w:p>
        </w:tc>
        <w:tc>
          <w:tcPr>
            <w:tcW w:type="dxa" w:w="1078"/>
            <w:shd w:val="clear" w:color="auto" w:fill="EEF1F6"/>
          </w:tcPr>
          <w:p>
            <w:r>
              <w:rPr>
                <w:b w:val="0"/>
                <w:i w:val="0"/>
                <w:sz w:val="15"/>
              </w:rPr>
              <w:t>Mar-24</w:t>
            </w:r>
          </w:p>
        </w:tc>
        <w:tc>
          <w:tcPr>
            <w:tcW w:type="dxa" w:w="1326"/>
            <w:shd w:val="clear" w:color="auto" w:fill="EEF1F6"/>
          </w:tcPr>
          <w:p>
            <w:r>
              <w:rPr>
                <w:b w:val="0"/>
                <w:i w:val="0"/>
                <w:sz w:val="15"/>
              </w:rPr>
              <w:t>~€18.6bn EV</w:t>
            </w:r>
          </w:p>
        </w:tc>
        <w:tc>
          <w:tcPr>
            <w:tcW w:type="dxa" w:w="1658"/>
            <w:shd w:val="clear" w:color="auto" w:fill="EEF1F6"/>
          </w:tcPr>
          <w:p>
            <w:r>
              <w:rPr>
                <w:b w:val="0"/>
                <w:i w:val="0"/>
                <w:sz w:val="15"/>
              </w:rPr>
              <w:t>~6-7x EBITDA [u]</w:t>
            </w:r>
          </w:p>
        </w:tc>
        <w:tc>
          <w:tcPr>
            <w:tcW w:type="dxa" w:w="1492"/>
            <w:shd w:val="clear" w:color="auto" w:fill="EEF1F6"/>
          </w:tcPr>
          <w:p>
            <w:r>
              <w:rPr>
                <w:b w:val="0"/>
                <w:i w:val="0"/>
                <w:sz w:val="15"/>
              </w:rPr>
              <w:t>In-market consolidation</w:t>
            </w:r>
          </w:p>
        </w:tc>
      </w:tr>
      <w:tr>
        <w:tc>
          <w:tcPr>
            <w:tcW w:type="dxa" w:w="2321"/>
          </w:tcPr>
          <w:p>
            <w:r>
              <w:rPr>
                <w:b w:val="0"/>
                <w:i w:val="0"/>
                <w:sz w:val="15"/>
              </w:rPr>
              <w:t>Vodafone UK + Three UK</w:t>
            </w:r>
          </w:p>
        </w:tc>
        <w:tc>
          <w:tcPr>
            <w:tcW w:type="dxa" w:w="1989"/>
          </w:tcPr>
          <w:p>
            <w:r>
              <w:rPr>
                <w:b w:val="0"/>
                <w:i w:val="0"/>
                <w:sz w:val="15"/>
              </w:rPr>
              <w:t>Merger (Vodafone 51% / CKH 49%)</w:t>
            </w:r>
          </w:p>
        </w:tc>
        <w:tc>
          <w:tcPr>
            <w:tcW w:type="dxa" w:w="1078"/>
          </w:tcPr>
          <w:p>
            <w:r>
              <w:rPr>
                <w:b w:val="0"/>
                <w:i w:val="0"/>
                <w:sz w:val="15"/>
              </w:rPr>
              <w:t>May-25</w:t>
            </w:r>
          </w:p>
        </w:tc>
        <w:tc>
          <w:tcPr>
            <w:tcW w:type="dxa" w:w="1326"/>
          </w:tcPr>
          <w:p>
            <w:r>
              <w:rPr>
                <w:b w:val="0"/>
                <w:i w:val="0"/>
                <w:sz w:val="15"/>
              </w:rPr>
              <w:t>~£15bn combined EV</w:t>
            </w:r>
          </w:p>
        </w:tc>
        <w:tc>
          <w:tcPr>
            <w:tcW w:type="dxa" w:w="1658"/>
          </w:tcPr>
          <w:p>
            <w:r>
              <w:rPr>
                <w:b w:val="0"/>
                <w:i w:val="0"/>
                <w:sz w:val="15"/>
              </w:rPr>
              <w:t>~6x EBITDA [u]</w:t>
            </w:r>
          </w:p>
        </w:tc>
        <w:tc>
          <w:tcPr>
            <w:tcW w:type="dxa" w:w="1492"/>
          </w:tcPr>
          <w:p>
            <w:r>
              <w:rPr>
                <w:b w:val="0"/>
                <w:i w:val="0"/>
                <w:sz w:val="15"/>
              </w:rPr>
              <w:t>In-market consolidation</w:t>
            </w:r>
          </w:p>
        </w:tc>
      </w:tr>
      <w:tr>
        <w:tc>
          <w:tcPr>
            <w:tcW w:type="dxa" w:w="2321"/>
            <w:shd w:val="clear" w:color="auto" w:fill="EEF1F6"/>
          </w:tcPr>
          <w:p>
            <w:r>
              <w:rPr>
                <w:b w:val="0"/>
                <w:i w:val="0"/>
                <w:sz w:val="15"/>
              </w:rPr>
              <w:t>Frontier Communications</w:t>
            </w:r>
          </w:p>
        </w:tc>
        <w:tc>
          <w:tcPr>
            <w:tcW w:type="dxa" w:w="1989"/>
            <w:shd w:val="clear" w:color="auto" w:fill="EEF1F6"/>
          </w:tcPr>
          <w:p>
            <w:r>
              <w:rPr>
                <w:b w:val="0"/>
                <w:i w:val="0"/>
                <w:sz w:val="15"/>
              </w:rPr>
              <w:t>Verizon</w:t>
            </w:r>
          </w:p>
        </w:tc>
        <w:tc>
          <w:tcPr>
            <w:tcW w:type="dxa" w:w="1078"/>
            <w:shd w:val="clear" w:color="auto" w:fill="EEF1F6"/>
          </w:tcPr>
          <w:p>
            <w:r>
              <w:rPr>
                <w:b w:val="0"/>
                <w:i w:val="0"/>
                <w:sz w:val="15"/>
              </w:rPr>
              <w:t>Sep-24 (closed 2026)</w:t>
            </w:r>
          </w:p>
        </w:tc>
        <w:tc>
          <w:tcPr>
            <w:tcW w:type="dxa" w:w="1326"/>
            <w:shd w:val="clear" w:color="auto" w:fill="EEF1F6"/>
          </w:tcPr>
          <w:p>
            <w:r>
              <w:rPr>
                <w:b w:val="0"/>
                <w:i w:val="0"/>
                <w:sz w:val="15"/>
              </w:rPr>
              <w:t>US$20bn EV</w:t>
            </w:r>
          </w:p>
        </w:tc>
        <w:tc>
          <w:tcPr>
            <w:tcW w:type="dxa" w:w="1658"/>
            <w:shd w:val="clear" w:color="auto" w:fill="EEF1F6"/>
          </w:tcPr>
          <w:p>
            <w:r>
              <w:rPr>
                <w:b w:val="0"/>
                <w:i w:val="0"/>
                <w:sz w:val="15"/>
              </w:rPr>
              <w:t>~9.5x EBITDA [u]</w:t>
            </w:r>
          </w:p>
        </w:tc>
        <w:tc>
          <w:tcPr>
            <w:tcW w:type="dxa" w:w="1492"/>
            <w:shd w:val="clear" w:color="auto" w:fill="EEF1F6"/>
          </w:tcPr>
          <w:p>
            <w:r>
              <w:rPr>
                <w:b w:val="0"/>
                <w:i w:val="0"/>
                <w:sz w:val="15"/>
              </w:rPr>
              <w:t>Fibre/convergence premium</w:t>
            </w:r>
          </w:p>
        </w:tc>
      </w:tr>
      <w:tr>
        <w:tc>
          <w:tcPr>
            <w:tcW w:type="dxa" w:w="2321"/>
          </w:tcPr>
          <w:p>
            <w:r>
              <w:rPr>
                <w:b w:val="0"/>
                <w:i w:val="0"/>
                <w:sz w:val="15"/>
              </w:rPr>
              <w:t>UScellular wireless ops</w:t>
            </w:r>
          </w:p>
        </w:tc>
        <w:tc>
          <w:tcPr>
            <w:tcW w:type="dxa" w:w="1989"/>
          </w:tcPr>
          <w:p>
            <w:r>
              <w:rPr>
                <w:b w:val="0"/>
                <w:i w:val="0"/>
                <w:sz w:val="15"/>
              </w:rPr>
              <w:t>T-Mobile US</w:t>
            </w:r>
          </w:p>
        </w:tc>
        <w:tc>
          <w:tcPr>
            <w:tcW w:type="dxa" w:w="1078"/>
          </w:tcPr>
          <w:p>
            <w:r>
              <w:rPr>
                <w:b w:val="0"/>
                <w:i w:val="0"/>
                <w:sz w:val="15"/>
              </w:rPr>
              <w:t>May-24</w:t>
            </w:r>
          </w:p>
        </w:tc>
        <w:tc>
          <w:tcPr>
            <w:tcW w:type="dxa" w:w="1326"/>
          </w:tcPr>
          <w:p>
            <w:r>
              <w:rPr>
                <w:b w:val="0"/>
                <w:i w:val="0"/>
                <w:sz w:val="15"/>
              </w:rPr>
              <w:t>US$4.4bn</w:t>
            </w:r>
          </w:p>
        </w:tc>
        <w:tc>
          <w:tcPr>
            <w:tcW w:type="dxa" w:w="1658"/>
          </w:tcPr>
          <w:p>
            <w:r>
              <w:rPr>
                <w:b w:val="0"/>
                <w:i w:val="0"/>
                <w:sz w:val="15"/>
              </w:rPr>
              <w:t>n/a</w:t>
            </w:r>
          </w:p>
        </w:tc>
        <w:tc>
          <w:tcPr>
            <w:tcW w:type="dxa" w:w="1492"/>
          </w:tcPr>
          <w:p>
            <w:r>
              <w:rPr>
                <w:b w:val="0"/>
                <w:i w:val="0"/>
                <w:sz w:val="15"/>
              </w:rPr>
              <w:t>Spectrum/subscribers</w:t>
            </w:r>
          </w:p>
        </w:tc>
      </w:tr>
      <w:tr>
        <w:tc>
          <w:tcPr>
            <w:tcW w:type="dxa" w:w="2321"/>
            <w:shd w:val="clear" w:color="auto" w:fill="EEF1F6"/>
          </w:tcPr>
          <w:p>
            <w:r>
              <w:rPr>
                <w:b w:val="0"/>
                <w:i w:val="0"/>
                <w:sz w:val="15"/>
              </w:rPr>
              <w:t>XL Axiata + Smartfren (XLSmart)</w:t>
            </w:r>
          </w:p>
        </w:tc>
        <w:tc>
          <w:tcPr>
            <w:tcW w:type="dxa" w:w="1989"/>
            <w:shd w:val="clear" w:color="auto" w:fill="EEF1F6"/>
          </w:tcPr>
          <w:p>
            <w:r>
              <w:rPr>
                <w:b w:val="0"/>
                <w:i w:val="0"/>
                <w:sz w:val="15"/>
              </w:rPr>
              <w:t>Merger</w:t>
            </w:r>
          </w:p>
        </w:tc>
        <w:tc>
          <w:tcPr>
            <w:tcW w:type="dxa" w:w="1078"/>
            <w:shd w:val="clear" w:color="auto" w:fill="EEF1F6"/>
          </w:tcPr>
          <w:p>
            <w:r>
              <w:rPr>
                <w:b w:val="0"/>
                <w:i w:val="0"/>
                <w:sz w:val="15"/>
              </w:rPr>
              <w:t>Apr-25</w:t>
            </w:r>
          </w:p>
        </w:tc>
        <w:tc>
          <w:tcPr>
            <w:tcW w:type="dxa" w:w="1326"/>
            <w:shd w:val="clear" w:color="auto" w:fill="EEF1F6"/>
          </w:tcPr>
          <w:p>
            <w:r>
              <w:rPr>
                <w:b w:val="0"/>
                <w:i w:val="0"/>
                <w:sz w:val="15"/>
              </w:rPr>
              <w:t>n/a</w:t>
            </w:r>
          </w:p>
        </w:tc>
        <w:tc>
          <w:tcPr>
            <w:tcW w:type="dxa" w:w="1658"/>
            <w:shd w:val="clear" w:color="auto" w:fill="EEF1F6"/>
          </w:tcPr>
          <w:p>
            <w:r>
              <w:rPr>
                <w:b w:val="0"/>
                <w:i w:val="0"/>
                <w:sz w:val="15"/>
              </w:rPr>
              <w:t>n/a</w:t>
            </w:r>
          </w:p>
        </w:tc>
        <w:tc>
          <w:tcPr>
            <w:tcW w:type="dxa" w:w="1492"/>
            <w:shd w:val="clear" w:color="auto" w:fill="EEF1F6"/>
          </w:tcPr>
          <w:p>
            <w:r>
              <w:rPr>
                <w:b w:val="0"/>
                <w:i w:val="0"/>
                <w:sz w:val="15"/>
              </w:rPr>
              <w:t>Asian 4-to-3</w:t>
            </w:r>
          </w:p>
        </w:tc>
      </w:tr>
      <w:tr>
        <w:tc>
          <w:tcPr>
            <w:tcW w:type="dxa" w:w="2321"/>
          </w:tcPr>
          <w:p>
            <w:r>
              <w:rPr>
                <w:b w:val="0"/>
                <w:i w:val="0"/>
                <w:sz w:val="15"/>
              </w:rPr>
              <w:t>Indosat + Hutchison 3</w:t>
            </w:r>
          </w:p>
        </w:tc>
        <w:tc>
          <w:tcPr>
            <w:tcW w:type="dxa" w:w="1989"/>
          </w:tcPr>
          <w:p>
            <w:r>
              <w:rPr>
                <w:b w:val="0"/>
                <w:i w:val="0"/>
                <w:sz w:val="15"/>
              </w:rPr>
              <w:t>Merger (Ooredoo/CKH)</w:t>
            </w:r>
          </w:p>
        </w:tc>
        <w:tc>
          <w:tcPr>
            <w:tcW w:type="dxa" w:w="1078"/>
          </w:tcPr>
          <w:p>
            <w:r>
              <w:rPr>
                <w:b w:val="0"/>
                <w:i w:val="0"/>
                <w:sz w:val="15"/>
              </w:rPr>
              <w:t>Jan-22</w:t>
            </w:r>
          </w:p>
        </w:tc>
        <w:tc>
          <w:tcPr>
            <w:tcW w:type="dxa" w:w="1326"/>
          </w:tcPr>
          <w:p>
            <w:r>
              <w:rPr>
                <w:b w:val="0"/>
                <w:i w:val="0"/>
                <w:sz w:val="15"/>
              </w:rPr>
              <w:t>~US$6bn combined</w:t>
            </w:r>
          </w:p>
        </w:tc>
        <w:tc>
          <w:tcPr>
            <w:tcW w:type="dxa" w:w="1658"/>
          </w:tcPr>
          <w:p>
            <w:r>
              <w:rPr>
                <w:b w:val="0"/>
                <w:i w:val="0"/>
                <w:sz w:val="15"/>
              </w:rPr>
              <w:t>n/a</w:t>
            </w:r>
          </w:p>
        </w:tc>
        <w:tc>
          <w:tcPr>
            <w:tcW w:type="dxa" w:w="1492"/>
          </w:tcPr>
          <w:p>
            <w:r>
              <w:rPr>
                <w:b w:val="0"/>
                <w:i w:val="0"/>
                <w:sz w:val="15"/>
              </w:rPr>
              <w:t>Asian 4-to-3</w:t>
            </w:r>
          </w:p>
        </w:tc>
      </w:tr>
      <w:tr>
        <w:tc>
          <w:tcPr>
            <w:tcW w:type="dxa" w:w="2321"/>
            <w:shd w:val="clear" w:color="auto" w:fill="EEF1F6"/>
          </w:tcPr>
          <w:p>
            <w:r>
              <w:rPr>
                <w:b w:val="0"/>
                <w:i w:val="0"/>
                <w:sz w:val="15"/>
              </w:rPr>
              <w:t>Celcom + Digi (CelcomDigi)</w:t>
            </w:r>
          </w:p>
        </w:tc>
        <w:tc>
          <w:tcPr>
            <w:tcW w:type="dxa" w:w="1989"/>
            <w:shd w:val="clear" w:color="auto" w:fill="EEF1F6"/>
          </w:tcPr>
          <w:p>
            <w:r>
              <w:rPr>
                <w:b w:val="0"/>
                <w:i w:val="0"/>
                <w:sz w:val="15"/>
              </w:rPr>
              <w:t>Merger (Axiata/Telenor)</w:t>
            </w:r>
          </w:p>
        </w:tc>
        <w:tc>
          <w:tcPr>
            <w:tcW w:type="dxa" w:w="1078"/>
            <w:shd w:val="clear" w:color="auto" w:fill="EEF1F6"/>
          </w:tcPr>
          <w:p>
            <w:r>
              <w:rPr>
                <w:b w:val="0"/>
                <w:i w:val="0"/>
                <w:sz w:val="15"/>
              </w:rPr>
              <w:t>Dec-22</w:t>
            </w:r>
          </w:p>
        </w:tc>
        <w:tc>
          <w:tcPr>
            <w:tcW w:type="dxa" w:w="1326"/>
            <w:shd w:val="clear" w:color="auto" w:fill="EEF1F6"/>
          </w:tcPr>
          <w:p>
            <w:r>
              <w:rPr>
                <w:b w:val="0"/>
                <w:i w:val="0"/>
                <w:sz w:val="15"/>
              </w:rPr>
              <w:t>n/a</w:t>
            </w:r>
          </w:p>
        </w:tc>
        <w:tc>
          <w:tcPr>
            <w:tcW w:type="dxa" w:w="1658"/>
            <w:shd w:val="clear" w:color="auto" w:fill="EEF1F6"/>
          </w:tcPr>
          <w:p>
            <w:r>
              <w:rPr>
                <w:b w:val="0"/>
                <w:i w:val="0"/>
                <w:sz w:val="15"/>
              </w:rPr>
              <w:t>n/a</w:t>
            </w:r>
          </w:p>
        </w:tc>
        <w:tc>
          <w:tcPr>
            <w:tcW w:type="dxa" w:w="1492"/>
            <w:shd w:val="clear" w:color="auto" w:fill="EEF1F6"/>
          </w:tcPr>
          <w:p>
            <w:r>
              <w:rPr>
                <w:b w:val="0"/>
                <w:i w:val="0"/>
                <w:sz w:val="15"/>
              </w:rPr>
              <w:t>Asian consolidation</w:t>
            </w:r>
          </w:p>
        </w:tc>
      </w:tr>
      <w:tr>
        <w:tc>
          <w:tcPr>
            <w:tcW w:type="dxa" w:w="2321"/>
          </w:tcPr>
          <w:p>
            <w:r>
              <w:rPr>
                <w:b w:val="0"/>
                <w:i w:val="0"/>
                <w:sz w:val="15"/>
              </w:rPr>
              <w:t>Asia Pacific Telecom / Taiwan Star</w:t>
            </w:r>
          </w:p>
        </w:tc>
        <w:tc>
          <w:tcPr>
            <w:tcW w:type="dxa" w:w="1989"/>
          </w:tcPr>
          <w:p>
            <w:r>
              <w:rPr>
                <w:b w:val="0"/>
                <w:i w:val="0"/>
                <w:sz w:val="15"/>
              </w:rPr>
              <w:t>Far EasTone / Taiwan Mobile</w:t>
            </w:r>
          </w:p>
        </w:tc>
        <w:tc>
          <w:tcPr>
            <w:tcW w:type="dxa" w:w="1078"/>
          </w:tcPr>
          <w:p>
            <w:r>
              <w:rPr>
                <w:b w:val="0"/>
                <w:i w:val="0"/>
                <w:sz w:val="15"/>
              </w:rPr>
              <w:t>Dec-23</w:t>
            </w:r>
          </w:p>
        </w:tc>
        <w:tc>
          <w:tcPr>
            <w:tcW w:type="dxa" w:w="1326"/>
          </w:tcPr>
          <w:p>
            <w:r>
              <w:rPr>
                <w:b w:val="0"/>
                <w:i w:val="0"/>
                <w:sz w:val="15"/>
              </w:rPr>
              <w:t>n/a</w:t>
            </w:r>
          </w:p>
        </w:tc>
        <w:tc>
          <w:tcPr>
            <w:tcW w:type="dxa" w:w="1658"/>
          </w:tcPr>
          <w:p>
            <w:r>
              <w:rPr>
                <w:b w:val="0"/>
                <w:i w:val="0"/>
                <w:sz w:val="15"/>
              </w:rPr>
              <w:t>n/a</w:t>
            </w:r>
          </w:p>
        </w:tc>
        <w:tc>
          <w:tcPr>
            <w:tcW w:type="dxa" w:w="1492"/>
          </w:tcPr>
          <w:p>
            <w:r>
              <w:rPr>
                <w:b w:val="0"/>
                <w:i w:val="0"/>
                <w:sz w:val="15"/>
              </w:rPr>
              <w:t>Taiwan 5-to-3</w:t>
            </w:r>
          </w:p>
        </w:tc>
      </w:tr>
    </w:tbl>
    <w:p>
      <w:r>
        <w:rPr>
          <w:b w:val="0"/>
          <w:i/>
          <w:color w:val="5B6475"/>
          <w:sz w:val="15"/>
        </w:rPr>
        <w:t>Values and multiples outside SKT-specific deals are from memory/press and marked [u]; verify with Mergermarket/Bloomberg.</w:t>
      </w:r>
    </w:p>
    <w:p>
      <w:pPr>
        <w:pStyle w:val="Heading2"/>
      </w:pPr>
      <w:r>
        <w:rPr>
          <w:b/>
          <w:i w:val="0"/>
          <w:color w:val="2D6CCB"/>
          <w:sz w:val="24"/>
        </w:rPr>
        <w:t>13.2 Is SKT a takeover target?</w:t>
      </w:r>
    </w:p>
    <w:p>
      <w:pPr>
        <w:spacing w:after="80"/>
      </w:pPr>
      <w:r>
        <w:rPr>
          <w:b/>
          <w:i w:val="0"/>
        </w:rPr>
        <w:t>Short answer: no, not in any conventional sense.</w:t>
      </w:r>
      <w:r>
        <w:rPr>
          <w:b w:val="0"/>
          <w:i w:val="0"/>
        </w:rPr>
        <w:t xml:space="preserve"> SKT is a chaebol-controlled, licence-protected national champion. The realistic "corporate-control" events are intra-group (SK Inc. restructuring, a merger with SK Square, a holding-company conversion) or asset-level (SK Horizon-style carve-outs, Anthropic monetisation).</w:t>
      </w:r>
    </w:p>
    <w:tbl>
      <w:tblPr>
        <w:tblStyle w:val="TableGrid"/>
        <w:tblW w:type="auto" w:w="0"/>
        <w:jc w:val="center"/>
        <w:tblLook w:firstColumn="1" w:firstRow="1" w:lastColumn="0" w:lastRow="0" w:noHBand="0" w:noVBand="1" w:val="04A0"/>
      </w:tblPr>
      <w:tblGrid>
        <w:gridCol w:w="5100"/>
        <w:gridCol w:w="5100"/>
      </w:tblGrid>
      <w:tr>
        <w:tc>
          <w:tcPr>
            <w:tcW w:type="dxa" w:w="4932"/>
            <w:shd w:val="clear" w:color="auto" w:fill="13223F"/>
          </w:tcPr>
          <w:p>
            <w:r>
              <w:rPr>
                <w:b/>
                <w:i w:val="0"/>
                <w:color w:val="FFFFFF"/>
                <w:sz w:val="15"/>
              </w:rPr>
              <w:t>Pros / attractions</w:t>
            </w:r>
          </w:p>
        </w:tc>
        <w:tc>
          <w:tcPr>
            <w:tcW w:type="dxa" w:w="4932"/>
            <w:shd w:val="clear" w:color="auto" w:fill="13223F"/>
          </w:tcPr>
          <w:p>
            <w:r>
              <w:rPr>
                <w:b/>
                <w:i w:val="0"/>
                <w:color w:val="FFFFFF"/>
                <w:sz w:val="15"/>
              </w:rPr>
              <w:t>Impediments</w:t>
            </w:r>
          </w:p>
        </w:tc>
      </w:tr>
      <w:tr>
        <w:tc>
          <w:tcPr>
            <w:tcW w:type="dxa" w:w="4932"/>
          </w:tcPr>
          <w:p>
            <w:r>
              <w:rPr>
                <w:b w:val="0"/>
                <w:i w:val="0"/>
                <w:sz w:val="15"/>
              </w:rPr>
              <w:t>Core telco priced at ~4.0x EBITDA vs 6-10x paid for control of telco/infra assets globally</w:t>
            </w:r>
          </w:p>
        </w:tc>
        <w:tc>
          <w:tcPr>
            <w:tcW w:type="dxa" w:w="4932"/>
          </w:tcPr>
          <w:p>
            <w:r>
              <w:rPr>
                <w:b w:val="0"/>
                <w:i w:val="0"/>
                <w:sz w:val="15"/>
              </w:rPr>
              <w:t>SK Inc. holds 30.57% and must keep ≥20-30% under holding-company rules - no seller</w:t>
            </w:r>
          </w:p>
        </w:tc>
      </w:tr>
      <w:tr>
        <w:tc>
          <w:tcPr>
            <w:tcW w:type="dxa" w:w="4932"/>
            <w:shd w:val="clear" w:color="auto" w:fill="EEF1F6"/>
          </w:tcPr>
          <w:p>
            <w:r>
              <w:rPr>
                <w:b w:val="0"/>
                <w:i w:val="0"/>
                <w:sz w:val="15"/>
              </w:rPr>
              <w:t>Stable ~KRW 2tn p.a. FCF; conservative 1.6x leverage - LBO-able on paper</w:t>
            </w:r>
          </w:p>
        </w:tc>
        <w:tc>
          <w:tcPr>
            <w:tcW w:type="dxa" w:w="4932"/>
            <w:shd w:val="clear" w:color="auto" w:fill="EEF1F6"/>
          </w:tcPr>
          <w:p>
            <w:r>
              <w:rPr>
                <w:b w:val="0"/>
                <w:i w:val="0"/>
                <w:sz w:val="15"/>
              </w:rPr>
              <w:t>Foreign ownership cap of 49% (Telecommunications Business Act; FTA carve-out excludes SKT); ~40% already foreign-held</w:t>
            </w:r>
          </w:p>
        </w:tc>
      </w:tr>
      <w:tr>
        <w:tc>
          <w:tcPr>
            <w:tcW w:type="dxa" w:w="4932"/>
          </w:tcPr>
          <w:p>
            <w:r>
              <w:rPr>
                <w:b w:val="0"/>
                <w:i w:val="0"/>
                <w:sz w:val="15"/>
              </w:rPr>
              <w:t>Hidden assets (Anthropic, SK Horizon, Hana, Rebellions) worth ~KRW 9-10tn at marks</w:t>
            </w:r>
          </w:p>
        </w:tc>
        <w:tc>
          <w:tcPr>
            <w:tcW w:type="dxa" w:w="4932"/>
          </w:tcPr>
          <w:p>
            <w:r>
              <w:rPr>
                <w:b w:val="0"/>
                <w:i w:val="0"/>
                <w:sz w:val="15"/>
              </w:rPr>
              <w:t>MSIT public-interest review for ≥15% stakes or change of largest shareholder; KMCC approval for SKB/IPTV</w:t>
            </w:r>
          </w:p>
        </w:tc>
      </w:tr>
      <w:tr>
        <w:tc>
          <w:tcPr>
            <w:tcW w:type="dxa" w:w="4932"/>
            <w:shd w:val="clear" w:color="auto" w:fill="EEF1F6"/>
          </w:tcPr>
          <w:p>
            <w:r>
              <w:rPr>
                <w:b w:val="0"/>
                <w:i w:val="0"/>
                <w:sz w:val="15"/>
              </w:rPr>
              <w:t>Precedent: SK Group sells minority stakes in infrastructure to PE (SK Horizon, SK Shieldus)</w:t>
            </w:r>
          </w:p>
        </w:tc>
        <w:tc>
          <w:tcPr>
            <w:tcW w:type="dxa" w:w="4932"/>
            <w:shd w:val="clear" w:color="auto" w:fill="EEF1F6"/>
          </w:tcPr>
          <w:p>
            <w:r>
              <w:rPr>
                <w:b w:val="0"/>
                <w:i w:val="0"/>
                <w:sz w:val="15"/>
              </w:rPr>
              <w:t>Political sensitivity post-breach; national-security (network, sovereign AI) considerations</w:t>
            </w:r>
          </w:p>
        </w:tc>
      </w:tr>
    </w:tbl>
    <w:p/>
    <w:p>
      <w:pPr>
        <w:spacing w:after="80"/>
      </w:pPr>
      <w:r>
        <w:rPr>
          <w:b/>
          <w:i w:val="0"/>
        </w:rPr>
        <w:t>Theoretical takeout value:</w:t>
      </w:r>
      <w:r>
        <w:rPr>
          <w:b w:val="0"/>
          <w:i w:val="0"/>
        </w:rPr>
        <w:t xml:space="preserve"> at 6.5x FY26E core EBITDA (a typical control multiple for integrated incumbents) plus SK Horizon, Anthropic (after tax) and other stakes, less net debt, SKT would be worth ~KRW 165,000/share (+90%) [e]. This is a valuation cross-check, not a probable outcome. The more realistic "special situation" angles are: (1) SK Group merging SKT and SK Square (re-uniting SK hynix exposure), (2) a spin/distribution of the Anthropic stake, and (3) further PE-funded carve-outs (SK Hyper).</w:t>
      </w:r>
    </w:p>
    <w:p>
      <w:pPr>
        <w:pStyle w:val="Heading2"/>
      </w:pPr>
      <w:r>
        <w:rPr>
          <w:b/>
          <w:i w:val="0"/>
          <w:color w:val="2D6CCB"/>
          <w:sz w:val="24"/>
        </w:rPr>
        <w:t>13.3 SK Telecom's own acquisitions and disposals (2016-2026)</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192"/>
            <w:shd w:val="clear" w:color="auto" w:fill="13223F"/>
          </w:tcPr>
          <w:p>
            <w:r>
              <w:rPr>
                <w:b/>
                <w:i w:val="0"/>
                <w:color w:val="FFFFFF"/>
                <w:sz w:val="15"/>
              </w:rPr>
              <w:t>Target</w:t>
            </w:r>
          </w:p>
        </w:tc>
        <w:tc>
          <w:tcPr>
            <w:tcW w:type="dxa" w:w="1433"/>
            <w:shd w:val="clear" w:color="auto" w:fill="13223F"/>
          </w:tcPr>
          <w:p>
            <w:r>
              <w:rPr>
                <w:b/>
                <w:i w:val="0"/>
                <w:color w:val="FFFFFF"/>
                <w:sz w:val="15"/>
              </w:rPr>
              <w:t>Date</w:t>
            </w:r>
          </w:p>
        </w:tc>
        <w:tc>
          <w:tcPr>
            <w:tcW w:type="dxa" w:w="2024"/>
            <w:shd w:val="clear" w:color="auto" w:fill="13223F"/>
          </w:tcPr>
          <w:p>
            <w:r>
              <w:rPr>
                <w:b/>
                <w:i w:val="0"/>
                <w:color w:val="FFFFFF"/>
                <w:sz w:val="15"/>
              </w:rPr>
              <w:t>Consideration</w:t>
            </w:r>
          </w:p>
        </w:tc>
        <w:tc>
          <w:tcPr>
            <w:tcW w:type="dxa" w:w="1518"/>
            <w:shd w:val="clear" w:color="auto" w:fill="13223F"/>
          </w:tcPr>
          <w:p>
            <w:r>
              <w:rPr>
                <w:b/>
                <w:i w:val="0"/>
                <w:color w:val="FFFFFF"/>
                <w:sz w:val="15"/>
              </w:rPr>
              <w:t>Stake</w:t>
            </w:r>
          </w:p>
        </w:tc>
        <w:tc>
          <w:tcPr>
            <w:tcW w:type="dxa" w:w="2698"/>
            <w:shd w:val="clear" w:color="auto" w:fill="13223F"/>
          </w:tcPr>
          <w:p>
            <w:r>
              <w:rPr>
                <w:b/>
                <w:i w:val="0"/>
                <w:color w:val="FFFFFF"/>
                <w:sz w:val="15"/>
              </w:rPr>
              <w:t>Multiple / outcome</w:t>
            </w:r>
          </w:p>
        </w:tc>
      </w:tr>
      <w:tr>
        <w:tc>
          <w:tcPr>
            <w:tcW w:type="dxa" w:w="2192"/>
          </w:tcPr>
          <w:p>
            <w:r>
              <w:rPr>
                <w:b w:val="0"/>
                <w:i w:val="0"/>
                <w:sz w:val="15"/>
              </w:rPr>
              <w:t>CJ HelloVision</w:t>
            </w:r>
          </w:p>
        </w:tc>
        <w:tc>
          <w:tcPr>
            <w:tcW w:type="dxa" w:w="1433"/>
          </w:tcPr>
          <w:p>
            <w:r>
              <w:rPr>
                <w:b w:val="0"/>
                <w:i w:val="0"/>
                <w:sz w:val="15"/>
              </w:rPr>
              <w:t>Nov-15 / blocked Jul-16</w:t>
            </w:r>
          </w:p>
        </w:tc>
        <w:tc>
          <w:tcPr>
            <w:tcW w:type="dxa" w:w="2024"/>
          </w:tcPr>
          <w:p>
            <w:r>
              <w:rPr>
                <w:b w:val="0"/>
                <w:i w:val="0"/>
                <w:sz w:val="15"/>
              </w:rPr>
              <w:t>~KRW 500bn</w:t>
            </w:r>
          </w:p>
        </w:tc>
        <w:tc>
          <w:tcPr>
            <w:tcW w:type="dxa" w:w="1518"/>
          </w:tcPr>
          <w:p>
            <w:r>
              <w:rPr>
                <w:b w:val="0"/>
                <w:i w:val="0"/>
                <w:sz w:val="15"/>
              </w:rPr>
              <w:t>30%</w:t>
            </w:r>
          </w:p>
        </w:tc>
        <w:tc>
          <w:tcPr>
            <w:tcW w:type="dxa" w:w="2698"/>
          </w:tcPr>
          <w:p>
            <w:r>
              <w:rPr>
                <w:b w:val="0"/>
                <w:i w:val="0"/>
                <w:sz w:val="15"/>
              </w:rPr>
              <w:t>Blocked by KFTC - failed</w:t>
            </w:r>
          </w:p>
        </w:tc>
      </w:tr>
      <w:tr>
        <w:tc>
          <w:tcPr>
            <w:tcW w:type="dxa" w:w="2192"/>
            <w:shd w:val="clear" w:color="auto" w:fill="EEF1F6"/>
          </w:tcPr>
          <w:p>
            <w:r>
              <w:rPr>
                <w:b w:val="0"/>
                <w:i w:val="0"/>
                <w:sz w:val="15"/>
              </w:rPr>
              <w:t>ADT Caps (with Macquarie)</w:t>
            </w:r>
          </w:p>
        </w:tc>
        <w:tc>
          <w:tcPr>
            <w:tcW w:type="dxa" w:w="1433"/>
            <w:shd w:val="clear" w:color="auto" w:fill="EEF1F6"/>
          </w:tcPr>
          <w:p>
            <w:r>
              <w:rPr>
                <w:b w:val="0"/>
                <w:i w:val="0"/>
                <w:sz w:val="15"/>
              </w:rPr>
              <w:t>Oct-18</w:t>
            </w:r>
          </w:p>
        </w:tc>
        <w:tc>
          <w:tcPr>
            <w:tcW w:type="dxa" w:w="2024"/>
            <w:shd w:val="clear" w:color="auto" w:fill="EEF1F6"/>
          </w:tcPr>
          <w:p>
            <w:r>
              <w:rPr>
                <w:b w:val="0"/>
                <w:i w:val="0"/>
                <w:sz w:val="15"/>
              </w:rPr>
              <w:t>EV ~KRW 2.97tn; SKT equity ~KRW 0.7tn</w:t>
            </w:r>
          </w:p>
        </w:tc>
        <w:tc>
          <w:tcPr>
            <w:tcW w:type="dxa" w:w="1518"/>
            <w:shd w:val="clear" w:color="auto" w:fill="EEF1F6"/>
          </w:tcPr>
          <w:p>
            <w:r>
              <w:rPr>
                <w:b w:val="0"/>
                <w:i w:val="0"/>
                <w:sz w:val="15"/>
              </w:rPr>
              <w:t>55% of holdco</w:t>
            </w:r>
          </w:p>
        </w:tc>
        <w:tc>
          <w:tcPr>
            <w:tcW w:type="dxa" w:w="2698"/>
            <w:shd w:val="clear" w:color="auto" w:fill="EEF1F6"/>
          </w:tcPr>
          <w:p>
            <w:r>
              <w:rPr>
                <w:b w:val="0"/>
                <w:i w:val="0"/>
                <w:sz w:val="15"/>
              </w:rPr>
              <w:t>~13-14x EBITDA [u]; moved to SK Square; sold to EQT 2023</w:t>
            </w:r>
          </w:p>
        </w:tc>
      </w:tr>
      <w:tr>
        <w:tc>
          <w:tcPr>
            <w:tcW w:type="dxa" w:w="2192"/>
          </w:tcPr>
          <w:p>
            <w:r>
              <w:rPr>
                <w:b w:val="0"/>
                <w:i w:val="0"/>
                <w:sz w:val="15"/>
              </w:rPr>
              <w:t>ID Quantique (quantum)</w:t>
            </w:r>
          </w:p>
        </w:tc>
        <w:tc>
          <w:tcPr>
            <w:tcW w:type="dxa" w:w="1433"/>
          </w:tcPr>
          <w:p>
            <w:r>
              <w:rPr>
                <w:b w:val="0"/>
                <w:i w:val="0"/>
                <w:sz w:val="15"/>
              </w:rPr>
              <w:t>2018</w:t>
            </w:r>
          </w:p>
        </w:tc>
        <w:tc>
          <w:tcPr>
            <w:tcW w:type="dxa" w:w="2024"/>
          </w:tcPr>
          <w:p>
            <w:r>
              <w:rPr>
                <w:b w:val="0"/>
                <w:i w:val="0"/>
                <w:sz w:val="15"/>
              </w:rPr>
              <w:t>~US$65m [u]</w:t>
            </w:r>
          </w:p>
        </w:tc>
        <w:tc>
          <w:tcPr>
            <w:tcW w:type="dxa" w:w="1518"/>
          </w:tcPr>
          <w:p>
            <w:r>
              <w:rPr>
                <w:b w:val="0"/>
                <w:i w:val="0"/>
                <w:sz w:val="15"/>
              </w:rPr>
              <w:t>Majority</w:t>
            </w:r>
          </w:p>
        </w:tc>
        <w:tc>
          <w:tcPr>
            <w:tcW w:type="dxa" w:w="2698"/>
          </w:tcPr>
          <w:p>
            <w:r>
              <w:rPr>
                <w:b w:val="0"/>
                <w:i w:val="0"/>
                <w:sz w:val="15"/>
              </w:rPr>
              <w:t>Later absorbed by IonQ (2025) [u]</w:t>
            </w:r>
          </w:p>
        </w:tc>
      </w:tr>
      <w:tr>
        <w:tc>
          <w:tcPr>
            <w:tcW w:type="dxa" w:w="2192"/>
            <w:shd w:val="clear" w:color="auto" w:fill="EEF1F6"/>
          </w:tcPr>
          <w:p>
            <w:r>
              <w:rPr>
                <w:b w:val="0"/>
                <w:i w:val="0"/>
                <w:sz w:val="15"/>
              </w:rPr>
              <w:t>Kakao share swap</w:t>
            </w:r>
          </w:p>
        </w:tc>
        <w:tc>
          <w:tcPr>
            <w:tcW w:type="dxa" w:w="1433"/>
            <w:shd w:val="clear" w:color="auto" w:fill="EEF1F6"/>
          </w:tcPr>
          <w:p>
            <w:r>
              <w:rPr>
                <w:b w:val="0"/>
                <w:i w:val="0"/>
                <w:sz w:val="15"/>
              </w:rPr>
              <w:t>Nov-19</w:t>
            </w:r>
          </w:p>
        </w:tc>
        <w:tc>
          <w:tcPr>
            <w:tcW w:type="dxa" w:w="2024"/>
            <w:shd w:val="clear" w:color="auto" w:fill="EEF1F6"/>
          </w:tcPr>
          <w:p>
            <w:r>
              <w:rPr>
                <w:b w:val="0"/>
                <w:i w:val="0"/>
                <w:sz w:val="15"/>
              </w:rPr>
              <w:t>KRW 300bn each way</w:t>
            </w:r>
          </w:p>
        </w:tc>
        <w:tc>
          <w:tcPr>
            <w:tcW w:type="dxa" w:w="1518"/>
            <w:shd w:val="clear" w:color="auto" w:fill="EEF1F6"/>
          </w:tcPr>
          <w:p>
            <w:r>
              <w:rPr>
                <w:b w:val="0"/>
                <w:i w:val="0"/>
                <w:sz w:val="15"/>
              </w:rPr>
              <w:t>~2.4% of Kakao</w:t>
            </w:r>
          </w:p>
        </w:tc>
        <w:tc>
          <w:tcPr>
            <w:tcW w:type="dxa" w:w="2698"/>
            <w:shd w:val="clear" w:color="auto" w:fill="EEF1F6"/>
          </w:tcPr>
          <w:p>
            <w:r>
              <w:rPr>
                <w:b w:val="0"/>
                <w:i w:val="0"/>
                <w:sz w:val="15"/>
              </w:rPr>
              <w:t>Exited Apr-25 (block trade, 10.8m shares)</w:t>
            </w:r>
          </w:p>
        </w:tc>
      </w:tr>
      <w:tr>
        <w:tc>
          <w:tcPr>
            <w:tcW w:type="dxa" w:w="2192"/>
          </w:tcPr>
          <w:p>
            <w:r>
              <w:rPr>
                <w:b w:val="0"/>
                <w:i w:val="0"/>
                <w:sz w:val="15"/>
              </w:rPr>
              <w:t>Tbroad merger into SK Broadband</w:t>
            </w:r>
          </w:p>
        </w:tc>
        <w:tc>
          <w:tcPr>
            <w:tcW w:type="dxa" w:w="1433"/>
          </w:tcPr>
          <w:p>
            <w:r>
              <w:rPr>
                <w:b w:val="0"/>
                <w:i w:val="0"/>
                <w:sz w:val="15"/>
              </w:rPr>
              <w:t>Apr-20</w:t>
            </w:r>
          </w:p>
        </w:tc>
        <w:tc>
          <w:tcPr>
            <w:tcW w:type="dxa" w:w="2024"/>
          </w:tcPr>
          <w:p>
            <w:r>
              <w:rPr>
                <w:b w:val="0"/>
                <w:i w:val="0"/>
                <w:sz w:val="15"/>
              </w:rPr>
              <w:t>SKB shares (Taekwang 16.75%, Mirae 8.01%)</w:t>
            </w:r>
          </w:p>
        </w:tc>
        <w:tc>
          <w:tcPr>
            <w:tcW w:type="dxa" w:w="1518"/>
          </w:tcPr>
          <w:p>
            <w:r>
              <w:rPr>
                <w:b w:val="0"/>
                <w:i w:val="0"/>
                <w:sz w:val="15"/>
              </w:rPr>
              <w:t>100% of Tbroad</w:t>
            </w:r>
          </w:p>
        </w:tc>
        <w:tc>
          <w:tcPr>
            <w:tcW w:type="dxa" w:w="2698"/>
          </w:tcPr>
          <w:p>
            <w:r>
              <w:rPr>
                <w:b w:val="0"/>
                <w:i w:val="0"/>
                <w:sz w:val="15"/>
              </w:rPr>
              <w:t>Minorities bought out 2025 for KRW 1.15tn</w:t>
            </w:r>
          </w:p>
        </w:tc>
      </w:tr>
      <w:tr>
        <w:tc>
          <w:tcPr>
            <w:tcW w:type="dxa" w:w="2192"/>
            <w:shd w:val="clear" w:color="auto" w:fill="EEF1F6"/>
          </w:tcPr>
          <w:p>
            <w:r>
              <w:rPr>
                <w:b w:val="0"/>
                <w:i w:val="0"/>
                <w:sz w:val="15"/>
              </w:rPr>
              <w:t>Tmap Mobility / Uber JV</w:t>
            </w:r>
          </w:p>
        </w:tc>
        <w:tc>
          <w:tcPr>
            <w:tcW w:type="dxa" w:w="1433"/>
            <w:shd w:val="clear" w:color="auto" w:fill="EEF1F6"/>
          </w:tcPr>
          <w:p>
            <w:r>
              <w:rPr>
                <w:b w:val="0"/>
                <w:i w:val="0"/>
                <w:sz w:val="15"/>
              </w:rPr>
              <w:t>Dec-20 / Apr-21</w:t>
            </w:r>
          </w:p>
        </w:tc>
        <w:tc>
          <w:tcPr>
            <w:tcW w:type="dxa" w:w="2024"/>
            <w:shd w:val="clear" w:color="auto" w:fill="EEF1F6"/>
          </w:tcPr>
          <w:p>
            <w:r>
              <w:rPr>
                <w:b w:val="0"/>
                <w:i w:val="0"/>
                <w:sz w:val="15"/>
              </w:rPr>
              <w:t>Uber invested US$150m</w:t>
            </w:r>
          </w:p>
        </w:tc>
        <w:tc>
          <w:tcPr>
            <w:tcW w:type="dxa" w:w="1518"/>
            <w:shd w:val="clear" w:color="auto" w:fill="EEF1F6"/>
          </w:tcPr>
          <w:p>
            <w:r>
              <w:rPr>
                <w:b w:val="0"/>
                <w:i w:val="0"/>
                <w:sz w:val="15"/>
              </w:rPr>
              <w:t>n/a</w:t>
            </w:r>
          </w:p>
        </w:tc>
        <w:tc>
          <w:tcPr>
            <w:tcW w:type="dxa" w:w="2698"/>
            <w:shd w:val="clear" w:color="auto" w:fill="EEF1F6"/>
          </w:tcPr>
          <w:p>
            <w:r>
              <w:rPr>
                <w:b w:val="0"/>
                <w:i w:val="0"/>
                <w:sz w:val="15"/>
              </w:rPr>
              <w:t>Moved to SK Square; UT stake sold to Uber 2025</w:t>
            </w:r>
          </w:p>
        </w:tc>
      </w:tr>
      <w:tr>
        <w:tc>
          <w:tcPr>
            <w:tcW w:type="dxa" w:w="2192"/>
          </w:tcPr>
          <w:p>
            <w:r>
              <w:rPr>
                <w:b w:val="0"/>
                <w:i w:val="0"/>
                <w:sz w:val="15"/>
              </w:rPr>
              <w:t>Hana Card to Hana Financial swap</w:t>
            </w:r>
          </w:p>
        </w:tc>
        <w:tc>
          <w:tcPr>
            <w:tcW w:type="dxa" w:w="1433"/>
          </w:tcPr>
          <w:p>
            <w:r>
              <w:rPr>
                <w:b w:val="0"/>
                <w:i w:val="0"/>
                <w:sz w:val="15"/>
              </w:rPr>
              <w:t>Jul-22</w:t>
            </w:r>
          </w:p>
        </w:tc>
        <w:tc>
          <w:tcPr>
            <w:tcW w:type="dxa" w:w="2024"/>
          </w:tcPr>
          <w:p>
            <w:r>
              <w:rPr>
                <w:b w:val="0"/>
                <w:i w:val="0"/>
                <w:sz w:val="15"/>
              </w:rPr>
              <w:t>KRW 330bn</w:t>
            </w:r>
          </w:p>
        </w:tc>
        <w:tc>
          <w:tcPr>
            <w:tcW w:type="dxa" w:w="1518"/>
          </w:tcPr>
          <w:p>
            <w:r>
              <w:rPr>
                <w:b w:val="0"/>
                <w:i w:val="0"/>
                <w:sz w:val="15"/>
              </w:rPr>
              <w:t>~3.1% of Hana Financial</w:t>
            </w:r>
          </w:p>
        </w:tc>
        <w:tc>
          <w:tcPr>
            <w:tcW w:type="dxa" w:w="2698"/>
          </w:tcPr>
          <w:p>
            <w:r>
              <w:rPr>
                <w:b w:val="0"/>
                <w:i w:val="0"/>
                <w:sz w:val="15"/>
              </w:rPr>
              <w:t>Value-accretive (Hana re-rated with Value-Up)</w:t>
            </w:r>
          </w:p>
        </w:tc>
      </w:tr>
      <w:tr>
        <w:tc>
          <w:tcPr>
            <w:tcW w:type="dxa" w:w="2192"/>
            <w:shd w:val="clear" w:color="auto" w:fill="EEF1F6"/>
          </w:tcPr>
          <w:p>
            <w:r>
              <w:rPr>
                <w:b w:val="0"/>
                <w:i w:val="0"/>
                <w:sz w:val="15"/>
              </w:rPr>
              <w:t>Joby Aviation</w:t>
            </w:r>
          </w:p>
        </w:tc>
        <w:tc>
          <w:tcPr>
            <w:tcW w:type="dxa" w:w="1433"/>
            <w:shd w:val="clear" w:color="auto" w:fill="EEF1F6"/>
          </w:tcPr>
          <w:p>
            <w:r>
              <w:rPr>
                <w:b w:val="0"/>
                <w:i w:val="0"/>
                <w:sz w:val="15"/>
              </w:rPr>
              <w:t>Jun-23</w:t>
            </w:r>
          </w:p>
        </w:tc>
        <w:tc>
          <w:tcPr>
            <w:tcW w:type="dxa" w:w="2024"/>
            <w:shd w:val="clear" w:color="auto" w:fill="EEF1F6"/>
          </w:tcPr>
          <w:p>
            <w:r>
              <w:rPr>
                <w:b w:val="0"/>
                <w:i w:val="0"/>
                <w:sz w:val="15"/>
              </w:rPr>
              <w:t>US$100m</w:t>
            </w:r>
          </w:p>
        </w:tc>
        <w:tc>
          <w:tcPr>
            <w:tcW w:type="dxa" w:w="1518"/>
            <w:shd w:val="clear" w:color="auto" w:fill="EEF1F6"/>
          </w:tcPr>
          <w:p>
            <w:r>
              <w:rPr>
                <w:b w:val="0"/>
                <w:i w:val="0"/>
                <w:sz w:val="15"/>
              </w:rPr>
              <w:t>~2%</w:t>
            </w:r>
          </w:p>
        </w:tc>
        <w:tc>
          <w:tcPr>
            <w:tcW w:type="dxa" w:w="2698"/>
            <w:shd w:val="clear" w:color="auto" w:fill="EEF1F6"/>
          </w:tcPr>
          <w:p>
            <w:r>
              <w:rPr>
                <w:b w:val="0"/>
                <w:i w:val="0"/>
                <w:sz w:val="15"/>
              </w:rPr>
              <w:t>66% sold for KRW 131bn (2026); ~5m shares retained</w:t>
            </w:r>
          </w:p>
        </w:tc>
      </w:tr>
      <w:tr>
        <w:tc>
          <w:tcPr>
            <w:tcW w:type="dxa" w:w="2192"/>
          </w:tcPr>
          <w:p>
            <w:r>
              <w:rPr>
                <w:b w:val="0"/>
                <w:i w:val="0"/>
                <w:sz w:val="15"/>
              </w:rPr>
              <w:t>Anthropic</w:t>
            </w:r>
          </w:p>
        </w:tc>
        <w:tc>
          <w:tcPr>
            <w:tcW w:type="dxa" w:w="1433"/>
          </w:tcPr>
          <w:p>
            <w:r>
              <w:rPr>
                <w:b w:val="0"/>
                <w:i w:val="0"/>
                <w:sz w:val="15"/>
              </w:rPr>
              <w:t>Aug-23 + Jun-26</w:t>
            </w:r>
          </w:p>
        </w:tc>
        <w:tc>
          <w:tcPr>
            <w:tcW w:type="dxa" w:w="2024"/>
          </w:tcPr>
          <w:p>
            <w:r>
              <w:rPr>
                <w:b w:val="0"/>
                <w:i w:val="0"/>
                <w:sz w:val="15"/>
              </w:rPr>
              <w:t>US$100m + KRW 139.9bn</w:t>
            </w:r>
          </w:p>
        </w:tc>
        <w:tc>
          <w:tcPr>
            <w:tcW w:type="dxa" w:w="1518"/>
          </w:tcPr>
          <w:p>
            <w:r>
              <w:rPr>
                <w:b w:val="0"/>
                <w:i w:val="0"/>
                <w:sz w:val="15"/>
              </w:rPr>
              <w:t>~0.26% (3.86m shares)</w:t>
            </w:r>
          </w:p>
        </w:tc>
        <w:tc>
          <w:tcPr>
            <w:tcW w:type="dxa" w:w="2698"/>
          </w:tcPr>
          <w:p>
            <w:r>
              <w:rPr>
                <w:b w:val="0"/>
                <w:i w:val="0"/>
                <w:sz w:val="15"/>
              </w:rPr>
              <w:t>~24x per-share gain; book KRW 3.5tn</w:t>
            </w:r>
          </w:p>
        </w:tc>
      </w:tr>
      <w:tr>
        <w:tc>
          <w:tcPr>
            <w:tcW w:type="dxa" w:w="2192"/>
            <w:shd w:val="clear" w:color="auto" w:fill="EEF1F6"/>
          </w:tcPr>
          <w:p>
            <w:r>
              <w:rPr>
                <w:b w:val="0"/>
                <w:i w:val="0"/>
                <w:sz w:val="15"/>
              </w:rPr>
              <w:t>Lambda / Perplexity</w:t>
            </w:r>
          </w:p>
        </w:tc>
        <w:tc>
          <w:tcPr>
            <w:tcW w:type="dxa" w:w="1433"/>
            <w:shd w:val="clear" w:color="auto" w:fill="EEF1F6"/>
          </w:tcPr>
          <w:p>
            <w:r>
              <w:rPr>
                <w:b w:val="0"/>
                <w:i w:val="0"/>
                <w:sz w:val="15"/>
              </w:rPr>
              <w:t>Feb-24 / Jun-24</w:t>
            </w:r>
          </w:p>
        </w:tc>
        <w:tc>
          <w:tcPr>
            <w:tcW w:type="dxa" w:w="2024"/>
            <w:shd w:val="clear" w:color="auto" w:fill="EEF1F6"/>
          </w:tcPr>
          <w:p>
            <w:r>
              <w:rPr>
                <w:b w:val="0"/>
                <w:i w:val="0"/>
                <w:sz w:val="15"/>
              </w:rPr>
              <w:t>US$20m / US$10m</w:t>
            </w:r>
          </w:p>
        </w:tc>
        <w:tc>
          <w:tcPr>
            <w:tcW w:type="dxa" w:w="1518"/>
            <w:shd w:val="clear" w:color="auto" w:fill="EEF1F6"/>
          </w:tcPr>
          <w:p>
            <w:r>
              <w:rPr>
                <w:b w:val="0"/>
                <w:i w:val="0"/>
                <w:sz w:val="15"/>
              </w:rPr>
              <w:t>Minority</w:t>
            </w:r>
          </w:p>
        </w:tc>
        <w:tc>
          <w:tcPr>
            <w:tcW w:type="dxa" w:w="2698"/>
            <w:shd w:val="clear" w:color="auto" w:fill="EEF1F6"/>
          </w:tcPr>
          <w:p>
            <w:r>
              <w:rPr>
                <w:b w:val="0"/>
                <w:i w:val="0"/>
                <w:sz w:val="15"/>
              </w:rPr>
              <w:t>Strategic (GPUaaS, A. app)</w:t>
            </w:r>
          </w:p>
        </w:tc>
      </w:tr>
      <w:tr>
        <w:tc>
          <w:tcPr>
            <w:tcW w:type="dxa" w:w="2192"/>
          </w:tcPr>
          <w:p>
            <w:r>
              <w:rPr>
                <w:b w:val="0"/>
                <w:i w:val="0"/>
                <w:sz w:val="15"/>
              </w:rPr>
              <w:t>SAPEON Korea into Rebellions</w:t>
            </w:r>
          </w:p>
        </w:tc>
        <w:tc>
          <w:tcPr>
            <w:tcW w:type="dxa" w:w="1433"/>
          </w:tcPr>
          <w:p>
            <w:r>
              <w:rPr>
                <w:b w:val="0"/>
                <w:i w:val="0"/>
                <w:sz w:val="15"/>
              </w:rPr>
              <w:t>Dec-24</w:t>
            </w:r>
          </w:p>
        </w:tc>
        <w:tc>
          <w:tcPr>
            <w:tcW w:type="dxa" w:w="2024"/>
          </w:tcPr>
          <w:p>
            <w:r>
              <w:rPr>
                <w:b w:val="0"/>
                <w:i w:val="0"/>
                <w:sz w:val="15"/>
              </w:rPr>
              <w:t>Share swap</w:t>
            </w:r>
          </w:p>
        </w:tc>
        <w:tc>
          <w:tcPr>
            <w:tcW w:type="dxa" w:w="1518"/>
          </w:tcPr>
          <w:p>
            <w:r>
              <w:rPr>
                <w:b w:val="0"/>
                <w:i w:val="0"/>
                <w:sz w:val="15"/>
              </w:rPr>
              <w:t>~18.2% look-through</w:t>
            </w:r>
          </w:p>
        </w:tc>
        <w:tc>
          <w:tcPr>
            <w:tcW w:type="dxa" w:w="2698"/>
          </w:tcPr>
          <w:p>
            <w:r>
              <w:rPr>
                <w:b w:val="0"/>
                <w:i w:val="0"/>
                <w:sz w:val="15"/>
              </w:rPr>
              <w:t>KRW 1.4tn to KRW 3.4tn valuation; IPO 1H27</w:t>
            </w:r>
          </w:p>
        </w:tc>
      </w:tr>
      <w:tr>
        <w:tc>
          <w:tcPr>
            <w:tcW w:type="dxa" w:w="2192"/>
            <w:shd w:val="clear" w:color="auto" w:fill="EEF1F6"/>
          </w:tcPr>
          <w:p>
            <w:r>
              <w:rPr>
                <w:b w:val="0"/>
                <w:i w:val="0"/>
                <w:sz w:val="15"/>
              </w:rPr>
              <w:t>Penguin Solutions (PENG)</w:t>
            </w:r>
          </w:p>
        </w:tc>
        <w:tc>
          <w:tcPr>
            <w:tcW w:type="dxa" w:w="1433"/>
            <w:shd w:val="clear" w:color="auto" w:fill="EEF1F6"/>
          </w:tcPr>
          <w:p>
            <w:r>
              <w:rPr>
                <w:b w:val="0"/>
                <w:i w:val="0"/>
                <w:sz w:val="15"/>
              </w:rPr>
              <w:t>Dec-24</w:t>
            </w:r>
          </w:p>
        </w:tc>
        <w:tc>
          <w:tcPr>
            <w:tcW w:type="dxa" w:w="2024"/>
            <w:shd w:val="clear" w:color="auto" w:fill="EEF1F6"/>
          </w:tcPr>
          <w:p>
            <w:r>
              <w:rPr>
                <w:b w:val="0"/>
                <w:i w:val="0"/>
                <w:sz w:val="15"/>
              </w:rPr>
              <w:t>US$200m convertible preferred</w:t>
            </w:r>
          </w:p>
        </w:tc>
        <w:tc>
          <w:tcPr>
            <w:tcW w:type="dxa" w:w="1518"/>
            <w:shd w:val="clear" w:color="auto" w:fill="EEF1F6"/>
          </w:tcPr>
          <w:p>
            <w:r>
              <w:rPr>
                <w:b w:val="0"/>
                <w:i w:val="0"/>
                <w:sz w:val="15"/>
              </w:rPr>
              <w:t>~10% as-converted</w:t>
            </w:r>
          </w:p>
        </w:tc>
        <w:tc>
          <w:tcPr>
            <w:tcW w:type="dxa" w:w="2698"/>
            <w:shd w:val="clear" w:color="auto" w:fill="EEF1F6"/>
          </w:tcPr>
          <w:p>
            <w:r>
              <w:rPr>
                <w:b w:val="0"/>
                <w:i w:val="0"/>
                <w:sz w:val="15"/>
              </w:rPr>
              <w:t>Conversion price US$32.81</w:t>
            </w:r>
          </w:p>
        </w:tc>
      </w:tr>
      <w:tr>
        <w:tc>
          <w:tcPr>
            <w:tcW w:type="dxa" w:w="2192"/>
          </w:tcPr>
          <w:p>
            <w:r>
              <w:rPr>
                <w:b w:val="0"/>
                <w:i w:val="0"/>
                <w:sz w:val="15"/>
              </w:rPr>
              <w:t>SK Communications / F&amp;U / SK M&amp;Service</w:t>
            </w:r>
          </w:p>
        </w:tc>
        <w:tc>
          <w:tcPr>
            <w:tcW w:type="dxa" w:w="1433"/>
          </w:tcPr>
          <w:p>
            <w:r>
              <w:rPr>
                <w:b w:val="0"/>
                <w:i w:val="0"/>
                <w:sz w:val="15"/>
              </w:rPr>
              <w:t>Dec-24</w:t>
            </w:r>
          </w:p>
        </w:tc>
        <w:tc>
          <w:tcPr>
            <w:tcW w:type="dxa" w:w="2024"/>
          </w:tcPr>
          <w:p>
            <w:r>
              <w:rPr>
                <w:b w:val="0"/>
                <w:i w:val="0"/>
                <w:sz w:val="15"/>
              </w:rPr>
              <w:t>KRW 7bn (SK Comms)</w:t>
            </w:r>
          </w:p>
        </w:tc>
        <w:tc>
          <w:tcPr>
            <w:tcW w:type="dxa" w:w="1518"/>
          </w:tcPr>
          <w:p>
            <w:r>
              <w:rPr>
                <w:b w:val="0"/>
                <w:i w:val="0"/>
                <w:sz w:val="15"/>
              </w:rPr>
              <w:t>100% / 50% / 100%</w:t>
            </w:r>
          </w:p>
        </w:tc>
        <w:tc>
          <w:tcPr>
            <w:tcW w:type="dxa" w:w="2698"/>
          </w:tcPr>
          <w:p>
            <w:r>
              <w:rPr>
                <w:b w:val="0"/>
                <w:i w:val="0"/>
                <w:sz w:val="15"/>
              </w:rPr>
              <w:t>~5x EBITDA; non-core exit</w:t>
            </w:r>
          </w:p>
        </w:tc>
      </w:tr>
      <w:tr>
        <w:tc>
          <w:tcPr>
            <w:tcW w:type="dxa" w:w="2192"/>
            <w:shd w:val="clear" w:color="auto" w:fill="EEF1F6"/>
          </w:tcPr>
          <w:p>
            <w:r>
              <w:rPr>
                <w:b w:val="0"/>
                <w:i w:val="0"/>
                <w:sz w:val="15"/>
              </w:rPr>
              <w:t>SK Broadband minorities</w:t>
            </w:r>
          </w:p>
        </w:tc>
        <w:tc>
          <w:tcPr>
            <w:tcW w:type="dxa" w:w="1433"/>
            <w:shd w:val="clear" w:color="auto" w:fill="EEF1F6"/>
          </w:tcPr>
          <w:p>
            <w:r>
              <w:rPr>
                <w:b w:val="0"/>
                <w:i w:val="0"/>
                <w:sz w:val="15"/>
              </w:rPr>
              <w:t>Nov-24 to May-26</w:t>
            </w:r>
          </w:p>
        </w:tc>
        <w:tc>
          <w:tcPr>
            <w:tcW w:type="dxa" w:w="2024"/>
            <w:shd w:val="clear" w:color="auto" w:fill="EEF1F6"/>
          </w:tcPr>
          <w:p>
            <w:r>
              <w:rPr>
                <w:b w:val="0"/>
                <w:i w:val="0"/>
                <w:sz w:val="15"/>
              </w:rPr>
              <w:t>KRW 1.15tn + share swap</w:t>
            </w:r>
          </w:p>
        </w:tc>
        <w:tc>
          <w:tcPr>
            <w:tcW w:type="dxa" w:w="1518"/>
            <w:shd w:val="clear" w:color="auto" w:fill="EEF1F6"/>
          </w:tcPr>
          <w:p>
            <w:r>
              <w:rPr>
                <w:b w:val="0"/>
                <w:i w:val="0"/>
                <w:sz w:val="15"/>
              </w:rPr>
              <w:t>24.8% to 100%</w:t>
            </w:r>
          </w:p>
        </w:tc>
        <w:tc>
          <w:tcPr>
            <w:tcW w:type="dxa" w:w="2698"/>
            <w:shd w:val="clear" w:color="auto" w:fill="EEF1F6"/>
          </w:tcPr>
          <w:p>
            <w:r>
              <w:rPr>
                <w:b w:val="0"/>
                <w:i w:val="0"/>
                <w:sz w:val="15"/>
              </w:rPr>
              <w:t>~5x EBITDA [e/u]</w:t>
            </w:r>
          </w:p>
        </w:tc>
      </w:tr>
      <w:tr>
        <w:tc>
          <w:tcPr>
            <w:tcW w:type="dxa" w:w="2192"/>
          </w:tcPr>
          <w:p>
            <w:r>
              <w:rPr>
                <w:b w:val="0"/>
                <w:i w:val="0"/>
                <w:sz w:val="15"/>
              </w:rPr>
              <w:t>Syntelligence AI (GTAA JV)</w:t>
            </w:r>
          </w:p>
        </w:tc>
        <w:tc>
          <w:tcPr>
            <w:tcW w:type="dxa" w:w="1433"/>
          </w:tcPr>
          <w:p>
            <w:r>
              <w:rPr>
                <w:b w:val="0"/>
                <w:i w:val="0"/>
                <w:sz w:val="15"/>
              </w:rPr>
              <w:t>Aug-25</w:t>
            </w:r>
          </w:p>
        </w:tc>
        <w:tc>
          <w:tcPr>
            <w:tcW w:type="dxa" w:w="2024"/>
          </w:tcPr>
          <w:p>
            <w:r>
              <w:rPr>
                <w:b w:val="0"/>
                <w:i w:val="0"/>
                <w:sz w:val="15"/>
              </w:rPr>
              <w:t>Share of US$37.5m</w:t>
            </w:r>
          </w:p>
        </w:tc>
        <w:tc>
          <w:tcPr>
            <w:tcW w:type="dxa" w:w="1518"/>
          </w:tcPr>
          <w:p>
            <w:r>
              <w:rPr>
                <w:b w:val="0"/>
                <w:i w:val="0"/>
                <w:sz w:val="15"/>
              </w:rPr>
              <w:t>20%</w:t>
            </w:r>
          </w:p>
        </w:tc>
        <w:tc>
          <w:tcPr>
            <w:tcW w:type="dxa" w:w="2698"/>
          </w:tcPr>
          <w:p>
            <w:r>
              <w:rPr>
                <w:b w:val="0"/>
                <w:i w:val="0"/>
                <w:sz w:val="15"/>
              </w:rPr>
              <w:t>Early-stage</w:t>
            </w:r>
          </w:p>
        </w:tc>
      </w:tr>
      <w:tr>
        <w:tc>
          <w:tcPr>
            <w:tcW w:type="dxa" w:w="2192"/>
            <w:shd w:val="clear" w:color="auto" w:fill="EEF1F6"/>
          </w:tcPr>
          <w:p>
            <w:r>
              <w:rPr>
                <w:b w:val="0"/>
                <w:i w:val="0"/>
                <w:sz w:val="15"/>
              </w:rPr>
              <w:t>SK Stoa (disposal)</w:t>
            </w:r>
          </w:p>
        </w:tc>
        <w:tc>
          <w:tcPr>
            <w:tcW w:type="dxa" w:w="1433"/>
            <w:shd w:val="clear" w:color="auto" w:fill="EEF1F6"/>
          </w:tcPr>
          <w:p>
            <w:r>
              <w:rPr>
                <w:b w:val="0"/>
                <w:i w:val="0"/>
                <w:sz w:val="15"/>
              </w:rPr>
              <w:t>2026 (pending)</w:t>
            </w:r>
          </w:p>
        </w:tc>
        <w:tc>
          <w:tcPr>
            <w:tcW w:type="dxa" w:w="2024"/>
            <w:shd w:val="clear" w:color="auto" w:fill="EEF1F6"/>
          </w:tcPr>
          <w:p>
            <w:r>
              <w:rPr>
                <w:b w:val="0"/>
                <w:i w:val="0"/>
                <w:sz w:val="15"/>
              </w:rPr>
              <w:t>~KRW 110bn</w:t>
            </w:r>
          </w:p>
        </w:tc>
        <w:tc>
          <w:tcPr>
            <w:tcW w:type="dxa" w:w="1518"/>
            <w:shd w:val="clear" w:color="auto" w:fill="EEF1F6"/>
          </w:tcPr>
          <w:p>
            <w:r>
              <w:rPr>
                <w:b w:val="0"/>
                <w:i w:val="0"/>
                <w:sz w:val="15"/>
              </w:rPr>
              <w:t>100% (may be partial)</w:t>
            </w:r>
          </w:p>
        </w:tc>
        <w:tc>
          <w:tcPr>
            <w:tcW w:type="dxa" w:w="2698"/>
            <w:shd w:val="clear" w:color="auto" w:fill="EEF1F6"/>
          </w:tcPr>
          <w:p>
            <w:r>
              <w:rPr>
                <w:b w:val="0"/>
                <w:i w:val="0"/>
                <w:sz w:val="15"/>
              </w:rPr>
              <w:t>Buyer's first filing withdrawn Jul-26</w:t>
            </w:r>
          </w:p>
        </w:tc>
      </w:tr>
      <w:tr>
        <w:tc>
          <w:tcPr>
            <w:tcW w:type="dxa" w:w="2192"/>
          </w:tcPr>
          <w:p>
            <w:r>
              <w:rPr>
                <w:b w:val="0"/>
                <w:i w:val="0"/>
                <w:sz w:val="15"/>
              </w:rPr>
              <w:t>SK Horizon (49% disposal)</w:t>
            </w:r>
          </w:p>
        </w:tc>
        <w:tc>
          <w:tcPr>
            <w:tcW w:type="dxa" w:w="1433"/>
          </w:tcPr>
          <w:p>
            <w:r>
              <w:rPr>
                <w:b w:val="0"/>
                <w:i w:val="0"/>
                <w:sz w:val="15"/>
              </w:rPr>
              <w:t>Aug-26</w:t>
            </w:r>
          </w:p>
        </w:tc>
        <w:tc>
          <w:tcPr>
            <w:tcW w:type="dxa" w:w="2024"/>
          </w:tcPr>
          <w:p>
            <w:r>
              <w:rPr>
                <w:b w:val="0"/>
                <w:i w:val="0"/>
                <w:sz w:val="15"/>
              </w:rPr>
              <w:t>KRW 3.08tn</w:t>
            </w:r>
          </w:p>
        </w:tc>
        <w:tc>
          <w:tcPr>
            <w:tcW w:type="dxa" w:w="1518"/>
          </w:tcPr>
          <w:p>
            <w:r>
              <w:rPr>
                <w:b w:val="0"/>
                <w:i w:val="0"/>
                <w:sz w:val="15"/>
              </w:rPr>
              <w:t>49%</w:t>
            </w:r>
          </w:p>
        </w:tc>
        <w:tc>
          <w:tcPr>
            <w:tcW w:type="dxa" w:w="2698"/>
          </w:tcPr>
          <w:p>
            <w:r>
              <w:rPr>
                <w:b w:val="0"/>
                <w:i w:val="0"/>
                <w:sz w:val="15"/>
              </w:rPr>
              <w:t>Crystallises AI-DC value</w:t>
            </w:r>
          </w:p>
        </w:tc>
      </w:tr>
    </w:tbl>
    <w:p/>
    <w:p>
      <w:pPr>
        <w:pStyle w:val="Heading2"/>
      </w:pPr>
      <w:r>
        <w:rPr>
          <w:b/>
          <w:i w:val="0"/>
          <w:color w:val="2D6CCB"/>
          <w:sz w:val="24"/>
        </w:rPr>
        <w:t>13.4 SK Telecom's exact holding in Anthropic</w:t>
      </w:r>
    </w:p>
    <w:tbl>
      <w:tblPr>
        <w:tblStyle w:val="TableGrid"/>
        <w:tblW w:type="auto" w:w="0"/>
        <w:jc w:val="center"/>
        <w:tblLook w:firstColumn="1" w:firstRow="1" w:lastColumn="0" w:lastRow="0" w:noHBand="0" w:noVBand="1" w:val="04A0"/>
      </w:tblPr>
      <w:tblGrid>
        <w:gridCol w:w="5100"/>
        <w:gridCol w:w="5100"/>
      </w:tblGrid>
      <w:tr>
        <w:tc>
          <w:tcPr>
            <w:tcW w:type="dxa" w:w="2375"/>
            <w:shd w:val="clear" w:color="auto" w:fill="13223F"/>
          </w:tcPr>
          <w:p>
            <w:r>
              <w:rPr>
                <w:b/>
                <w:i w:val="0"/>
                <w:color w:val="FFFFFF"/>
                <w:sz w:val="15"/>
              </w:rPr>
              <w:t>Item</w:t>
            </w:r>
          </w:p>
        </w:tc>
        <w:tc>
          <w:tcPr>
            <w:tcW w:type="dxa" w:w="7490"/>
            <w:shd w:val="clear" w:color="auto" w:fill="13223F"/>
          </w:tcPr>
          <w:p>
            <w:r>
              <w:rPr>
                <w:b/>
                <w:i w:val="0"/>
                <w:color w:val="FFFFFF"/>
                <w:sz w:val="15"/>
              </w:rPr>
              <w:t>Detail</w:t>
            </w:r>
          </w:p>
        </w:tc>
      </w:tr>
      <w:tr>
        <w:tc>
          <w:tcPr>
            <w:tcW w:type="dxa" w:w="2375"/>
          </w:tcPr>
          <w:p>
            <w:r>
              <w:rPr>
                <w:b w:val="0"/>
                <w:i w:val="0"/>
                <w:sz w:val="15"/>
              </w:rPr>
              <w:t>Initial investment</w:t>
            </w:r>
          </w:p>
        </w:tc>
        <w:tc>
          <w:tcPr>
            <w:tcW w:type="dxa" w:w="7490"/>
          </w:tcPr>
          <w:p>
            <w:r>
              <w:rPr>
                <w:b w:val="0"/>
                <w:i w:val="0"/>
                <w:sz w:val="15"/>
              </w:rPr>
              <w:t>US$100m, August 2023 (Anthropic valued ~US$4-5bn); book KRW 132.1bn</w:t>
            </w:r>
          </w:p>
        </w:tc>
      </w:tr>
      <w:tr>
        <w:tc>
          <w:tcPr>
            <w:tcW w:type="dxa" w:w="2375"/>
            <w:shd w:val="clear" w:color="auto" w:fill="EEF1F6"/>
          </w:tcPr>
          <w:p>
            <w:r>
              <w:rPr>
                <w:b w:val="0"/>
                <w:i w:val="0"/>
                <w:sz w:val="15"/>
              </w:rPr>
              <w:t>Stake history</w:t>
            </w:r>
          </w:p>
        </w:tc>
        <w:tc>
          <w:tcPr>
            <w:tcW w:type="dxa" w:w="7490"/>
            <w:shd w:val="clear" w:color="auto" w:fill="EEF1F6"/>
          </w:tcPr>
          <w:p>
            <w:r>
              <w:rPr>
                <w:b w:val="0"/>
                <w:i w:val="0"/>
                <w:sz w:val="15"/>
              </w:rPr>
              <w:t>~2% at entry (press; thebell says ~1%) - 0.7% / 0.58% (1H25 report) - ~0.3% (Hana Securities, Jun-26)</w:t>
            </w:r>
          </w:p>
        </w:tc>
      </w:tr>
      <w:tr>
        <w:tc>
          <w:tcPr>
            <w:tcW w:type="dxa" w:w="2375"/>
          </w:tcPr>
          <w:p>
            <w:r>
              <w:rPr>
                <w:b w:val="0"/>
                <w:i w:val="0"/>
                <w:sz w:val="15"/>
              </w:rPr>
              <w:t>Follow-on</w:t>
            </w:r>
          </w:p>
        </w:tc>
        <w:tc>
          <w:tcPr>
            <w:tcW w:type="dxa" w:w="7490"/>
          </w:tcPr>
          <w:p>
            <w:r>
              <w:rPr>
                <w:b w:val="0"/>
                <w:i w:val="0"/>
                <w:sz w:val="15"/>
              </w:rPr>
              <w:t>Series H (May/Jun-26): 157,189 shares for KRW 139.9bn (~KRW 890k / ~US$640 per share)</w:t>
            </w:r>
          </w:p>
        </w:tc>
      </w:tr>
      <w:tr>
        <w:tc>
          <w:tcPr>
            <w:tcW w:type="dxa" w:w="2375"/>
            <w:shd w:val="clear" w:color="auto" w:fill="EEF1F6"/>
          </w:tcPr>
          <w:p>
            <w:r>
              <w:rPr>
                <w:b/>
                <w:i w:val="0"/>
                <w:sz w:val="15"/>
              </w:rPr>
              <w:t>Holding at 30-Jun-2026</w:t>
            </w:r>
          </w:p>
        </w:tc>
        <w:tc>
          <w:tcPr>
            <w:tcW w:type="dxa" w:w="7490"/>
            <w:shd w:val="clear" w:color="auto" w:fill="EEF1F6"/>
          </w:tcPr>
          <w:p>
            <w:r>
              <w:rPr>
                <w:b/>
                <w:i w:val="0"/>
                <w:sz w:val="15"/>
              </w:rPr>
              <w:t>3,860,330 shares; carrying value KRW 3,505.0bn</w:t>
            </w:r>
            <w:r>
              <w:rPr>
                <w:b w:val="0"/>
                <w:i w:val="0"/>
                <w:sz w:val="15"/>
              </w:rPr>
              <w:t xml:space="preserve"> (H1-26 half-year report)</w:t>
            </w:r>
          </w:p>
        </w:tc>
      </w:tr>
      <w:tr>
        <w:tc>
          <w:tcPr>
            <w:tcW w:type="dxa" w:w="2375"/>
          </w:tcPr>
          <w:p>
            <w:r>
              <w:rPr>
                <w:b w:val="0"/>
                <w:i w:val="0"/>
                <w:sz w:val="15"/>
              </w:rPr>
              <w:t>Implied % ownership [e]</w:t>
            </w:r>
          </w:p>
        </w:tc>
        <w:tc>
          <w:tcPr>
            <w:tcW w:type="dxa" w:w="7490"/>
          </w:tcPr>
          <w:p>
            <w:r>
              <w:rPr>
                <w:b w:val="0"/>
                <w:i w:val="0"/>
                <w:sz w:val="15"/>
              </w:rPr>
              <w:t>~0.26% of ~1.51bn shares implied by US$965bn post-money / ~US$640 per share</w:t>
            </w:r>
          </w:p>
        </w:tc>
      </w:tr>
      <w:tr>
        <w:tc>
          <w:tcPr>
            <w:tcW w:type="dxa" w:w="2375"/>
            <w:shd w:val="clear" w:color="auto" w:fill="EEF1F6"/>
          </w:tcPr>
          <w:p>
            <w:r>
              <w:rPr>
                <w:b w:val="0"/>
                <w:i w:val="0"/>
                <w:sz w:val="15"/>
              </w:rPr>
              <w:t>Fair-value uplift</w:t>
            </w:r>
          </w:p>
        </w:tc>
        <w:tc>
          <w:tcPr>
            <w:tcW w:type="dxa" w:w="7490"/>
            <w:shd w:val="clear" w:color="auto" w:fill="EEF1F6"/>
          </w:tcPr>
          <w:p>
            <w:r>
              <w:rPr>
                <w:b w:val="0"/>
                <w:i w:val="0"/>
                <w:sz w:val="15"/>
              </w:rPr>
              <w:t>+KRW 2,128.8bn in 1H26; cumulative ~KRW 3.2tn on ~KRW 272bn invested</w:t>
            </w:r>
          </w:p>
        </w:tc>
      </w:tr>
      <w:tr>
        <w:tc>
          <w:tcPr>
            <w:tcW w:type="dxa" w:w="2375"/>
          </w:tcPr>
          <w:p>
            <w:r>
              <w:rPr>
                <w:b w:val="0"/>
                <w:i w:val="0"/>
                <w:sz w:val="15"/>
              </w:rPr>
              <w:t>Accounting</w:t>
            </w:r>
          </w:p>
        </w:tc>
        <w:tc>
          <w:tcPr>
            <w:tcW w:type="dxa" w:w="7490"/>
          </w:tcPr>
          <w:p>
            <w:r>
              <w:rPr>
                <w:b w:val="0"/>
                <w:i w:val="0"/>
                <w:sz w:val="15"/>
              </w:rPr>
              <w:t>Revalued each funding round (FVOCI or FVTPL - not confirmed) [u]; deferred tax on gains ~24%</w:t>
            </w:r>
          </w:p>
        </w:tc>
      </w:tr>
      <w:tr>
        <w:tc>
          <w:tcPr>
            <w:tcW w:type="dxa" w:w="2375"/>
            <w:shd w:val="clear" w:color="auto" w:fill="EEF1F6"/>
          </w:tcPr>
          <w:p>
            <w:r>
              <w:rPr>
                <w:b w:val="0"/>
                <w:i w:val="0"/>
                <w:sz w:val="15"/>
              </w:rPr>
              <w:t>Value at IPO scenarios [e]</w:t>
            </w:r>
          </w:p>
        </w:tc>
        <w:tc>
          <w:tcPr>
            <w:tcW w:type="dxa" w:w="7490"/>
            <w:shd w:val="clear" w:color="auto" w:fill="EEF1F6"/>
          </w:tcPr>
          <w:p>
            <w:r>
              <w:rPr>
                <w:b w:val="0"/>
                <w:i w:val="0"/>
                <w:sz w:val="15"/>
              </w:rPr>
              <w:t>US$965bn: KRW 3.5tn | US$1.5tn: KRW 5.2tn | US$2.0tn: KRW 7.0tn (38% of mkt cap) | US$2.5tn: KRW 8.7tn</w:t>
            </w:r>
          </w:p>
        </w:tc>
      </w:tr>
      <w:tr>
        <w:tc>
          <w:tcPr>
            <w:tcW w:type="dxa" w:w="2375"/>
          </w:tcPr>
          <w:p>
            <w:r>
              <w:rPr>
                <w:b w:val="0"/>
                <w:i w:val="0"/>
                <w:sz w:val="15"/>
              </w:rPr>
              <w:t>Commercial ties</w:t>
            </w:r>
          </w:p>
        </w:tc>
        <w:tc>
          <w:tcPr>
            <w:tcW w:type="dxa" w:w="7490"/>
          </w:tcPr>
          <w:p>
            <w:r>
              <w:rPr>
                <w:b w:val="0"/>
                <w:i w:val="0"/>
                <w:sz w:val="15"/>
              </w:rPr>
              <w:t>Claude-based multilingual telco LLM (2023); Claude inside A. app; SKT in Anthropic's "Project Glasswing" security programme (2026)</w:t>
            </w:r>
          </w:p>
        </w:tc>
      </w:tr>
      <w:tr>
        <w:tc>
          <w:tcPr>
            <w:tcW w:type="dxa" w:w="2375"/>
            <w:shd w:val="clear" w:color="auto" w:fill="EEF1F6"/>
          </w:tcPr>
          <w:p>
            <w:r>
              <w:rPr>
                <w:b w:val="0"/>
                <w:i w:val="0"/>
                <w:sz w:val="15"/>
              </w:rPr>
              <w:t>Monetisation</w:t>
            </w:r>
          </w:p>
        </w:tc>
        <w:tc>
          <w:tcPr>
            <w:tcW w:type="dxa" w:w="7490"/>
            <w:shd w:val="clear" w:color="auto" w:fill="EEF1F6"/>
          </w:tcPr>
          <w:p>
            <w:r>
              <w:rPr>
                <w:b w:val="0"/>
                <w:i w:val="0"/>
                <w:sz w:val="15"/>
              </w:rPr>
              <w:t>No sale plan announced; Series H top-up signals strategic intent; typical 180-day IPO lock-up would push any sale to 2H27</w:t>
            </w:r>
          </w:p>
        </w:tc>
      </w:tr>
    </w:tbl>
    <w:p/>
    <w:p>
      <w:r>
        <w:br w:type="page"/>
      </w:r>
    </w:p>
    <w:p>
      <w:pPr>
        <w:pStyle w:val="Heading1"/>
      </w:pPr>
      <w:r>
        <w:rPr>
          <w:b/>
          <w:i w:val="0"/>
          <w:color w:val="13223F"/>
          <w:sz w:val="32"/>
        </w:rPr>
        <w:t>14. Management assessment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18"/>
            <w:shd w:val="clear" w:color="auto" w:fill="13223F"/>
          </w:tcPr>
          <w:p>
            <w:r>
              <w:rPr>
                <w:b/>
                <w:i w:val="0"/>
                <w:color w:val="FFFFFF"/>
                <w:sz w:val="15"/>
              </w:rPr>
              <w:t>Executive</w:t>
            </w:r>
          </w:p>
        </w:tc>
        <w:tc>
          <w:tcPr>
            <w:tcW w:type="dxa" w:w="2101"/>
            <w:shd w:val="clear" w:color="auto" w:fill="13223F"/>
          </w:tcPr>
          <w:p>
            <w:r>
              <w:rPr>
                <w:b/>
                <w:i w:val="0"/>
                <w:color w:val="FFFFFF"/>
                <w:sz w:val="15"/>
              </w:rPr>
              <w:t>Role / tenure</w:t>
            </w:r>
          </w:p>
        </w:tc>
        <w:tc>
          <w:tcPr>
            <w:tcW w:type="dxa" w:w="4202"/>
            <w:shd w:val="clear" w:color="auto" w:fill="13223F"/>
          </w:tcPr>
          <w:p>
            <w:r>
              <w:rPr>
                <w:b/>
                <w:i w:val="0"/>
                <w:color w:val="FFFFFF"/>
                <w:sz w:val="15"/>
              </w:rPr>
              <w:t>Background &amp; track record</w:t>
            </w:r>
          </w:p>
        </w:tc>
        <w:tc>
          <w:tcPr>
            <w:tcW w:type="dxa" w:w="1644"/>
            <w:shd w:val="clear" w:color="auto" w:fill="13223F"/>
          </w:tcPr>
          <w:p>
            <w:r>
              <w:rPr>
                <w:b/>
                <w:i w:val="0"/>
                <w:color w:val="FFFFFF"/>
                <w:sz w:val="15"/>
              </w:rPr>
              <w:t>Pay / ownership</w:t>
            </w:r>
          </w:p>
        </w:tc>
      </w:tr>
      <w:tr>
        <w:tc>
          <w:tcPr>
            <w:tcW w:type="dxa" w:w="1918"/>
          </w:tcPr>
          <w:p>
            <w:r>
              <w:rPr>
                <w:b w:val="0"/>
                <w:i w:val="0"/>
                <w:sz w:val="15"/>
              </w:rPr>
              <w:t>Jung Jai-hun</w:t>
            </w:r>
          </w:p>
        </w:tc>
        <w:tc>
          <w:tcPr>
            <w:tcW w:type="dxa" w:w="2101"/>
          </w:tcPr>
          <w:p>
            <w:r>
              <w:rPr>
                <w:b w:val="0"/>
                <w:i w:val="0"/>
                <w:sz w:val="15"/>
              </w:rPr>
              <w:t>CEO since 30-Oct-25; representative director since 26-Mar-26</w:t>
            </w:r>
          </w:p>
        </w:tc>
        <w:tc>
          <w:tcPr>
            <w:tcW w:type="dxa" w:w="4202"/>
          </w:tcPr>
          <w:p>
            <w:r>
              <w:rPr>
                <w:b w:val="0"/>
                <w:i w:val="0"/>
                <w:sz w:val="15"/>
              </w:rPr>
              <w:t>Former judge (SNU law); SKT Legal Group head 2020; SK Square founding member / investment support; SKT president external affairs (Dec-23); Chief Governance Officer. First lawyer to run SKT. Led post-breach trust response. Chairman of KAIT (Feb-26)</w:t>
            </w:r>
          </w:p>
        </w:tc>
        <w:tc>
          <w:tcPr>
            <w:tcW w:type="dxa" w:w="1644"/>
          </w:tcPr>
          <w:p>
            <w:r>
              <w:rPr>
                <w:b w:val="0"/>
                <w:i w:val="0"/>
                <w:sz w:val="15"/>
              </w:rPr>
              <w:t>FY25 KRW 2.08bn; shareholding not verified (likely token)</w:t>
            </w:r>
          </w:p>
        </w:tc>
      </w:tr>
      <w:tr>
        <w:tc>
          <w:tcPr>
            <w:tcW w:type="dxa" w:w="1918"/>
            <w:shd w:val="clear" w:color="auto" w:fill="EEF1F6"/>
          </w:tcPr>
          <w:p>
            <w:r>
              <w:rPr>
                <w:b w:val="0"/>
                <w:i w:val="0"/>
                <w:sz w:val="15"/>
              </w:rPr>
              <w:t>Han Myung-jin</w:t>
            </w:r>
          </w:p>
        </w:tc>
        <w:tc>
          <w:tcPr>
            <w:tcW w:type="dxa" w:w="2101"/>
            <w:shd w:val="clear" w:color="auto" w:fill="EEF1F6"/>
          </w:tcPr>
          <w:p>
            <w:r>
              <w:rPr>
                <w:b w:val="0"/>
                <w:i w:val="0"/>
                <w:sz w:val="15"/>
              </w:rPr>
              <w:t>President, head of MNO CIC; inside director since Mar-26</w:t>
            </w:r>
          </w:p>
        </w:tc>
        <w:tc>
          <w:tcPr>
            <w:tcW w:type="dxa" w:w="4202"/>
            <w:shd w:val="clear" w:color="auto" w:fill="EEF1F6"/>
          </w:tcPr>
          <w:p>
            <w:r>
              <w:rPr>
                <w:b w:val="0"/>
                <w:i w:val="0"/>
                <w:sz w:val="15"/>
              </w:rPr>
              <w:t>SK Group / SK Square executive [u]; tasked with subscriber and trust recovery; effectively covers finance after CFO exit</w:t>
            </w:r>
          </w:p>
        </w:tc>
        <w:tc>
          <w:tcPr>
            <w:tcW w:type="dxa" w:w="1644"/>
            <w:shd w:val="clear" w:color="auto" w:fill="EEF1F6"/>
          </w:tcPr>
          <w:p>
            <w:r>
              <w:rPr>
                <w:b w:val="0"/>
                <w:i w:val="0"/>
                <w:sz w:val="15"/>
              </w:rPr>
              <w:t>n/a</w:t>
            </w:r>
          </w:p>
        </w:tc>
      </w:tr>
      <w:tr>
        <w:tc>
          <w:tcPr>
            <w:tcW w:type="dxa" w:w="1918"/>
          </w:tcPr>
          <w:p>
            <w:r>
              <w:rPr>
                <w:b w:val="0"/>
                <w:i w:val="0"/>
                <w:sz w:val="15"/>
              </w:rPr>
              <w:t>Kim Yang-sub</w:t>
            </w:r>
          </w:p>
        </w:tc>
        <w:tc>
          <w:tcPr>
            <w:tcW w:type="dxa" w:w="2101"/>
          </w:tcPr>
          <w:p>
            <w:r>
              <w:rPr>
                <w:b w:val="0"/>
                <w:i w:val="0"/>
                <w:sz w:val="15"/>
              </w:rPr>
              <w:t>CFO Dec-23 to late-25 (retired)</w:t>
            </w:r>
          </w:p>
        </w:tc>
        <w:tc>
          <w:tcPr>
            <w:tcW w:type="dxa" w:w="4202"/>
          </w:tcPr>
          <w:p>
            <w:r>
              <w:rPr>
                <w:b w:val="0"/>
                <w:i w:val="0"/>
                <w:sz w:val="15"/>
              </w:rPr>
              <w:t>Group finance specialist [u]</w:t>
            </w:r>
          </w:p>
        </w:tc>
        <w:tc>
          <w:tcPr>
            <w:tcW w:type="dxa" w:w="1644"/>
          </w:tcPr>
          <w:p>
            <w:r>
              <w:rPr>
                <w:b w:val="0"/>
                <w:i w:val="0"/>
                <w:sz w:val="15"/>
              </w:rPr>
              <w:t>FY25 KRW 2.34bn incl. KRW 1.2bn severance</w:t>
            </w:r>
          </w:p>
        </w:tc>
      </w:tr>
      <w:tr>
        <w:tc>
          <w:tcPr>
            <w:tcW w:type="dxa" w:w="1918"/>
            <w:shd w:val="clear" w:color="auto" w:fill="EEF1F6"/>
          </w:tcPr>
          <w:p>
            <w:r>
              <w:rPr>
                <w:b w:val="0"/>
                <w:i w:val="0"/>
                <w:sz w:val="15"/>
              </w:rPr>
              <w:t>Jung Seok-geun / Yoo Kyung-sang</w:t>
            </w:r>
          </w:p>
        </w:tc>
        <w:tc>
          <w:tcPr>
            <w:tcW w:type="dxa" w:w="2101"/>
            <w:shd w:val="clear" w:color="auto" w:fill="EEF1F6"/>
          </w:tcPr>
          <w:p>
            <w:r>
              <w:rPr>
                <w:b w:val="0"/>
                <w:i w:val="0"/>
                <w:sz w:val="15"/>
              </w:rPr>
              <w:t>Co-heads, AI CIC (Sep-25); Jung also CEO of SK Hyper</w:t>
            </w:r>
          </w:p>
        </w:tc>
        <w:tc>
          <w:tcPr>
            <w:tcW w:type="dxa" w:w="4202"/>
            <w:shd w:val="clear" w:color="auto" w:fill="EEF1F6"/>
          </w:tcPr>
          <w:p>
            <w:r>
              <w:rPr>
                <w:b w:val="0"/>
                <w:i w:val="0"/>
                <w:sz w:val="15"/>
              </w:rPr>
              <w:t>AI/DC build-out; ~40% of AI CIC executives removed Nov-25</w:t>
            </w:r>
          </w:p>
        </w:tc>
        <w:tc>
          <w:tcPr>
            <w:tcW w:type="dxa" w:w="1644"/>
            <w:shd w:val="clear" w:color="auto" w:fill="EEF1F6"/>
          </w:tcPr>
          <w:p>
            <w:r>
              <w:rPr>
                <w:b w:val="0"/>
                <w:i w:val="0"/>
                <w:sz w:val="15"/>
              </w:rPr>
              <w:t>n/a</w:t>
            </w:r>
          </w:p>
        </w:tc>
      </w:tr>
      <w:tr>
        <w:tc>
          <w:tcPr>
            <w:tcW w:type="dxa" w:w="1918"/>
          </w:tcPr>
          <w:p>
            <w:r>
              <w:rPr>
                <w:b w:val="0"/>
                <w:i w:val="0"/>
                <w:sz w:val="15"/>
              </w:rPr>
              <w:t>Lee Jong-hyun</w:t>
            </w:r>
          </w:p>
        </w:tc>
        <w:tc>
          <w:tcPr>
            <w:tcW w:type="dxa" w:w="2101"/>
          </w:tcPr>
          <w:p>
            <w:r>
              <w:rPr>
                <w:b w:val="0"/>
                <w:i w:val="0"/>
                <w:sz w:val="15"/>
              </w:rPr>
              <w:t>CISO / Integrated Security Center (reports to CEO)</w:t>
            </w:r>
          </w:p>
        </w:tc>
        <w:tc>
          <w:tcPr>
            <w:tcW w:type="dxa" w:w="4202"/>
          </w:tcPr>
          <w:p>
            <w:r>
              <w:rPr>
                <w:b w:val="0"/>
                <w:i w:val="0"/>
                <w:sz w:val="15"/>
              </w:rPr>
              <w:t>External hire post-breach</w:t>
            </w:r>
          </w:p>
        </w:tc>
        <w:tc>
          <w:tcPr>
            <w:tcW w:type="dxa" w:w="1644"/>
          </w:tcPr>
          <w:p>
            <w:r>
              <w:rPr>
                <w:b w:val="0"/>
                <w:i w:val="0"/>
                <w:sz w:val="15"/>
              </w:rPr>
              <w:t>n/a</w:t>
            </w:r>
          </w:p>
        </w:tc>
      </w:tr>
      <w:tr>
        <w:tc>
          <w:tcPr>
            <w:tcW w:type="dxa" w:w="1918"/>
            <w:shd w:val="clear" w:color="auto" w:fill="EEF1F6"/>
          </w:tcPr>
          <w:p>
            <w:r>
              <w:rPr>
                <w:b w:val="0"/>
                <w:i w:val="0"/>
                <w:sz w:val="15"/>
              </w:rPr>
              <w:t>Cha Ho-beom</w:t>
            </w:r>
          </w:p>
        </w:tc>
        <w:tc>
          <w:tcPr>
            <w:tcW w:type="dxa" w:w="2101"/>
            <w:shd w:val="clear" w:color="auto" w:fill="EEF1F6"/>
          </w:tcPr>
          <w:p>
            <w:r>
              <w:rPr>
                <w:b w:val="0"/>
                <w:i w:val="0"/>
                <w:sz w:val="15"/>
              </w:rPr>
              <w:t>CPO (split from CISO)</w:t>
            </w:r>
          </w:p>
        </w:tc>
        <w:tc>
          <w:tcPr>
            <w:tcW w:type="dxa" w:w="4202"/>
            <w:shd w:val="clear" w:color="auto" w:fill="EEF1F6"/>
          </w:tcPr>
          <w:p>
            <w:r>
              <w:rPr>
                <w:b w:val="0"/>
                <w:i w:val="0"/>
                <w:sz w:val="15"/>
              </w:rPr>
              <w:t>Former AI governance head</w:t>
            </w:r>
          </w:p>
        </w:tc>
        <w:tc>
          <w:tcPr>
            <w:tcW w:type="dxa" w:w="1644"/>
            <w:shd w:val="clear" w:color="auto" w:fill="EEF1F6"/>
          </w:tcPr>
          <w:p>
            <w:r>
              <w:rPr>
                <w:b w:val="0"/>
                <w:i w:val="0"/>
                <w:sz w:val="15"/>
              </w:rPr>
              <w:t>n/a</w:t>
            </w:r>
          </w:p>
        </w:tc>
      </w:tr>
      <w:tr>
        <w:tc>
          <w:tcPr>
            <w:tcW w:type="dxa" w:w="1918"/>
          </w:tcPr>
          <w:p>
            <w:r>
              <w:rPr>
                <w:b w:val="0"/>
                <w:i w:val="0"/>
                <w:sz w:val="15"/>
              </w:rPr>
              <w:t>Ryu Young-sang (former CEO)</w:t>
            </w:r>
          </w:p>
        </w:tc>
        <w:tc>
          <w:tcPr>
            <w:tcW w:type="dxa" w:w="2101"/>
          </w:tcPr>
          <w:p>
            <w:r>
              <w:rPr>
                <w:b w:val="0"/>
                <w:i w:val="0"/>
                <w:sz w:val="15"/>
              </w:rPr>
              <w:t>CEO Nov-21 to Oct-25</w:t>
            </w:r>
          </w:p>
        </w:tc>
        <w:tc>
          <w:tcPr>
            <w:tcW w:type="dxa" w:w="4202"/>
          </w:tcPr>
          <w:p>
            <w:r>
              <w:rPr>
                <w:b w:val="0"/>
                <w:i w:val="0"/>
                <w:sz w:val="15"/>
              </w:rPr>
              <w:t>Built the "AI company" pivot (AI Pyramid, Anthropic, GTAA, AI-DC); breach occurred on his watch (intrusion from 2021-22). Now heads SUPEX AI Committee; SK Square NED</w:t>
            </w:r>
          </w:p>
        </w:tc>
        <w:tc>
          <w:tcPr>
            <w:tcW w:type="dxa" w:w="1644"/>
          </w:tcPr>
          <w:p>
            <w:r>
              <w:rPr>
                <w:b w:val="0"/>
                <w:i w:val="0"/>
                <w:sz w:val="15"/>
              </w:rPr>
              <w:t>FY24 KRW 3.08bn; FY25 KRW 3.41bn</w:t>
            </w:r>
          </w:p>
        </w:tc>
      </w:tr>
      <w:tr>
        <w:tc>
          <w:tcPr>
            <w:tcW w:type="dxa" w:w="1918"/>
            <w:shd w:val="clear" w:color="auto" w:fill="EEF1F6"/>
          </w:tcPr>
          <w:p>
            <w:r>
              <w:rPr>
                <w:b w:val="0"/>
                <w:i w:val="0"/>
                <w:sz w:val="15"/>
              </w:rPr>
              <w:t>Park Jung-ho (former CEO)</w:t>
            </w:r>
          </w:p>
        </w:tc>
        <w:tc>
          <w:tcPr>
            <w:tcW w:type="dxa" w:w="2101"/>
            <w:shd w:val="clear" w:color="auto" w:fill="EEF1F6"/>
          </w:tcPr>
          <w:p>
            <w:r>
              <w:rPr>
                <w:b w:val="0"/>
                <w:i w:val="0"/>
                <w:sz w:val="15"/>
              </w:rPr>
              <w:t>CEO Dec-16 to Nov-21</w:t>
            </w:r>
          </w:p>
        </w:tc>
        <w:tc>
          <w:tcPr>
            <w:tcW w:type="dxa" w:w="4202"/>
            <w:shd w:val="clear" w:color="auto" w:fill="EEF1F6"/>
          </w:tcPr>
          <w:p>
            <w:r>
              <w:rPr>
                <w:b w:val="0"/>
                <w:i w:val="0"/>
                <w:sz w:val="15"/>
              </w:rPr>
              <w:t>Architect of Hynix acquisition (2012), ADT Caps, Tbroad, 11st/Wavve/Tmap vehicles and the 2021 split; later SK hynix vice chairman</w:t>
            </w:r>
          </w:p>
        </w:tc>
        <w:tc>
          <w:tcPr>
            <w:tcW w:type="dxa" w:w="1644"/>
            <w:shd w:val="clear" w:color="auto" w:fill="EEF1F6"/>
          </w:tcPr>
          <w:p>
            <w:r>
              <w:rPr>
                <w:b w:val="0"/>
                <w:i w:val="0"/>
                <w:sz w:val="15"/>
              </w:rPr>
              <w:t>n/a</w:t>
            </w:r>
          </w:p>
        </w:tc>
      </w:tr>
    </w:tbl>
    <w:p/>
    <w:p>
      <w:pPr>
        <w:pStyle w:val="Heading2"/>
      </w:pPr>
      <w:r>
        <w:rPr>
          <w:b/>
          <w:i w:val="0"/>
          <w:color w:val="2D6CCB"/>
          <w:sz w:val="24"/>
        </w:rPr>
        <w:t>Assessment</w:t>
      </w:r>
    </w:p>
    <w:p>
      <w:pPr>
        <w:pStyle w:val="ListBullet"/>
        <w:spacing w:after="20"/>
      </w:pPr>
      <w:r>
        <w:rPr>
          <w:b/>
          <w:i w:val="0"/>
        </w:rPr>
        <w:t>Track record:</w:t>
      </w:r>
      <w:r>
        <w:rPr>
          <w:b w:val="0"/>
          <w:i w:val="0"/>
        </w:rPr>
        <w:t xml:space="preserve"> Jung is untested as an operator - a lawyer/governance executive with no P&amp;L history. Early actions (two-CIC structure, 30% executive cut, SKB to 100%, KRW 1.7tn reserve reclassification for tax-free dividends, SK Horizon with KKR/IMM, Anthropic top-up) are sensible and capital-light, but SK Hyper and the SK hynix-linked investment raise questions about who sets capital allocation.</w:t>
      </w:r>
    </w:p>
    <w:p>
      <w:pPr>
        <w:pStyle w:val="ListBullet"/>
        <w:spacing w:after="20"/>
      </w:pPr>
      <w:r>
        <w:rPr>
          <w:b/>
          <w:i w:val="0"/>
        </w:rPr>
        <w:t>Tenure &amp; skin in the game:</w:t>
      </w:r>
      <w:r>
        <w:rPr>
          <w:b w:val="0"/>
          <w:i w:val="0"/>
        </w:rPr>
        <w:t xml:space="preserve"> CEO tenure 11 months; executive holdings are negligible - typical of Korean chaebol professional managers. Alignment runs through SK Group career incentives, not SKT equity.</w:t>
      </w:r>
    </w:p>
    <w:p>
      <w:pPr>
        <w:pStyle w:val="ListBullet"/>
        <w:spacing w:after="20"/>
      </w:pPr>
      <w:r>
        <w:rPr>
          <w:b/>
          <w:i w:val="0"/>
        </w:rPr>
        <w:t>Capital allocation:</w:t>
      </w:r>
      <w:r>
        <w:rPr>
          <w:b w:val="0"/>
          <w:i w:val="0"/>
        </w:rPr>
        <w:t xml:space="preserve"> ROE ~8-11% in 2022-24, ~3% in 2025, ~10-11% FY26E; ROIC mid-single-digit [u]. Good decisions: 2021 split, Anthropic (~24x), SKB minorities at ~5x, disposals of non-core assets. Poor: CJ HelloVision, ifland metaverse (shut 2025), repeated FI-funded ventures with put rights (11st, One Store - now SK Square's problem), under-investment in security.</w:t>
      </w:r>
    </w:p>
    <w:p>
      <w:pPr>
        <w:pStyle w:val="ListBullet"/>
        <w:spacing w:after="20"/>
      </w:pPr>
      <w:r>
        <w:rPr>
          <w:b/>
          <w:i w:val="0"/>
        </w:rPr>
        <w:t>Red flags:</w:t>
      </w:r>
      <w:r>
        <w:rPr>
          <w:b w:val="0"/>
          <w:i w:val="0"/>
        </w:rPr>
        <w:t xml:space="preserve"> (1) group-directed CEO appointments via the SK reshuffle rather than a board search; (2) pay up while performance collapsed (Ryu +10% to KRW 3.41bn in the breach year); (3) related-party flows to SK Inc. (0.2% brand royalty), SK AX (IT) and the KRW 738bn SK hynix-linked commitment [u]; (4) three strategy narratives in a decade ("New ICT" to "AI company" to "trust + AI"); (5) AI promotion running ahead of AI revenue (&lt;5% of sales).</w:t>
      </w:r>
    </w:p>
    <w:p>
      <w:pPr>
        <w:pStyle w:val="ListBullet"/>
        <w:spacing w:after="20"/>
      </w:pPr>
      <w:r>
        <w:rPr>
          <w:b/>
          <w:i w:val="0"/>
        </w:rPr>
        <w:t>Archetype:</w:t>
      </w:r>
      <w:r>
        <w:rPr>
          <w:b w:val="0"/>
          <w:i w:val="0"/>
        </w:rPr>
        <w:t xml:space="preserve"> professional managers inside a founder-controlled group (Chey Tae-won). Implication: continuity and dividend discipline, but strategy is set at group level and minority interests can be subordinated to group needs (e.g. supporting SK hynix or SK Inc. deleveraging).</w:t>
      </w:r>
    </w:p>
    <w:p>
      <w:r>
        <w:br w:type="page"/>
      </w:r>
    </w:p>
    <w:p>
      <w:pPr>
        <w:pStyle w:val="Heading1"/>
      </w:pPr>
      <w:r>
        <w:rPr>
          <w:b/>
          <w:i w:val="0"/>
          <w:color w:val="13223F"/>
          <w:sz w:val="32"/>
        </w:rPr>
        <w:t>15. Board of Directors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26"/>
            <w:shd w:val="clear" w:color="auto" w:fill="13223F"/>
          </w:tcPr>
          <w:p>
            <w:r>
              <w:rPr>
                <w:b/>
                <w:i w:val="0"/>
                <w:color w:val="FFFFFF"/>
                <w:sz w:val="15"/>
              </w:rPr>
              <w:t>Director</w:t>
            </w:r>
          </w:p>
        </w:tc>
        <w:tc>
          <w:tcPr>
            <w:tcW w:type="dxa" w:w="1850"/>
            <w:shd w:val="clear" w:color="auto" w:fill="13223F"/>
          </w:tcPr>
          <w:p>
            <w:r>
              <w:rPr>
                <w:b/>
                <w:i w:val="0"/>
                <w:color w:val="FFFFFF"/>
                <w:sz w:val="15"/>
              </w:rPr>
              <w:t>Type</w:t>
            </w:r>
          </w:p>
        </w:tc>
        <w:tc>
          <w:tcPr>
            <w:tcW w:type="dxa" w:w="1409"/>
            <w:shd w:val="clear" w:color="auto" w:fill="13223F"/>
          </w:tcPr>
          <w:p>
            <w:r>
              <w:rPr>
                <w:b/>
                <w:i w:val="0"/>
                <w:color w:val="FFFFFF"/>
                <w:sz w:val="15"/>
              </w:rPr>
              <w:t>Since</w:t>
            </w:r>
          </w:p>
        </w:tc>
        <w:tc>
          <w:tcPr>
            <w:tcW w:type="dxa" w:w="2995"/>
            <w:shd w:val="clear" w:color="auto" w:fill="13223F"/>
          </w:tcPr>
          <w:p>
            <w:r>
              <w:rPr>
                <w:b/>
                <w:i w:val="0"/>
                <w:color w:val="FFFFFF"/>
                <w:sz w:val="15"/>
              </w:rPr>
              <w:t>Background</w:t>
            </w:r>
          </w:p>
        </w:tc>
        <w:tc>
          <w:tcPr>
            <w:tcW w:type="dxa" w:w="1585"/>
            <w:shd w:val="clear" w:color="auto" w:fill="13223F"/>
          </w:tcPr>
          <w:p>
            <w:r>
              <w:rPr>
                <w:b/>
                <w:i w:val="0"/>
                <w:color w:val="FFFFFF"/>
                <w:sz w:val="15"/>
              </w:rPr>
              <w:t>Other affiliations</w:t>
            </w:r>
          </w:p>
        </w:tc>
      </w:tr>
      <w:tr>
        <w:tc>
          <w:tcPr>
            <w:tcW w:type="dxa" w:w="2026"/>
          </w:tcPr>
          <w:p>
            <w:r>
              <w:rPr>
                <w:b w:val="0"/>
                <w:i w:val="0"/>
                <w:sz w:val="15"/>
              </w:rPr>
              <w:t>Kim Chang-bo</w:t>
            </w:r>
          </w:p>
        </w:tc>
        <w:tc>
          <w:tcPr>
            <w:tcW w:type="dxa" w:w="1850"/>
          </w:tcPr>
          <w:p>
            <w:r>
              <w:rPr>
                <w:b w:val="0"/>
                <w:i w:val="0"/>
                <w:sz w:val="15"/>
              </w:rPr>
              <w:t>Outside - Board Chair</w:t>
            </w:r>
          </w:p>
        </w:tc>
        <w:tc>
          <w:tcPr>
            <w:tcW w:type="dxa" w:w="1409"/>
          </w:tcPr>
          <w:p>
            <w:r>
              <w:rPr>
                <w:b w:val="0"/>
                <w:i w:val="0"/>
                <w:sz w:val="15"/>
              </w:rPr>
              <w:t>Mar-25 (Chair Mar-26)</w:t>
            </w:r>
          </w:p>
        </w:tc>
        <w:tc>
          <w:tcPr>
            <w:tcW w:type="dxa" w:w="2995"/>
          </w:tcPr>
          <w:p>
            <w:r>
              <w:rPr>
                <w:b w:val="0"/>
                <w:i w:val="0"/>
                <w:sz w:val="15"/>
              </w:rPr>
              <w:t>Former Chief Judge, Seoul High Court (2019-21)</w:t>
            </w:r>
          </w:p>
        </w:tc>
        <w:tc>
          <w:tcPr>
            <w:tcW w:type="dxa" w:w="1585"/>
          </w:tcPr>
          <w:p>
            <w:r>
              <w:rPr>
                <w:b w:val="0"/>
                <w:i w:val="0"/>
                <w:sz w:val="15"/>
              </w:rPr>
              <w:t>Lawyer, Daeryuk Aju</w:t>
            </w:r>
          </w:p>
        </w:tc>
      </w:tr>
      <w:tr>
        <w:tc>
          <w:tcPr>
            <w:tcW w:type="dxa" w:w="2026"/>
            <w:shd w:val="clear" w:color="auto" w:fill="EEF1F6"/>
          </w:tcPr>
          <w:p>
            <w:r>
              <w:rPr>
                <w:b w:val="0"/>
                <w:i w:val="0"/>
                <w:sz w:val="15"/>
              </w:rPr>
              <w:t>Jung Jai-hun</w:t>
            </w:r>
          </w:p>
        </w:tc>
        <w:tc>
          <w:tcPr>
            <w:tcW w:type="dxa" w:w="1850"/>
            <w:shd w:val="clear" w:color="auto" w:fill="EEF1F6"/>
          </w:tcPr>
          <w:p>
            <w:r>
              <w:rPr>
                <w:b w:val="0"/>
                <w:i w:val="0"/>
                <w:sz w:val="15"/>
              </w:rPr>
              <w:t>Inside - CEO</w:t>
            </w:r>
          </w:p>
        </w:tc>
        <w:tc>
          <w:tcPr>
            <w:tcW w:type="dxa" w:w="1409"/>
            <w:shd w:val="clear" w:color="auto" w:fill="EEF1F6"/>
          </w:tcPr>
          <w:p>
            <w:r>
              <w:rPr>
                <w:b w:val="0"/>
                <w:i w:val="0"/>
                <w:sz w:val="15"/>
              </w:rPr>
              <w:t>Mar-26</w:t>
            </w:r>
          </w:p>
        </w:tc>
        <w:tc>
          <w:tcPr>
            <w:tcW w:type="dxa" w:w="2995"/>
            <w:shd w:val="clear" w:color="auto" w:fill="EEF1F6"/>
          </w:tcPr>
          <w:p>
            <w:r>
              <w:rPr>
                <w:b w:val="0"/>
                <w:i w:val="0"/>
                <w:sz w:val="15"/>
              </w:rPr>
              <w:t>Former judge; SKT/SK Square legal &amp; governance</w:t>
            </w:r>
          </w:p>
        </w:tc>
        <w:tc>
          <w:tcPr>
            <w:tcW w:type="dxa" w:w="1585"/>
            <w:shd w:val="clear" w:color="auto" w:fill="EEF1F6"/>
          </w:tcPr>
          <w:p>
            <w:r>
              <w:rPr>
                <w:b w:val="0"/>
                <w:i w:val="0"/>
                <w:sz w:val="15"/>
              </w:rPr>
              <w:t>Chairman, KAIT</w:t>
            </w:r>
          </w:p>
        </w:tc>
      </w:tr>
      <w:tr>
        <w:tc>
          <w:tcPr>
            <w:tcW w:type="dxa" w:w="2026"/>
          </w:tcPr>
          <w:p>
            <w:r>
              <w:rPr>
                <w:b w:val="0"/>
                <w:i w:val="0"/>
                <w:sz w:val="15"/>
              </w:rPr>
              <w:t>Han Myung-jin</w:t>
            </w:r>
          </w:p>
        </w:tc>
        <w:tc>
          <w:tcPr>
            <w:tcW w:type="dxa" w:w="1850"/>
          </w:tcPr>
          <w:p>
            <w:r>
              <w:rPr>
                <w:b w:val="0"/>
                <w:i w:val="0"/>
                <w:sz w:val="15"/>
              </w:rPr>
              <w:t>Inside</w:t>
            </w:r>
          </w:p>
        </w:tc>
        <w:tc>
          <w:tcPr>
            <w:tcW w:type="dxa" w:w="1409"/>
          </w:tcPr>
          <w:p>
            <w:r>
              <w:rPr>
                <w:b w:val="0"/>
                <w:i w:val="0"/>
                <w:sz w:val="15"/>
              </w:rPr>
              <w:t>Mar-26</w:t>
            </w:r>
          </w:p>
        </w:tc>
        <w:tc>
          <w:tcPr>
            <w:tcW w:type="dxa" w:w="2995"/>
          </w:tcPr>
          <w:p>
            <w:r>
              <w:rPr>
                <w:b w:val="0"/>
                <w:i w:val="0"/>
                <w:sz w:val="15"/>
              </w:rPr>
              <w:t>Head of MNO CIC</w:t>
            </w:r>
          </w:p>
        </w:tc>
        <w:tc>
          <w:tcPr>
            <w:tcW w:type="dxa" w:w="1585"/>
          </w:tcPr>
          <w:p>
            <w:r>
              <w:rPr>
                <w:b w:val="0"/>
                <w:i w:val="0"/>
                <w:sz w:val="15"/>
              </w:rPr>
              <w:t>SK Group</w:t>
            </w:r>
          </w:p>
        </w:tc>
      </w:tr>
      <w:tr>
        <w:tc>
          <w:tcPr>
            <w:tcW w:type="dxa" w:w="2026"/>
            <w:shd w:val="clear" w:color="auto" w:fill="EEF1F6"/>
          </w:tcPr>
          <w:p>
            <w:r>
              <w:rPr>
                <w:b w:val="0"/>
                <w:i w:val="0"/>
                <w:sz w:val="15"/>
              </w:rPr>
              <w:t>Yoon Poong-young</w:t>
            </w:r>
          </w:p>
        </w:tc>
        <w:tc>
          <w:tcPr>
            <w:tcW w:type="dxa" w:w="1850"/>
            <w:shd w:val="clear" w:color="auto" w:fill="EEF1F6"/>
          </w:tcPr>
          <w:p>
            <w:r>
              <w:rPr>
                <w:b w:val="0"/>
                <w:i w:val="0"/>
                <w:sz w:val="15"/>
              </w:rPr>
              <w:t>Non-executive (SK Group nominee)</w:t>
            </w:r>
          </w:p>
        </w:tc>
        <w:tc>
          <w:tcPr>
            <w:tcW w:type="dxa" w:w="1409"/>
            <w:shd w:val="clear" w:color="auto" w:fill="EEF1F6"/>
          </w:tcPr>
          <w:p>
            <w:r>
              <w:rPr>
                <w:b w:val="0"/>
                <w:i w:val="0"/>
                <w:sz w:val="15"/>
              </w:rPr>
              <w:t>Mar-26</w:t>
            </w:r>
          </w:p>
        </w:tc>
        <w:tc>
          <w:tcPr>
            <w:tcW w:type="dxa" w:w="2995"/>
            <w:shd w:val="clear" w:color="auto" w:fill="EEF1F6"/>
          </w:tcPr>
          <w:p>
            <w:r>
              <w:rPr>
                <w:b w:val="0"/>
                <w:i w:val="0"/>
                <w:sz w:val="15"/>
              </w:rPr>
              <w:t>President, SK SUPEX Council; ex-CEO SK AX (SK C&amp;C); ex-SKT CFO [u]</w:t>
            </w:r>
          </w:p>
        </w:tc>
        <w:tc>
          <w:tcPr>
            <w:tcW w:type="dxa" w:w="1585"/>
            <w:shd w:val="clear" w:color="auto" w:fill="EEF1F6"/>
          </w:tcPr>
          <w:p>
            <w:r>
              <w:rPr>
                <w:b w:val="0"/>
                <w:i w:val="0"/>
                <w:sz w:val="15"/>
              </w:rPr>
              <w:t>SK SUPEX Council</w:t>
            </w:r>
          </w:p>
        </w:tc>
      </w:tr>
      <w:tr>
        <w:tc>
          <w:tcPr>
            <w:tcW w:type="dxa" w:w="2026"/>
          </w:tcPr>
          <w:p>
            <w:r>
              <w:rPr>
                <w:b w:val="0"/>
                <w:i w:val="0"/>
                <w:sz w:val="15"/>
              </w:rPr>
              <w:t>Oh Hye-yeon</w:t>
            </w:r>
          </w:p>
        </w:tc>
        <w:tc>
          <w:tcPr>
            <w:tcW w:type="dxa" w:w="1850"/>
          </w:tcPr>
          <w:p>
            <w:r>
              <w:rPr>
                <w:b w:val="0"/>
                <w:i w:val="0"/>
                <w:sz w:val="15"/>
              </w:rPr>
              <w:t>Outside (Audit)</w:t>
            </w:r>
          </w:p>
        </w:tc>
        <w:tc>
          <w:tcPr>
            <w:tcW w:type="dxa" w:w="1409"/>
          </w:tcPr>
          <w:p>
            <w:r>
              <w:rPr>
                <w:b w:val="0"/>
                <w:i w:val="0"/>
                <w:sz w:val="15"/>
              </w:rPr>
              <w:t>Mar-23 (re-elected Mar-26)</w:t>
            </w:r>
          </w:p>
        </w:tc>
        <w:tc>
          <w:tcPr>
            <w:tcW w:type="dxa" w:w="2995"/>
          </w:tcPr>
          <w:p>
            <w:r>
              <w:rPr>
                <w:b w:val="0"/>
                <w:i w:val="0"/>
                <w:sz w:val="15"/>
              </w:rPr>
              <w:t>KAIST computer science professor (AI/NLP)</w:t>
            </w:r>
          </w:p>
        </w:tc>
        <w:tc>
          <w:tcPr>
            <w:tcW w:type="dxa" w:w="1585"/>
          </w:tcPr>
          <w:p>
            <w:r>
              <w:rPr>
                <w:b w:val="0"/>
                <w:i w:val="0"/>
                <w:sz w:val="15"/>
              </w:rPr>
              <w:t>KAIST</w:t>
            </w:r>
          </w:p>
        </w:tc>
      </w:tr>
      <w:tr>
        <w:tc>
          <w:tcPr>
            <w:tcW w:type="dxa" w:w="2026"/>
            <w:shd w:val="clear" w:color="auto" w:fill="EEF1F6"/>
          </w:tcPr>
          <w:p>
            <w:r>
              <w:rPr>
                <w:b w:val="0"/>
                <w:i w:val="0"/>
                <w:sz w:val="15"/>
              </w:rPr>
              <w:t>Noh Mi-kyung</w:t>
            </w:r>
          </w:p>
        </w:tc>
        <w:tc>
          <w:tcPr>
            <w:tcW w:type="dxa" w:w="1850"/>
            <w:shd w:val="clear" w:color="auto" w:fill="EEF1F6"/>
          </w:tcPr>
          <w:p>
            <w:r>
              <w:rPr>
                <w:b w:val="0"/>
                <w:i w:val="0"/>
                <w:sz w:val="15"/>
              </w:rPr>
              <w:t>Outside (Chair HR &amp; Comp; Audit)</w:t>
            </w:r>
          </w:p>
        </w:tc>
        <w:tc>
          <w:tcPr>
            <w:tcW w:type="dxa" w:w="1409"/>
            <w:shd w:val="clear" w:color="auto" w:fill="EEF1F6"/>
          </w:tcPr>
          <w:p>
            <w:r>
              <w:rPr>
                <w:b w:val="0"/>
                <w:i w:val="0"/>
                <w:sz w:val="15"/>
              </w:rPr>
              <w:t>~Mar-24 [u]</w:t>
            </w:r>
          </w:p>
        </w:tc>
        <w:tc>
          <w:tcPr>
            <w:tcW w:type="dxa" w:w="2995"/>
            <w:shd w:val="clear" w:color="auto" w:fill="EEF1F6"/>
          </w:tcPr>
          <w:p>
            <w:r>
              <w:rPr>
                <w:b w:val="0"/>
                <w:i w:val="0"/>
                <w:sz w:val="15"/>
              </w:rPr>
              <w:t>Finance / governance [u]</w:t>
            </w:r>
          </w:p>
        </w:tc>
        <w:tc>
          <w:tcPr>
            <w:tcW w:type="dxa" w:w="1585"/>
            <w:shd w:val="clear" w:color="auto" w:fill="EEF1F6"/>
          </w:tcPr>
          <w:p>
            <w:r>
              <w:rPr>
                <w:b w:val="0"/>
                <w:i w:val="0"/>
                <w:sz w:val="15"/>
              </w:rPr>
              <w:t>n/a</w:t>
            </w:r>
          </w:p>
        </w:tc>
      </w:tr>
      <w:tr>
        <w:tc>
          <w:tcPr>
            <w:tcW w:type="dxa" w:w="2026"/>
          </w:tcPr>
          <w:p>
            <w:r>
              <w:rPr>
                <w:b w:val="0"/>
                <w:i w:val="0"/>
                <w:sz w:val="15"/>
              </w:rPr>
              <w:t>Lee Sung-yeop</w:t>
            </w:r>
          </w:p>
        </w:tc>
        <w:tc>
          <w:tcPr>
            <w:tcW w:type="dxa" w:w="1850"/>
          </w:tcPr>
          <w:p>
            <w:r>
              <w:rPr>
                <w:b w:val="0"/>
                <w:i w:val="0"/>
                <w:sz w:val="15"/>
              </w:rPr>
              <w:t>Outside (Audit)</w:t>
            </w:r>
          </w:p>
        </w:tc>
        <w:tc>
          <w:tcPr>
            <w:tcW w:type="dxa" w:w="1409"/>
          </w:tcPr>
          <w:p>
            <w:r>
              <w:rPr>
                <w:b w:val="0"/>
                <w:i w:val="0"/>
                <w:sz w:val="15"/>
              </w:rPr>
              <w:t>Mar-26</w:t>
            </w:r>
          </w:p>
        </w:tc>
        <w:tc>
          <w:tcPr>
            <w:tcW w:type="dxa" w:w="2995"/>
          </w:tcPr>
          <w:p>
            <w:r>
              <w:rPr>
                <w:b w:val="0"/>
                <w:i w:val="0"/>
                <w:sz w:val="15"/>
              </w:rPr>
              <w:t>Korea Univ. Grad. School of Technology Mgmt; ex-civil servant; ex-Kim &amp; Chang; data/AI law</w:t>
            </w:r>
          </w:p>
        </w:tc>
        <w:tc>
          <w:tcPr>
            <w:tcW w:type="dxa" w:w="1585"/>
          </w:tcPr>
          <w:p>
            <w:r>
              <w:rPr>
                <w:b w:val="0"/>
                <w:i w:val="0"/>
                <w:sz w:val="15"/>
              </w:rPr>
              <w:t>Korea University</w:t>
            </w:r>
          </w:p>
        </w:tc>
      </w:tr>
      <w:tr>
        <w:tc>
          <w:tcPr>
            <w:tcW w:type="dxa" w:w="2026"/>
            <w:shd w:val="clear" w:color="auto" w:fill="EEF1F6"/>
          </w:tcPr>
          <w:p>
            <w:r>
              <w:rPr>
                <w:b w:val="0"/>
                <w:i w:val="0"/>
                <w:sz w:val="15"/>
              </w:rPr>
              <w:t>Lim Tae-seop</w:t>
            </w:r>
          </w:p>
        </w:tc>
        <w:tc>
          <w:tcPr>
            <w:tcW w:type="dxa" w:w="1850"/>
            <w:shd w:val="clear" w:color="auto" w:fill="EEF1F6"/>
          </w:tcPr>
          <w:p>
            <w:r>
              <w:rPr>
                <w:b w:val="0"/>
                <w:i w:val="0"/>
                <w:sz w:val="15"/>
              </w:rPr>
              <w:t>Outside (Audit)</w:t>
            </w:r>
          </w:p>
        </w:tc>
        <w:tc>
          <w:tcPr>
            <w:tcW w:type="dxa" w:w="1409"/>
            <w:shd w:val="clear" w:color="auto" w:fill="EEF1F6"/>
          </w:tcPr>
          <w:p>
            <w:r>
              <w:rPr>
                <w:b w:val="0"/>
                <w:i w:val="0"/>
                <w:sz w:val="15"/>
              </w:rPr>
              <w:t>Mar-26</w:t>
            </w:r>
          </w:p>
        </w:tc>
        <w:tc>
          <w:tcPr>
            <w:tcW w:type="dxa" w:w="2995"/>
            <w:shd w:val="clear" w:color="auto" w:fill="EEF1F6"/>
          </w:tcPr>
          <w:p>
            <w:r>
              <w:rPr>
                <w:b w:val="0"/>
                <w:i w:val="0"/>
                <w:sz w:val="15"/>
              </w:rPr>
              <w:t>SKK GSB; former Korea CEO of Goldman Sachs and Macquarie Securities</w:t>
            </w:r>
          </w:p>
        </w:tc>
        <w:tc>
          <w:tcPr>
            <w:tcW w:type="dxa" w:w="1585"/>
            <w:shd w:val="clear" w:color="auto" w:fill="EEF1F6"/>
          </w:tcPr>
          <w:p>
            <w:r>
              <w:rPr>
                <w:b w:val="0"/>
                <w:i w:val="0"/>
                <w:sz w:val="15"/>
              </w:rPr>
              <w:t>Sungkyunkwan University</w:t>
            </w:r>
          </w:p>
        </w:tc>
      </w:tr>
    </w:tbl>
    <w:p>
      <w:r>
        <w:rPr>
          <w:b w:val="0"/>
          <w:i/>
          <w:color w:val="5B6475"/>
          <w:sz w:val="15"/>
        </w:rPr>
        <w:t>8 directors: 2 inside, 1 non-executive, 5 outside (62.5% independent). CEO and Chair separated since 2009; outside-director chair since 2012.</w:t>
      </w:r>
    </w:p>
    <w:p>
      <w:pPr>
        <w:pStyle w:val="Heading2"/>
      </w:pPr>
      <w:r>
        <w:rPr>
          <w:b/>
          <w:i w:val="0"/>
          <w:color w:val="2D6CCB"/>
          <w:sz w:val="24"/>
        </w:rPr>
        <w:t>Board changes, 2021-2026</w:t>
      </w:r>
    </w:p>
    <w:tbl>
      <w:tblPr>
        <w:tblStyle w:val="TableGrid"/>
        <w:tblW w:type="auto" w:w="0"/>
        <w:jc w:val="center"/>
        <w:tblLook w:firstColumn="1" w:firstRow="1" w:lastColumn="0" w:lastRow="0" w:noHBand="0" w:noVBand="1" w:val="04A0"/>
      </w:tblPr>
      <w:tblGrid>
        <w:gridCol w:w="5100"/>
        <w:gridCol w:w="5100"/>
      </w:tblGrid>
      <w:tr>
        <w:tc>
          <w:tcPr>
            <w:tcW w:type="dxa" w:w="1461"/>
            <w:shd w:val="clear" w:color="auto" w:fill="13223F"/>
          </w:tcPr>
          <w:p>
            <w:r>
              <w:rPr>
                <w:b/>
                <w:i w:val="0"/>
                <w:color w:val="FFFFFF"/>
                <w:sz w:val="15"/>
              </w:rPr>
              <w:t>Date</w:t>
            </w:r>
          </w:p>
        </w:tc>
        <w:tc>
          <w:tcPr>
            <w:tcW w:type="dxa" w:w="8403"/>
            <w:shd w:val="clear" w:color="auto" w:fill="13223F"/>
          </w:tcPr>
          <w:p>
            <w:r>
              <w:rPr>
                <w:b/>
                <w:i w:val="0"/>
                <w:color w:val="FFFFFF"/>
                <w:sz w:val="15"/>
              </w:rPr>
              <w:t>Change</w:t>
            </w:r>
          </w:p>
        </w:tc>
      </w:tr>
      <w:tr>
        <w:tc>
          <w:tcPr>
            <w:tcW w:type="dxa" w:w="1461"/>
          </w:tcPr>
          <w:p>
            <w:r>
              <w:rPr>
                <w:b w:val="0"/>
                <w:i w:val="0"/>
                <w:sz w:val="15"/>
              </w:rPr>
              <w:t>Oct-21 EGM</w:t>
            </w:r>
          </w:p>
        </w:tc>
        <w:tc>
          <w:tcPr>
            <w:tcW w:type="dxa" w:w="8403"/>
          </w:tcPr>
          <w:p>
            <w:r>
              <w:rPr>
                <w:b w:val="0"/>
                <w:i w:val="0"/>
                <w:sz w:val="15"/>
              </w:rPr>
              <w:t>Demerger into SKT and SK Square approved (effective 1-Nov-21)</w:t>
            </w:r>
          </w:p>
        </w:tc>
      </w:tr>
      <w:tr>
        <w:tc>
          <w:tcPr>
            <w:tcW w:type="dxa" w:w="1461"/>
            <w:shd w:val="clear" w:color="auto" w:fill="EEF1F6"/>
          </w:tcPr>
          <w:p>
            <w:r>
              <w:rPr>
                <w:b w:val="0"/>
                <w:i w:val="0"/>
                <w:sz w:val="15"/>
              </w:rPr>
              <w:t>Mar-22 AGM</w:t>
            </w:r>
          </w:p>
        </w:tc>
        <w:tc>
          <w:tcPr>
            <w:tcW w:type="dxa" w:w="8403"/>
            <w:shd w:val="clear" w:color="auto" w:fill="EEF1F6"/>
          </w:tcPr>
          <w:p>
            <w:r>
              <w:rPr>
                <w:b w:val="0"/>
                <w:i w:val="0"/>
                <w:sz w:val="15"/>
              </w:rPr>
              <w:t>Kim Seok-dong (ex-FSC chairman) re-elected [u]; Kim Yong-hak (ex-Yonsei president) and Kim Joon-mo (KAIST) serving since 2020</w:t>
            </w:r>
          </w:p>
        </w:tc>
      </w:tr>
      <w:tr>
        <w:tc>
          <w:tcPr>
            <w:tcW w:type="dxa" w:w="1461"/>
          </w:tcPr>
          <w:p>
            <w:r>
              <w:rPr>
                <w:b w:val="0"/>
                <w:i w:val="0"/>
                <w:sz w:val="15"/>
              </w:rPr>
              <w:t>Mar-23 AGM</w:t>
            </w:r>
          </w:p>
        </w:tc>
        <w:tc>
          <w:tcPr>
            <w:tcW w:type="dxa" w:w="8403"/>
          </w:tcPr>
          <w:p>
            <w:r>
              <w:rPr>
                <w:b w:val="0"/>
                <w:i w:val="0"/>
                <w:sz w:val="15"/>
              </w:rPr>
              <w:t>Oh Hye-yeon elected outside director</w:t>
            </w:r>
          </w:p>
        </w:tc>
      </w:tr>
      <w:tr>
        <w:tc>
          <w:tcPr>
            <w:tcW w:type="dxa" w:w="1461"/>
            <w:shd w:val="clear" w:color="auto" w:fill="EEF1F6"/>
          </w:tcPr>
          <w:p>
            <w:r>
              <w:rPr>
                <w:b w:val="0"/>
                <w:i w:val="0"/>
                <w:sz w:val="15"/>
              </w:rPr>
              <w:t>Mar-24 AGM</w:t>
            </w:r>
          </w:p>
        </w:tc>
        <w:tc>
          <w:tcPr>
            <w:tcW w:type="dxa" w:w="8403"/>
            <w:shd w:val="clear" w:color="auto" w:fill="EEF1F6"/>
          </w:tcPr>
          <w:p>
            <w:r>
              <w:rPr>
                <w:b w:val="0"/>
                <w:i w:val="0"/>
                <w:sz w:val="15"/>
              </w:rPr>
              <w:t>Noh Mi-kyung elected [u]; SK Inc. nominee as NED [u]</w:t>
            </w:r>
          </w:p>
        </w:tc>
      </w:tr>
      <w:tr>
        <w:tc>
          <w:tcPr>
            <w:tcW w:type="dxa" w:w="1461"/>
          </w:tcPr>
          <w:p>
            <w:r>
              <w:rPr>
                <w:b w:val="0"/>
                <w:i w:val="0"/>
                <w:sz w:val="15"/>
              </w:rPr>
              <w:t>Mar-25 AGM</w:t>
            </w:r>
          </w:p>
        </w:tc>
        <w:tc>
          <w:tcPr>
            <w:tcW w:type="dxa" w:w="8403"/>
          </w:tcPr>
          <w:p>
            <w:r>
              <w:rPr>
                <w:b w:val="0"/>
                <w:i w:val="0"/>
                <w:sz w:val="15"/>
              </w:rPr>
              <w:t>CFO Kim Yang-sub (inside), Kang Dong-soo (SK Inc., NED), Kim Chang-bo (outside) elected; Kim Seok-dong left after 6 years [u]</w:t>
            </w:r>
          </w:p>
        </w:tc>
      </w:tr>
      <w:tr>
        <w:tc>
          <w:tcPr>
            <w:tcW w:type="dxa" w:w="1461"/>
            <w:shd w:val="clear" w:color="auto" w:fill="EEF1F6"/>
          </w:tcPr>
          <w:p>
            <w:r>
              <w:rPr>
                <w:b w:val="0"/>
                <w:i w:val="0"/>
                <w:sz w:val="15"/>
              </w:rPr>
              <w:t>30-Oct-25</w:t>
            </w:r>
          </w:p>
        </w:tc>
        <w:tc>
          <w:tcPr>
            <w:tcW w:type="dxa" w:w="8403"/>
            <w:shd w:val="clear" w:color="auto" w:fill="EEF1F6"/>
          </w:tcPr>
          <w:p>
            <w:r>
              <w:rPr>
                <w:b w:val="0"/>
                <w:i w:val="0"/>
                <w:sz w:val="15"/>
              </w:rPr>
              <w:t>CEO Ryu Young-sang replaced by Jung Jai-hun (SK Group reshuffle)</w:t>
            </w:r>
          </w:p>
        </w:tc>
      </w:tr>
      <w:tr>
        <w:tc>
          <w:tcPr>
            <w:tcW w:type="dxa" w:w="1461"/>
          </w:tcPr>
          <w:p>
            <w:r>
              <w:rPr>
                <w:b w:val="0"/>
                <w:i w:val="0"/>
                <w:sz w:val="15"/>
              </w:rPr>
              <w:t>Mar-26 AGM</w:t>
            </w:r>
          </w:p>
        </w:tc>
        <w:tc>
          <w:tcPr>
            <w:tcW w:type="dxa" w:w="8403"/>
          </w:tcPr>
          <w:p>
            <w:r>
              <w:rPr>
                <w:b w:val="0"/>
                <w:i w:val="0"/>
                <w:sz w:val="15"/>
              </w:rPr>
              <w:t>Jung, Han, Yoon, Lee, Lim elected; Oh re-elected. Departures: Ryu, Kim Yang-sub, Kang Dong-soo, Kim Yong-hak and Kim Joon-mo (6-yr limit). Kim Chang-bo becomes Chair</w:t>
            </w:r>
          </w:p>
        </w:tc>
      </w:tr>
      <w:tr>
        <w:tc>
          <w:tcPr>
            <w:tcW w:type="dxa" w:w="1461"/>
            <w:shd w:val="clear" w:color="auto" w:fill="EEF1F6"/>
          </w:tcPr>
          <w:p>
            <w:r>
              <w:rPr>
                <w:b w:val="0"/>
                <w:i w:val="0"/>
                <w:sz w:val="15"/>
              </w:rPr>
              <w:t>Pending EGM</w:t>
            </w:r>
          </w:p>
        </w:tc>
        <w:tc>
          <w:tcPr>
            <w:tcW w:type="dxa" w:w="8403"/>
            <w:shd w:val="clear" w:color="auto" w:fill="EEF1F6"/>
          </w:tcPr>
          <w:p>
            <w:r>
              <w:rPr>
                <w:b w:val="0"/>
                <w:i w:val="0"/>
                <w:sz w:val="15"/>
              </w:rPr>
              <w:t>Approval of SK Horizon carve-out (target completion 1Q27)</w:t>
            </w:r>
          </w:p>
        </w:tc>
      </w:tr>
    </w:tbl>
    <w:p/>
    <w:p>
      <w:pPr>
        <w:spacing w:after="80"/>
      </w:pPr>
      <w:r>
        <w:rPr>
          <w:b/>
          <w:i w:val="0"/>
        </w:rPr>
        <w:t>Observation:</w:t>
      </w:r>
      <w:r>
        <w:rPr>
          <w:b w:val="0"/>
          <w:i w:val="0"/>
        </w:rPr>
        <w:t xml:space="preserve"> 5 of 8 directors are new in 2026 and the board is dominated by lawyers and academics; telecom-operating, capital-markets and cyber-security expertise is thin (Lim Tae-seop is the only capital-markets professional).</w:t>
      </w:r>
    </w:p>
    <w:p>
      <w:r>
        <w:br w:type="page"/>
      </w:r>
    </w:p>
    <w:p>
      <w:pPr>
        <w:pStyle w:val="Heading1"/>
      </w:pPr>
      <w:r>
        <w:rPr>
          <w:b/>
          <w:i w:val="0"/>
          <w:color w:val="13223F"/>
          <w:sz w:val="32"/>
        </w:rPr>
        <w:t>16. Shareholders, activism and short interest</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457"/>
            <w:shd w:val="clear" w:color="auto" w:fill="13223F"/>
          </w:tcPr>
          <w:p>
            <w:r>
              <w:rPr>
                <w:b/>
                <w:i w:val="0"/>
                <w:color w:val="FFFFFF"/>
                <w:sz w:val="15"/>
              </w:rPr>
              <w:t>#</w:t>
            </w:r>
          </w:p>
        </w:tc>
        <w:tc>
          <w:tcPr>
            <w:tcW w:type="dxa" w:w="2557"/>
            <w:shd w:val="clear" w:color="auto" w:fill="13223F"/>
          </w:tcPr>
          <w:p>
            <w:r>
              <w:rPr>
                <w:b/>
                <w:i w:val="0"/>
                <w:color w:val="FFFFFF"/>
                <w:sz w:val="15"/>
              </w:rPr>
              <w:t>Shareholder</w:t>
            </w:r>
          </w:p>
        </w:tc>
        <w:tc>
          <w:tcPr>
            <w:tcW w:type="dxa" w:w="2283"/>
            <w:shd w:val="clear" w:color="auto" w:fill="13223F"/>
          </w:tcPr>
          <w:p>
            <w:r>
              <w:rPr>
                <w:b/>
                <w:i w:val="0"/>
                <w:color w:val="FFFFFF"/>
                <w:sz w:val="15"/>
              </w:rPr>
              <w:t>Type</w:t>
            </w:r>
          </w:p>
        </w:tc>
        <w:tc>
          <w:tcPr>
            <w:tcW w:type="dxa" w:w="1370"/>
            <w:shd w:val="clear" w:color="auto" w:fill="13223F"/>
          </w:tcPr>
          <w:p>
            <w:r>
              <w:rPr>
                <w:b/>
                <w:i w:val="0"/>
                <w:color w:val="FFFFFF"/>
                <w:sz w:val="15"/>
              </w:rPr>
              <w:t>~% of issued</w:t>
            </w:r>
          </w:p>
        </w:tc>
        <w:tc>
          <w:tcPr>
            <w:tcW w:type="dxa" w:w="3197"/>
            <w:shd w:val="clear" w:color="auto" w:fill="13223F"/>
          </w:tcPr>
          <w:p>
            <w:r>
              <w:rPr>
                <w:b/>
                <w:i w:val="0"/>
                <w:color w:val="FFFFFF"/>
                <w:sz w:val="15"/>
              </w:rPr>
              <w:t>Comment</w:t>
            </w:r>
          </w:p>
        </w:tc>
      </w:tr>
      <w:tr>
        <w:tc>
          <w:tcPr>
            <w:tcW w:type="dxa" w:w="457"/>
          </w:tcPr>
          <w:p>
            <w:r>
              <w:rPr>
                <w:b w:val="0"/>
                <w:i w:val="0"/>
                <w:sz w:val="15"/>
              </w:rPr>
              <w:t>1</w:t>
            </w:r>
          </w:p>
        </w:tc>
        <w:tc>
          <w:tcPr>
            <w:tcW w:type="dxa" w:w="2557"/>
          </w:tcPr>
          <w:p>
            <w:r>
              <w:rPr>
                <w:b w:val="0"/>
                <w:i w:val="0"/>
                <w:sz w:val="15"/>
              </w:rPr>
              <w:t>SK Inc.</w:t>
            </w:r>
          </w:p>
        </w:tc>
        <w:tc>
          <w:tcPr>
            <w:tcW w:type="dxa" w:w="2283"/>
          </w:tcPr>
          <w:p>
            <w:r>
              <w:rPr>
                <w:b w:val="0"/>
                <w:i w:val="0"/>
                <w:sz w:val="15"/>
              </w:rPr>
              <w:t>Controlling strategic (chaebol holdco)</w:t>
            </w:r>
          </w:p>
        </w:tc>
        <w:tc>
          <w:tcPr>
            <w:tcW w:type="dxa" w:w="1370"/>
          </w:tcPr>
          <w:p>
            <w:r>
              <w:rPr>
                <w:b w:val="0"/>
                <w:i w:val="0"/>
                <w:sz w:val="15"/>
              </w:rPr>
              <w:t>30.57%</w:t>
            </w:r>
          </w:p>
        </w:tc>
        <w:tc>
          <w:tcPr>
            <w:tcW w:type="dxa" w:w="3197"/>
          </w:tcPr>
          <w:p>
            <w:r>
              <w:rPr>
                <w:b w:val="0"/>
                <w:i w:val="0"/>
                <w:sz w:val="15"/>
              </w:rPr>
              <w:t>65.67m shares; Chey Tae-won controls SK Inc. (~17-18%)</w:t>
            </w:r>
          </w:p>
        </w:tc>
      </w:tr>
      <w:tr>
        <w:tc>
          <w:tcPr>
            <w:tcW w:type="dxa" w:w="457"/>
            <w:shd w:val="clear" w:color="auto" w:fill="EEF1F6"/>
          </w:tcPr>
          <w:p>
            <w:r>
              <w:rPr>
                <w:b w:val="0"/>
                <w:i w:val="0"/>
                <w:sz w:val="15"/>
              </w:rPr>
              <w:t>2</w:t>
            </w:r>
          </w:p>
        </w:tc>
        <w:tc>
          <w:tcPr>
            <w:tcW w:type="dxa" w:w="2557"/>
            <w:shd w:val="clear" w:color="auto" w:fill="EEF1F6"/>
          </w:tcPr>
          <w:p>
            <w:r>
              <w:rPr>
                <w:b w:val="0"/>
                <w:i w:val="0"/>
                <w:sz w:val="15"/>
              </w:rPr>
              <w:t>National Pension Service</w:t>
            </w:r>
          </w:p>
        </w:tc>
        <w:tc>
          <w:tcPr>
            <w:tcW w:type="dxa" w:w="2283"/>
            <w:shd w:val="clear" w:color="auto" w:fill="EEF1F6"/>
          </w:tcPr>
          <w:p>
            <w:r>
              <w:rPr>
                <w:b w:val="0"/>
                <w:i w:val="0"/>
                <w:sz w:val="15"/>
              </w:rPr>
              <w:t>Domestic public pension</w:t>
            </w:r>
          </w:p>
        </w:tc>
        <w:tc>
          <w:tcPr>
            <w:tcW w:type="dxa" w:w="1370"/>
            <w:shd w:val="clear" w:color="auto" w:fill="EEF1F6"/>
          </w:tcPr>
          <w:p>
            <w:r>
              <w:rPr>
                <w:b w:val="0"/>
                <w:i w:val="0"/>
                <w:sz w:val="15"/>
              </w:rPr>
              <w:t>~7-8% [u]</w:t>
            </w:r>
          </w:p>
        </w:tc>
        <w:tc>
          <w:tcPr>
            <w:tcW w:type="dxa" w:w="3197"/>
            <w:shd w:val="clear" w:color="auto" w:fill="EEF1F6"/>
          </w:tcPr>
          <w:p>
            <w:r>
              <w:rPr>
                <w:b w:val="0"/>
                <w:i w:val="0"/>
                <w:sz w:val="15"/>
              </w:rPr>
              <w:t>Historically largest domestic institution</w:t>
            </w:r>
          </w:p>
        </w:tc>
      </w:tr>
      <w:tr>
        <w:tc>
          <w:tcPr>
            <w:tcW w:type="dxa" w:w="457"/>
          </w:tcPr>
          <w:p>
            <w:r>
              <w:rPr>
                <w:b w:val="0"/>
                <w:i w:val="0"/>
                <w:sz w:val="15"/>
              </w:rPr>
              <w:t>3</w:t>
            </w:r>
          </w:p>
        </w:tc>
        <w:tc>
          <w:tcPr>
            <w:tcW w:type="dxa" w:w="2557"/>
          </w:tcPr>
          <w:p>
            <w:r>
              <w:rPr>
                <w:b w:val="0"/>
                <w:i w:val="0"/>
                <w:sz w:val="15"/>
              </w:rPr>
              <w:t>Citibank N.A. (ADR depositary)</w:t>
            </w:r>
          </w:p>
        </w:tc>
        <w:tc>
          <w:tcPr>
            <w:tcW w:type="dxa" w:w="2283"/>
          </w:tcPr>
          <w:p>
            <w:r>
              <w:rPr>
                <w:b w:val="0"/>
                <w:i w:val="0"/>
                <w:sz w:val="15"/>
              </w:rPr>
              <w:t>Custodian for SKM ADR holders</w:t>
            </w:r>
          </w:p>
        </w:tc>
        <w:tc>
          <w:tcPr>
            <w:tcW w:type="dxa" w:w="1370"/>
          </w:tcPr>
          <w:p>
            <w:r>
              <w:rPr>
                <w:b w:val="0"/>
                <w:i w:val="0"/>
                <w:sz w:val="15"/>
              </w:rPr>
              <w:t>~5-8% [u]</w:t>
            </w:r>
          </w:p>
        </w:tc>
        <w:tc>
          <w:tcPr>
            <w:tcW w:type="dxa" w:w="3197"/>
          </w:tcPr>
          <w:p>
            <w:r>
              <w:rPr>
                <w:b w:val="0"/>
                <w:i w:val="0"/>
                <w:sz w:val="15"/>
              </w:rPr>
              <w:t>ADR ratio ~5/9 share per ADS [u]</w:t>
            </w:r>
          </w:p>
        </w:tc>
      </w:tr>
      <w:tr>
        <w:tc>
          <w:tcPr>
            <w:tcW w:type="dxa" w:w="457"/>
            <w:shd w:val="clear" w:color="auto" w:fill="EEF1F6"/>
          </w:tcPr>
          <w:p>
            <w:r>
              <w:rPr>
                <w:b w:val="0"/>
                <w:i w:val="0"/>
                <w:sz w:val="15"/>
              </w:rPr>
              <w:t>4</w:t>
            </w:r>
          </w:p>
        </w:tc>
        <w:tc>
          <w:tcPr>
            <w:tcW w:type="dxa" w:w="2557"/>
            <w:shd w:val="clear" w:color="auto" w:fill="EEF1F6"/>
          </w:tcPr>
          <w:p>
            <w:r>
              <w:rPr>
                <w:b w:val="0"/>
                <w:i w:val="0"/>
                <w:sz w:val="15"/>
              </w:rPr>
              <w:t>Wellington Management</w:t>
            </w:r>
          </w:p>
        </w:tc>
        <w:tc>
          <w:tcPr>
            <w:tcW w:type="dxa" w:w="2283"/>
            <w:shd w:val="clear" w:color="auto" w:fill="EEF1F6"/>
          </w:tcPr>
          <w:p>
            <w:r>
              <w:rPr>
                <w:b w:val="0"/>
                <w:i w:val="0"/>
                <w:sz w:val="15"/>
              </w:rPr>
              <w:t>Foreign institution</w:t>
            </w:r>
          </w:p>
        </w:tc>
        <w:tc>
          <w:tcPr>
            <w:tcW w:type="dxa" w:w="1370"/>
            <w:shd w:val="clear" w:color="auto" w:fill="EEF1F6"/>
          </w:tcPr>
          <w:p>
            <w:r>
              <w:rPr>
                <w:b w:val="0"/>
                <w:i w:val="0"/>
                <w:sz w:val="15"/>
              </w:rPr>
              <w:t>5.01%</w:t>
            </w:r>
          </w:p>
        </w:tc>
        <w:tc>
          <w:tcPr>
            <w:tcW w:type="dxa" w:w="3197"/>
            <w:shd w:val="clear" w:color="auto" w:fill="EEF1F6"/>
          </w:tcPr>
          <w:p>
            <w:r>
              <w:rPr>
                <w:b w:val="0"/>
                <w:i w:val="0"/>
                <w:sz w:val="15"/>
              </w:rPr>
              <w:t>Crossed 5% 21-22 Jan-26 (Anthropic thesis)</w:t>
            </w:r>
          </w:p>
        </w:tc>
      </w:tr>
      <w:tr>
        <w:tc>
          <w:tcPr>
            <w:tcW w:type="dxa" w:w="457"/>
          </w:tcPr>
          <w:p>
            <w:r>
              <w:rPr>
                <w:b w:val="0"/>
                <w:i w:val="0"/>
                <w:sz w:val="15"/>
              </w:rPr>
              <w:t>5</w:t>
            </w:r>
          </w:p>
        </w:tc>
        <w:tc>
          <w:tcPr>
            <w:tcW w:type="dxa" w:w="2557"/>
          </w:tcPr>
          <w:p>
            <w:r>
              <w:rPr>
                <w:b w:val="0"/>
                <w:i w:val="0"/>
                <w:sz w:val="15"/>
              </w:rPr>
              <w:t>BlackRock</w:t>
            </w:r>
          </w:p>
        </w:tc>
        <w:tc>
          <w:tcPr>
            <w:tcW w:type="dxa" w:w="2283"/>
          </w:tcPr>
          <w:p>
            <w:r>
              <w:rPr>
                <w:b w:val="0"/>
                <w:i w:val="0"/>
                <w:sz w:val="15"/>
              </w:rPr>
              <w:t>Foreign institution (passive/active)</w:t>
            </w:r>
          </w:p>
        </w:tc>
        <w:tc>
          <w:tcPr>
            <w:tcW w:type="dxa" w:w="1370"/>
          </w:tcPr>
          <w:p>
            <w:r>
              <w:rPr>
                <w:b w:val="0"/>
                <w:i w:val="0"/>
                <w:sz w:val="15"/>
              </w:rPr>
              <w:t>~2-3% [u]</w:t>
            </w:r>
          </w:p>
        </w:tc>
        <w:tc>
          <w:tcPr>
            <w:tcW w:type="dxa" w:w="3197"/>
          </w:tcPr>
          <w:p/>
        </w:tc>
      </w:tr>
      <w:tr>
        <w:tc>
          <w:tcPr>
            <w:tcW w:type="dxa" w:w="457"/>
            <w:shd w:val="clear" w:color="auto" w:fill="EEF1F6"/>
          </w:tcPr>
          <w:p>
            <w:r>
              <w:rPr>
                <w:b w:val="0"/>
                <w:i w:val="0"/>
                <w:sz w:val="15"/>
              </w:rPr>
              <w:t>6</w:t>
            </w:r>
          </w:p>
        </w:tc>
        <w:tc>
          <w:tcPr>
            <w:tcW w:type="dxa" w:w="2557"/>
            <w:shd w:val="clear" w:color="auto" w:fill="EEF1F6"/>
          </w:tcPr>
          <w:p>
            <w:r>
              <w:rPr>
                <w:b w:val="0"/>
                <w:i w:val="0"/>
                <w:sz w:val="15"/>
              </w:rPr>
              <w:t>Vanguard Group</w:t>
            </w:r>
          </w:p>
        </w:tc>
        <w:tc>
          <w:tcPr>
            <w:tcW w:type="dxa" w:w="2283"/>
            <w:shd w:val="clear" w:color="auto" w:fill="EEF1F6"/>
          </w:tcPr>
          <w:p>
            <w:r>
              <w:rPr>
                <w:b w:val="0"/>
                <w:i w:val="0"/>
                <w:sz w:val="15"/>
              </w:rPr>
              <w:t>Foreign passive</w:t>
            </w:r>
          </w:p>
        </w:tc>
        <w:tc>
          <w:tcPr>
            <w:tcW w:type="dxa" w:w="1370"/>
            <w:shd w:val="clear" w:color="auto" w:fill="EEF1F6"/>
          </w:tcPr>
          <w:p>
            <w:r>
              <w:rPr>
                <w:b w:val="0"/>
                <w:i w:val="0"/>
                <w:sz w:val="15"/>
              </w:rPr>
              <w:t>~2% [u]</w:t>
            </w:r>
          </w:p>
        </w:tc>
        <w:tc>
          <w:tcPr>
            <w:tcW w:type="dxa" w:w="3197"/>
            <w:shd w:val="clear" w:color="auto" w:fill="EEF1F6"/>
          </w:tcPr>
          <w:p/>
        </w:tc>
      </w:tr>
      <w:tr>
        <w:tc>
          <w:tcPr>
            <w:tcW w:type="dxa" w:w="457"/>
          </w:tcPr>
          <w:p>
            <w:r>
              <w:rPr>
                <w:b w:val="0"/>
                <w:i w:val="0"/>
                <w:sz w:val="15"/>
              </w:rPr>
              <w:t>7</w:t>
            </w:r>
          </w:p>
        </w:tc>
        <w:tc>
          <w:tcPr>
            <w:tcW w:type="dxa" w:w="2557"/>
          </w:tcPr>
          <w:p>
            <w:r>
              <w:rPr>
                <w:b w:val="0"/>
                <w:i w:val="0"/>
                <w:sz w:val="15"/>
              </w:rPr>
              <w:t>Norges Bank IM</w:t>
            </w:r>
          </w:p>
        </w:tc>
        <w:tc>
          <w:tcPr>
            <w:tcW w:type="dxa" w:w="2283"/>
          </w:tcPr>
          <w:p>
            <w:r>
              <w:rPr>
                <w:b w:val="0"/>
                <w:i w:val="0"/>
                <w:sz w:val="15"/>
              </w:rPr>
              <w:t>Sovereign wealth</w:t>
            </w:r>
          </w:p>
        </w:tc>
        <w:tc>
          <w:tcPr>
            <w:tcW w:type="dxa" w:w="1370"/>
          </w:tcPr>
          <w:p>
            <w:r>
              <w:rPr>
                <w:b w:val="0"/>
                <w:i w:val="0"/>
                <w:sz w:val="15"/>
              </w:rPr>
              <w:t>~1% [u]</w:t>
            </w:r>
          </w:p>
        </w:tc>
        <w:tc>
          <w:tcPr>
            <w:tcW w:type="dxa" w:w="3197"/>
          </w:tcPr>
          <w:p/>
        </w:tc>
      </w:tr>
      <w:tr>
        <w:tc>
          <w:tcPr>
            <w:tcW w:type="dxa" w:w="457"/>
            <w:shd w:val="clear" w:color="auto" w:fill="EEF1F6"/>
          </w:tcPr>
          <w:p>
            <w:r>
              <w:rPr>
                <w:b w:val="0"/>
                <w:i w:val="0"/>
                <w:sz w:val="15"/>
              </w:rPr>
              <w:t>8</w:t>
            </w:r>
          </w:p>
        </w:tc>
        <w:tc>
          <w:tcPr>
            <w:tcW w:type="dxa" w:w="2557"/>
            <w:shd w:val="clear" w:color="auto" w:fill="EEF1F6"/>
          </w:tcPr>
          <w:p>
            <w:r>
              <w:rPr>
                <w:b w:val="0"/>
                <w:i w:val="0"/>
                <w:sz w:val="15"/>
              </w:rPr>
              <w:t>Samsung Asset Mgmt / Mirae Asset (funds)</w:t>
            </w:r>
          </w:p>
        </w:tc>
        <w:tc>
          <w:tcPr>
            <w:tcW w:type="dxa" w:w="2283"/>
            <w:shd w:val="clear" w:color="auto" w:fill="EEF1F6"/>
          </w:tcPr>
          <w:p>
            <w:r>
              <w:rPr>
                <w:b w:val="0"/>
                <w:i w:val="0"/>
                <w:sz w:val="15"/>
              </w:rPr>
              <w:t>Domestic institutions</w:t>
            </w:r>
          </w:p>
        </w:tc>
        <w:tc>
          <w:tcPr>
            <w:tcW w:type="dxa" w:w="1370"/>
            <w:shd w:val="clear" w:color="auto" w:fill="EEF1F6"/>
          </w:tcPr>
          <w:p>
            <w:r>
              <w:rPr>
                <w:b w:val="0"/>
                <w:i w:val="0"/>
                <w:sz w:val="15"/>
              </w:rPr>
              <w:t>~1% each [u]</w:t>
            </w:r>
          </w:p>
        </w:tc>
        <w:tc>
          <w:tcPr>
            <w:tcW w:type="dxa" w:w="3197"/>
            <w:shd w:val="clear" w:color="auto" w:fill="EEF1F6"/>
          </w:tcPr>
          <w:p/>
        </w:tc>
      </w:tr>
      <w:tr>
        <w:tc>
          <w:tcPr>
            <w:tcW w:type="dxa" w:w="457"/>
          </w:tcPr>
          <w:p>
            <w:r>
              <w:rPr>
                <w:b w:val="0"/>
                <w:i w:val="0"/>
                <w:sz w:val="15"/>
              </w:rPr>
              <w:t>9</w:t>
            </w:r>
          </w:p>
        </w:tc>
        <w:tc>
          <w:tcPr>
            <w:tcW w:type="dxa" w:w="2557"/>
          </w:tcPr>
          <w:p>
            <w:r>
              <w:rPr>
                <w:b w:val="0"/>
                <w:i w:val="0"/>
                <w:sz w:val="15"/>
              </w:rPr>
              <w:t>Hana Card</w:t>
            </w:r>
          </w:p>
        </w:tc>
        <w:tc>
          <w:tcPr>
            <w:tcW w:type="dxa" w:w="2283"/>
          </w:tcPr>
          <w:p>
            <w:r>
              <w:rPr>
                <w:b w:val="0"/>
                <w:i w:val="0"/>
                <w:sz w:val="15"/>
              </w:rPr>
              <w:t>Strategic (2022 swap)</w:t>
            </w:r>
          </w:p>
        </w:tc>
        <w:tc>
          <w:tcPr>
            <w:tcW w:type="dxa" w:w="1370"/>
          </w:tcPr>
          <w:p>
            <w:r>
              <w:rPr>
                <w:b w:val="0"/>
                <w:i w:val="0"/>
                <w:sz w:val="15"/>
              </w:rPr>
              <w:t>~0.5-0.7% [u]</w:t>
            </w:r>
          </w:p>
        </w:tc>
        <w:tc>
          <w:tcPr>
            <w:tcW w:type="dxa" w:w="3197"/>
          </w:tcPr>
          <w:p>
            <w:r>
              <w:rPr>
                <w:b w:val="0"/>
                <w:i w:val="0"/>
                <w:sz w:val="15"/>
              </w:rPr>
              <w:t>KRW 68.4bn of SKT shares bought in 2022</w:t>
            </w:r>
          </w:p>
        </w:tc>
      </w:tr>
      <w:tr>
        <w:tc>
          <w:tcPr>
            <w:tcW w:type="dxa" w:w="457"/>
            <w:shd w:val="clear" w:color="auto" w:fill="EEF1F6"/>
          </w:tcPr>
          <w:p>
            <w:r>
              <w:rPr>
                <w:b w:val="0"/>
                <w:i w:val="0"/>
                <w:sz w:val="15"/>
              </w:rPr>
              <w:t>10</w:t>
            </w:r>
          </w:p>
        </w:tc>
        <w:tc>
          <w:tcPr>
            <w:tcW w:type="dxa" w:w="2557"/>
            <w:shd w:val="clear" w:color="auto" w:fill="EEF1F6"/>
          </w:tcPr>
          <w:p>
            <w:r>
              <w:rPr>
                <w:b w:val="0"/>
                <w:i w:val="0"/>
                <w:sz w:val="15"/>
              </w:rPr>
              <w:t>Treasury shares</w:t>
            </w:r>
          </w:p>
        </w:tc>
        <w:tc>
          <w:tcPr>
            <w:tcW w:type="dxa" w:w="2283"/>
            <w:shd w:val="clear" w:color="auto" w:fill="EEF1F6"/>
          </w:tcPr>
          <w:p>
            <w:r>
              <w:rPr>
                <w:b w:val="0"/>
                <w:i w:val="0"/>
                <w:sz w:val="15"/>
              </w:rPr>
              <w:t>Company</w:t>
            </w:r>
          </w:p>
        </w:tc>
        <w:tc>
          <w:tcPr>
            <w:tcW w:type="dxa" w:w="1370"/>
            <w:shd w:val="clear" w:color="auto" w:fill="EEF1F6"/>
          </w:tcPr>
          <w:p>
            <w:r>
              <w:rPr>
                <w:b w:val="0"/>
                <w:i w:val="0"/>
                <w:sz w:val="15"/>
              </w:rPr>
              <w:t>~0.8% (~1.8m) [e]</w:t>
            </w:r>
          </w:p>
        </w:tc>
        <w:tc>
          <w:tcPr>
            <w:tcW w:type="dxa" w:w="3197"/>
            <w:shd w:val="clear" w:color="auto" w:fill="EEF1F6"/>
          </w:tcPr>
          <w:p>
            <w:r>
              <w:rPr>
                <w:b w:val="0"/>
                <w:i w:val="0"/>
                <w:sz w:val="15"/>
              </w:rPr>
              <w:t>Derived from dividend total vs issued shares</w:t>
            </w:r>
          </w:p>
        </w:tc>
      </w:tr>
    </w:tbl>
    <w:p>
      <w:r>
        <w:rPr>
          <w:b w:val="0"/>
          <w:i/>
          <w:color w:val="5B6475"/>
          <w:sz w:val="15"/>
        </w:rPr>
        <w:t>Foreign ownership ~40% (May-26) vs 49% statutory cap. Insider (executive) holdings negligible. Verify against DART and the latest 20-F.</w:t>
      </w:r>
    </w:p>
    <w:p>
      <w:pPr>
        <w:pStyle w:val="Heading2"/>
      </w:pPr>
      <w:r>
        <w:rPr>
          <w:b/>
          <w:i w:val="0"/>
          <w:color w:val="2D6CCB"/>
          <w:sz w:val="24"/>
        </w:rPr>
        <w:t>Activism</w:t>
      </w:r>
    </w:p>
    <w:p>
      <w:pPr>
        <w:pStyle w:val="ListBullet"/>
        <w:spacing w:after="20"/>
      </w:pPr>
      <w:r>
        <w:rPr>
          <w:b/>
          <w:i w:val="0"/>
        </w:rPr>
        <w:t>No activist campaign against SKT in the 2020s.</w:t>
      </w:r>
      <w:r>
        <w:rPr>
          <w:b w:val="0"/>
          <w:i w:val="0"/>
        </w:rPr>
        <w:t xml:space="preserve"> The 30.6% SK Inc. stake, foreign-ownership cap and licence regime make a conventional campaign impractical.</w:t>
      </w:r>
    </w:p>
    <w:p>
      <w:pPr>
        <w:pStyle w:val="ListBullet"/>
        <w:spacing w:after="20"/>
      </w:pPr>
      <w:r>
        <w:rPr>
          <w:b/>
          <w:i w:val="0"/>
        </w:rPr>
        <w:t>Historical:</w:t>
      </w:r>
      <w:r>
        <w:rPr>
          <w:b w:val="0"/>
          <w:i w:val="0"/>
        </w:rPr>
        <w:t xml:space="preserve"> 1998-99 - PSPD/Jang Ha-sung minority-shareholder governance campaign at SKT; Tiger Management built ~6-7% and sold back at a premium [u]. 2003-05 - Sovereign Asset Management took 14.99% of SK Corp (SKT's parent), fought Chey Tae-won at two AGMs, lost the board votes but forced governance reforms, and exited in 2005 with ~US$0.8-0.9bn profit [u].</w:t>
      </w:r>
    </w:p>
    <w:p>
      <w:pPr>
        <w:pStyle w:val="ListBullet"/>
        <w:spacing w:after="20"/>
      </w:pPr>
      <w:r>
        <w:rPr>
          <w:b/>
          <w:i w:val="0"/>
        </w:rPr>
        <w:t>Potential future angle:</w:t>
      </w:r>
      <w:r>
        <w:rPr>
          <w:b w:val="0"/>
          <w:i w:val="0"/>
        </w:rPr>
        <w:t xml:space="preserve"> as Anthropic grows to 20-40% of market cap, SKT becomes a quasi-holding company - a classic set-up for an activist to demand a distribution, buyback or tracking stock. We would expect Korean or global event-driven funds (not a proxy fight) to push via engagement.</w:t>
      </w:r>
    </w:p>
    <w:p>
      <w:pPr>
        <w:pStyle w:val="Heading2"/>
      </w:pPr>
      <w:r>
        <w:rPr>
          <w:b/>
          <w:i w:val="0"/>
          <w:color w:val="2D6CCB"/>
          <w:sz w:val="24"/>
        </w:rPr>
        <w:t>Short interest</w:t>
      </w:r>
    </w:p>
    <w:p>
      <w:pPr>
        <w:spacing w:after="80"/>
      </w:pPr>
      <w:r>
        <w:rPr>
          <w:b w:val="0"/>
          <w:i w:val="0"/>
        </w:rPr>
        <w:t>Korea banned short selling from 6-Nov-2023 to 30-Mar-2025. Since resumption, disclosure applies to positions ≥0.01% and ≥KRW 1bn (KRX ). We could not retrieve current SKT short balances; historically SKT has had very low short interest (well below 1% of float) given its yield profile. The more relevant "short" is likely hedging flow (long Anthropic exposure / short SKT spread trades) around the IPO. No known activist short seller has published on SKT. [u]</w:t>
      </w:r>
    </w:p>
    <w:p>
      <w:r>
        <w:br w:type="page"/>
      </w:r>
    </w:p>
    <w:p>
      <w:pPr>
        <w:pStyle w:val="Heading1"/>
      </w:pPr>
      <w:r>
        <w:rPr>
          <w:b/>
          <w:i w:val="0"/>
          <w:color w:val="13223F"/>
          <w:sz w:val="32"/>
        </w:rPr>
        <w:t>17. Strategic initiatives, 2016-2026 - scorecard</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014"/>
            <w:shd w:val="clear" w:color="auto" w:fill="13223F"/>
          </w:tcPr>
          <w:p>
            <w:r>
              <w:rPr>
                <w:b/>
                <w:i w:val="0"/>
                <w:color w:val="FFFFFF"/>
                <w:sz w:val="15"/>
              </w:rPr>
              <w:t>Initiative</w:t>
            </w:r>
          </w:p>
        </w:tc>
        <w:tc>
          <w:tcPr>
            <w:tcW w:type="dxa" w:w="1096"/>
            <w:shd w:val="clear" w:color="auto" w:fill="13223F"/>
          </w:tcPr>
          <w:p>
            <w:r>
              <w:rPr>
                <w:b/>
                <w:i w:val="0"/>
                <w:color w:val="FFFFFF"/>
                <w:sz w:val="15"/>
              </w:rPr>
              <w:t>Period</w:t>
            </w:r>
          </w:p>
        </w:tc>
        <w:tc>
          <w:tcPr>
            <w:tcW w:type="dxa" w:w="4202"/>
            <w:shd w:val="clear" w:color="auto" w:fill="13223F"/>
          </w:tcPr>
          <w:p>
            <w:r>
              <w:rPr>
                <w:b/>
                <w:i w:val="0"/>
                <w:color w:val="FFFFFF"/>
                <w:sz w:val="15"/>
              </w:rPr>
              <w:t>Outcome / current status</w:t>
            </w:r>
          </w:p>
        </w:tc>
        <w:tc>
          <w:tcPr>
            <w:tcW w:type="dxa" w:w="1553"/>
            <w:shd w:val="clear" w:color="auto" w:fill="13223F"/>
          </w:tcPr>
          <w:p>
            <w:r>
              <w:rPr>
                <w:b/>
                <w:i w:val="0"/>
                <w:color w:val="FFFFFF"/>
                <w:sz w:val="15"/>
              </w:rPr>
              <w:t>Verdict</w:t>
            </w:r>
          </w:p>
        </w:tc>
      </w:tr>
      <w:tr>
        <w:tc>
          <w:tcPr>
            <w:tcW w:type="dxa" w:w="3014"/>
          </w:tcPr>
          <w:p>
            <w:r>
              <w:rPr>
                <w:b w:val="0"/>
                <w:i w:val="0"/>
                <w:sz w:val="15"/>
              </w:rPr>
              <w:t>CJ HelloVision acquisition</w:t>
            </w:r>
          </w:p>
        </w:tc>
        <w:tc>
          <w:tcPr>
            <w:tcW w:type="dxa" w:w="1096"/>
          </w:tcPr>
          <w:p>
            <w:r>
              <w:rPr>
                <w:b w:val="0"/>
                <w:i w:val="0"/>
                <w:sz w:val="15"/>
              </w:rPr>
              <w:t>2015-16</w:t>
            </w:r>
          </w:p>
        </w:tc>
        <w:tc>
          <w:tcPr>
            <w:tcW w:type="dxa" w:w="4202"/>
          </w:tcPr>
          <w:p>
            <w:r>
              <w:rPr>
                <w:b w:val="0"/>
                <w:i w:val="0"/>
                <w:sz w:val="15"/>
              </w:rPr>
              <w:t>Blocked by KFTC; pay-TV scale later achieved via Tbroad (2020)</w:t>
            </w:r>
          </w:p>
        </w:tc>
        <w:tc>
          <w:tcPr>
            <w:tcW w:type="dxa" w:w="1553"/>
          </w:tcPr>
          <w:p>
            <w:r>
              <w:rPr>
                <w:b w:val="0"/>
                <w:i w:val="0"/>
                <w:sz w:val="15"/>
              </w:rPr>
              <w:t>Failure</w:t>
            </w:r>
          </w:p>
        </w:tc>
      </w:tr>
      <w:tr>
        <w:tc>
          <w:tcPr>
            <w:tcW w:type="dxa" w:w="3014"/>
            <w:shd w:val="clear" w:color="auto" w:fill="EEF1F6"/>
          </w:tcPr>
          <w:p>
            <w:r>
              <w:rPr>
                <w:b w:val="0"/>
                <w:i w:val="0"/>
                <w:sz w:val="15"/>
              </w:rPr>
              <w:t>"New ICT" / ICT holding portfolio (11st, Wavve, Tmap, One Store, ADT Caps)</w:t>
            </w:r>
          </w:p>
        </w:tc>
        <w:tc>
          <w:tcPr>
            <w:tcW w:type="dxa" w:w="1096"/>
            <w:shd w:val="clear" w:color="auto" w:fill="EEF1F6"/>
          </w:tcPr>
          <w:p>
            <w:r>
              <w:rPr>
                <w:b w:val="0"/>
                <w:i w:val="0"/>
                <w:sz w:val="15"/>
              </w:rPr>
              <w:t>2016-21</w:t>
            </w:r>
          </w:p>
        </w:tc>
        <w:tc>
          <w:tcPr>
            <w:tcW w:type="dxa" w:w="4202"/>
            <w:shd w:val="clear" w:color="auto" w:fill="EEF1F6"/>
          </w:tcPr>
          <w:p>
            <w:r>
              <w:rPr>
                <w:b w:val="0"/>
                <w:i w:val="0"/>
                <w:sz w:val="15"/>
              </w:rPr>
              <w:t>Value partly realised via 2021 split; many ventures later marked down at SK Square; One Store IPO pulled (2022), 11st IPO failed</w:t>
            </w:r>
          </w:p>
        </w:tc>
        <w:tc>
          <w:tcPr>
            <w:tcW w:type="dxa" w:w="1553"/>
            <w:shd w:val="clear" w:color="auto" w:fill="EEF1F6"/>
          </w:tcPr>
          <w:p>
            <w:r>
              <w:rPr>
                <w:b w:val="0"/>
                <w:i w:val="0"/>
                <w:sz w:val="15"/>
              </w:rPr>
              <w:t>Mixed</w:t>
            </w:r>
          </w:p>
        </w:tc>
      </w:tr>
      <w:tr>
        <w:tc>
          <w:tcPr>
            <w:tcW w:type="dxa" w:w="3014"/>
          </w:tcPr>
          <w:p>
            <w:r>
              <w:rPr>
                <w:b w:val="0"/>
                <w:i w:val="0"/>
                <w:sz w:val="15"/>
              </w:rPr>
              <w:t>SK Hynix stake (2012) / SK Square split</w:t>
            </w:r>
          </w:p>
        </w:tc>
        <w:tc>
          <w:tcPr>
            <w:tcW w:type="dxa" w:w="1096"/>
          </w:tcPr>
          <w:p>
            <w:r>
              <w:rPr>
                <w:b w:val="0"/>
                <w:i w:val="0"/>
                <w:sz w:val="15"/>
              </w:rPr>
              <w:t>2012-21</w:t>
            </w:r>
          </w:p>
        </w:tc>
        <w:tc>
          <w:tcPr>
            <w:tcW w:type="dxa" w:w="4202"/>
          </w:tcPr>
          <w:p>
            <w:r>
              <w:rPr>
                <w:b w:val="0"/>
                <w:i w:val="0"/>
                <w:sz w:val="15"/>
              </w:rPr>
              <w:t>SK hynix transformative; split unlocked ~KRW 20tn+ of value but left SKT as pure telco</w:t>
            </w:r>
          </w:p>
        </w:tc>
        <w:tc>
          <w:tcPr>
            <w:tcW w:type="dxa" w:w="1553"/>
          </w:tcPr>
          <w:p>
            <w:r>
              <w:rPr>
                <w:b w:val="0"/>
                <w:i w:val="0"/>
                <w:sz w:val="15"/>
              </w:rPr>
              <w:t>Success</w:t>
            </w:r>
          </w:p>
        </w:tc>
      </w:tr>
      <w:tr>
        <w:tc>
          <w:tcPr>
            <w:tcW w:type="dxa" w:w="3014"/>
            <w:shd w:val="clear" w:color="auto" w:fill="EEF1F6"/>
          </w:tcPr>
          <w:p>
            <w:r>
              <w:rPr>
                <w:b w:val="0"/>
                <w:i w:val="0"/>
                <w:sz w:val="15"/>
              </w:rPr>
              <w:t>Tbroad merger / SKB scale</w:t>
            </w:r>
          </w:p>
        </w:tc>
        <w:tc>
          <w:tcPr>
            <w:tcW w:type="dxa" w:w="1096"/>
            <w:shd w:val="clear" w:color="auto" w:fill="EEF1F6"/>
          </w:tcPr>
          <w:p>
            <w:r>
              <w:rPr>
                <w:b w:val="0"/>
                <w:i w:val="0"/>
                <w:sz w:val="15"/>
              </w:rPr>
              <w:t>2020-26</w:t>
            </w:r>
          </w:p>
        </w:tc>
        <w:tc>
          <w:tcPr>
            <w:tcW w:type="dxa" w:w="4202"/>
            <w:shd w:val="clear" w:color="auto" w:fill="EEF1F6"/>
          </w:tcPr>
          <w:p>
            <w:r>
              <w:rPr>
                <w:b w:val="0"/>
                <w:i w:val="0"/>
                <w:sz w:val="15"/>
              </w:rPr>
              <w:t>SKB #2 in broadband &amp; pay-TV; minorities bought out 2025-26; now 100%</w:t>
            </w:r>
          </w:p>
        </w:tc>
        <w:tc>
          <w:tcPr>
            <w:tcW w:type="dxa" w:w="1553"/>
            <w:shd w:val="clear" w:color="auto" w:fill="EEF1F6"/>
          </w:tcPr>
          <w:p>
            <w:r>
              <w:rPr>
                <w:b w:val="0"/>
                <w:i w:val="0"/>
                <w:sz w:val="15"/>
              </w:rPr>
              <w:t>Success</w:t>
            </w:r>
          </w:p>
        </w:tc>
      </w:tr>
      <w:tr>
        <w:tc>
          <w:tcPr>
            <w:tcW w:type="dxa" w:w="3014"/>
          </w:tcPr>
          <w:p>
            <w:r>
              <w:rPr>
                <w:b w:val="0"/>
                <w:i w:val="0"/>
                <w:sz w:val="15"/>
              </w:rPr>
              <w:t>ADT Caps / SK Shieldus</w:t>
            </w:r>
          </w:p>
        </w:tc>
        <w:tc>
          <w:tcPr>
            <w:tcW w:type="dxa" w:w="1096"/>
          </w:tcPr>
          <w:p>
            <w:r>
              <w:rPr>
                <w:b w:val="0"/>
                <w:i w:val="0"/>
                <w:sz w:val="15"/>
              </w:rPr>
              <w:t>2018-23</w:t>
            </w:r>
          </w:p>
        </w:tc>
        <w:tc>
          <w:tcPr>
            <w:tcW w:type="dxa" w:w="4202"/>
          </w:tcPr>
          <w:p>
            <w:r>
              <w:rPr>
                <w:b w:val="0"/>
                <w:i w:val="0"/>
                <w:sz w:val="15"/>
              </w:rPr>
              <w:t>Bought ~KRW 3tn EV, sold via SK Square to EQT (~KRW 3.3tn EV)</w:t>
            </w:r>
          </w:p>
        </w:tc>
        <w:tc>
          <w:tcPr>
            <w:tcW w:type="dxa" w:w="1553"/>
          </w:tcPr>
          <w:p>
            <w:r>
              <w:rPr>
                <w:b w:val="0"/>
                <w:i w:val="0"/>
                <w:sz w:val="15"/>
              </w:rPr>
              <w:t>Neutral</w:t>
            </w:r>
          </w:p>
        </w:tc>
      </w:tr>
      <w:tr>
        <w:tc>
          <w:tcPr>
            <w:tcW w:type="dxa" w:w="3014"/>
            <w:shd w:val="clear" w:color="auto" w:fill="EEF1F6"/>
          </w:tcPr>
          <w:p>
            <w:r>
              <w:rPr>
                <w:b w:val="0"/>
                <w:i w:val="0"/>
                <w:sz w:val="15"/>
              </w:rPr>
              <w:t>ifland metaverse</w:t>
            </w:r>
          </w:p>
        </w:tc>
        <w:tc>
          <w:tcPr>
            <w:tcW w:type="dxa" w:w="1096"/>
            <w:shd w:val="clear" w:color="auto" w:fill="EEF1F6"/>
          </w:tcPr>
          <w:p>
            <w:r>
              <w:rPr>
                <w:b w:val="0"/>
                <w:i w:val="0"/>
                <w:sz w:val="15"/>
              </w:rPr>
              <w:t>2021-25</w:t>
            </w:r>
          </w:p>
        </w:tc>
        <w:tc>
          <w:tcPr>
            <w:tcW w:type="dxa" w:w="4202"/>
            <w:shd w:val="clear" w:color="auto" w:fill="EEF1F6"/>
          </w:tcPr>
          <w:p>
            <w:r>
              <w:rPr>
                <w:b w:val="0"/>
                <w:i w:val="0"/>
                <w:sz w:val="15"/>
              </w:rPr>
              <w:t>Shut down 31-Mar-25</w:t>
            </w:r>
          </w:p>
        </w:tc>
        <w:tc>
          <w:tcPr>
            <w:tcW w:type="dxa" w:w="1553"/>
            <w:shd w:val="clear" w:color="auto" w:fill="EEF1F6"/>
          </w:tcPr>
          <w:p>
            <w:r>
              <w:rPr>
                <w:b w:val="0"/>
                <w:i w:val="0"/>
                <w:sz w:val="15"/>
              </w:rPr>
              <w:t>Failure</w:t>
            </w:r>
          </w:p>
        </w:tc>
      </w:tr>
      <w:tr>
        <w:tc>
          <w:tcPr>
            <w:tcW w:type="dxa" w:w="3014"/>
          </w:tcPr>
          <w:p>
            <w:r>
              <w:rPr>
                <w:b w:val="0"/>
                <w:i w:val="0"/>
                <w:sz w:val="15"/>
              </w:rPr>
              <w:t>Joby / UAM</w:t>
            </w:r>
          </w:p>
        </w:tc>
        <w:tc>
          <w:tcPr>
            <w:tcW w:type="dxa" w:w="1096"/>
          </w:tcPr>
          <w:p>
            <w:r>
              <w:rPr>
                <w:b w:val="0"/>
                <w:i w:val="0"/>
                <w:sz w:val="15"/>
              </w:rPr>
              <w:t>2023-26</w:t>
            </w:r>
          </w:p>
        </w:tc>
        <w:tc>
          <w:tcPr>
            <w:tcW w:type="dxa" w:w="4202"/>
          </w:tcPr>
          <w:p>
            <w:r>
              <w:rPr>
                <w:b w:val="0"/>
                <w:i w:val="0"/>
                <w:sz w:val="15"/>
              </w:rPr>
              <w:t>US$100m; 66% of stake sold for KRW 131bn; UAM commercialisation distant</w:t>
            </w:r>
          </w:p>
        </w:tc>
        <w:tc>
          <w:tcPr>
            <w:tcW w:type="dxa" w:w="1553"/>
          </w:tcPr>
          <w:p>
            <w:r>
              <w:rPr>
                <w:b w:val="0"/>
                <w:i w:val="0"/>
                <w:sz w:val="15"/>
              </w:rPr>
              <w:t>Modest gain</w:t>
            </w:r>
          </w:p>
        </w:tc>
      </w:tr>
      <w:tr>
        <w:tc>
          <w:tcPr>
            <w:tcW w:type="dxa" w:w="3014"/>
            <w:shd w:val="clear" w:color="auto" w:fill="EEF1F6"/>
          </w:tcPr>
          <w:p>
            <w:r>
              <w:rPr>
                <w:b w:val="0"/>
                <w:i w:val="0"/>
                <w:sz w:val="15"/>
              </w:rPr>
              <w:t>Quantum (ID Quantique)</w:t>
            </w:r>
          </w:p>
        </w:tc>
        <w:tc>
          <w:tcPr>
            <w:tcW w:type="dxa" w:w="1096"/>
            <w:shd w:val="clear" w:color="auto" w:fill="EEF1F6"/>
          </w:tcPr>
          <w:p>
            <w:r>
              <w:rPr>
                <w:b w:val="0"/>
                <w:i w:val="0"/>
                <w:sz w:val="15"/>
              </w:rPr>
              <w:t>2018-25</w:t>
            </w:r>
          </w:p>
        </w:tc>
        <w:tc>
          <w:tcPr>
            <w:tcW w:type="dxa" w:w="4202"/>
            <w:shd w:val="clear" w:color="auto" w:fill="EEF1F6"/>
          </w:tcPr>
          <w:p>
            <w:r>
              <w:rPr>
                <w:b w:val="0"/>
                <w:i w:val="0"/>
                <w:sz w:val="15"/>
              </w:rPr>
              <w:t>Folded into IonQ [u]</w:t>
            </w:r>
          </w:p>
        </w:tc>
        <w:tc>
          <w:tcPr>
            <w:tcW w:type="dxa" w:w="1553"/>
            <w:shd w:val="clear" w:color="auto" w:fill="EEF1F6"/>
          </w:tcPr>
          <w:p>
            <w:r>
              <w:rPr>
                <w:b w:val="0"/>
                <w:i w:val="0"/>
                <w:sz w:val="15"/>
              </w:rPr>
              <w:t>Neutral</w:t>
            </w:r>
          </w:p>
        </w:tc>
      </w:tr>
      <w:tr>
        <w:tc>
          <w:tcPr>
            <w:tcW w:type="dxa" w:w="3014"/>
          </w:tcPr>
          <w:p>
            <w:r>
              <w:rPr>
                <w:b w:val="0"/>
                <w:i w:val="0"/>
                <w:sz w:val="15"/>
              </w:rPr>
              <w:t>AI Pyramid / "Global AI company"</w:t>
            </w:r>
          </w:p>
        </w:tc>
        <w:tc>
          <w:tcPr>
            <w:tcW w:type="dxa" w:w="1096"/>
          </w:tcPr>
          <w:p>
            <w:r>
              <w:rPr>
                <w:b w:val="0"/>
                <w:i w:val="0"/>
                <w:sz w:val="15"/>
              </w:rPr>
              <w:t>2023-</w:t>
            </w:r>
          </w:p>
        </w:tc>
        <w:tc>
          <w:tcPr>
            <w:tcW w:type="dxa" w:w="4202"/>
          </w:tcPr>
          <w:p>
            <w:r>
              <w:rPr>
                <w:b w:val="0"/>
                <w:i w:val="0"/>
                <w:sz w:val="15"/>
              </w:rPr>
              <w:t>A. assistant (5.5m+ users 2024); A.X K1/K2 in sovereign-AI Phase 3; AI still &lt;5% of revenue</w:t>
            </w:r>
          </w:p>
        </w:tc>
        <w:tc>
          <w:tcPr>
            <w:tcW w:type="dxa" w:w="1553"/>
          </w:tcPr>
          <w:p>
            <w:r>
              <w:rPr>
                <w:b w:val="0"/>
                <w:i w:val="0"/>
                <w:sz w:val="15"/>
              </w:rPr>
              <w:t>In progress</w:t>
            </w:r>
          </w:p>
        </w:tc>
      </w:tr>
      <w:tr>
        <w:tc>
          <w:tcPr>
            <w:tcW w:type="dxa" w:w="3014"/>
            <w:shd w:val="clear" w:color="auto" w:fill="EEF1F6"/>
          </w:tcPr>
          <w:p>
            <w:r>
              <w:rPr>
                <w:b w:val="0"/>
                <w:i w:val="0"/>
                <w:sz w:val="15"/>
              </w:rPr>
              <w:t>Anthropic partnership &amp; stake</w:t>
            </w:r>
          </w:p>
        </w:tc>
        <w:tc>
          <w:tcPr>
            <w:tcW w:type="dxa" w:w="1096"/>
            <w:shd w:val="clear" w:color="auto" w:fill="EEF1F6"/>
          </w:tcPr>
          <w:p>
            <w:r>
              <w:rPr>
                <w:b w:val="0"/>
                <w:i w:val="0"/>
                <w:sz w:val="15"/>
              </w:rPr>
              <w:t>2023-</w:t>
            </w:r>
          </w:p>
        </w:tc>
        <w:tc>
          <w:tcPr>
            <w:tcW w:type="dxa" w:w="4202"/>
            <w:shd w:val="clear" w:color="auto" w:fill="EEF1F6"/>
          </w:tcPr>
          <w:p>
            <w:r>
              <w:rPr>
                <w:b w:val="0"/>
                <w:i w:val="0"/>
                <w:sz w:val="15"/>
              </w:rPr>
              <w:t>~24x per-share value creation; KRW 3.5tn book</w:t>
            </w:r>
          </w:p>
        </w:tc>
        <w:tc>
          <w:tcPr>
            <w:tcW w:type="dxa" w:w="1553"/>
            <w:shd w:val="clear" w:color="auto" w:fill="EEF1F6"/>
          </w:tcPr>
          <w:p>
            <w:r>
              <w:rPr>
                <w:b w:val="0"/>
                <w:i w:val="0"/>
                <w:sz w:val="15"/>
              </w:rPr>
              <w:t>Clear success</w:t>
            </w:r>
          </w:p>
        </w:tc>
      </w:tr>
      <w:tr>
        <w:tc>
          <w:tcPr>
            <w:tcW w:type="dxa" w:w="3014"/>
          </w:tcPr>
          <w:p>
            <w:r>
              <w:rPr>
                <w:b w:val="0"/>
                <w:i w:val="0"/>
                <w:sz w:val="15"/>
              </w:rPr>
              <w:t>Global Telco AI Alliance / Syntelligence</w:t>
            </w:r>
          </w:p>
        </w:tc>
        <w:tc>
          <w:tcPr>
            <w:tcW w:type="dxa" w:w="1096"/>
          </w:tcPr>
          <w:p>
            <w:r>
              <w:rPr>
                <w:b w:val="0"/>
                <w:i w:val="0"/>
                <w:sz w:val="15"/>
              </w:rPr>
              <w:t>2023-</w:t>
            </w:r>
          </w:p>
        </w:tc>
        <w:tc>
          <w:tcPr>
            <w:tcW w:type="dxa" w:w="4202"/>
          </w:tcPr>
          <w:p>
            <w:r>
              <w:rPr>
                <w:b w:val="0"/>
                <w:i w:val="0"/>
                <w:sz w:val="15"/>
              </w:rPr>
              <w:t>JV formed 2025 with DT, e&amp;, Singtel, SoftBank (US$37.5m); limited traction yet</w:t>
            </w:r>
          </w:p>
        </w:tc>
        <w:tc>
          <w:tcPr>
            <w:tcW w:type="dxa" w:w="1553"/>
          </w:tcPr>
          <w:p>
            <w:r>
              <w:rPr>
                <w:b w:val="0"/>
                <w:i w:val="0"/>
                <w:sz w:val="15"/>
              </w:rPr>
              <w:t>Early</w:t>
            </w:r>
          </w:p>
        </w:tc>
      </w:tr>
      <w:tr>
        <w:tc>
          <w:tcPr>
            <w:tcW w:type="dxa" w:w="3014"/>
            <w:shd w:val="clear" w:color="auto" w:fill="EEF1F6"/>
          </w:tcPr>
          <w:p>
            <w:r>
              <w:rPr>
                <w:b w:val="0"/>
                <w:i w:val="0"/>
                <w:sz w:val="15"/>
              </w:rPr>
              <w:t>SAPEON to Rebellions</w:t>
            </w:r>
          </w:p>
        </w:tc>
        <w:tc>
          <w:tcPr>
            <w:tcW w:type="dxa" w:w="1096"/>
            <w:shd w:val="clear" w:color="auto" w:fill="EEF1F6"/>
          </w:tcPr>
          <w:p>
            <w:r>
              <w:rPr>
                <w:b w:val="0"/>
                <w:i w:val="0"/>
                <w:sz w:val="15"/>
              </w:rPr>
              <w:t>2016-26</w:t>
            </w:r>
          </w:p>
        </w:tc>
        <w:tc>
          <w:tcPr>
            <w:tcW w:type="dxa" w:w="4202"/>
            <w:shd w:val="clear" w:color="auto" w:fill="EEF1F6"/>
          </w:tcPr>
          <w:p>
            <w:r>
              <w:rPr>
                <w:b w:val="0"/>
                <w:i w:val="0"/>
                <w:sz w:val="15"/>
              </w:rPr>
              <w:t>Merged 2024; Rebellions valued KRW 3.4tn; IPO 1H27</w:t>
            </w:r>
          </w:p>
        </w:tc>
        <w:tc>
          <w:tcPr>
            <w:tcW w:type="dxa" w:w="1553"/>
            <w:shd w:val="clear" w:color="auto" w:fill="EEF1F6"/>
          </w:tcPr>
          <w:p>
            <w:r>
              <w:rPr>
                <w:b w:val="0"/>
                <w:i w:val="0"/>
                <w:sz w:val="15"/>
              </w:rPr>
              <w:t>Success (financial)</w:t>
            </w:r>
          </w:p>
        </w:tc>
      </w:tr>
      <w:tr>
        <w:tc>
          <w:tcPr>
            <w:tcW w:type="dxa" w:w="3014"/>
          </w:tcPr>
          <w:p>
            <w:r>
              <w:rPr>
                <w:b w:val="0"/>
                <w:i w:val="0"/>
                <w:sz w:val="15"/>
              </w:rPr>
              <w:t>AI data centres (Gasan, Ulsan with AWS, SK Horizon, SK Hyper)</w:t>
            </w:r>
          </w:p>
        </w:tc>
        <w:tc>
          <w:tcPr>
            <w:tcW w:type="dxa" w:w="1096"/>
          </w:tcPr>
          <w:p>
            <w:r>
              <w:rPr>
                <w:b w:val="0"/>
                <w:i w:val="0"/>
                <w:sz w:val="15"/>
              </w:rPr>
              <w:t>2024-</w:t>
            </w:r>
          </w:p>
        </w:tc>
        <w:tc>
          <w:tcPr>
            <w:tcW w:type="dxa" w:w="4202"/>
          </w:tcPr>
          <w:p>
            <w:r>
              <w:rPr>
                <w:b w:val="0"/>
                <w:i w:val="0"/>
                <w:sz w:val="15"/>
              </w:rPr>
              <w:t>Revenue +90% y/y; 49% sold to KKR/IMM; 5GW ambition by 2029+</w:t>
            </w:r>
          </w:p>
        </w:tc>
        <w:tc>
          <w:tcPr>
            <w:tcW w:type="dxa" w:w="1553"/>
          </w:tcPr>
          <w:p>
            <w:r>
              <w:rPr>
                <w:b w:val="0"/>
                <w:i w:val="0"/>
                <w:sz w:val="15"/>
              </w:rPr>
              <w:t>Promising / capital-intensive</w:t>
            </w:r>
          </w:p>
        </w:tc>
      </w:tr>
      <w:tr>
        <w:tc>
          <w:tcPr>
            <w:tcW w:type="dxa" w:w="3014"/>
            <w:shd w:val="clear" w:color="auto" w:fill="EEF1F6"/>
          </w:tcPr>
          <w:p>
            <w:r>
              <w:rPr>
                <w:b w:val="0"/>
                <w:i w:val="0"/>
                <w:sz w:val="15"/>
              </w:rPr>
              <w:t>Aster (US AI agent)</w:t>
            </w:r>
          </w:p>
        </w:tc>
        <w:tc>
          <w:tcPr>
            <w:tcW w:type="dxa" w:w="1096"/>
            <w:shd w:val="clear" w:color="auto" w:fill="EEF1F6"/>
          </w:tcPr>
          <w:p>
            <w:r>
              <w:rPr>
                <w:b w:val="0"/>
                <w:i w:val="0"/>
                <w:sz w:val="15"/>
              </w:rPr>
              <w:t>2024-</w:t>
            </w:r>
          </w:p>
        </w:tc>
        <w:tc>
          <w:tcPr>
            <w:tcW w:type="dxa" w:w="4202"/>
            <w:shd w:val="clear" w:color="auto" w:fill="EEF1F6"/>
          </w:tcPr>
          <w:p>
            <w:r>
              <w:rPr>
                <w:b w:val="0"/>
                <w:i w:val="0"/>
                <w:sz w:val="15"/>
              </w:rPr>
              <w:t>Beta 2025; no 2026 traction disclosed</w:t>
            </w:r>
          </w:p>
        </w:tc>
        <w:tc>
          <w:tcPr>
            <w:tcW w:type="dxa" w:w="1553"/>
            <w:shd w:val="clear" w:color="auto" w:fill="EEF1F6"/>
          </w:tcPr>
          <w:p>
            <w:r>
              <w:rPr>
                <w:b w:val="0"/>
                <w:i w:val="0"/>
                <w:sz w:val="15"/>
              </w:rPr>
              <w:t>Unproven</w:t>
            </w:r>
          </w:p>
        </w:tc>
      </w:tr>
      <w:tr>
        <w:tc>
          <w:tcPr>
            <w:tcW w:type="dxa" w:w="3014"/>
          </w:tcPr>
          <w:p>
            <w:r>
              <w:rPr>
                <w:b w:val="0"/>
                <w:i w:val="0"/>
                <w:sz w:val="15"/>
              </w:rPr>
              <w:t>Security overhaul (post-breach)</w:t>
            </w:r>
          </w:p>
        </w:tc>
        <w:tc>
          <w:tcPr>
            <w:tcW w:type="dxa" w:w="1096"/>
          </w:tcPr>
          <w:p>
            <w:r>
              <w:rPr>
                <w:b w:val="0"/>
                <w:i w:val="0"/>
                <w:sz w:val="15"/>
              </w:rPr>
              <w:t>2025-</w:t>
            </w:r>
          </w:p>
        </w:tc>
        <w:tc>
          <w:tcPr>
            <w:tcW w:type="dxa" w:w="4202"/>
          </w:tcPr>
          <w:p>
            <w:r>
              <w:rPr>
                <w:b w:val="0"/>
                <w:i w:val="0"/>
                <w:sz w:val="15"/>
              </w:rPr>
              <w:t>KRW 700bn plan; CISO to CEO; churn normalised</w:t>
            </w:r>
          </w:p>
        </w:tc>
        <w:tc>
          <w:tcPr>
            <w:tcW w:type="dxa" w:w="1553"/>
          </w:tcPr>
          <w:p>
            <w:r>
              <w:rPr>
                <w:b w:val="0"/>
                <w:i w:val="0"/>
                <w:sz w:val="15"/>
              </w:rPr>
              <w:t>In progress</w:t>
            </w:r>
          </w:p>
        </w:tc>
      </w:tr>
    </w:tbl>
    <w:p/>
    <w:p>
      <w:r>
        <w:br w:type="page"/>
      </w:r>
    </w:p>
    <w:p>
      <w:pPr>
        <w:pStyle w:val="Heading1"/>
      </w:pPr>
      <w:r>
        <w:rPr>
          <w:b/>
          <w:i w:val="0"/>
          <w:color w:val="13223F"/>
          <w:sz w:val="32"/>
        </w:rPr>
        <w:t>18. Stakes in listed and unlisted companies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466"/>
            <w:shd w:val="clear" w:color="auto" w:fill="13223F"/>
          </w:tcPr>
          <w:p>
            <w:r>
              <w:rPr>
                <w:b/>
                <w:i w:val="0"/>
                <w:color w:val="FFFFFF"/>
                <w:sz w:val="15"/>
              </w:rPr>
              <w:t>Holding</w:t>
            </w:r>
          </w:p>
        </w:tc>
        <w:tc>
          <w:tcPr>
            <w:tcW w:type="dxa" w:w="1644"/>
            <w:shd w:val="clear" w:color="auto" w:fill="13223F"/>
          </w:tcPr>
          <w:p>
            <w:r>
              <w:rPr>
                <w:b/>
                <w:i w:val="0"/>
                <w:color w:val="FFFFFF"/>
                <w:sz w:val="15"/>
              </w:rPr>
              <w:t>Stake</w:t>
            </w:r>
          </w:p>
        </w:tc>
        <w:tc>
          <w:tcPr>
            <w:tcW w:type="dxa" w:w="2192"/>
            <w:shd w:val="clear" w:color="auto" w:fill="13223F"/>
          </w:tcPr>
          <w:p>
            <w:r>
              <w:rPr>
                <w:b/>
                <w:i w:val="0"/>
                <w:color w:val="FFFFFF"/>
                <w:sz w:val="15"/>
              </w:rPr>
              <w:t>Value (approx.)</w:t>
            </w:r>
          </w:p>
        </w:tc>
        <w:tc>
          <w:tcPr>
            <w:tcW w:type="dxa" w:w="2009"/>
            <w:shd w:val="clear" w:color="auto" w:fill="13223F"/>
          </w:tcPr>
          <w:p>
            <w:r>
              <w:rPr>
                <w:b/>
                <w:i w:val="0"/>
                <w:color w:val="FFFFFF"/>
                <w:sz w:val="15"/>
              </w:rPr>
              <w:t>Strategic relevance</w:t>
            </w:r>
          </w:p>
        </w:tc>
        <w:tc>
          <w:tcPr>
            <w:tcW w:type="dxa" w:w="1553"/>
            <w:shd w:val="clear" w:color="auto" w:fill="13223F"/>
          </w:tcPr>
          <w:p>
            <w:r>
              <w:rPr>
                <w:b/>
                <w:i w:val="0"/>
                <w:color w:val="FFFFFF"/>
                <w:sz w:val="15"/>
              </w:rPr>
              <w:t>Financial relevance</w:t>
            </w:r>
          </w:p>
        </w:tc>
      </w:tr>
      <w:tr>
        <w:tc>
          <w:tcPr>
            <w:tcW w:type="dxa" w:w="2466"/>
          </w:tcPr>
          <w:p>
            <w:r>
              <w:rPr>
                <w:b w:val="0"/>
                <w:i w:val="0"/>
                <w:sz w:val="15"/>
              </w:rPr>
              <w:t>SK Broadband</w:t>
            </w:r>
          </w:p>
        </w:tc>
        <w:tc>
          <w:tcPr>
            <w:tcW w:type="dxa" w:w="1644"/>
          </w:tcPr>
          <w:p>
            <w:r>
              <w:rPr>
                <w:b w:val="0"/>
                <w:i w:val="0"/>
                <w:sz w:val="15"/>
              </w:rPr>
              <w:t>100%</w:t>
            </w:r>
          </w:p>
        </w:tc>
        <w:tc>
          <w:tcPr>
            <w:tcW w:type="dxa" w:w="2192"/>
          </w:tcPr>
          <w:p>
            <w:r>
              <w:rPr>
                <w:b w:val="0"/>
                <w:i w:val="0"/>
                <w:sz w:val="15"/>
              </w:rPr>
              <w:t>KRW ~4.6tn (2025 buyout price) [e]</w:t>
            </w:r>
          </w:p>
        </w:tc>
        <w:tc>
          <w:tcPr>
            <w:tcW w:type="dxa" w:w="2009"/>
          </w:tcPr>
          <w:p>
            <w:r>
              <w:rPr>
                <w:b w:val="0"/>
                <w:i w:val="0"/>
                <w:sz w:val="15"/>
              </w:rPr>
              <w:t>Core: fixed, media, DC</w:t>
            </w:r>
          </w:p>
        </w:tc>
        <w:tc>
          <w:tcPr>
            <w:tcW w:type="dxa" w:w="1553"/>
          </w:tcPr>
          <w:p>
            <w:r>
              <w:rPr>
                <w:b w:val="0"/>
                <w:i w:val="0"/>
                <w:sz w:val="15"/>
              </w:rPr>
              <w:t>High</w:t>
            </w:r>
          </w:p>
        </w:tc>
      </w:tr>
      <w:tr>
        <w:tc>
          <w:tcPr>
            <w:tcW w:type="dxa" w:w="2466"/>
            <w:shd w:val="clear" w:color="auto" w:fill="EEF1F6"/>
          </w:tcPr>
          <w:p>
            <w:r>
              <w:rPr>
                <w:b w:val="0"/>
                <w:i w:val="0"/>
                <w:sz w:val="15"/>
              </w:rPr>
              <w:t>SK Horizon (to be formed)</w:t>
            </w:r>
          </w:p>
        </w:tc>
        <w:tc>
          <w:tcPr>
            <w:tcW w:type="dxa" w:w="1644"/>
            <w:shd w:val="clear" w:color="auto" w:fill="EEF1F6"/>
          </w:tcPr>
          <w:p>
            <w:r>
              <w:rPr>
                <w:b w:val="0"/>
                <w:i w:val="0"/>
                <w:sz w:val="15"/>
              </w:rPr>
              <w:t>51% post-deal</w:t>
            </w:r>
          </w:p>
        </w:tc>
        <w:tc>
          <w:tcPr>
            <w:tcW w:type="dxa" w:w="2192"/>
            <w:shd w:val="clear" w:color="auto" w:fill="EEF1F6"/>
          </w:tcPr>
          <w:p>
            <w:r>
              <w:rPr>
                <w:b w:val="0"/>
                <w:i w:val="0"/>
                <w:sz w:val="15"/>
              </w:rPr>
              <w:t>KRW ~3.2tn (deal value)</w:t>
            </w:r>
          </w:p>
        </w:tc>
        <w:tc>
          <w:tcPr>
            <w:tcW w:type="dxa" w:w="2009"/>
            <w:shd w:val="clear" w:color="auto" w:fill="EEF1F6"/>
          </w:tcPr>
          <w:p>
            <w:r>
              <w:rPr>
                <w:b w:val="0"/>
                <w:i w:val="0"/>
                <w:sz w:val="15"/>
              </w:rPr>
              <w:t>AI-DC / subsea platform</w:t>
            </w:r>
          </w:p>
        </w:tc>
        <w:tc>
          <w:tcPr>
            <w:tcW w:type="dxa" w:w="1553"/>
            <w:shd w:val="clear" w:color="auto" w:fill="EEF1F6"/>
          </w:tcPr>
          <w:p>
            <w:r>
              <w:rPr>
                <w:b w:val="0"/>
                <w:i w:val="0"/>
                <w:sz w:val="15"/>
              </w:rPr>
              <w:t>High</w:t>
            </w:r>
          </w:p>
        </w:tc>
      </w:tr>
      <w:tr>
        <w:tc>
          <w:tcPr>
            <w:tcW w:type="dxa" w:w="2466"/>
          </w:tcPr>
          <w:p>
            <w:r>
              <w:rPr>
                <w:b w:val="0"/>
                <w:i w:val="0"/>
                <w:sz w:val="15"/>
              </w:rPr>
              <w:t>SK Hyper</w:t>
            </w:r>
          </w:p>
        </w:tc>
        <w:tc>
          <w:tcPr>
            <w:tcW w:type="dxa" w:w="1644"/>
          </w:tcPr>
          <w:p>
            <w:r>
              <w:rPr>
                <w:b w:val="0"/>
                <w:i w:val="0"/>
                <w:sz w:val="15"/>
              </w:rPr>
              <w:t>100%</w:t>
            </w:r>
          </w:p>
        </w:tc>
        <w:tc>
          <w:tcPr>
            <w:tcW w:type="dxa" w:w="2192"/>
          </w:tcPr>
          <w:p>
            <w:r>
              <w:rPr>
                <w:b w:val="0"/>
                <w:i w:val="0"/>
                <w:sz w:val="15"/>
              </w:rPr>
              <w:t>KRW 750bn committed to 2030</w:t>
            </w:r>
          </w:p>
        </w:tc>
        <w:tc>
          <w:tcPr>
            <w:tcW w:type="dxa" w:w="2009"/>
          </w:tcPr>
          <w:p>
            <w:r>
              <w:rPr>
                <w:b w:val="0"/>
                <w:i w:val="0"/>
                <w:sz w:val="15"/>
              </w:rPr>
              <w:t>GW-scale AI-DC developer</w:t>
            </w:r>
          </w:p>
        </w:tc>
        <w:tc>
          <w:tcPr>
            <w:tcW w:type="dxa" w:w="1553"/>
          </w:tcPr>
          <w:p>
            <w:r>
              <w:rPr>
                <w:b w:val="0"/>
                <w:i w:val="0"/>
                <w:sz w:val="15"/>
              </w:rPr>
              <w:t>Rising (capital sink)</w:t>
            </w:r>
          </w:p>
        </w:tc>
      </w:tr>
      <w:tr>
        <w:tc>
          <w:tcPr>
            <w:tcW w:type="dxa" w:w="2466"/>
            <w:shd w:val="clear" w:color="auto" w:fill="EEF1F6"/>
          </w:tcPr>
          <w:p>
            <w:r>
              <w:rPr>
                <w:b w:val="0"/>
                <w:i w:val="0"/>
                <w:sz w:val="15"/>
              </w:rPr>
              <w:t>Anthropic (unlisted, IPO pending)</w:t>
            </w:r>
          </w:p>
        </w:tc>
        <w:tc>
          <w:tcPr>
            <w:tcW w:type="dxa" w:w="1644"/>
            <w:shd w:val="clear" w:color="auto" w:fill="EEF1F6"/>
          </w:tcPr>
          <w:p>
            <w:r>
              <w:rPr>
                <w:b w:val="0"/>
                <w:i w:val="0"/>
                <w:sz w:val="15"/>
              </w:rPr>
              <w:t>~0.26% (3.86m sh)</w:t>
            </w:r>
          </w:p>
        </w:tc>
        <w:tc>
          <w:tcPr>
            <w:tcW w:type="dxa" w:w="2192"/>
            <w:shd w:val="clear" w:color="auto" w:fill="EEF1F6"/>
          </w:tcPr>
          <w:p>
            <w:r>
              <w:rPr>
                <w:b w:val="0"/>
                <w:i w:val="0"/>
                <w:sz w:val="15"/>
              </w:rPr>
              <w:t>KRW 3.5tn book; 5-8.7tn at IPO scenarios</w:t>
            </w:r>
          </w:p>
        </w:tc>
        <w:tc>
          <w:tcPr>
            <w:tcW w:type="dxa" w:w="2009"/>
            <w:shd w:val="clear" w:color="auto" w:fill="EEF1F6"/>
          </w:tcPr>
          <w:p>
            <w:r>
              <w:rPr>
                <w:b w:val="0"/>
                <w:i w:val="0"/>
                <w:sz w:val="15"/>
              </w:rPr>
              <w:t>Model partner; A. app</w:t>
            </w:r>
          </w:p>
        </w:tc>
        <w:tc>
          <w:tcPr>
            <w:tcW w:type="dxa" w:w="1553"/>
            <w:shd w:val="clear" w:color="auto" w:fill="EEF1F6"/>
          </w:tcPr>
          <w:p>
            <w:r>
              <w:rPr>
                <w:b w:val="0"/>
                <w:i w:val="0"/>
                <w:sz w:val="15"/>
              </w:rPr>
              <w:t>Very high - 19-47% of mkt cap</w:t>
            </w:r>
          </w:p>
        </w:tc>
      </w:tr>
      <w:tr>
        <w:tc>
          <w:tcPr>
            <w:tcW w:type="dxa" w:w="2466"/>
          </w:tcPr>
          <w:p>
            <w:r>
              <w:rPr>
                <w:b w:val="0"/>
                <w:i w:val="0"/>
                <w:sz w:val="15"/>
              </w:rPr>
              <w:t>Hana Financial Group (086790 KS)</w:t>
            </w:r>
          </w:p>
        </w:tc>
        <w:tc>
          <w:tcPr>
            <w:tcW w:type="dxa" w:w="1644"/>
          </w:tcPr>
          <w:p>
            <w:r>
              <w:rPr>
                <w:b w:val="0"/>
                <w:i w:val="0"/>
                <w:sz w:val="15"/>
              </w:rPr>
              <w:t>~3.1% (9.13m sh)</w:t>
            </w:r>
          </w:p>
        </w:tc>
        <w:tc>
          <w:tcPr>
            <w:tcW w:type="dxa" w:w="2192"/>
          </w:tcPr>
          <w:p>
            <w:r>
              <w:rPr>
                <w:b w:val="0"/>
                <w:i w:val="0"/>
                <w:sz w:val="15"/>
              </w:rPr>
              <w:t>~KRW 0.8tn [u]</w:t>
            </w:r>
          </w:p>
        </w:tc>
        <w:tc>
          <w:tcPr>
            <w:tcW w:type="dxa" w:w="2009"/>
          </w:tcPr>
          <w:p>
            <w:r>
              <w:rPr>
                <w:b w:val="0"/>
                <w:i w:val="0"/>
                <w:sz w:val="15"/>
              </w:rPr>
              <w:t>Payments / fintech partner</w:t>
            </w:r>
          </w:p>
        </w:tc>
        <w:tc>
          <w:tcPr>
            <w:tcW w:type="dxa" w:w="1553"/>
          </w:tcPr>
          <w:p>
            <w:r>
              <w:rPr>
                <w:b w:val="0"/>
                <w:i w:val="0"/>
                <w:sz w:val="15"/>
              </w:rPr>
              <w:t>Medium (dividend income)</w:t>
            </w:r>
          </w:p>
        </w:tc>
      </w:tr>
      <w:tr>
        <w:tc>
          <w:tcPr>
            <w:tcW w:type="dxa" w:w="2466"/>
            <w:shd w:val="clear" w:color="auto" w:fill="EEF1F6"/>
          </w:tcPr>
          <w:p>
            <w:r>
              <w:rPr>
                <w:b w:val="0"/>
                <w:i w:val="0"/>
                <w:sz w:val="15"/>
              </w:rPr>
              <w:t>Rebellions (unlisted, via SAPEON 62.5%)</w:t>
            </w:r>
          </w:p>
        </w:tc>
        <w:tc>
          <w:tcPr>
            <w:tcW w:type="dxa" w:w="1644"/>
            <w:shd w:val="clear" w:color="auto" w:fill="EEF1F6"/>
          </w:tcPr>
          <w:p>
            <w:r>
              <w:rPr>
                <w:b w:val="0"/>
                <w:i w:val="0"/>
                <w:sz w:val="15"/>
              </w:rPr>
              <w:t>~18.2% look-through</w:t>
            </w:r>
          </w:p>
        </w:tc>
        <w:tc>
          <w:tcPr>
            <w:tcW w:type="dxa" w:w="2192"/>
            <w:shd w:val="clear" w:color="auto" w:fill="EEF1F6"/>
          </w:tcPr>
          <w:p>
            <w:r>
              <w:rPr>
                <w:b w:val="0"/>
                <w:i w:val="0"/>
                <w:sz w:val="15"/>
              </w:rPr>
              <w:t>~KRW 0.6tn at KRW 3.4tn round</w:t>
            </w:r>
          </w:p>
        </w:tc>
        <w:tc>
          <w:tcPr>
            <w:tcW w:type="dxa" w:w="2009"/>
            <w:shd w:val="clear" w:color="auto" w:fill="EEF1F6"/>
          </w:tcPr>
          <w:p>
            <w:r>
              <w:rPr>
                <w:b w:val="0"/>
                <w:i w:val="0"/>
                <w:sz w:val="15"/>
              </w:rPr>
              <w:t>Domestic AI chips (NPU)</w:t>
            </w:r>
          </w:p>
        </w:tc>
        <w:tc>
          <w:tcPr>
            <w:tcW w:type="dxa" w:w="1553"/>
            <w:shd w:val="clear" w:color="auto" w:fill="EEF1F6"/>
          </w:tcPr>
          <w:p>
            <w:r>
              <w:rPr>
                <w:b w:val="0"/>
                <w:i w:val="0"/>
                <w:sz w:val="15"/>
              </w:rPr>
              <w:t>Medium; IPO 1H27</w:t>
            </w:r>
          </w:p>
        </w:tc>
      </w:tr>
      <w:tr>
        <w:tc>
          <w:tcPr>
            <w:tcW w:type="dxa" w:w="2466"/>
          </w:tcPr>
          <w:p>
            <w:r>
              <w:rPr>
                <w:b w:val="0"/>
                <w:i w:val="0"/>
                <w:sz w:val="15"/>
              </w:rPr>
              <w:t>Penguin Solutions (PENG US)</w:t>
            </w:r>
          </w:p>
        </w:tc>
        <w:tc>
          <w:tcPr>
            <w:tcW w:type="dxa" w:w="1644"/>
          </w:tcPr>
          <w:p>
            <w:r>
              <w:rPr>
                <w:b w:val="0"/>
                <w:i w:val="0"/>
                <w:sz w:val="15"/>
              </w:rPr>
              <w:t>~10% as-converted (US$200m pref)</w:t>
            </w:r>
          </w:p>
        </w:tc>
        <w:tc>
          <w:tcPr>
            <w:tcW w:type="dxa" w:w="2192"/>
          </w:tcPr>
          <w:p>
            <w:r>
              <w:rPr>
                <w:b w:val="0"/>
                <w:i w:val="0"/>
                <w:sz w:val="15"/>
              </w:rPr>
              <w:t>~KRW 0.27tn at cost</w:t>
            </w:r>
          </w:p>
        </w:tc>
        <w:tc>
          <w:tcPr>
            <w:tcW w:type="dxa" w:w="2009"/>
          </w:tcPr>
          <w:p>
            <w:r>
              <w:rPr>
                <w:b w:val="0"/>
                <w:i w:val="0"/>
                <w:sz w:val="15"/>
              </w:rPr>
              <w:t>GPU cluster integration</w:t>
            </w:r>
          </w:p>
        </w:tc>
        <w:tc>
          <w:tcPr>
            <w:tcW w:type="dxa" w:w="1553"/>
          </w:tcPr>
          <w:p>
            <w:r>
              <w:rPr>
                <w:b w:val="0"/>
                <w:i w:val="0"/>
                <w:sz w:val="15"/>
              </w:rPr>
              <w:t>Low-medium</w:t>
            </w:r>
          </w:p>
        </w:tc>
      </w:tr>
      <w:tr>
        <w:tc>
          <w:tcPr>
            <w:tcW w:type="dxa" w:w="2466"/>
            <w:shd w:val="clear" w:color="auto" w:fill="EEF1F6"/>
          </w:tcPr>
          <w:p>
            <w:r>
              <w:rPr>
                <w:b w:val="0"/>
                <w:i w:val="0"/>
                <w:sz w:val="15"/>
              </w:rPr>
              <w:t>Joby Aviation (JOBY US)</w:t>
            </w:r>
          </w:p>
        </w:tc>
        <w:tc>
          <w:tcPr>
            <w:tcW w:type="dxa" w:w="1644"/>
            <w:shd w:val="clear" w:color="auto" w:fill="EEF1F6"/>
          </w:tcPr>
          <w:p>
            <w:r>
              <w:rPr>
                <w:b w:val="0"/>
                <w:i w:val="0"/>
                <w:sz w:val="15"/>
              </w:rPr>
              <w:t>~5.0m shares</w:t>
            </w:r>
          </w:p>
        </w:tc>
        <w:tc>
          <w:tcPr>
            <w:tcW w:type="dxa" w:w="2192"/>
            <w:shd w:val="clear" w:color="auto" w:fill="EEF1F6"/>
          </w:tcPr>
          <w:p>
            <w:r>
              <w:rPr>
                <w:b w:val="0"/>
                <w:i w:val="0"/>
                <w:sz w:val="15"/>
              </w:rPr>
              <w:t>~KRW 0.07tn [u]</w:t>
            </w:r>
          </w:p>
        </w:tc>
        <w:tc>
          <w:tcPr>
            <w:tcW w:type="dxa" w:w="2009"/>
            <w:shd w:val="clear" w:color="auto" w:fill="EEF1F6"/>
          </w:tcPr>
          <w:p>
            <w:r>
              <w:rPr>
                <w:b w:val="0"/>
                <w:i w:val="0"/>
                <w:sz w:val="15"/>
              </w:rPr>
              <w:t>UAM option</w:t>
            </w:r>
          </w:p>
        </w:tc>
        <w:tc>
          <w:tcPr>
            <w:tcW w:type="dxa" w:w="1553"/>
            <w:shd w:val="clear" w:color="auto" w:fill="EEF1F6"/>
          </w:tcPr>
          <w:p>
            <w:r>
              <w:rPr>
                <w:b w:val="0"/>
                <w:i w:val="0"/>
                <w:sz w:val="15"/>
              </w:rPr>
              <w:t>Low</w:t>
            </w:r>
          </w:p>
        </w:tc>
      </w:tr>
      <w:tr>
        <w:tc>
          <w:tcPr>
            <w:tcW w:type="dxa" w:w="2466"/>
          </w:tcPr>
          <w:p>
            <w:r>
              <w:rPr>
                <w:b w:val="0"/>
                <w:i w:val="0"/>
                <w:sz w:val="15"/>
              </w:rPr>
              <w:t>Lambda / Perplexity / Scatter Lab / Allganize</w:t>
            </w:r>
          </w:p>
        </w:tc>
        <w:tc>
          <w:tcPr>
            <w:tcW w:type="dxa" w:w="1644"/>
          </w:tcPr>
          <w:p>
            <w:r>
              <w:rPr>
                <w:b w:val="0"/>
                <w:i w:val="0"/>
                <w:sz w:val="15"/>
              </w:rPr>
              <w:t>Minority</w:t>
            </w:r>
          </w:p>
        </w:tc>
        <w:tc>
          <w:tcPr>
            <w:tcW w:type="dxa" w:w="2192"/>
          </w:tcPr>
          <w:p>
            <w:r>
              <w:rPr>
                <w:b w:val="0"/>
                <w:i w:val="0"/>
                <w:sz w:val="15"/>
              </w:rPr>
              <w:t>US$20m / US$10m / KRW 15bn / US$4m at cost</w:t>
            </w:r>
          </w:p>
        </w:tc>
        <w:tc>
          <w:tcPr>
            <w:tcW w:type="dxa" w:w="2009"/>
          </w:tcPr>
          <w:p>
            <w:r>
              <w:rPr>
                <w:b w:val="0"/>
                <w:i w:val="0"/>
                <w:sz w:val="15"/>
              </w:rPr>
              <w:t>GPU cloud, A. app models</w:t>
            </w:r>
          </w:p>
        </w:tc>
        <w:tc>
          <w:tcPr>
            <w:tcW w:type="dxa" w:w="1553"/>
          </w:tcPr>
          <w:p>
            <w:r>
              <w:rPr>
                <w:b w:val="0"/>
                <w:i w:val="0"/>
                <w:sz w:val="15"/>
              </w:rPr>
              <w:t>Low (Lambda upside)</w:t>
            </w:r>
          </w:p>
        </w:tc>
      </w:tr>
      <w:tr>
        <w:tc>
          <w:tcPr>
            <w:tcW w:type="dxa" w:w="2466"/>
            <w:shd w:val="clear" w:color="auto" w:fill="EEF1F6"/>
          </w:tcPr>
          <w:p>
            <w:r>
              <w:rPr>
                <w:b w:val="0"/>
                <w:i w:val="0"/>
                <w:sz w:val="15"/>
              </w:rPr>
              <w:t>Syntelligence AI (GTAA JV)</w:t>
            </w:r>
          </w:p>
        </w:tc>
        <w:tc>
          <w:tcPr>
            <w:tcW w:type="dxa" w:w="1644"/>
            <w:shd w:val="clear" w:color="auto" w:fill="EEF1F6"/>
          </w:tcPr>
          <w:p>
            <w:r>
              <w:rPr>
                <w:b w:val="0"/>
                <w:i w:val="0"/>
                <w:sz w:val="15"/>
              </w:rPr>
              <w:t>20%</w:t>
            </w:r>
          </w:p>
        </w:tc>
        <w:tc>
          <w:tcPr>
            <w:tcW w:type="dxa" w:w="2192"/>
            <w:shd w:val="clear" w:color="auto" w:fill="EEF1F6"/>
          </w:tcPr>
          <w:p>
            <w:r>
              <w:rPr>
                <w:b w:val="0"/>
                <w:i w:val="0"/>
                <w:sz w:val="15"/>
              </w:rPr>
              <w:t>Share of US$37.5m</w:t>
            </w:r>
          </w:p>
        </w:tc>
        <w:tc>
          <w:tcPr>
            <w:tcW w:type="dxa" w:w="2009"/>
            <w:shd w:val="clear" w:color="auto" w:fill="EEF1F6"/>
          </w:tcPr>
          <w:p>
            <w:r>
              <w:rPr>
                <w:b w:val="0"/>
                <w:i w:val="0"/>
                <w:sz w:val="15"/>
              </w:rPr>
              <w:t>Telco LLM with DT, e&amp;, Singtel, SoftBank</w:t>
            </w:r>
          </w:p>
        </w:tc>
        <w:tc>
          <w:tcPr>
            <w:tcW w:type="dxa" w:w="1553"/>
            <w:shd w:val="clear" w:color="auto" w:fill="EEF1F6"/>
          </w:tcPr>
          <w:p>
            <w:r>
              <w:rPr>
                <w:b w:val="0"/>
                <w:i w:val="0"/>
                <w:sz w:val="15"/>
              </w:rPr>
              <w:t>Low</w:t>
            </w:r>
          </w:p>
        </w:tc>
      </w:tr>
      <w:tr>
        <w:tc>
          <w:tcPr>
            <w:tcW w:type="dxa" w:w="2466"/>
          </w:tcPr>
          <w:p>
            <w:r>
              <w:rPr>
                <w:b w:val="0"/>
                <w:i w:val="0"/>
                <w:sz w:val="15"/>
              </w:rPr>
              <w:t>SK Telink, PS&amp;Marketing, SK O&amp;S</w:t>
            </w:r>
          </w:p>
        </w:tc>
        <w:tc>
          <w:tcPr>
            <w:tcW w:type="dxa" w:w="1644"/>
          </w:tcPr>
          <w:p>
            <w:r>
              <w:rPr>
                <w:b w:val="0"/>
                <w:i w:val="0"/>
                <w:sz w:val="15"/>
              </w:rPr>
              <w:t>100%</w:t>
            </w:r>
          </w:p>
        </w:tc>
        <w:tc>
          <w:tcPr>
            <w:tcW w:type="dxa" w:w="2192"/>
          </w:tcPr>
          <w:p>
            <w:r>
              <w:rPr>
                <w:b w:val="0"/>
                <w:i w:val="0"/>
                <w:sz w:val="15"/>
              </w:rPr>
              <w:t>Operating subs</w:t>
            </w:r>
          </w:p>
        </w:tc>
        <w:tc>
          <w:tcPr>
            <w:tcW w:type="dxa" w:w="2009"/>
          </w:tcPr>
          <w:p>
            <w:r>
              <w:rPr>
                <w:b w:val="0"/>
                <w:i w:val="0"/>
                <w:sz w:val="15"/>
              </w:rPr>
              <w:t>MVNO, retail, field ops</w:t>
            </w:r>
          </w:p>
        </w:tc>
        <w:tc>
          <w:tcPr>
            <w:tcW w:type="dxa" w:w="1553"/>
          </w:tcPr>
          <w:p>
            <w:r>
              <w:rPr>
                <w:b w:val="0"/>
                <w:i w:val="0"/>
                <w:sz w:val="15"/>
              </w:rPr>
              <w:t>Low</w:t>
            </w:r>
          </w:p>
        </w:tc>
      </w:tr>
      <w:tr>
        <w:tc>
          <w:tcPr>
            <w:tcW w:type="dxa" w:w="2466"/>
            <w:shd w:val="clear" w:color="auto" w:fill="EEF1F6"/>
          </w:tcPr>
          <w:p>
            <w:r>
              <w:rPr>
                <w:b w:val="0"/>
                <w:i w:val="0"/>
                <w:sz w:val="15"/>
              </w:rPr>
              <w:t>SK Stoa</w:t>
            </w:r>
          </w:p>
        </w:tc>
        <w:tc>
          <w:tcPr>
            <w:tcW w:type="dxa" w:w="1644"/>
            <w:shd w:val="clear" w:color="auto" w:fill="EEF1F6"/>
          </w:tcPr>
          <w:p>
            <w:r>
              <w:rPr>
                <w:b w:val="0"/>
                <w:i w:val="0"/>
                <w:sz w:val="15"/>
              </w:rPr>
              <w:t>100% (sale pending)</w:t>
            </w:r>
          </w:p>
        </w:tc>
        <w:tc>
          <w:tcPr>
            <w:tcW w:type="dxa" w:w="2192"/>
            <w:shd w:val="clear" w:color="auto" w:fill="EEF1F6"/>
          </w:tcPr>
          <w:p>
            <w:r>
              <w:rPr>
                <w:b w:val="0"/>
                <w:i w:val="0"/>
                <w:sz w:val="15"/>
              </w:rPr>
              <w:t>~KRW 110bn</w:t>
            </w:r>
          </w:p>
        </w:tc>
        <w:tc>
          <w:tcPr>
            <w:tcW w:type="dxa" w:w="2009"/>
            <w:shd w:val="clear" w:color="auto" w:fill="EEF1F6"/>
          </w:tcPr>
          <w:p>
            <w:r>
              <w:rPr>
                <w:b w:val="0"/>
                <w:i w:val="0"/>
                <w:sz w:val="15"/>
              </w:rPr>
              <w:t>Non-core T-commerce</w:t>
            </w:r>
          </w:p>
        </w:tc>
        <w:tc>
          <w:tcPr>
            <w:tcW w:type="dxa" w:w="1553"/>
            <w:shd w:val="clear" w:color="auto" w:fill="EEF1F6"/>
          </w:tcPr>
          <w:p>
            <w:r>
              <w:rPr>
                <w:b w:val="0"/>
                <w:i w:val="0"/>
                <w:sz w:val="15"/>
              </w:rPr>
              <w:t>Low</w:t>
            </w:r>
          </w:p>
        </w:tc>
      </w:tr>
    </w:tbl>
    <w:p>
      <w:r>
        <w:rPr>
          <w:b w:val="0"/>
          <w:i/>
          <w:color w:val="5B6475"/>
          <w:sz w:val="15"/>
        </w:rPr>
        <w:t>Total investments in other companies KRW 8.26tn book at end-2025 (incl. subsidiaries). SK hynix, 11st, One Store, Tmap, Wavve moved to SK Square in 2021 and are not SKT assets.</w:t>
      </w:r>
    </w:p>
    <w:p>
      <w:r>
        <w:br w:type="page"/>
      </w:r>
    </w:p>
    <w:p>
      <w:pPr>
        <w:pStyle w:val="Heading1"/>
      </w:pPr>
      <w:r>
        <w:rPr>
          <w:b/>
          <w:i w:val="0"/>
          <w:color w:val="13223F"/>
          <w:sz w:val="32"/>
        </w:rPr>
        <w:t>19. Shareholder returns - dividends, buybacks and treasury shares</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829"/>
            <w:shd w:val="clear" w:color="auto" w:fill="13223F"/>
          </w:tcPr>
          <w:p>
            <w:r>
              <w:rPr>
                <w:b/>
                <w:i w:val="0"/>
                <w:color w:val="FFFFFF"/>
                <w:sz w:val="15"/>
              </w:rPr>
              <w:t>Year</w:t>
            </w:r>
          </w:p>
        </w:tc>
        <w:tc>
          <w:tcPr>
            <w:tcW w:type="dxa" w:w="1078"/>
            <w:shd w:val="clear" w:color="auto" w:fill="13223F"/>
          </w:tcPr>
          <w:p>
            <w:r>
              <w:rPr>
                <w:b/>
                <w:i w:val="0"/>
                <w:color w:val="FFFFFF"/>
                <w:sz w:val="15"/>
              </w:rPr>
              <w:t>Q1 DPS</w:t>
            </w:r>
          </w:p>
        </w:tc>
        <w:tc>
          <w:tcPr>
            <w:tcW w:type="dxa" w:w="1078"/>
            <w:shd w:val="clear" w:color="auto" w:fill="13223F"/>
          </w:tcPr>
          <w:p>
            <w:r>
              <w:rPr>
                <w:b/>
                <w:i w:val="0"/>
                <w:color w:val="FFFFFF"/>
                <w:sz w:val="15"/>
              </w:rPr>
              <w:t>Q2 DPS</w:t>
            </w:r>
          </w:p>
        </w:tc>
        <w:tc>
          <w:tcPr>
            <w:tcW w:type="dxa" w:w="1161"/>
            <w:shd w:val="clear" w:color="auto" w:fill="13223F"/>
          </w:tcPr>
          <w:p>
            <w:r>
              <w:rPr>
                <w:b/>
                <w:i w:val="0"/>
                <w:color w:val="FFFFFF"/>
                <w:sz w:val="15"/>
              </w:rPr>
              <w:t>Q3 DPS</w:t>
            </w:r>
          </w:p>
        </w:tc>
        <w:tc>
          <w:tcPr>
            <w:tcW w:type="dxa" w:w="912"/>
            <w:shd w:val="clear" w:color="auto" w:fill="13223F"/>
          </w:tcPr>
          <w:p>
            <w:r>
              <w:rPr>
                <w:b/>
                <w:i w:val="0"/>
                <w:color w:val="FFFFFF"/>
                <w:sz w:val="15"/>
              </w:rPr>
              <w:t>Year-end DPS</w:t>
            </w:r>
          </w:p>
        </w:tc>
        <w:tc>
          <w:tcPr>
            <w:tcW w:type="dxa" w:w="1078"/>
            <w:shd w:val="clear" w:color="auto" w:fill="13223F"/>
          </w:tcPr>
          <w:p>
            <w:r>
              <w:rPr>
                <w:b/>
                <w:i w:val="0"/>
                <w:color w:val="FFFFFF"/>
                <w:sz w:val="15"/>
              </w:rPr>
              <w:t>Total DPS (KRW)</w:t>
            </w:r>
          </w:p>
        </w:tc>
        <w:tc>
          <w:tcPr>
            <w:tcW w:type="dxa" w:w="1078"/>
            <w:shd w:val="clear" w:color="auto" w:fill="13223F"/>
          </w:tcPr>
          <w:p>
            <w:r>
              <w:rPr>
                <w:b/>
                <w:i w:val="0"/>
                <w:color w:val="FFFFFF"/>
                <w:sz w:val="15"/>
              </w:rPr>
              <w:t>Total cash dividends</w:t>
            </w:r>
          </w:p>
        </w:tc>
        <w:tc>
          <w:tcPr>
            <w:tcW w:type="dxa" w:w="2653"/>
            <w:shd w:val="clear" w:color="auto" w:fill="13223F"/>
          </w:tcPr>
          <w:p>
            <w:r>
              <w:rPr>
                <w:b/>
                <w:i w:val="0"/>
                <w:color w:val="FFFFFF"/>
                <w:sz w:val="15"/>
              </w:rPr>
              <w:t>Buybacks / cancellations</w:t>
            </w:r>
          </w:p>
        </w:tc>
      </w:tr>
      <w:tr>
        <w:tc>
          <w:tcPr>
            <w:tcW w:type="dxa" w:w="829"/>
          </w:tcPr>
          <w:p>
            <w:r>
              <w:rPr>
                <w:b w:val="0"/>
                <w:i w:val="0"/>
                <w:sz w:val="15"/>
              </w:rPr>
              <w:t>FY2021</w:t>
            </w:r>
          </w:p>
        </w:tc>
        <w:tc>
          <w:tcPr>
            <w:tcW w:type="dxa" w:w="1078"/>
          </w:tcPr>
          <w:p>
            <w:r>
              <w:rPr>
                <w:b w:val="0"/>
                <w:i w:val="0"/>
                <w:sz w:val="15"/>
              </w:rPr>
              <w:t>2,500 pre-split (~500 adj.)</w:t>
            </w:r>
          </w:p>
        </w:tc>
        <w:tc>
          <w:tcPr>
            <w:tcW w:type="dxa" w:w="1078"/>
          </w:tcPr>
          <w:p>
            <w:r>
              <w:rPr>
                <w:b w:val="0"/>
                <w:i w:val="0"/>
                <w:sz w:val="15"/>
              </w:rPr>
              <w:t>2,500 pre-split (~500 adj.)</w:t>
            </w:r>
          </w:p>
        </w:tc>
        <w:tc>
          <w:tcPr>
            <w:tcW w:type="dxa" w:w="1161"/>
          </w:tcPr>
          <w:p>
            <w:r>
              <w:rPr>
                <w:b w:val="0"/>
                <w:i w:val="0"/>
                <w:sz w:val="15"/>
              </w:rPr>
              <w:t>830 [u]</w:t>
            </w:r>
          </w:p>
        </w:tc>
        <w:tc>
          <w:tcPr>
            <w:tcW w:type="dxa" w:w="912"/>
          </w:tcPr>
          <w:p>
            <w:r>
              <w:rPr>
                <w:b w:val="0"/>
                <w:i w:val="0"/>
                <w:sz w:val="15"/>
              </w:rPr>
              <w:t>830 [u]</w:t>
            </w:r>
          </w:p>
        </w:tc>
        <w:tc>
          <w:tcPr>
            <w:tcW w:type="dxa" w:w="1078"/>
          </w:tcPr>
          <w:p>
            <w:r>
              <w:rPr>
                <w:b w:val="0"/>
                <w:i w:val="0"/>
                <w:sz w:val="15"/>
              </w:rPr>
              <w:t>~2,660-3,320 adj. [u]</w:t>
            </w:r>
          </w:p>
        </w:tc>
        <w:tc>
          <w:tcPr>
            <w:tcW w:type="dxa" w:w="1078"/>
          </w:tcPr>
          <w:p>
            <w:r>
              <w:rPr>
                <w:b w:val="0"/>
                <w:i w:val="0"/>
                <w:sz w:val="15"/>
              </w:rPr>
              <w:t>n/a</w:t>
            </w:r>
          </w:p>
        </w:tc>
        <w:tc>
          <w:tcPr>
            <w:tcW w:type="dxa" w:w="2653"/>
          </w:tcPr>
          <w:p>
            <w:r>
              <w:rPr>
                <w:b w:val="0"/>
                <w:i w:val="0"/>
                <w:sz w:val="15"/>
              </w:rPr>
              <w:t>May-21: cancelled 8,685,568 treasury shares (10.8%, ~KRW 2.6tn) pre-split; Nov-21 5:1 split</w:t>
            </w:r>
          </w:p>
        </w:tc>
      </w:tr>
      <w:tr>
        <w:tc>
          <w:tcPr>
            <w:tcW w:type="dxa" w:w="829"/>
            <w:shd w:val="clear" w:color="auto" w:fill="EEF1F6"/>
          </w:tcPr>
          <w:p>
            <w:r>
              <w:rPr>
                <w:b w:val="0"/>
                <w:i w:val="0"/>
                <w:sz w:val="15"/>
              </w:rPr>
              <w:t>FY2022</w:t>
            </w:r>
          </w:p>
        </w:tc>
        <w:tc>
          <w:tcPr>
            <w:tcW w:type="dxa" w:w="1078"/>
            <w:shd w:val="clear" w:color="auto" w:fill="EEF1F6"/>
          </w:tcPr>
          <w:p>
            <w:r>
              <w:rPr>
                <w:b w:val="0"/>
                <w:i w:val="0"/>
                <w:sz w:val="15"/>
              </w:rPr>
              <w:t>830</w:t>
            </w:r>
          </w:p>
        </w:tc>
        <w:tc>
          <w:tcPr>
            <w:tcW w:type="dxa" w:w="1078"/>
            <w:shd w:val="clear" w:color="auto" w:fill="EEF1F6"/>
          </w:tcPr>
          <w:p>
            <w:r>
              <w:rPr>
                <w:b w:val="0"/>
                <w:i w:val="0"/>
                <w:sz w:val="15"/>
              </w:rPr>
              <w:t>830</w:t>
            </w:r>
          </w:p>
        </w:tc>
        <w:tc>
          <w:tcPr>
            <w:tcW w:type="dxa" w:w="1161"/>
            <w:shd w:val="clear" w:color="auto" w:fill="EEF1F6"/>
          </w:tcPr>
          <w:p>
            <w:r>
              <w:rPr>
                <w:b w:val="0"/>
                <w:i w:val="0"/>
                <w:sz w:val="15"/>
              </w:rPr>
              <w:t>830</w:t>
            </w:r>
          </w:p>
        </w:tc>
        <w:tc>
          <w:tcPr>
            <w:tcW w:type="dxa" w:w="912"/>
            <w:shd w:val="clear" w:color="auto" w:fill="EEF1F6"/>
          </w:tcPr>
          <w:p>
            <w:r>
              <w:rPr>
                <w:b w:val="0"/>
                <w:i w:val="0"/>
                <w:sz w:val="15"/>
              </w:rPr>
              <w:t>830</w:t>
            </w:r>
          </w:p>
        </w:tc>
        <w:tc>
          <w:tcPr>
            <w:tcW w:type="dxa" w:w="1078"/>
            <w:shd w:val="clear" w:color="auto" w:fill="EEF1F6"/>
          </w:tcPr>
          <w:p>
            <w:r>
              <w:rPr>
                <w:b w:val="0"/>
                <w:i w:val="0"/>
                <w:sz w:val="15"/>
              </w:rPr>
              <w:t>3,320</w:t>
            </w:r>
          </w:p>
        </w:tc>
        <w:tc>
          <w:tcPr>
            <w:tcW w:type="dxa" w:w="1078"/>
            <w:shd w:val="clear" w:color="auto" w:fill="EEF1F6"/>
          </w:tcPr>
          <w:p>
            <w:r>
              <w:rPr>
                <w:b w:val="0"/>
                <w:i w:val="0"/>
                <w:sz w:val="15"/>
              </w:rPr>
              <w:t>~KRW 0.72tn</w:t>
            </w:r>
          </w:p>
        </w:tc>
        <w:tc>
          <w:tcPr>
            <w:tcW w:type="dxa" w:w="2653"/>
            <w:shd w:val="clear" w:color="auto" w:fill="EEF1F6"/>
          </w:tcPr>
          <w:p>
            <w:r>
              <w:rPr>
                <w:b w:val="0"/>
                <w:i w:val="0"/>
                <w:sz w:val="15"/>
              </w:rPr>
              <w:t>Share count 218.8m post-spin</w:t>
            </w:r>
          </w:p>
        </w:tc>
      </w:tr>
      <w:tr>
        <w:tc>
          <w:tcPr>
            <w:tcW w:type="dxa" w:w="829"/>
          </w:tcPr>
          <w:p>
            <w:r>
              <w:rPr>
                <w:b w:val="0"/>
                <w:i w:val="0"/>
                <w:sz w:val="15"/>
              </w:rPr>
              <w:t>FY2023</w:t>
            </w:r>
          </w:p>
        </w:tc>
        <w:tc>
          <w:tcPr>
            <w:tcW w:type="dxa" w:w="1078"/>
          </w:tcPr>
          <w:p>
            <w:r>
              <w:rPr>
                <w:b w:val="0"/>
                <w:i w:val="0"/>
                <w:sz w:val="15"/>
              </w:rPr>
              <w:t>830</w:t>
            </w:r>
          </w:p>
        </w:tc>
        <w:tc>
          <w:tcPr>
            <w:tcW w:type="dxa" w:w="1078"/>
          </w:tcPr>
          <w:p>
            <w:r>
              <w:rPr>
                <w:b w:val="0"/>
                <w:i w:val="0"/>
                <w:sz w:val="15"/>
              </w:rPr>
              <w:t>830</w:t>
            </w:r>
          </w:p>
        </w:tc>
        <w:tc>
          <w:tcPr>
            <w:tcW w:type="dxa" w:w="1161"/>
          </w:tcPr>
          <w:p>
            <w:r>
              <w:rPr>
                <w:b w:val="0"/>
                <w:i w:val="0"/>
                <w:sz w:val="15"/>
              </w:rPr>
              <w:t>830</w:t>
            </w:r>
          </w:p>
        </w:tc>
        <w:tc>
          <w:tcPr>
            <w:tcW w:type="dxa" w:w="912"/>
          </w:tcPr>
          <w:p>
            <w:r>
              <w:rPr>
                <w:b w:val="0"/>
                <w:i w:val="0"/>
                <w:sz w:val="15"/>
              </w:rPr>
              <w:t>1,050</w:t>
            </w:r>
          </w:p>
        </w:tc>
        <w:tc>
          <w:tcPr>
            <w:tcW w:type="dxa" w:w="1078"/>
          </w:tcPr>
          <w:p>
            <w:r>
              <w:rPr>
                <w:b w:val="0"/>
                <w:i w:val="0"/>
                <w:sz w:val="15"/>
              </w:rPr>
              <w:t>3,540</w:t>
            </w:r>
          </w:p>
        </w:tc>
        <w:tc>
          <w:tcPr>
            <w:tcW w:type="dxa" w:w="1078"/>
          </w:tcPr>
          <w:p>
            <w:r>
              <w:rPr>
                <w:b w:val="0"/>
                <w:i w:val="0"/>
                <w:sz w:val="15"/>
              </w:rPr>
              <w:t>~KRW 0.76tn</w:t>
            </w:r>
          </w:p>
        </w:tc>
        <w:tc>
          <w:tcPr>
            <w:tcW w:type="dxa" w:w="2653"/>
          </w:tcPr>
          <w:p>
            <w:r>
              <w:rPr>
                <w:b w:val="0"/>
                <w:i w:val="0"/>
                <w:sz w:val="15"/>
              </w:rPr>
              <w:t>Buyback &amp; cancellation (part of ~4.0m shares cancelled 2022-24) [u]</w:t>
            </w:r>
          </w:p>
        </w:tc>
      </w:tr>
      <w:tr>
        <w:tc>
          <w:tcPr>
            <w:tcW w:type="dxa" w:w="829"/>
            <w:shd w:val="clear" w:color="auto" w:fill="EEF1F6"/>
          </w:tcPr>
          <w:p>
            <w:r>
              <w:rPr>
                <w:b w:val="0"/>
                <w:i w:val="0"/>
                <w:sz w:val="15"/>
              </w:rPr>
              <w:t>FY2024</w:t>
            </w:r>
          </w:p>
        </w:tc>
        <w:tc>
          <w:tcPr>
            <w:tcW w:type="dxa" w:w="1078"/>
            <w:shd w:val="clear" w:color="auto" w:fill="EEF1F6"/>
          </w:tcPr>
          <w:p>
            <w:r>
              <w:rPr>
                <w:b w:val="0"/>
                <w:i w:val="0"/>
                <w:sz w:val="15"/>
              </w:rPr>
              <w:t>830</w:t>
            </w:r>
          </w:p>
        </w:tc>
        <w:tc>
          <w:tcPr>
            <w:tcW w:type="dxa" w:w="1078"/>
            <w:shd w:val="clear" w:color="auto" w:fill="EEF1F6"/>
          </w:tcPr>
          <w:p>
            <w:r>
              <w:rPr>
                <w:b w:val="0"/>
                <w:i w:val="0"/>
                <w:sz w:val="15"/>
              </w:rPr>
              <w:t>830</w:t>
            </w:r>
          </w:p>
        </w:tc>
        <w:tc>
          <w:tcPr>
            <w:tcW w:type="dxa" w:w="1161"/>
            <w:shd w:val="clear" w:color="auto" w:fill="EEF1F6"/>
          </w:tcPr>
          <w:p>
            <w:r>
              <w:rPr>
                <w:b w:val="0"/>
                <w:i w:val="0"/>
                <w:sz w:val="15"/>
              </w:rPr>
              <w:t>830</w:t>
            </w:r>
          </w:p>
        </w:tc>
        <w:tc>
          <w:tcPr>
            <w:tcW w:type="dxa" w:w="912"/>
            <w:shd w:val="clear" w:color="auto" w:fill="EEF1F6"/>
          </w:tcPr>
          <w:p>
            <w:r>
              <w:rPr>
                <w:b w:val="0"/>
                <w:i w:val="0"/>
                <w:sz w:val="15"/>
              </w:rPr>
              <w:t>1,050</w:t>
            </w:r>
          </w:p>
        </w:tc>
        <w:tc>
          <w:tcPr>
            <w:tcW w:type="dxa" w:w="1078"/>
            <w:shd w:val="clear" w:color="auto" w:fill="EEF1F6"/>
          </w:tcPr>
          <w:p>
            <w:r>
              <w:rPr>
                <w:b w:val="0"/>
                <w:i w:val="0"/>
                <w:sz w:val="15"/>
              </w:rPr>
              <w:t>3,540</w:t>
            </w:r>
          </w:p>
        </w:tc>
        <w:tc>
          <w:tcPr>
            <w:tcW w:type="dxa" w:w="1078"/>
            <w:shd w:val="clear" w:color="auto" w:fill="EEF1F6"/>
          </w:tcPr>
          <w:p>
            <w:r>
              <w:rPr>
                <w:b w:val="0"/>
                <w:i w:val="0"/>
                <w:sz w:val="15"/>
              </w:rPr>
              <w:t>KRW 753.6bn</w:t>
            </w:r>
          </w:p>
        </w:tc>
        <w:tc>
          <w:tcPr>
            <w:tcW w:type="dxa" w:w="2653"/>
            <w:shd w:val="clear" w:color="auto" w:fill="EEF1F6"/>
          </w:tcPr>
          <w:p>
            <w:r>
              <w:rPr>
                <w:b w:val="0"/>
                <w:i w:val="0"/>
                <w:sz w:val="15"/>
              </w:rPr>
              <w:t>~KRW 0.25-0.3tn programme, cancelled [u]; issued shares 214,790,053</w:t>
            </w:r>
          </w:p>
        </w:tc>
      </w:tr>
      <w:tr>
        <w:tc>
          <w:tcPr>
            <w:tcW w:type="dxa" w:w="829"/>
          </w:tcPr>
          <w:p>
            <w:r>
              <w:rPr>
                <w:b w:val="0"/>
                <w:i w:val="0"/>
                <w:sz w:val="15"/>
              </w:rPr>
              <w:t>FY2025</w:t>
            </w:r>
          </w:p>
        </w:tc>
        <w:tc>
          <w:tcPr>
            <w:tcW w:type="dxa" w:w="1078"/>
          </w:tcPr>
          <w:p>
            <w:r>
              <w:rPr>
                <w:b w:val="0"/>
                <w:i w:val="0"/>
                <w:sz w:val="15"/>
              </w:rPr>
              <w:t>830</w:t>
            </w:r>
          </w:p>
        </w:tc>
        <w:tc>
          <w:tcPr>
            <w:tcW w:type="dxa" w:w="1078"/>
          </w:tcPr>
          <w:p>
            <w:r>
              <w:rPr>
                <w:b w:val="0"/>
                <w:i w:val="0"/>
                <w:sz w:val="15"/>
              </w:rPr>
              <w:t>830</w:t>
            </w:r>
          </w:p>
        </w:tc>
        <w:tc>
          <w:tcPr>
            <w:tcW w:type="dxa" w:w="1161"/>
          </w:tcPr>
          <w:p>
            <w:r>
              <w:rPr>
                <w:b w:val="0"/>
                <w:i w:val="0"/>
                <w:sz w:val="15"/>
              </w:rPr>
              <w:t>0</w:t>
            </w:r>
          </w:p>
        </w:tc>
        <w:tc>
          <w:tcPr>
            <w:tcW w:type="dxa" w:w="912"/>
          </w:tcPr>
          <w:p>
            <w:r>
              <w:rPr>
                <w:b w:val="0"/>
                <w:i w:val="0"/>
                <w:sz w:val="15"/>
              </w:rPr>
              <w:t>0</w:t>
            </w:r>
          </w:p>
        </w:tc>
        <w:tc>
          <w:tcPr>
            <w:tcW w:type="dxa" w:w="1078"/>
          </w:tcPr>
          <w:p>
            <w:r>
              <w:rPr>
                <w:b w:val="0"/>
                <w:i w:val="0"/>
                <w:sz w:val="15"/>
              </w:rPr>
              <w:t>1,660</w:t>
            </w:r>
          </w:p>
        </w:tc>
        <w:tc>
          <w:tcPr>
            <w:tcW w:type="dxa" w:w="1078"/>
          </w:tcPr>
          <w:p>
            <w:r>
              <w:rPr>
                <w:b w:val="0"/>
                <w:i w:val="0"/>
                <w:sz w:val="15"/>
              </w:rPr>
              <w:t>KRW 353.6bn</w:t>
            </w:r>
          </w:p>
        </w:tc>
        <w:tc>
          <w:tcPr>
            <w:tcW w:type="dxa" w:w="2653"/>
          </w:tcPr>
          <w:p>
            <w:r>
              <w:rPr>
                <w:b w:val="0"/>
                <w:i w:val="0"/>
                <w:sz w:val="15"/>
              </w:rPr>
              <w:t>None post-breach</w:t>
            </w:r>
          </w:p>
        </w:tc>
      </w:tr>
      <w:tr>
        <w:tc>
          <w:tcPr>
            <w:tcW w:type="dxa" w:w="829"/>
            <w:shd w:val="clear" w:color="auto" w:fill="EEF1F6"/>
          </w:tcPr>
          <w:p>
            <w:r>
              <w:rPr>
                <w:b w:val="0"/>
                <w:i w:val="0"/>
                <w:sz w:val="15"/>
              </w:rPr>
              <w:t>FY2026 YTD</w:t>
            </w:r>
          </w:p>
        </w:tc>
        <w:tc>
          <w:tcPr>
            <w:tcW w:type="dxa" w:w="1078"/>
            <w:shd w:val="clear" w:color="auto" w:fill="EEF1F6"/>
          </w:tcPr>
          <w:p>
            <w:r>
              <w:rPr>
                <w:b w:val="0"/>
                <w:i w:val="0"/>
                <w:sz w:val="15"/>
              </w:rPr>
              <w:t>830</w:t>
            </w:r>
          </w:p>
        </w:tc>
        <w:tc>
          <w:tcPr>
            <w:tcW w:type="dxa" w:w="1078"/>
            <w:shd w:val="clear" w:color="auto" w:fill="EEF1F6"/>
          </w:tcPr>
          <w:p>
            <w:r>
              <w:rPr>
                <w:b w:val="0"/>
                <w:i w:val="0"/>
                <w:sz w:val="15"/>
              </w:rPr>
              <w:t>830 (paid 17-Sep)</w:t>
            </w:r>
          </w:p>
        </w:tc>
        <w:tc>
          <w:tcPr>
            <w:tcW w:type="dxa" w:w="1161"/>
            <w:shd w:val="clear" w:color="auto" w:fill="EEF1F6"/>
          </w:tcPr>
          <w:p>
            <w:r>
              <w:rPr>
                <w:b w:val="0"/>
                <w:i w:val="0"/>
                <w:sz w:val="15"/>
              </w:rPr>
              <w:t>Board ~late Oct; record ~30-Nov [e]</w:t>
            </w:r>
          </w:p>
        </w:tc>
        <w:tc>
          <w:tcPr>
            <w:tcW w:type="dxa" w:w="912"/>
            <w:shd w:val="clear" w:color="auto" w:fill="EEF1F6"/>
          </w:tcPr>
          <w:p>
            <w:r>
              <w:rPr>
                <w:b w:val="0"/>
                <w:i w:val="0"/>
                <w:sz w:val="15"/>
              </w:rPr>
              <w:t>Feb-27 [e]</w:t>
            </w:r>
          </w:p>
        </w:tc>
        <w:tc>
          <w:tcPr>
            <w:tcW w:type="dxa" w:w="1078"/>
            <w:shd w:val="clear" w:color="auto" w:fill="EEF1F6"/>
          </w:tcPr>
          <w:p>
            <w:r>
              <w:rPr>
                <w:b w:val="0"/>
                <w:i w:val="0"/>
                <w:sz w:val="15"/>
              </w:rPr>
              <w:t>3,320E</w:t>
            </w:r>
          </w:p>
        </w:tc>
        <w:tc>
          <w:tcPr>
            <w:tcW w:type="dxa" w:w="1078"/>
            <w:shd w:val="clear" w:color="auto" w:fill="EEF1F6"/>
          </w:tcPr>
          <w:p>
            <w:r>
              <w:rPr>
                <w:b w:val="0"/>
                <w:i w:val="0"/>
                <w:sz w:val="15"/>
              </w:rPr>
              <w:t>~KRW 0.71tn E</w:t>
            </w:r>
          </w:p>
        </w:tc>
        <w:tc>
          <w:tcPr>
            <w:tcW w:type="dxa" w:w="2653"/>
            <w:shd w:val="clear" w:color="auto" w:fill="EEF1F6"/>
          </w:tcPr>
          <w:p>
            <w:r>
              <w:rPr>
                <w:b w:val="0"/>
                <w:i w:val="0"/>
                <w:sz w:val="15"/>
              </w:rPr>
              <w:t>KRW 1.7tn capital reserve reclassified for tax-free dividends (Mar-26 AGM)</w:t>
            </w:r>
          </w:p>
        </w:tc>
      </w:tr>
    </w:tbl>
    <w:p>
      <w:r>
        <w:rPr>
          <w:b w:val="0"/>
          <w:i/>
          <w:color w:val="5B6475"/>
          <w:sz w:val="15"/>
        </w:rPr>
        <w:t>Treasury shares currently ~1.8m (~0.8%) [e]: KRW 176.8bn Q2-26 dividend / KRW 830 = ~213.0m shares outstanding vs 214.79m issued. Policy: ≥50% of consolidated adjusted NI (2024-26), Value-Up ROE target ~10% by 2030 [u].</w:t>
      </w:r>
    </w:p>
    <w:p>
      <w:pPr>
        <w:spacing w:after="80"/>
      </w:pPr>
      <w:r>
        <w:rPr>
          <w:b/>
          <w:i w:val="0"/>
        </w:rPr>
        <w:t>Observation:</w:t>
      </w:r>
      <w:r>
        <w:rPr>
          <w:b w:val="0"/>
          <w:i w:val="0"/>
        </w:rPr>
        <w:t xml:space="preserve"> no buyback since the breach and none flagged for 2026 - capital is being directed to AI-DC and Anthropic. A buyback funded by SK Horizon proceeds or Anthropic monetisation is a potential upside catalyst.</w:t>
      </w:r>
    </w:p>
    <w:p>
      <w:r>
        <w:br w:type="page"/>
      </w:r>
    </w:p>
    <w:p>
      <w:pPr>
        <w:pStyle w:val="Heading1"/>
      </w:pPr>
      <w:r>
        <w:rPr>
          <w:b/>
          <w:i w:val="0"/>
          <w:color w:val="13223F"/>
          <w:sz w:val="32"/>
        </w:rPr>
        <w:t>20. Adversarial analysis - bull case, bear case, pre-mortem, contrarian view</w:t>
      </w:r>
    </w:p>
    <w:p>
      <w:pPr>
        <w:pStyle w:val="Heading2"/>
      </w:pPr>
      <w:r>
        <w:rPr>
          <w:b/>
          <w:i w:val="0"/>
          <w:color w:val="2D6CCB"/>
          <w:sz w:val="24"/>
        </w:rPr>
        <w:t>Bull case</w:t>
      </w:r>
    </w:p>
    <w:p>
      <w:pPr>
        <w:pStyle w:val="ListBullet"/>
        <w:spacing w:after="20"/>
      </w:pPr>
      <w:r>
        <w:rPr>
          <w:b/>
          <w:i w:val="0"/>
        </w:rPr>
        <w:t>Moat intact:</w:t>
      </w:r>
      <w:r>
        <w:rPr>
          <w:b w:val="0"/>
          <w:i w:val="0"/>
        </w:rPr>
        <w:t xml:space="preserve"> 3-player, licence-protected market; SKT has the largest spectrum holding, #1 brand and highest-value base. KT's and LG U+'s own breaches erased SKT's relative stigma - SKT was the net winner of KT's fee-waiver window (+200k).</w:t>
      </w:r>
    </w:p>
    <w:p>
      <w:pPr>
        <w:pStyle w:val="ListBullet"/>
        <w:spacing w:after="20"/>
      </w:pPr>
      <w:r>
        <w:rPr>
          <w:b/>
          <w:i w:val="0"/>
        </w:rPr>
        <w:t>Operating leverage:</w:t>
      </w:r>
      <w:r>
        <w:rPr>
          <w:b w:val="0"/>
          <w:i w:val="0"/>
        </w:rPr>
        <w:t xml:space="preserve"> fixed-cost network + flat headcount means every point of revenue growth drops ~50% to EBIT; 2Q26 EBITDA margin 33.1% is a new high and FY27 is a clean comparison.</w:t>
      </w:r>
    </w:p>
    <w:p>
      <w:pPr>
        <w:pStyle w:val="ListBullet"/>
        <w:spacing w:after="20"/>
      </w:pPr>
      <w:r>
        <w:rPr>
          <w:b/>
          <w:i w:val="0"/>
        </w:rPr>
        <w:t>AI-DC flywheel with other people's money:</w:t>
      </w:r>
      <w:r>
        <w:rPr>
          <w:b w:val="0"/>
          <w:i w:val="0"/>
        </w:rPr>
        <w:t xml:space="preserve"> SK Horizon (KRW 3.08tn from KKR/IMM) proves private capital will fund SKT's DC build at ~KRW 20bn/MW; SK Hyper can repeat it at GW scale; SK hynix, AWS and OpenAI (Stargate Korea) give it anchor demand.</w:t>
      </w:r>
    </w:p>
    <w:p>
      <w:pPr>
        <w:pStyle w:val="ListBullet"/>
        <w:spacing w:after="20"/>
      </w:pPr>
      <w:r>
        <w:rPr>
          <w:b/>
          <w:i w:val="0"/>
        </w:rPr>
        <w:t>Anthropic optionality:</w:t>
      </w:r>
      <w:r>
        <w:rPr>
          <w:b w:val="0"/>
          <w:i w:val="0"/>
        </w:rPr>
        <w:t xml:space="preserve"> each US$500bn of Anthropic valuation = ~KRW 1.75tn (~KRW 8,200/share) pre-tax. A US$2-2.5tn IPO would make the stake worth 38-47% of today's market cap.</w:t>
      </w:r>
    </w:p>
    <w:p>
      <w:pPr>
        <w:pStyle w:val="ListBullet"/>
        <w:spacing w:after="20"/>
      </w:pPr>
      <w:r>
        <w:rPr>
          <w:b/>
          <w:i w:val="0"/>
        </w:rPr>
        <w:t>Earnings surprise potential:</w:t>
      </w:r>
      <w:r>
        <w:rPr>
          <w:b w:val="0"/>
          <w:i w:val="0"/>
        </w:rPr>
        <w:t xml:space="preserve"> consensus FY26 EPS as low as KRW 5,661; FVTPL treatment (if applicable) of an Anthropic IPO mark could produce a very large one-off NI and "special dividend" pressure.</w:t>
      </w:r>
    </w:p>
    <w:p>
      <w:pPr>
        <w:pStyle w:val="ListBullet"/>
        <w:spacing w:after="20"/>
      </w:pPr>
      <w:r>
        <w:rPr>
          <w:b/>
          <w:i w:val="0"/>
        </w:rPr>
        <w:t>Capital allocation turning shareholder-friendly:</w:t>
      </w:r>
      <w:r>
        <w:rPr>
          <w:b w:val="0"/>
          <w:i w:val="0"/>
        </w:rPr>
        <w:t xml:space="preserve"> tax-free dividend capacity (KRW 1.7tn reserve reclass), 830/quarter restored, non-core disposals (Kakao, Joby, SK Comms, SK Stoa).</w:t>
      </w:r>
    </w:p>
    <w:p>
      <w:pPr>
        <w:pStyle w:val="Heading2"/>
      </w:pPr>
      <w:r>
        <w:rPr>
          <w:b/>
          <w:i w:val="0"/>
          <w:color w:val="2D6CCB"/>
          <w:sz w:val="24"/>
        </w:rPr>
        <w:t>Bear case - three risks that could permanently impair value</w:t>
      </w:r>
    </w:p>
    <w:p>
      <w:pPr>
        <w:pStyle w:val="ListBullet"/>
        <w:spacing w:after="20"/>
      </w:pPr>
      <w:r>
        <w:rPr>
          <w:b/>
          <w:i w:val="0"/>
        </w:rPr>
        <w:t>1. Capital-allocation drift into group priorities:</w:t>
      </w:r>
      <w:r>
        <w:rPr>
          <w:b w:val="0"/>
          <w:i w:val="0"/>
        </w:rPr>
        <w:t xml:space="preserve"> SK Hyper (5-15GW), the SK hynix-linked KRW 738bn commitment and potential support for SK Inc. could turn SKT from a 50%-payout utility into a group funding vehicle - the 28-Jul -16% day was the market voting on exactly this.</w:t>
      </w:r>
    </w:p>
    <w:p>
      <w:pPr>
        <w:pStyle w:val="ListBullet"/>
        <w:spacing w:after="20"/>
      </w:pPr>
      <w:r>
        <w:rPr>
          <w:b/>
          <w:i w:val="0"/>
        </w:rPr>
        <w:t>2. Regulatory and political erosion of the core:</w:t>
      </w:r>
      <w:r>
        <w:rPr>
          <w:b w:val="0"/>
          <w:i w:val="0"/>
        </w:rPr>
        <w:t xml:space="preserve"> tariff "guidance", 5G Lite plans, MVNO wholesale cuts, spectrum fees and record fines are cumulative; the government has shown it will extract value from carriers during crises (50% bill discount, fee waivers).</w:t>
      </w:r>
    </w:p>
    <w:p>
      <w:pPr>
        <w:pStyle w:val="ListBullet"/>
        <w:spacing w:after="20"/>
      </w:pPr>
      <w:r>
        <w:rPr>
          <w:b/>
          <w:i w:val="0"/>
        </w:rPr>
        <w:t>3. Anthropic disappointment:</w:t>
      </w:r>
      <w:r>
        <w:rPr>
          <w:b w:val="0"/>
          <w:i w:val="0"/>
        </w:rPr>
        <w:t xml:space="preserve"> an IPO delay, a down-round or a post-IPO drawdown (2025 net loss US$42bn; existential-risk disclosures) would remove the bulk of the 2026 re-rating; a 180-day lock-up means SKT cannot react.</w:t>
      </w:r>
    </w:p>
    <w:p>
      <w:pPr>
        <w:pStyle w:val="ListBullet"/>
        <w:spacing w:after="20"/>
      </w:pPr>
      <w:r>
        <w:rPr>
          <w:b/>
          <w:i w:val="0"/>
        </w:rPr>
        <w:t>Margin compression / deceleration:</w:t>
      </w:r>
      <w:r>
        <w:rPr>
          <w:b w:val="0"/>
          <w:i w:val="0"/>
        </w:rPr>
        <w:t xml:space="preserve"> subsidy war after Dantong-beop repeal, security opex, rising D&amp;A from AI-DC and the 49% minority leakage from 2027 could cap EPS growth at low-single digits.</w:t>
      </w:r>
    </w:p>
    <w:p>
      <w:pPr>
        <w:pStyle w:val="ListBullet"/>
        <w:spacing w:after="20"/>
      </w:pPr>
      <w:r>
        <w:rPr>
          <w:b/>
          <w:i w:val="0"/>
        </w:rPr>
        <w:t>High expectations:</w:t>
      </w:r>
      <w:r>
        <w:rPr>
          <w:b w:val="0"/>
          <w:i w:val="0"/>
        </w:rPr>
        <w:t xml:space="preserve"> consensus TP ~KRW 116k assumes both the Anthropic IPO and AI-DC scaling go right.</w:t>
      </w:r>
    </w:p>
    <w:p>
      <w:pPr>
        <w:pStyle w:val="Heading2"/>
      </w:pPr>
      <w:r>
        <w:rPr>
          <w:b/>
          <w:i w:val="0"/>
          <w:color w:val="2D6CCB"/>
          <w:sz w:val="24"/>
        </w:rPr>
        <w:t>Pre-mortem - "it is September 2027 and the stock is at KRW 60,000. What happened?"</w:t>
      </w:r>
    </w:p>
    <w:p>
      <w:pPr>
        <w:pStyle w:val="ListBullet"/>
        <w:spacing w:after="20"/>
      </w:pPr>
      <w:r>
        <w:rPr>
          <w:b w:val="0"/>
          <w:i w:val="0"/>
        </w:rPr>
        <w:t>Anthropic priced below the Series H mark in a risk-off AI tape (or delayed to 2027), and SKT's P/E de-rated back to ~9-10x on core earnings.</w:t>
      </w:r>
    </w:p>
    <w:p>
      <w:pPr>
        <w:pStyle w:val="ListBullet"/>
        <w:spacing w:after="20"/>
      </w:pPr>
      <w:r>
        <w:rPr>
          <w:b w:val="0"/>
          <w:i w:val="0"/>
        </w:rPr>
        <w:t>SK Group used SKT to fund SK Hyper (and group AI projects) through equity injections; the dividend was held at 830 but the market priced it as "at risk" - yield-buyers left.</w:t>
      </w:r>
    </w:p>
    <w:p>
      <w:pPr>
        <w:pStyle w:val="ListBullet"/>
        <w:spacing w:after="20"/>
      </w:pPr>
      <w:r>
        <w:rPr>
          <w:b w:val="0"/>
          <w:i w:val="0"/>
        </w:rPr>
        <w:t>BoK took rates to 3.5%; bond-proxy telcos de-rated; Korean equities saw foreign outflows.</w:t>
      </w:r>
    </w:p>
    <w:p>
      <w:pPr>
        <w:pStyle w:val="ListBullet"/>
        <w:spacing w:after="20"/>
      </w:pPr>
      <w:r>
        <w:rPr>
          <w:b w:val="0"/>
          <w:i w:val="0"/>
        </w:rPr>
        <w:t>A civil-suit ruling extended per-capita damages to the full 23m breach population (tail: KRW 100k x 23m = KRW 2.3tn).</w:t>
      </w:r>
    </w:p>
    <w:p>
      <w:pPr>
        <w:pStyle w:val="ListBullet"/>
        <w:spacing w:after="20"/>
      </w:pPr>
      <w:r>
        <w:rPr>
          <w:b w:val="0"/>
          <w:i w:val="0"/>
        </w:rPr>
        <w:t>Government forced another tariff cut before the 2027 budget cycle; MNO revenue declined 1-2%.</w:t>
      </w:r>
    </w:p>
    <w:p>
      <w:pPr>
        <w:pStyle w:val="Heading2"/>
      </w:pPr>
      <w:r>
        <w:rPr>
          <w:b/>
          <w:i w:val="0"/>
          <w:color w:val="2D6CCB"/>
          <w:sz w:val="24"/>
        </w:rPr>
        <w:t>Are current multiples too high?</w:t>
      </w:r>
    </w:p>
    <w:p>
      <w:pPr>
        <w:spacing w:after="80"/>
      </w:pPr>
      <w:r>
        <w:rPr>
          <w:b w:val="0"/>
          <w:i w:val="0"/>
        </w:rPr>
        <w:t>Headline P/E 14x and P/B 1.45x look full for a ~1% organic-growth telco in a rising-rate environment. But ~KRW 5.4tn of market value (29%) is backed by marked investments; ex-stakes the telco trades on ~9-10x core P/E and ~4.0x EV/EBITDA. The multiple is only too high if Anthropic is worth less than its last private round.</w:t>
      </w:r>
    </w:p>
    <w:p>
      <w:pPr>
        <w:pStyle w:val="Heading2"/>
      </w:pPr>
      <w:r>
        <w:rPr>
          <w:b/>
          <w:i w:val="0"/>
          <w:color w:val="2D6CCB"/>
          <w:sz w:val="24"/>
        </w:rPr>
        <w:t>Contrarian view - what the market is refusing to see</w:t>
      </w:r>
    </w:p>
    <w:tbl>
      <w:tblPr>
        <w:tblW w:type="auto" w:w="0"/>
        <w:tblLook w:firstColumn="1" w:firstRow="1" w:lastColumn="0" w:lastRow="0" w:noHBand="0" w:noVBand="1" w:val="04A0"/>
      </w:tblPr>
      <w:tblGrid>
        <w:gridCol w:w="10200"/>
      </w:tblGrid>
      <w:tr>
        <w:tc>
          <w:tcPr>
            <w:tcW w:type="dxa" w:w="10200"/>
            <w:shd w:val="clear" w:color="auto" w:fill="EEF1F6"/>
          </w:tcPr>
          <w:p>
            <w:r>
              <w:rPr>
                <w:b w:val="0"/>
                <w:i w:val="0"/>
                <w:color w:val="13223F"/>
                <w:sz w:val="19"/>
              </w:rPr>
              <w:t xml:space="preserve">The market treats SKT as either a telco or an Anthropic tracker. It is missing that SKT has become an </w:t>
            </w:r>
            <w:r>
              <w:rPr>
                <w:b/>
                <w:i w:val="0"/>
                <w:color w:val="13223F"/>
                <w:sz w:val="19"/>
              </w:rPr>
              <w:t>AI-infrastructure asset originator</w:t>
            </w:r>
            <w:r>
              <w:rPr>
                <w:b w:val="0"/>
                <w:i w:val="0"/>
                <w:color w:val="13223F"/>
                <w:sz w:val="19"/>
              </w:rPr>
              <w:t>: it builds DC capacity on its own land, power and fibre, then sells minorities to PE at private-market marks (KRW ~20bn/MW - equivalent to ~20x+ EBITDA) while keeping control, operating fees and consolidation. Repeat the SK Horizon playbook once more at SK Hyper scale and the value created per won of SKT equity is far higher than the market fears - the 28-Jul sell-off priced SK Hyper as capex, not as a fee-earning development platform.</w:t>
            </w:r>
          </w:p>
        </w:tc>
      </w:tr>
    </w:tbl>
    <w:p/>
    <w:p>
      <w:r>
        <w:br w:type="page"/>
      </w:r>
    </w:p>
    <w:p>
      <w:pPr>
        <w:pStyle w:val="Heading1"/>
      </w:pPr>
      <w:r>
        <w:rPr>
          <w:b/>
          <w:i w:val="0"/>
          <w:color w:val="13223F"/>
          <w:sz w:val="32"/>
        </w:rPr>
        <w:t>21. Scenario analysis (12-month)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397"/>
            <w:shd w:val="clear" w:color="auto" w:fill="13223F"/>
          </w:tcPr>
          <w:p/>
        </w:tc>
        <w:tc>
          <w:tcPr>
            <w:tcW w:type="dxa" w:w="2489"/>
            <w:shd w:val="clear" w:color="auto" w:fill="13223F"/>
          </w:tcPr>
          <w:p>
            <w:r>
              <w:rPr>
                <w:b/>
                <w:i w:val="0"/>
                <w:color w:val="FFFFFF"/>
                <w:sz w:val="15"/>
              </w:rPr>
              <w:t>Bear</w:t>
            </w:r>
          </w:p>
        </w:tc>
        <w:tc>
          <w:tcPr>
            <w:tcW w:type="dxa" w:w="2489"/>
            <w:shd w:val="clear" w:color="auto" w:fill="13223F"/>
          </w:tcPr>
          <w:p>
            <w:r>
              <w:rPr>
                <w:b/>
                <w:i w:val="0"/>
                <w:color w:val="FFFFFF"/>
                <w:sz w:val="15"/>
              </w:rPr>
              <w:t>Base</w:t>
            </w:r>
          </w:p>
        </w:tc>
        <w:tc>
          <w:tcPr>
            <w:tcW w:type="dxa" w:w="2489"/>
            <w:shd w:val="clear" w:color="auto" w:fill="13223F"/>
          </w:tcPr>
          <w:p>
            <w:r>
              <w:rPr>
                <w:b/>
                <w:i w:val="0"/>
                <w:color w:val="FFFFFF"/>
                <w:sz w:val="15"/>
              </w:rPr>
              <w:t>Bull</w:t>
            </w:r>
          </w:p>
        </w:tc>
      </w:tr>
      <w:tr>
        <w:tc>
          <w:tcPr>
            <w:tcW w:type="dxa" w:w="2397"/>
          </w:tcPr>
          <w:p>
            <w:r>
              <w:rPr>
                <w:b w:val="0"/>
                <w:i w:val="0"/>
                <w:sz w:val="15"/>
              </w:rPr>
              <w:t>Probability</w:t>
            </w:r>
          </w:p>
        </w:tc>
        <w:tc>
          <w:tcPr>
            <w:tcW w:type="dxa" w:w="2489"/>
          </w:tcPr>
          <w:p>
            <w:r>
              <w:rPr>
                <w:b w:val="0"/>
                <w:i w:val="0"/>
                <w:sz w:val="15"/>
              </w:rPr>
              <w:t>25%</w:t>
            </w:r>
          </w:p>
        </w:tc>
        <w:tc>
          <w:tcPr>
            <w:tcW w:type="dxa" w:w="2489"/>
          </w:tcPr>
          <w:p>
            <w:r>
              <w:rPr>
                <w:b w:val="0"/>
                <w:i w:val="0"/>
                <w:sz w:val="15"/>
              </w:rPr>
              <w:t>50%</w:t>
            </w:r>
          </w:p>
        </w:tc>
        <w:tc>
          <w:tcPr>
            <w:tcW w:type="dxa" w:w="2489"/>
          </w:tcPr>
          <w:p>
            <w:r>
              <w:rPr>
                <w:b w:val="0"/>
                <w:i w:val="0"/>
                <w:sz w:val="15"/>
              </w:rPr>
              <w:t>25%</w:t>
            </w:r>
          </w:p>
        </w:tc>
      </w:tr>
      <w:tr>
        <w:tc>
          <w:tcPr>
            <w:tcW w:type="dxa" w:w="2397"/>
            <w:shd w:val="clear" w:color="auto" w:fill="EEF1F6"/>
          </w:tcPr>
          <w:p>
            <w:r>
              <w:rPr>
                <w:b w:val="0"/>
                <w:i w:val="0"/>
                <w:sz w:val="15"/>
              </w:rPr>
              <w:t>Revenue growth FY27E</w:t>
            </w:r>
          </w:p>
        </w:tc>
        <w:tc>
          <w:tcPr>
            <w:tcW w:type="dxa" w:w="2489"/>
            <w:shd w:val="clear" w:color="auto" w:fill="EEF1F6"/>
          </w:tcPr>
          <w:p>
            <w:r>
              <w:rPr>
                <w:b w:val="0"/>
                <w:i w:val="0"/>
                <w:sz w:val="15"/>
              </w:rPr>
              <w:t>+1%</w:t>
            </w:r>
          </w:p>
        </w:tc>
        <w:tc>
          <w:tcPr>
            <w:tcW w:type="dxa" w:w="2489"/>
            <w:shd w:val="clear" w:color="auto" w:fill="EEF1F6"/>
          </w:tcPr>
          <w:p>
            <w:r>
              <w:rPr>
                <w:b w:val="0"/>
                <w:i w:val="0"/>
                <w:sz w:val="15"/>
              </w:rPr>
              <w:t>+3.4%</w:t>
            </w:r>
          </w:p>
        </w:tc>
        <w:tc>
          <w:tcPr>
            <w:tcW w:type="dxa" w:w="2489"/>
            <w:shd w:val="clear" w:color="auto" w:fill="EEF1F6"/>
          </w:tcPr>
          <w:p>
            <w:r>
              <w:rPr>
                <w:b w:val="0"/>
                <w:i w:val="0"/>
                <w:sz w:val="15"/>
              </w:rPr>
              <w:t>+5%</w:t>
            </w:r>
          </w:p>
        </w:tc>
      </w:tr>
      <w:tr>
        <w:tc>
          <w:tcPr>
            <w:tcW w:type="dxa" w:w="2397"/>
          </w:tcPr>
          <w:p>
            <w:r>
              <w:rPr>
                <w:b w:val="0"/>
                <w:i w:val="0"/>
                <w:sz w:val="15"/>
              </w:rPr>
              <w:t>EBITDA margin FY27E</w:t>
            </w:r>
          </w:p>
        </w:tc>
        <w:tc>
          <w:tcPr>
            <w:tcW w:type="dxa" w:w="2489"/>
          </w:tcPr>
          <w:p>
            <w:r>
              <w:rPr>
                <w:b w:val="0"/>
                <w:i w:val="0"/>
                <w:sz w:val="15"/>
              </w:rPr>
              <w:t>30%</w:t>
            </w:r>
          </w:p>
        </w:tc>
        <w:tc>
          <w:tcPr>
            <w:tcW w:type="dxa" w:w="2489"/>
          </w:tcPr>
          <w:p>
            <w:r>
              <w:rPr>
                <w:b w:val="0"/>
                <w:i w:val="0"/>
                <w:sz w:val="15"/>
              </w:rPr>
              <w:t>32.1%</w:t>
            </w:r>
          </w:p>
        </w:tc>
        <w:tc>
          <w:tcPr>
            <w:tcW w:type="dxa" w:w="2489"/>
          </w:tcPr>
          <w:p>
            <w:r>
              <w:rPr>
                <w:b w:val="0"/>
                <w:i w:val="0"/>
                <w:sz w:val="15"/>
              </w:rPr>
              <w:t>33.5%</w:t>
            </w:r>
          </w:p>
        </w:tc>
      </w:tr>
      <w:tr>
        <w:tc>
          <w:tcPr>
            <w:tcW w:type="dxa" w:w="2397"/>
            <w:shd w:val="clear" w:color="auto" w:fill="EEF1F6"/>
          </w:tcPr>
          <w:p>
            <w:r>
              <w:rPr>
                <w:b w:val="0"/>
                <w:i w:val="0"/>
                <w:sz w:val="15"/>
              </w:rPr>
              <w:t>Core EV/EBITDA</w:t>
            </w:r>
          </w:p>
        </w:tc>
        <w:tc>
          <w:tcPr>
            <w:tcW w:type="dxa" w:w="2489"/>
            <w:shd w:val="clear" w:color="auto" w:fill="EEF1F6"/>
          </w:tcPr>
          <w:p>
            <w:r>
              <w:rPr>
                <w:b w:val="0"/>
                <w:i w:val="0"/>
                <w:sz w:val="15"/>
              </w:rPr>
              <w:t>3.6x (Korea-discount trough)</w:t>
            </w:r>
          </w:p>
        </w:tc>
        <w:tc>
          <w:tcPr>
            <w:tcW w:type="dxa" w:w="2489"/>
            <w:shd w:val="clear" w:color="auto" w:fill="EEF1F6"/>
          </w:tcPr>
          <w:p>
            <w:r>
              <w:rPr>
                <w:b w:val="0"/>
                <w:i w:val="0"/>
                <w:sz w:val="15"/>
              </w:rPr>
              <w:t>4.2x (5-yr avg)</w:t>
            </w:r>
          </w:p>
        </w:tc>
        <w:tc>
          <w:tcPr>
            <w:tcW w:type="dxa" w:w="2489"/>
            <w:shd w:val="clear" w:color="auto" w:fill="EEF1F6"/>
          </w:tcPr>
          <w:p>
            <w:r>
              <w:rPr>
                <w:b w:val="0"/>
                <w:i w:val="0"/>
                <w:sz w:val="15"/>
              </w:rPr>
              <w:t>5.0x (Asian peer discount narrows)</w:t>
            </w:r>
          </w:p>
        </w:tc>
      </w:tr>
      <w:tr>
        <w:tc>
          <w:tcPr>
            <w:tcW w:type="dxa" w:w="2397"/>
          </w:tcPr>
          <w:p>
            <w:r>
              <w:rPr>
                <w:b w:val="0"/>
                <w:i w:val="0"/>
                <w:sz w:val="15"/>
              </w:rPr>
              <w:t>SK Horizon 51%</w:t>
            </w:r>
          </w:p>
        </w:tc>
        <w:tc>
          <w:tcPr>
            <w:tcW w:type="dxa" w:w="2489"/>
          </w:tcPr>
          <w:p>
            <w:r>
              <w:rPr>
                <w:b w:val="0"/>
                <w:i w:val="0"/>
                <w:sz w:val="15"/>
              </w:rPr>
              <w:t>KRW 2.8tn</w:t>
            </w:r>
          </w:p>
        </w:tc>
        <w:tc>
          <w:tcPr>
            <w:tcW w:type="dxa" w:w="2489"/>
          </w:tcPr>
          <w:p>
            <w:r>
              <w:rPr>
                <w:b w:val="0"/>
                <w:i w:val="0"/>
                <w:sz w:val="15"/>
              </w:rPr>
              <w:t>KRW 3.2tn</w:t>
            </w:r>
          </w:p>
        </w:tc>
        <w:tc>
          <w:tcPr>
            <w:tcW w:type="dxa" w:w="2489"/>
          </w:tcPr>
          <w:p>
            <w:r>
              <w:rPr>
                <w:b w:val="0"/>
                <w:i w:val="0"/>
                <w:sz w:val="15"/>
              </w:rPr>
              <w:t>KRW 3.8tn</w:t>
            </w:r>
          </w:p>
        </w:tc>
      </w:tr>
      <w:tr>
        <w:tc>
          <w:tcPr>
            <w:tcW w:type="dxa" w:w="2397"/>
            <w:shd w:val="clear" w:color="auto" w:fill="EEF1F6"/>
          </w:tcPr>
          <w:p>
            <w:r>
              <w:rPr>
                <w:b w:val="0"/>
                <w:i w:val="0"/>
                <w:sz w:val="15"/>
              </w:rPr>
              <w:t>Anthropic valuation</w:t>
            </w:r>
          </w:p>
        </w:tc>
        <w:tc>
          <w:tcPr>
            <w:tcW w:type="dxa" w:w="2489"/>
            <w:shd w:val="clear" w:color="auto" w:fill="EEF1F6"/>
          </w:tcPr>
          <w:p>
            <w:r>
              <w:rPr>
                <w:b w:val="0"/>
                <w:i w:val="0"/>
                <w:sz w:val="15"/>
              </w:rPr>
              <w:t>US$0.9tn (IPO slips / flat round); 30% discount</w:t>
            </w:r>
          </w:p>
        </w:tc>
        <w:tc>
          <w:tcPr>
            <w:tcW w:type="dxa" w:w="2489"/>
            <w:shd w:val="clear" w:color="auto" w:fill="EEF1F6"/>
          </w:tcPr>
          <w:p>
            <w:r>
              <w:rPr>
                <w:b w:val="0"/>
                <w:i w:val="0"/>
                <w:sz w:val="15"/>
              </w:rPr>
              <w:t>US$1.75tn IPO; 15% discount</w:t>
            </w:r>
          </w:p>
        </w:tc>
        <w:tc>
          <w:tcPr>
            <w:tcW w:type="dxa" w:w="2489"/>
            <w:shd w:val="clear" w:color="auto" w:fill="EEF1F6"/>
          </w:tcPr>
          <w:p>
            <w:r>
              <w:rPr>
                <w:b w:val="0"/>
                <w:i w:val="0"/>
                <w:sz w:val="15"/>
              </w:rPr>
              <w:t>US$2.5tn post-IPO; no discount</w:t>
            </w:r>
          </w:p>
        </w:tc>
      </w:tr>
      <w:tr>
        <w:tc>
          <w:tcPr>
            <w:tcW w:type="dxa" w:w="2397"/>
          </w:tcPr>
          <w:p>
            <w:r>
              <w:rPr>
                <w:b w:val="0"/>
                <w:i w:val="0"/>
                <w:sz w:val="15"/>
              </w:rPr>
              <w:t>Anthropic value to SKT (after tax)</w:t>
            </w:r>
          </w:p>
        </w:tc>
        <w:tc>
          <w:tcPr>
            <w:tcW w:type="dxa" w:w="2489"/>
          </w:tcPr>
          <w:p>
            <w:r>
              <w:rPr>
                <w:b w:val="0"/>
                <w:i w:val="0"/>
                <w:sz w:val="15"/>
              </w:rPr>
              <w:t>KRW 1.7tn</w:t>
            </w:r>
          </w:p>
        </w:tc>
        <w:tc>
          <w:tcPr>
            <w:tcW w:type="dxa" w:w="2489"/>
          </w:tcPr>
          <w:p>
            <w:r>
              <w:rPr>
                <w:b w:val="0"/>
                <w:i w:val="0"/>
                <w:sz w:val="15"/>
              </w:rPr>
              <w:t>KRW 4.0tn</w:t>
            </w:r>
          </w:p>
        </w:tc>
        <w:tc>
          <w:tcPr>
            <w:tcW w:type="dxa" w:w="2489"/>
          </w:tcPr>
          <w:p>
            <w:r>
              <w:rPr>
                <w:b w:val="0"/>
                <w:i w:val="0"/>
                <w:sz w:val="15"/>
              </w:rPr>
              <w:t>KRW 6.7tn</w:t>
            </w:r>
          </w:p>
        </w:tc>
      </w:tr>
      <w:tr>
        <w:tc>
          <w:tcPr>
            <w:tcW w:type="dxa" w:w="2397"/>
            <w:shd w:val="clear" w:color="auto" w:fill="EEF1F6"/>
          </w:tcPr>
          <w:p>
            <w:r>
              <w:rPr>
                <w:b w:val="0"/>
                <w:i w:val="0"/>
                <w:sz w:val="15"/>
              </w:rPr>
              <w:t>Net debt &amp; minorities</w:t>
            </w:r>
          </w:p>
        </w:tc>
        <w:tc>
          <w:tcPr>
            <w:tcW w:type="dxa" w:w="2489"/>
            <w:shd w:val="clear" w:color="auto" w:fill="EEF1F6"/>
          </w:tcPr>
          <w:p>
            <w:r>
              <w:rPr>
                <w:b w:val="0"/>
                <w:i w:val="0"/>
                <w:sz w:val="15"/>
              </w:rPr>
              <w:t>-KRW 10.0tn</w:t>
            </w:r>
          </w:p>
        </w:tc>
        <w:tc>
          <w:tcPr>
            <w:tcW w:type="dxa" w:w="2489"/>
            <w:shd w:val="clear" w:color="auto" w:fill="EEF1F6"/>
          </w:tcPr>
          <w:p>
            <w:r>
              <w:rPr>
                <w:b w:val="0"/>
                <w:i w:val="0"/>
                <w:sz w:val="15"/>
              </w:rPr>
              <w:t>-KRW 9.6tn</w:t>
            </w:r>
          </w:p>
        </w:tc>
        <w:tc>
          <w:tcPr>
            <w:tcW w:type="dxa" w:w="2489"/>
            <w:shd w:val="clear" w:color="auto" w:fill="EEF1F6"/>
          </w:tcPr>
          <w:p>
            <w:r>
              <w:rPr>
                <w:b w:val="0"/>
                <w:i w:val="0"/>
                <w:sz w:val="15"/>
              </w:rPr>
              <w:t>-KRW 9.6tn</w:t>
            </w:r>
          </w:p>
        </w:tc>
      </w:tr>
      <w:tr>
        <w:tc>
          <w:tcPr>
            <w:tcW w:type="dxa" w:w="2397"/>
          </w:tcPr>
          <w:p>
            <w:r>
              <w:rPr>
                <w:b w:val="0"/>
                <w:i w:val="0"/>
                <w:sz w:val="15"/>
              </w:rPr>
              <w:t>Equity value</w:t>
            </w:r>
          </w:p>
        </w:tc>
        <w:tc>
          <w:tcPr>
            <w:tcW w:type="dxa" w:w="2489"/>
          </w:tcPr>
          <w:p>
            <w:r>
              <w:rPr>
                <w:b w:val="0"/>
                <w:i w:val="0"/>
                <w:sz w:val="15"/>
              </w:rPr>
              <w:t>KRW 14.8tn</w:t>
            </w:r>
          </w:p>
        </w:tc>
        <w:tc>
          <w:tcPr>
            <w:tcW w:type="dxa" w:w="2489"/>
          </w:tcPr>
          <w:p>
            <w:r>
              <w:rPr>
                <w:b w:val="0"/>
                <w:i w:val="0"/>
                <w:sz w:val="15"/>
              </w:rPr>
              <w:t>KRW 22.6tn</w:t>
            </w:r>
          </w:p>
        </w:tc>
        <w:tc>
          <w:tcPr>
            <w:tcW w:type="dxa" w:w="2489"/>
          </w:tcPr>
          <w:p>
            <w:r>
              <w:rPr>
                <w:b w:val="0"/>
                <w:i w:val="0"/>
                <w:sz w:val="15"/>
              </w:rPr>
              <w:t>KRW 31.6tn</w:t>
            </w:r>
          </w:p>
        </w:tc>
      </w:tr>
      <w:tr>
        <w:tc>
          <w:tcPr>
            <w:tcW w:type="dxa" w:w="2397"/>
            <w:shd w:val="clear" w:color="auto" w:fill="EEF1F6"/>
          </w:tcPr>
          <w:p>
            <w:r>
              <w:rPr>
                <w:b w:val="0"/>
                <w:i w:val="0"/>
                <w:sz w:val="15"/>
              </w:rPr>
              <w:t>Value per share</w:t>
            </w:r>
          </w:p>
        </w:tc>
        <w:tc>
          <w:tcPr>
            <w:tcW w:type="dxa" w:w="2489"/>
            <w:shd w:val="clear" w:color="auto" w:fill="EEF1F6"/>
          </w:tcPr>
          <w:p>
            <w:r>
              <w:rPr>
                <w:b/>
                <w:i w:val="0"/>
                <w:sz w:val="15"/>
              </w:rPr>
              <w:t>KRW 69,500 (-19%)</w:t>
            </w:r>
          </w:p>
        </w:tc>
        <w:tc>
          <w:tcPr>
            <w:tcW w:type="dxa" w:w="2489"/>
            <w:shd w:val="clear" w:color="auto" w:fill="EEF1F6"/>
          </w:tcPr>
          <w:p>
            <w:r>
              <w:rPr>
                <w:b/>
                <w:i w:val="0"/>
                <w:sz w:val="15"/>
              </w:rPr>
              <w:t>KRW 106,000 (+23%)</w:t>
            </w:r>
          </w:p>
        </w:tc>
        <w:tc>
          <w:tcPr>
            <w:tcW w:type="dxa" w:w="2489"/>
            <w:shd w:val="clear" w:color="auto" w:fill="EEF1F6"/>
          </w:tcPr>
          <w:p>
            <w:r>
              <w:rPr>
                <w:b/>
                <w:i w:val="0"/>
                <w:sz w:val="15"/>
              </w:rPr>
              <w:t>KRW 148,000 (+72%)</w:t>
            </w:r>
          </w:p>
        </w:tc>
      </w:tr>
      <w:tr>
        <w:tc>
          <w:tcPr>
            <w:tcW w:type="dxa" w:w="2397"/>
          </w:tcPr>
          <w:p>
            <w:r>
              <w:rPr>
                <w:b w:val="0"/>
                <w:i w:val="0"/>
                <w:sz w:val="15"/>
              </w:rPr>
              <w:t>Implied FY26E P/E</w:t>
            </w:r>
          </w:p>
        </w:tc>
        <w:tc>
          <w:tcPr>
            <w:tcW w:type="dxa" w:w="2489"/>
          </w:tcPr>
          <w:p>
            <w:r>
              <w:rPr>
                <w:b w:val="0"/>
                <w:i w:val="0"/>
                <w:sz w:val="15"/>
              </w:rPr>
              <w:t>11.4x</w:t>
            </w:r>
          </w:p>
        </w:tc>
        <w:tc>
          <w:tcPr>
            <w:tcW w:type="dxa" w:w="2489"/>
          </w:tcPr>
          <w:p>
            <w:r>
              <w:rPr>
                <w:b w:val="0"/>
                <w:i w:val="0"/>
                <w:sz w:val="15"/>
              </w:rPr>
              <w:t>17.4x</w:t>
            </w:r>
          </w:p>
        </w:tc>
        <w:tc>
          <w:tcPr>
            <w:tcW w:type="dxa" w:w="2489"/>
          </w:tcPr>
          <w:p>
            <w:r>
              <w:rPr>
                <w:b w:val="0"/>
                <w:i w:val="0"/>
                <w:sz w:val="15"/>
              </w:rPr>
              <w:t>24.3x</w:t>
            </w:r>
          </w:p>
        </w:tc>
      </w:tr>
    </w:tbl>
    <w:p/>
    <w:p>
      <w:pPr>
        <w:spacing w:after="80"/>
      </w:pPr>
      <w:r>
        <w:rPr>
          <w:b/>
          <w:i w:val="0"/>
        </w:rPr>
        <w:t>Probability-weighted value: ~KRW 107,000 (+24%).</w:t>
      </w:r>
      <w:r>
        <w:rPr>
          <w:b w:val="0"/>
          <w:i w:val="0"/>
        </w:rPr>
        <w:t xml:space="preserve"> Skew is asymmetric: downside ~-19% (supported by a 4% yield and ~4x core EBITDA), upside +72%. We set a 12-month target of KRW 105,000.</w:t>
      </w:r>
    </w:p>
    <w:p>
      <w:r>
        <w:br w:type="page"/>
      </w:r>
    </w:p>
    <w:p>
      <w:pPr>
        <w:pStyle w:val="Heading1"/>
      </w:pPr>
      <w:r>
        <w:rPr>
          <w:b/>
          <w:i w:val="0"/>
          <w:color w:val="13223F"/>
          <w:sz w:val="32"/>
        </w:rPr>
        <w:t>22. Fifteen questions for the CEO / Chairman (ordered by information value)</w:t>
      </w:r>
    </w:p>
    <w:p>
      <w:pPr>
        <w:pStyle w:val="ListBullet"/>
        <w:spacing w:after="20"/>
      </w:pPr>
      <w:r>
        <w:rPr>
          <w:b/>
          <w:i w:val="0"/>
        </w:rPr>
        <w:t>1.</w:t>
      </w:r>
      <w:r>
        <w:rPr>
          <w:b w:val="0"/>
          <w:i w:val="0"/>
        </w:rPr>
        <w:t xml:space="preserve"> What is the explicit policy for the Anthropic stake after the IPO - hold, partial monetisation, or distribution to shareholders - and will any proceeds be ring-fenced for buybacks/special dividends?</w:t>
      </w:r>
    </w:p>
    <w:p>
      <w:pPr>
        <w:pStyle w:val="ListBullet"/>
        <w:spacing w:after="20"/>
      </w:pPr>
      <w:r>
        <w:rPr>
          <w:b/>
          <w:i w:val="0"/>
        </w:rPr>
        <w:t>2.</w:t>
      </w:r>
      <w:r>
        <w:rPr>
          <w:b w:val="0"/>
          <w:i w:val="0"/>
        </w:rPr>
        <w:t xml:space="preserve"> What exactly is the KRW 738bn SK hynix-linked commitment approved in July, who initiated it, and what return hurdle and independent-director review did it pass?</w:t>
      </w:r>
    </w:p>
    <w:p>
      <w:pPr>
        <w:pStyle w:val="ListBullet"/>
        <w:spacing w:after="20"/>
      </w:pPr>
      <w:r>
        <w:rPr>
          <w:b/>
          <w:i w:val="0"/>
        </w:rPr>
        <w:t>3.</w:t>
      </w:r>
      <w:r>
        <w:rPr>
          <w:b w:val="0"/>
          <w:i w:val="0"/>
        </w:rPr>
        <w:t xml:space="preserve"> For SK Hyper's 5-15GW ambition, how much SKT equity will be required beyond KRW 750bn, and will every phase be co-funded SK Horizon-style by third-party capital?</w:t>
      </w:r>
    </w:p>
    <w:p>
      <w:pPr>
        <w:pStyle w:val="ListBullet"/>
        <w:spacing w:after="20"/>
      </w:pPr>
      <w:r>
        <w:rPr>
          <w:b/>
          <w:i w:val="0"/>
        </w:rPr>
        <w:t>4.</w:t>
      </w:r>
      <w:r>
        <w:rPr>
          <w:b w:val="0"/>
          <w:i w:val="0"/>
        </w:rPr>
        <w:t xml:space="preserve"> What exit rights, IRR guarantees, puts or drag-alongs did KKR and IMM-Stonebridge receive at SK Horizon, and how would they be accounted for?</w:t>
      </w:r>
    </w:p>
    <w:p>
      <w:pPr>
        <w:pStyle w:val="ListBullet"/>
        <w:spacing w:after="20"/>
      </w:pPr>
      <w:r>
        <w:rPr>
          <w:b/>
          <w:i w:val="0"/>
        </w:rPr>
        <w:t>5.</w:t>
      </w:r>
      <w:r>
        <w:rPr>
          <w:b w:val="0"/>
          <w:i w:val="0"/>
        </w:rPr>
        <w:t xml:space="preserve"> What is the minimum dividend you will commit to for 2027-28 regardless of AI-DC capex - is KRW 3,320 a floor?</w:t>
      </w:r>
    </w:p>
    <w:p>
      <w:pPr>
        <w:pStyle w:val="ListBullet"/>
        <w:spacing w:after="20"/>
      </w:pPr>
      <w:r>
        <w:rPr>
          <w:b/>
          <w:i w:val="0"/>
        </w:rPr>
        <w:t>6.</w:t>
      </w:r>
      <w:r>
        <w:rPr>
          <w:b w:val="0"/>
          <w:i w:val="0"/>
        </w:rPr>
        <w:t xml:space="preserve"> Is Anthropic carried at FVOCI or FVTPL, and what is the deferred-tax liability on the gain today?</w:t>
      </w:r>
    </w:p>
    <w:p>
      <w:pPr>
        <w:pStyle w:val="ListBullet"/>
        <w:spacing w:after="20"/>
      </w:pPr>
      <w:r>
        <w:rPr>
          <w:b/>
          <w:i w:val="0"/>
        </w:rPr>
        <w:t>7.</w:t>
      </w:r>
      <w:r>
        <w:rPr>
          <w:b w:val="0"/>
          <w:i w:val="0"/>
        </w:rPr>
        <w:t xml:space="preserve"> What mobile market share and ARPU trajectory underpin "earnings above pre-breach levels", and what share do you expect to hold at end-2027?</w:t>
      </w:r>
    </w:p>
    <w:p>
      <w:pPr>
        <w:pStyle w:val="ListBullet"/>
        <w:spacing w:after="20"/>
      </w:pPr>
      <w:r>
        <w:rPr>
          <w:b/>
          <w:i w:val="0"/>
        </w:rPr>
        <w:t>8.</w:t>
      </w:r>
      <w:r>
        <w:rPr>
          <w:b w:val="0"/>
          <w:i w:val="0"/>
        </w:rPr>
        <w:t xml:space="preserve"> What is SKT's exact share of the 3G/LTE re-allocation fee, the payment schedule, and your indoor-5G build commitment to reach the lower KRW 2.9tn tier?</w:t>
      </w:r>
    </w:p>
    <w:p>
      <w:pPr>
        <w:pStyle w:val="ListBullet"/>
        <w:spacing w:after="20"/>
      </w:pPr>
      <w:r>
        <w:rPr>
          <w:b/>
          <w:i w:val="0"/>
        </w:rPr>
        <w:t>9.</w:t>
      </w:r>
      <w:r>
        <w:rPr>
          <w:b w:val="0"/>
          <w:i w:val="0"/>
        </w:rPr>
        <w:t xml:space="preserve"> What are the realistic worst-case outcomes of the ~15,900-plaintiff civil suits, the PIPC-fine lawsuit and the criminal referral - is a class-wide per-capita award possible?</w:t>
      </w:r>
    </w:p>
    <w:p>
      <w:pPr>
        <w:pStyle w:val="ListBullet"/>
        <w:spacing w:after="20"/>
      </w:pPr>
      <w:r>
        <w:rPr>
          <w:b/>
          <w:i w:val="0"/>
        </w:rPr>
        <w:t>10.</w:t>
      </w:r>
      <w:r>
        <w:rPr>
          <w:b w:val="0"/>
          <w:i w:val="0"/>
        </w:rPr>
        <w:t xml:space="preserve"> How does the board - with a group NED and five new directors - independently assess group-originated transactions and CEO succession?</w:t>
      </w:r>
    </w:p>
    <w:p>
      <w:pPr>
        <w:pStyle w:val="ListBullet"/>
        <w:spacing w:after="20"/>
      </w:pPr>
      <w:r>
        <w:rPr>
          <w:b/>
          <w:i w:val="0"/>
        </w:rPr>
        <w:t>11.</w:t>
      </w:r>
      <w:r>
        <w:rPr>
          <w:b w:val="0"/>
          <w:i w:val="0"/>
        </w:rPr>
        <w:t xml:space="preserve"> Would SK Group consider merging SKT and SK Square, or converting SKT into an intermediate holding company? Under what conditions?</w:t>
      </w:r>
    </w:p>
    <w:p>
      <w:pPr>
        <w:pStyle w:val="ListBullet"/>
        <w:spacing w:after="20"/>
      </w:pPr>
      <w:r>
        <w:rPr>
          <w:b/>
          <w:i w:val="0"/>
        </w:rPr>
        <w:t>12.</w:t>
      </w:r>
      <w:r>
        <w:rPr>
          <w:b w:val="0"/>
          <w:i w:val="0"/>
        </w:rPr>
        <w:t xml:space="preserve"> What contracted revenue and customer concentration exist at the AI-DCs (AWS share at Ulsan; GPUaaS utilisation and pricing)?</w:t>
      </w:r>
    </w:p>
    <w:p>
      <w:pPr>
        <w:pStyle w:val="ListBullet"/>
        <w:spacing w:after="20"/>
      </w:pPr>
      <w:r>
        <w:rPr>
          <w:b/>
          <w:i w:val="0"/>
        </w:rPr>
        <w:t>13.</w:t>
      </w:r>
      <w:r>
        <w:rPr>
          <w:b w:val="0"/>
          <w:i w:val="0"/>
        </w:rPr>
        <w:t xml:space="preserve"> How will you prevent a post-Dantong-beop subsidy war now that KT is weakened - what marketing-to-revenue ratio do you target?</w:t>
      </w:r>
    </w:p>
    <w:p>
      <w:pPr>
        <w:pStyle w:val="ListBullet"/>
        <w:spacing w:after="20"/>
      </w:pPr>
      <w:r>
        <w:rPr>
          <w:b/>
          <w:i w:val="0"/>
        </w:rPr>
        <w:t>14.</w:t>
      </w:r>
      <w:r>
        <w:rPr>
          <w:b w:val="0"/>
          <w:i w:val="0"/>
        </w:rPr>
        <w:t xml:space="preserve"> Why is the Aster US agent still in the portfolio, and what are the kill criteria for AI services that do not reach scale?</w:t>
      </w:r>
    </w:p>
    <w:p>
      <w:pPr>
        <w:pStyle w:val="ListBullet"/>
        <w:spacing w:after="20"/>
      </w:pPr>
      <w:r>
        <w:rPr>
          <w:b/>
          <w:i w:val="0"/>
        </w:rPr>
        <w:t>15.</w:t>
      </w:r>
      <w:r>
        <w:rPr>
          <w:b w:val="0"/>
          <w:i w:val="0"/>
        </w:rPr>
        <w:t xml:space="preserve"> What independent verification (red-team, third-party audit) now confirms that no dormant intrusions remain in the core network and HSS systems?</w:t>
      </w:r>
    </w:p>
    <w:p>
      <w:r>
        <w:br w:type="page"/>
      </w:r>
    </w:p>
    <w:p>
      <w:pPr>
        <w:pStyle w:val="Heading1"/>
      </w:pPr>
      <w:r>
        <w:rPr>
          <w:b/>
          <w:i w:val="0"/>
          <w:color w:val="13223F"/>
          <w:sz w:val="32"/>
        </w:rPr>
        <w:t>23. The short-seller's case - forensic review</w:t>
      </w:r>
    </w:p>
    <w:p>
      <w:pPr>
        <w:pStyle w:val="Heading2"/>
      </w:pPr>
      <w:r>
        <w:rPr>
          <w:b/>
          <w:i w:val="0"/>
          <w:color w:val="2D6CCB"/>
          <w:sz w:val="24"/>
        </w:rPr>
        <w:t>23.1 What could structurally break how SKT makes money?</w:t>
      </w:r>
    </w:p>
    <w:p>
      <w:pPr>
        <w:pStyle w:val="ListBullet"/>
        <w:spacing w:after="20"/>
      </w:pPr>
      <w:r>
        <w:rPr>
          <w:b/>
          <w:i w:val="0"/>
        </w:rPr>
        <w:t>Revenue concentration:</w:t>
      </w:r>
      <w:r>
        <w:rPr>
          <w:b w:val="0"/>
          <w:i w:val="0"/>
        </w:rPr>
        <w:t xml:space="preserve"> ~70% of revenue and ~75% of OP come from one product (Korean mobile service) sold to one population under one regulator. If the government mandates a structural tariff cut (e.g. universal KRW 20k 5G plans) the core loses pricing power permanently; MVNOs (18% share, bank-backed and subsidised) are the channel through which that happens.</w:t>
      </w:r>
    </w:p>
    <w:p>
      <w:pPr>
        <w:pStyle w:val="ListBullet"/>
        <w:spacing w:after="20"/>
      </w:pPr>
      <w:r>
        <w:rPr>
          <w:b/>
          <w:i w:val="0"/>
        </w:rPr>
        <w:t>Concentration shift:</w:t>
      </w:r>
      <w:r>
        <w:rPr>
          <w:b w:val="0"/>
          <w:i w:val="0"/>
        </w:rPr>
        <w:t xml:space="preserve"> the growth narrative has moved to AI-DC - a business where SKT has no technological edge over hyperscalers, depends on a few anchor tenants (AWS at Ulsan) and on power access. If AWS or AI labs self-build, utilisation and pricing fall.</w:t>
      </w:r>
    </w:p>
    <w:p>
      <w:pPr>
        <w:pStyle w:val="ListBullet"/>
        <w:spacing w:after="20"/>
      </w:pPr>
      <w:r>
        <w:rPr>
          <w:b/>
          <w:i w:val="0"/>
        </w:rPr>
        <w:t>Asset concentration:</w:t>
      </w:r>
      <w:r>
        <w:rPr>
          <w:b w:val="0"/>
          <w:i w:val="0"/>
        </w:rPr>
        <w:t xml:space="preserve"> 20-40% of market cap rides on Anthropic - a loss-making (US$42bn 2025 net loss) private company whose valuation rose ~190x in three years.</w:t>
      </w:r>
    </w:p>
    <w:p>
      <w:pPr>
        <w:pStyle w:val="Heading2"/>
      </w:pPr>
      <w:r>
        <w:rPr>
          <w:b/>
          <w:i w:val="0"/>
          <w:color w:val="2D6CCB"/>
          <w:sz w:val="24"/>
        </w:rPr>
        <w:t>23.2 Why the moat may be weaker than bulls think</w:t>
      </w:r>
    </w:p>
    <w:p>
      <w:pPr>
        <w:pStyle w:val="ListBullet"/>
        <w:spacing w:after="20"/>
      </w:pPr>
      <w:r>
        <w:rPr>
          <w:b w:val="0"/>
          <w:i w:val="0"/>
        </w:rPr>
        <w:t>The "premium network" brand was breached for four years without detection; in the data-privacy era trust is part of the product.</w:t>
      </w:r>
    </w:p>
    <w:p>
      <w:pPr>
        <w:pStyle w:val="ListBullet"/>
        <w:spacing w:after="20"/>
      </w:pPr>
      <w:r>
        <w:rPr>
          <w:b w:val="0"/>
          <w:i w:val="0"/>
        </w:rPr>
        <w:t>Dantong-beop repeal removed the subsidy cap that protected the incumbent's economics; switching costs are low (MNP, e-SIM, bank MVNOs).</w:t>
      </w:r>
    </w:p>
    <w:p>
      <w:pPr>
        <w:pStyle w:val="ListBullet"/>
        <w:spacing w:after="20"/>
      </w:pPr>
      <w:r>
        <w:rPr>
          <w:b w:val="0"/>
          <w:i w:val="0"/>
        </w:rPr>
        <w:t>Regulator behaviour in 2025 (forced fee waivers, 50% bill discount) shows the licence moat is shared with the state.</w:t>
      </w:r>
    </w:p>
    <w:p>
      <w:pPr>
        <w:pStyle w:val="Heading2"/>
      </w:pPr>
      <w:r>
        <w:rPr>
          <w:b/>
          <w:i w:val="0"/>
          <w:color w:val="2D6CCB"/>
          <w:sz w:val="24"/>
        </w:rPr>
        <w:t>23.3 The most dangerous competitor bulls underestimate</w:t>
      </w:r>
    </w:p>
    <w:p>
      <w:pPr>
        <w:spacing w:after="80"/>
      </w:pPr>
      <w:r>
        <w:rPr>
          <w:b/>
          <w:i w:val="0"/>
        </w:rPr>
        <w:t>Bank- and fintech-owned MVNOs (Toss Mobile, KB Liiv M, Woori WON Mobile).</w:t>
      </w:r>
      <w:r>
        <w:rPr>
          <w:b w:val="0"/>
          <w:i w:val="0"/>
        </w:rPr>
        <w:t xml:space="preserve"> They acquire customers at near-zero marginal cost through super-apps used daily by 20m+ Koreans, cross-subsidise telecom with financial products, and ride government support for wholesale-rate cuts. They take the least-loyal, lowest-cost customers first and compress ARPU across the market. SKT hosts only 1.8m of ~10.5m MVNO lines - it loses both retail and wholesale economics.</w:t>
      </w:r>
    </w:p>
    <w:p>
      <w:pPr>
        <w:pStyle w:val="Heading2"/>
      </w:pPr>
      <w:r>
        <w:rPr>
          <w:b/>
          <w:i w:val="0"/>
          <w:color w:val="2D6CCB"/>
          <w:sz w:val="24"/>
        </w:rPr>
        <w:t>23.4 Worst capital-allocation decisions</w:t>
      </w:r>
    </w:p>
    <w:p>
      <w:pPr>
        <w:pStyle w:val="ListBullet"/>
        <w:spacing w:after="20"/>
      </w:pPr>
      <w:r>
        <w:rPr>
          <w:b w:val="0"/>
          <w:i w:val="0"/>
        </w:rPr>
        <w:t>Under-investment in security (2021-25) - the most expensive decision in company history (~KRW 1.2tn of compensation/security spend plus ~KRW 0.4tn of lost revenue and a halved dividend).</w:t>
      </w:r>
    </w:p>
    <w:p>
      <w:pPr>
        <w:pStyle w:val="ListBullet"/>
        <w:spacing w:after="20"/>
      </w:pPr>
      <w:r>
        <w:rPr>
          <w:b w:val="0"/>
          <w:i w:val="0"/>
        </w:rPr>
        <w:t>CJ HelloVision (blocked) and ifland (closed) - management time and capital on ventures that did not survive.</w:t>
      </w:r>
    </w:p>
    <w:p>
      <w:pPr>
        <w:pStyle w:val="ListBullet"/>
        <w:spacing w:after="20"/>
      </w:pPr>
      <w:r>
        <w:rPr>
          <w:b w:val="0"/>
          <w:i w:val="0"/>
        </w:rPr>
        <w:t>Serial FI-funded ventures with IPO puts (11st, One Store, Tmap) - value destruction largely parked at SK Square after the split.</w:t>
      </w:r>
    </w:p>
    <w:p>
      <w:pPr>
        <w:pStyle w:val="ListBullet"/>
        <w:spacing w:after="20"/>
      </w:pPr>
      <w:r>
        <w:rPr>
          <w:b w:val="0"/>
          <w:i w:val="0"/>
        </w:rPr>
        <w:t>Potentially SK Hyper and the SK hynix-linked commitment (2026) - GW-scale ambitions announced before contracted demand [u].</w:t>
      </w:r>
    </w:p>
    <w:p>
      <w:pPr>
        <w:pStyle w:val="Heading2"/>
      </w:pPr>
      <w:r>
        <w:rPr>
          <w:b/>
          <w:i w:val="0"/>
          <w:color w:val="2D6CCB"/>
          <w:sz w:val="24"/>
        </w:rPr>
        <w:t>23.5 Related parties, accounting and incentives - red-flag checklist</w:t>
      </w:r>
    </w:p>
    <w:tbl>
      <w:tblPr>
        <w:tblStyle w:val="TableGrid"/>
        <w:tblW w:type="auto" w:w="0"/>
        <w:jc w:val="center"/>
        <w:tblLook w:firstColumn="1" w:firstRow="1" w:lastColumn="0" w:lastRow="0" w:noHBand="0" w:noVBand="1" w:val="04A0"/>
      </w:tblPr>
      <w:tblGrid>
        <w:gridCol w:w="3400"/>
        <w:gridCol w:w="3400"/>
        <w:gridCol w:w="3400"/>
      </w:tblGrid>
      <w:tr>
        <w:tc>
          <w:tcPr>
            <w:tcW w:type="dxa" w:w="2009"/>
            <w:shd w:val="clear" w:color="auto" w:fill="13223F"/>
          </w:tcPr>
          <w:p>
            <w:r>
              <w:rPr>
                <w:b/>
                <w:i w:val="0"/>
                <w:color w:val="FFFFFF"/>
                <w:sz w:val="15"/>
              </w:rPr>
              <w:t>Area</w:t>
            </w:r>
          </w:p>
        </w:tc>
        <w:tc>
          <w:tcPr>
            <w:tcW w:type="dxa" w:w="6211"/>
            <w:shd w:val="clear" w:color="auto" w:fill="13223F"/>
          </w:tcPr>
          <w:p>
            <w:r>
              <w:rPr>
                <w:b/>
                <w:i w:val="0"/>
                <w:color w:val="FFFFFF"/>
                <w:sz w:val="15"/>
              </w:rPr>
              <w:t>Observation</w:t>
            </w:r>
          </w:p>
        </w:tc>
        <w:tc>
          <w:tcPr>
            <w:tcW w:type="dxa" w:w="1644"/>
            <w:shd w:val="clear" w:color="auto" w:fill="13223F"/>
          </w:tcPr>
          <w:p>
            <w:r>
              <w:rPr>
                <w:b/>
                <w:i w:val="0"/>
                <w:color w:val="FFFFFF"/>
                <w:sz w:val="15"/>
              </w:rPr>
              <w:t>Risk</w:t>
            </w:r>
          </w:p>
        </w:tc>
      </w:tr>
      <w:tr>
        <w:tc>
          <w:tcPr>
            <w:tcW w:type="dxa" w:w="2009"/>
          </w:tcPr>
          <w:p>
            <w:r>
              <w:rPr>
                <w:b w:val="0"/>
                <w:i w:val="0"/>
                <w:sz w:val="15"/>
              </w:rPr>
              <w:t>Revenue recognition</w:t>
            </w:r>
          </w:p>
        </w:tc>
        <w:tc>
          <w:tcPr>
            <w:tcW w:type="dxa" w:w="6211"/>
          </w:tcPr>
          <w:p>
            <w:r>
              <w:rPr>
                <w:b w:val="0"/>
                <w:i w:val="0"/>
                <w:sz w:val="15"/>
              </w:rPr>
              <w:t>Handset bundles split between equipment and service (K-IFRS 1115); subsidies and contract costs capitalised and amortised - shifts in subsidy mix can flatter near-term margins</w:t>
            </w:r>
          </w:p>
        </w:tc>
        <w:tc>
          <w:tcPr>
            <w:tcW w:type="dxa" w:w="1644"/>
          </w:tcPr>
          <w:p>
            <w:r>
              <w:rPr>
                <w:b w:val="0"/>
                <w:i w:val="0"/>
                <w:sz w:val="15"/>
              </w:rPr>
              <w:t>Medium</w:t>
            </w:r>
          </w:p>
        </w:tc>
      </w:tr>
      <w:tr>
        <w:tc>
          <w:tcPr>
            <w:tcW w:type="dxa" w:w="2009"/>
            <w:shd w:val="clear" w:color="auto" w:fill="EEF1F6"/>
          </w:tcPr>
          <w:p>
            <w:r>
              <w:rPr>
                <w:b w:val="0"/>
                <w:i w:val="0"/>
                <w:sz w:val="15"/>
              </w:rPr>
              <w:t>Contract-acquisition costs</w:t>
            </w:r>
          </w:p>
        </w:tc>
        <w:tc>
          <w:tcPr>
            <w:tcW w:type="dxa" w:w="6211"/>
            <w:shd w:val="clear" w:color="auto" w:fill="EEF1F6"/>
          </w:tcPr>
          <w:p>
            <w:r>
              <w:rPr>
                <w:b w:val="0"/>
                <w:i w:val="0"/>
                <w:sz w:val="15"/>
              </w:rPr>
              <w:t>Capitalised dealer commissions (a multi-trillion-won asset) amortised over ~2 years; post-repeal subsidy spikes will show up with a lag</w:t>
            </w:r>
          </w:p>
        </w:tc>
        <w:tc>
          <w:tcPr>
            <w:tcW w:type="dxa" w:w="1644"/>
            <w:shd w:val="clear" w:color="auto" w:fill="EEF1F6"/>
          </w:tcPr>
          <w:p>
            <w:r>
              <w:rPr>
                <w:b w:val="0"/>
                <w:i w:val="0"/>
                <w:sz w:val="15"/>
              </w:rPr>
              <w:t>Medium</w:t>
            </w:r>
          </w:p>
        </w:tc>
      </w:tr>
      <w:tr>
        <w:tc>
          <w:tcPr>
            <w:tcW w:type="dxa" w:w="2009"/>
          </w:tcPr>
          <w:p>
            <w:r>
              <w:rPr>
                <w:b w:val="0"/>
                <w:i w:val="0"/>
                <w:sz w:val="15"/>
              </w:rPr>
              <w:t>Segment reporting</w:t>
            </w:r>
          </w:p>
        </w:tc>
        <w:tc>
          <w:tcPr>
            <w:tcW w:type="dxa" w:w="6211"/>
          </w:tcPr>
          <w:p>
            <w:r>
              <w:rPr>
                <w:b w:val="0"/>
                <w:i w:val="0"/>
                <w:sz w:val="15"/>
              </w:rPr>
              <w:t>AI-DC revenue definitions change between releases (3Q25 KRW 149.8bn vs 70.7bn in 2Q25 and 131.4bn in 1Q26); SKT does not disclose segment EBITDA/NI consistently</w:t>
            </w:r>
          </w:p>
        </w:tc>
        <w:tc>
          <w:tcPr>
            <w:tcW w:type="dxa" w:w="1644"/>
          </w:tcPr>
          <w:p>
            <w:r>
              <w:rPr>
                <w:b w:val="0"/>
                <w:i w:val="0"/>
                <w:sz w:val="15"/>
              </w:rPr>
              <w:t>Medium</w:t>
            </w:r>
          </w:p>
        </w:tc>
      </w:tr>
      <w:tr>
        <w:tc>
          <w:tcPr>
            <w:tcW w:type="dxa" w:w="2009"/>
            <w:shd w:val="clear" w:color="auto" w:fill="EEF1F6"/>
          </w:tcPr>
          <w:p>
            <w:r>
              <w:rPr>
                <w:b w:val="0"/>
                <w:i w:val="0"/>
                <w:sz w:val="15"/>
              </w:rPr>
              <w:t>Investments at fair value</w:t>
            </w:r>
          </w:p>
        </w:tc>
        <w:tc>
          <w:tcPr>
            <w:tcW w:type="dxa" w:w="6211"/>
            <w:shd w:val="clear" w:color="auto" w:fill="EEF1F6"/>
          </w:tcPr>
          <w:p>
            <w:r>
              <w:rPr>
                <w:b w:val="0"/>
                <w:i w:val="0"/>
                <w:sz w:val="15"/>
              </w:rPr>
              <w:t>Anthropic revalued with each private round (Level 3); FVOCI vs FVTPL not confirmed; book value up KRW 2.1tn in six months - equity, P/B and ROE are optically affected</w:t>
            </w:r>
          </w:p>
        </w:tc>
        <w:tc>
          <w:tcPr>
            <w:tcW w:type="dxa" w:w="1644"/>
            <w:shd w:val="clear" w:color="auto" w:fill="EEF1F6"/>
          </w:tcPr>
          <w:p>
            <w:r>
              <w:rPr>
                <w:b w:val="0"/>
                <w:i w:val="0"/>
                <w:sz w:val="15"/>
              </w:rPr>
              <w:t>High (optics)</w:t>
            </w:r>
          </w:p>
        </w:tc>
      </w:tr>
      <w:tr>
        <w:tc>
          <w:tcPr>
            <w:tcW w:type="dxa" w:w="2009"/>
          </w:tcPr>
          <w:p>
            <w:r>
              <w:rPr>
                <w:b w:val="0"/>
                <w:i w:val="0"/>
                <w:sz w:val="15"/>
              </w:rPr>
              <w:t>Leases (IFRS 16)</w:t>
            </w:r>
          </w:p>
        </w:tc>
        <w:tc>
          <w:tcPr>
            <w:tcW w:type="dxa" w:w="6211"/>
          </w:tcPr>
          <w:p>
            <w:r>
              <w:rPr>
                <w:b w:val="0"/>
                <w:i w:val="0"/>
                <w:sz w:val="15"/>
              </w:rPr>
              <w:t>Data-centre, site and shop leases inflate EBITDA vs cash; lease liabilities ~KRW 1.5-2tn [u] - use EBITDA-after-leases for comparisons</w:t>
            </w:r>
          </w:p>
        </w:tc>
        <w:tc>
          <w:tcPr>
            <w:tcW w:type="dxa" w:w="1644"/>
          </w:tcPr>
          <w:p>
            <w:r>
              <w:rPr>
                <w:b w:val="0"/>
                <w:i w:val="0"/>
                <w:sz w:val="15"/>
              </w:rPr>
              <w:t>Medium</w:t>
            </w:r>
          </w:p>
        </w:tc>
      </w:tr>
      <w:tr>
        <w:tc>
          <w:tcPr>
            <w:tcW w:type="dxa" w:w="2009"/>
            <w:shd w:val="clear" w:color="auto" w:fill="EEF1F6"/>
          </w:tcPr>
          <w:p>
            <w:r>
              <w:rPr>
                <w:b w:val="0"/>
                <w:i w:val="0"/>
                <w:sz w:val="15"/>
              </w:rPr>
              <w:t>Related parties</w:t>
            </w:r>
          </w:p>
        </w:tc>
        <w:tc>
          <w:tcPr>
            <w:tcW w:type="dxa" w:w="6211"/>
            <w:shd w:val="clear" w:color="auto" w:fill="EEF1F6"/>
          </w:tcPr>
          <w:p>
            <w:r>
              <w:rPr>
                <w:b w:val="0"/>
                <w:i w:val="0"/>
                <w:sz w:val="15"/>
              </w:rPr>
              <w:t>SK Inc. brand royalty (0.2% of revenue ex-ads); SK AX IT outsourcing (large, board-approved); KRW 738bn SK hynix-linked investment [u]; group-appointed CEO</w:t>
            </w:r>
          </w:p>
        </w:tc>
        <w:tc>
          <w:tcPr>
            <w:tcW w:type="dxa" w:w="1644"/>
            <w:shd w:val="clear" w:color="auto" w:fill="EEF1F6"/>
          </w:tcPr>
          <w:p>
            <w:r>
              <w:rPr>
                <w:b w:val="0"/>
                <w:i w:val="0"/>
                <w:sz w:val="15"/>
              </w:rPr>
              <w:t>High</w:t>
            </w:r>
          </w:p>
        </w:tc>
      </w:tr>
      <w:tr>
        <w:tc>
          <w:tcPr>
            <w:tcW w:type="dxa" w:w="2009"/>
          </w:tcPr>
          <w:p>
            <w:r>
              <w:rPr>
                <w:b w:val="0"/>
                <w:i w:val="0"/>
                <w:sz w:val="15"/>
              </w:rPr>
              <w:t>Contingencies</w:t>
            </w:r>
          </w:p>
        </w:tc>
        <w:tc>
          <w:tcPr>
            <w:tcW w:type="dxa" w:w="6211"/>
          </w:tcPr>
          <w:p>
            <w:r>
              <w:rPr>
                <w:b w:val="0"/>
                <w:i w:val="0"/>
                <w:sz w:val="15"/>
              </w:rPr>
              <w:t>PIPC fine (paid/accrued, under appeal); ~15,900-plaintiff civil suits (KRW 500k each claimed); criminal referral; Consumer Agency KRW 100k/person proposal rejected (tail ~KRW 2.3tn)</w:t>
            </w:r>
          </w:p>
        </w:tc>
        <w:tc>
          <w:tcPr>
            <w:tcW w:type="dxa" w:w="1644"/>
          </w:tcPr>
          <w:p>
            <w:r>
              <w:rPr>
                <w:b w:val="0"/>
                <w:i w:val="0"/>
                <w:sz w:val="15"/>
              </w:rPr>
              <w:t>Medium (tail high)</w:t>
            </w:r>
          </w:p>
        </w:tc>
      </w:tr>
      <w:tr>
        <w:tc>
          <w:tcPr>
            <w:tcW w:type="dxa" w:w="2009"/>
            <w:shd w:val="clear" w:color="auto" w:fill="EEF1F6"/>
          </w:tcPr>
          <w:p>
            <w:r>
              <w:rPr>
                <w:b w:val="0"/>
                <w:i w:val="0"/>
                <w:sz w:val="15"/>
              </w:rPr>
              <w:t>Minority puts / exit rights</w:t>
            </w:r>
          </w:p>
        </w:tc>
        <w:tc>
          <w:tcPr>
            <w:tcW w:type="dxa" w:w="6211"/>
            <w:shd w:val="clear" w:color="auto" w:fill="EEF1F6"/>
          </w:tcPr>
          <w:p>
            <w:r>
              <w:rPr>
                <w:b w:val="0"/>
                <w:i w:val="0"/>
                <w:sz w:val="15"/>
              </w:rPr>
              <w:t>SK Horizon terms with KKR/IMM not disclosed - possible IPO/drag/put rights = quasi-debt</w:t>
            </w:r>
          </w:p>
        </w:tc>
        <w:tc>
          <w:tcPr>
            <w:tcW w:type="dxa" w:w="1644"/>
            <w:shd w:val="clear" w:color="auto" w:fill="EEF1F6"/>
          </w:tcPr>
          <w:p>
            <w:r>
              <w:rPr>
                <w:b w:val="0"/>
                <w:i w:val="0"/>
                <w:sz w:val="15"/>
              </w:rPr>
              <w:t>Medium</w:t>
            </w:r>
          </w:p>
        </w:tc>
      </w:tr>
      <w:tr>
        <w:tc>
          <w:tcPr>
            <w:tcW w:type="dxa" w:w="2009"/>
          </w:tcPr>
          <w:p>
            <w:r>
              <w:rPr>
                <w:b w:val="0"/>
                <w:i w:val="0"/>
                <w:sz w:val="15"/>
              </w:rPr>
              <w:t>"One-offs"</w:t>
            </w:r>
          </w:p>
        </w:tc>
        <w:tc>
          <w:tcPr>
            <w:tcW w:type="dxa" w:w="6211"/>
          </w:tcPr>
          <w:p>
            <w:r>
              <w:rPr>
                <w:b w:val="0"/>
                <w:i w:val="0"/>
                <w:sz w:val="15"/>
              </w:rPr>
              <w:t>VRS, security, compensation described as one-off for three consecutive quarters; watch for recurring "non-recurring" items</w:t>
            </w:r>
          </w:p>
        </w:tc>
        <w:tc>
          <w:tcPr>
            <w:tcW w:type="dxa" w:w="1644"/>
          </w:tcPr>
          <w:p>
            <w:r>
              <w:rPr>
                <w:b w:val="0"/>
                <w:i w:val="0"/>
                <w:sz w:val="15"/>
              </w:rPr>
              <w:t>Medium</w:t>
            </w:r>
          </w:p>
        </w:tc>
      </w:tr>
      <w:tr>
        <w:tc>
          <w:tcPr>
            <w:tcW w:type="dxa" w:w="2009"/>
            <w:shd w:val="clear" w:color="auto" w:fill="EEF1F6"/>
          </w:tcPr>
          <w:p>
            <w:r>
              <w:rPr>
                <w:b w:val="0"/>
                <w:i w:val="0"/>
                <w:sz w:val="15"/>
              </w:rPr>
              <w:t>Goodwill / intangibles</w:t>
            </w:r>
          </w:p>
        </w:tc>
        <w:tc>
          <w:tcPr>
            <w:tcW w:type="dxa" w:w="6211"/>
            <w:shd w:val="clear" w:color="auto" w:fill="EEF1F6"/>
          </w:tcPr>
          <w:p>
            <w:r>
              <w:rPr>
                <w:b w:val="0"/>
                <w:i w:val="0"/>
                <w:sz w:val="15"/>
              </w:rPr>
              <w:t>Goodwill from Tbroad/SKB; spectrum licences (new ~KRW 1.2-1.3tn) - impairment risk low but amortisation rising</w:t>
            </w:r>
          </w:p>
        </w:tc>
        <w:tc>
          <w:tcPr>
            <w:tcW w:type="dxa" w:w="1644"/>
            <w:shd w:val="clear" w:color="auto" w:fill="EEF1F6"/>
          </w:tcPr>
          <w:p>
            <w:r>
              <w:rPr>
                <w:b w:val="0"/>
                <w:i w:val="0"/>
                <w:sz w:val="15"/>
              </w:rPr>
              <w:t>Low</w:t>
            </w:r>
          </w:p>
        </w:tc>
      </w:tr>
      <w:tr>
        <w:tc>
          <w:tcPr>
            <w:tcW w:type="dxa" w:w="2009"/>
          </w:tcPr>
          <w:p>
            <w:r>
              <w:rPr>
                <w:b w:val="0"/>
                <w:i w:val="0"/>
                <w:sz w:val="15"/>
              </w:rPr>
              <w:t>Stock-based compensation</w:t>
            </w:r>
          </w:p>
        </w:tc>
        <w:tc>
          <w:tcPr>
            <w:tcW w:type="dxa" w:w="6211"/>
          </w:tcPr>
          <w:p>
            <w:r>
              <w:rPr>
                <w:b w:val="0"/>
                <w:i w:val="0"/>
                <w:sz w:val="15"/>
              </w:rPr>
              <w:t>Small stock options/PSUs; immaterial</w:t>
            </w:r>
          </w:p>
        </w:tc>
        <w:tc>
          <w:tcPr>
            <w:tcW w:type="dxa" w:w="1644"/>
          </w:tcPr>
          <w:p>
            <w:r>
              <w:rPr>
                <w:b w:val="0"/>
                <w:i w:val="0"/>
                <w:sz w:val="15"/>
              </w:rPr>
              <w:t>Low</w:t>
            </w:r>
          </w:p>
        </w:tc>
      </w:tr>
      <w:tr>
        <w:tc>
          <w:tcPr>
            <w:tcW w:type="dxa" w:w="2009"/>
            <w:shd w:val="clear" w:color="auto" w:fill="EEF1F6"/>
          </w:tcPr>
          <w:p>
            <w:r>
              <w:rPr>
                <w:b w:val="0"/>
                <w:i w:val="0"/>
                <w:sz w:val="15"/>
              </w:rPr>
              <w:t>Cash flow</w:t>
            </w:r>
          </w:p>
        </w:tc>
        <w:tc>
          <w:tcPr>
            <w:tcW w:type="dxa" w:w="6211"/>
            <w:shd w:val="clear" w:color="auto" w:fill="EEF1F6"/>
          </w:tcPr>
          <w:p>
            <w:r>
              <w:rPr>
                <w:b w:val="0"/>
                <w:i w:val="0"/>
                <w:sz w:val="15"/>
              </w:rPr>
              <w:t>FCF supported by lower capex (12.5% of sales) - sustainability questionable with 5G SA mandate and indoor-cell build</w:t>
            </w:r>
          </w:p>
        </w:tc>
        <w:tc>
          <w:tcPr>
            <w:tcW w:type="dxa" w:w="1644"/>
            <w:shd w:val="clear" w:color="auto" w:fill="EEF1F6"/>
          </w:tcPr>
          <w:p>
            <w:r>
              <w:rPr>
                <w:b w:val="0"/>
                <w:i w:val="0"/>
                <w:sz w:val="15"/>
              </w:rPr>
              <w:t>Medium</w:t>
            </w:r>
          </w:p>
        </w:tc>
      </w:tr>
    </w:tbl>
    <w:p/>
    <w:p>
      <w:pPr>
        <w:pStyle w:val="Heading2"/>
      </w:pPr>
      <w:r>
        <w:rPr>
          <w:b/>
          <w:i w:val="0"/>
          <w:color w:val="2D6CCB"/>
          <w:sz w:val="24"/>
        </w:rPr>
        <w:t>23.6 What must hold for today's price - and what if growth disappoints?</w:t>
      </w:r>
    </w:p>
    <w:p>
      <w:pPr>
        <w:pStyle w:val="ListBullet"/>
        <w:spacing w:after="20"/>
      </w:pPr>
      <w:r>
        <w:rPr>
          <w:b w:val="0"/>
          <w:i w:val="0"/>
        </w:rPr>
        <w:t>At KRW 86,200 the market implicitly assumes: core telco ~4.0x EBITDA (flat margins), Anthropic ≥ its Series H mark, SK Horizon closes, dividend of KRW 3,320 maintained.</w:t>
      </w:r>
    </w:p>
    <w:p>
      <w:pPr>
        <w:pStyle w:val="ListBullet"/>
        <w:spacing w:after="20"/>
      </w:pPr>
      <w:r>
        <w:rPr>
          <w:b/>
          <w:i w:val="0"/>
        </w:rPr>
        <w:t>Growth 20-30% below our base</w:t>
      </w:r>
      <w:r>
        <w:rPr>
          <w:b w:val="0"/>
          <w:i w:val="0"/>
        </w:rPr>
        <w:t xml:space="preserve"> (FY27E EBITDA 4-6% lower; EPS ~KRW 5,200-5,600): core value falls ~KRW 5-6k/share at a constant multiple; with a de-rating to 3.6x the share would be worth ~KRW 72-78k (-10 to -16%) before any Anthropic change.</w:t>
      </w:r>
    </w:p>
    <w:p>
      <w:pPr>
        <w:pStyle w:val="ListBullet"/>
        <w:spacing w:after="20"/>
      </w:pPr>
      <w:r>
        <w:rPr>
          <w:b/>
          <w:i w:val="0"/>
        </w:rPr>
        <w:t>Single scenario that permanently impairs the business:</w:t>
      </w:r>
      <w:r>
        <w:rPr>
          <w:b w:val="0"/>
          <w:i w:val="0"/>
        </w:rPr>
        <w:t xml:space="preserve"> a government-mandated structural price reset (universal low-cost 5G + wholesale-rate cuts) combined with a second major security incident - it would turn SKT into a price-regulated utility with no premium. Plausibility: low-to-moderate (~10-15%) over three years.</w:t>
      </w:r>
    </w:p>
    <w:p>
      <w:r>
        <w:br w:type="page"/>
      </w:r>
    </w:p>
    <w:p>
      <w:pPr>
        <w:pStyle w:val="Heading1"/>
      </w:pPr>
      <w:r>
        <w:rPr>
          <w:b/>
          <w:i w:val="0"/>
          <w:color w:val="13223F"/>
          <w:sz w:val="32"/>
        </w:rPr>
        <w:t>24. Timeline of key past events and catalyst calendar</w:t>
      </w:r>
    </w:p>
    <w:p>
      <w:pPr>
        <w:pStyle w:val="Heading2"/>
      </w:pPr>
      <w:r>
        <w:rPr>
          <w:b/>
          <w:i w:val="0"/>
          <w:color w:val="2D6CCB"/>
          <w:sz w:val="24"/>
        </w:rPr>
        <w:t>24.1 Key events, 2016-2026</w:t>
      </w:r>
    </w:p>
    <w:tbl>
      <w:tblPr>
        <w:tblStyle w:val="TableGrid"/>
        <w:tblW w:type="auto" w:w="0"/>
        <w:jc w:val="center"/>
        <w:tblLook w:firstColumn="1" w:firstRow="1" w:lastColumn="0" w:lastRow="0" w:noHBand="0" w:noVBand="1" w:val="04A0"/>
      </w:tblPr>
      <w:tblGrid>
        <w:gridCol w:w="5100"/>
        <w:gridCol w:w="5100"/>
      </w:tblGrid>
      <w:tr>
        <w:tc>
          <w:tcPr>
            <w:tcW w:type="dxa" w:w="1644"/>
            <w:shd w:val="clear" w:color="auto" w:fill="13223F"/>
          </w:tcPr>
          <w:p>
            <w:r>
              <w:rPr>
                <w:b/>
                <w:i w:val="0"/>
                <w:color w:val="FFFFFF"/>
                <w:sz w:val="15"/>
              </w:rPr>
              <w:t>Date</w:t>
            </w:r>
          </w:p>
        </w:tc>
        <w:tc>
          <w:tcPr>
            <w:tcW w:type="dxa" w:w="8220"/>
            <w:shd w:val="clear" w:color="auto" w:fill="13223F"/>
          </w:tcPr>
          <w:p>
            <w:r>
              <w:rPr>
                <w:b/>
                <w:i w:val="0"/>
                <w:color w:val="FFFFFF"/>
                <w:sz w:val="15"/>
              </w:rPr>
              <w:t>Event</w:t>
            </w:r>
          </w:p>
        </w:tc>
      </w:tr>
      <w:tr>
        <w:tc>
          <w:tcPr>
            <w:tcW w:type="dxa" w:w="1644"/>
          </w:tcPr>
          <w:p>
            <w:r>
              <w:rPr>
                <w:b w:val="0"/>
                <w:i w:val="0"/>
                <w:sz w:val="15"/>
              </w:rPr>
              <w:t>Jul-2016</w:t>
            </w:r>
          </w:p>
        </w:tc>
        <w:tc>
          <w:tcPr>
            <w:tcW w:type="dxa" w:w="8220"/>
          </w:tcPr>
          <w:p>
            <w:r>
              <w:rPr>
                <w:b w:val="0"/>
                <w:i w:val="0"/>
                <w:sz w:val="15"/>
              </w:rPr>
              <w:t>KFTC blocks CJ HelloVision acquisition</w:t>
            </w:r>
          </w:p>
        </w:tc>
      </w:tr>
      <w:tr>
        <w:tc>
          <w:tcPr>
            <w:tcW w:type="dxa" w:w="1644"/>
            <w:shd w:val="clear" w:color="auto" w:fill="EEF1F6"/>
          </w:tcPr>
          <w:p>
            <w:r>
              <w:rPr>
                <w:b w:val="0"/>
                <w:i w:val="0"/>
                <w:sz w:val="15"/>
              </w:rPr>
              <w:t>2018</w:t>
            </w:r>
          </w:p>
        </w:tc>
        <w:tc>
          <w:tcPr>
            <w:tcW w:type="dxa" w:w="8220"/>
            <w:shd w:val="clear" w:color="auto" w:fill="EEF1F6"/>
          </w:tcPr>
          <w:p>
            <w:r>
              <w:rPr>
                <w:b w:val="0"/>
                <w:i w:val="0"/>
                <w:sz w:val="15"/>
              </w:rPr>
              <w:t>ADT Caps acquired with Macquarie; ID Quantique stake</w:t>
            </w:r>
          </w:p>
        </w:tc>
      </w:tr>
      <w:tr>
        <w:tc>
          <w:tcPr>
            <w:tcW w:type="dxa" w:w="1644"/>
          </w:tcPr>
          <w:p>
            <w:r>
              <w:rPr>
                <w:b w:val="0"/>
                <w:i w:val="0"/>
                <w:sz w:val="15"/>
              </w:rPr>
              <w:t>2019</w:t>
            </w:r>
          </w:p>
        </w:tc>
        <w:tc>
          <w:tcPr>
            <w:tcW w:type="dxa" w:w="8220"/>
          </w:tcPr>
          <w:p>
            <w:r>
              <w:rPr>
                <w:b w:val="0"/>
                <w:i w:val="0"/>
                <w:sz w:val="15"/>
              </w:rPr>
              <w:t>Wavve launched; Kakao share swap</w:t>
            </w:r>
          </w:p>
        </w:tc>
      </w:tr>
      <w:tr>
        <w:tc>
          <w:tcPr>
            <w:tcW w:type="dxa" w:w="1644"/>
            <w:shd w:val="clear" w:color="auto" w:fill="EEF1F6"/>
          </w:tcPr>
          <w:p>
            <w:r>
              <w:rPr>
                <w:b w:val="0"/>
                <w:i w:val="0"/>
                <w:sz w:val="15"/>
              </w:rPr>
              <w:t>Apr-2020</w:t>
            </w:r>
          </w:p>
        </w:tc>
        <w:tc>
          <w:tcPr>
            <w:tcW w:type="dxa" w:w="8220"/>
            <w:shd w:val="clear" w:color="auto" w:fill="EEF1F6"/>
          </w:tcPr>
          <w:p>
            <w:r>
              <w:rPr>
                <w:b w:val="0"/>
                <w:i w:val="0"/>
                <w:sz w:val="15"/>
              </w:rPr>
              <w:t>SK Broadband-Tbroad merger completes</w:t>
            </w:r>
          </w:p>
        </w:tc>
      </w:tr>
      <w:tr>
        <w:tc>
          <w:tcPr>
            <w:tcW w:type="dxa" w:w="1644"/>
          </w:tcPr>
          <w:p>
            <w:r>
              <w:rPr>
                <w:b w:val="0"/>
                <w:i w:val="0"/>
                <w:sz w:val="15"/>
              </w:rPr>
              <w:t>1-Nov-2021</w:t>
            </w:r>
          </w:p>
        </w:tc>
        <w:tc>
          <w:tcPr>
            <w:tcW w:type="dxa" w:w="8220"/>
          </w:tcPr>
          <w:p>
            <w:r>
              <w:rPr>
                <w:b w:val="0"/>
                <w:i w:val="0"/>
                <w:sz w:val="15"/>
              </w:rPr>
              <w:t>SK Square spin-off; 5:1 split (relisting 29-Nov)</w:t>
            </w:r>
          </w:p>
        </w:tc>
      </w:tr>
      <w:tr>
        <w:tc>
          <w:tcPr>
            <w:tcW w:type="dxa" w:w="1644"/>
            <w:shd w:val="clear" w:color="auto" w:fill="EEF1F6"/>
          </w:tcPr>
          <w:p>
            <w:r>
              <w:rPr>
                <w:b w:val="0"/>
                <w:i w:val="0"/>
                <w:sz w:val="15"/>
              </w:rPr>
              <w:t>Aug-2023</w:t>
            </w:r>
          </w:p>
        </w:tc>
        <w:tc>
          <w:tcPr>
            <w:tcW w:type="dxa" w:w="8220"/>
            <w:shd w:val="clear" w:color="auto" w:fill="EEF1F6"/>
          </w:tcPr>
          <w:p>
            <w:r>
              <w:rPr>
                <w:b w:val="0"/>
                <w:i w:val="0"/>
                <w:sz w:val="15"/>
              </w:rPr>
              <w:t>US$100m Anthropic investment; Global Telco AI Alliance formed (Jul)</w:t>
            </w:r>
          </w:p>
        </w:tc>
      </w:tr>
      <w:tr>
        <w:tc>
          <w:tcPr>
            <w:tcW w:type="dxa" w:w="1644"/>
          </w:tcPr>
          <w:p>
            <w:r>
              <w:rPr>
                <w:b w:val="0"/>
                <w:i w:val="0"/>
                <w:sz w:val="15"/>
              </w:rPr>
              <w:t>Dec-2024</w:t>
            </w:r>
          </w:p>
        </w:tc>
        <w:tc>
          <w:tcPr>
            <w:tcW w:type="dxa" w:w="8220"/>
          </w:tcPr>
          <w:p>
            <w:r>
              <w:rPr>
                <w:b w:val="0"/>
                <w:i w:val="0"/>
                <w:sz w:val="15"/>
              </w:rPr>
              <w:t>SAPEON-Rebellions merger; Penguin Solutions US$200m; SK Comms sold</w:t>
            </w:r>
          </w:p>
        </w:tc>
      </w:tr>
      <w:tr>
        <w:tc>
          <w:tcPr>
            <w:tcW w:type="dxa" w:w="1644"/>
            <w:shd w:val="clear" w:color="auto" w:fill="EEF1F6"/>
          </w:tcPr>
          <w:p>
            <w:r>
              <w:rPr>
                <w:b w:val="0"/>
                <w:i w:val="0"/>
                <w:sz w:val="15"/>
              </w:rPr>
              <w:t>22-Apr-2025</w:t>
            </w:r>
          </w:p>
        </w:tc>
        <w:tc>
          <w:tcPr>
            <w:tcW w:type="dxa" w:w="8220"/>
            <w:shd w:val="clear" w:color="auto" w:fill="EEF1F6"/>
          </w:tcPr>
          <w:p>
            <w:r>
              <w:rPr>
                <w:b w:val="0"/>
                <w:i w:val="0"/>
                <w:sz w:val="15"/>
              </w:rPr>
              <w:t>USIM breach disclosed (26.96m IMSI records)</w:t>
            </w:r>
          </w:p>
        </w:tc>
      </w:tr>
      <w:tr>
        <w:tc>
          <w:tcPr>
            <w:tcW w:type="dxa" w:w="1644"/>
          </w:tcPr>
          <w:p>
            <w:r>
              <w:rPr>
                <w:b w:val="0"/>
                <w:i w:val="0"/>
                <w:sz w:val="15"/>
              </w:rPr>
              <w:t>Jun/Jul-2025</w:t>
            </w:r>
          </w:p>
        </w:tc>
        <w:tc>
          <w:tcPr>
            <w:tcW w:type="dxa" w:w="8220"/>
          </w:tcPr>
          <w:p>
            <w:r>
              <w:rPr>
                <w:b w:val="0"/>
                <w:i w:val="0"/>
                <w:sz w:val="15"/>
              </w:rPr>
              <w:t>SK-AWS Ulsan AI-DC (20-Jun); investigation results, KRW 500bn package, KRW 700bn security plan (4-Jul); Dantong-beop repealed (22-Jul)</w:t>
            </w:r>
          </w:p>
        </w:tc>
      </w:tr>
      <w:tr>
        <w:tc>
          <w:tcPr>
            <w:tcW w:type="dxa" w:w="1644"/>
            <w:shd w:val="clear" w:color="auto" w:fill="EEF1F6"/>
          </w:tcPr>
          <w:p>
            <w:r>
              <w:rPr>
                <w:b w:val="0"/>
                <w:i w:val="0"/>
                <w:sz w:val="15"/>
              </w:rPr>
              <w:t>28-Aug-2025</w:t>
            </w:r>
          </w:p>
        </w:tc>
        <w:tc>
          <w:tcPr>
            <w:tcW w:type="dxa" w:w="8220"/>
            <w:shd w:val="clear" w:color="auto" w:fill="EEF1F6"/>
          </w:tcPr>
          <w:p>
            <w:r>
              <w:rPr>
                <w:b w:val="0"/>
                <w:i w:val="0"/>
                <w:sz w:val="15"/>
              </w:rPr>
              <w:t>PIPC fine KRW 134.8bn</w:t>
            </w:r>
          </w:p>
        </w:tc>
      </w:tr>
      <w:tr>
        <w:tc>
          <w:tcPr>
            <w:tcW w:type="dxa" w:w="1644"/>
          </w:tcPr>
          <w:p>
            <w:r>
              <w:rPr>
                <w:b w:val="0"/>
                <w:i w:val="0"/>
                <w:sz w:val="15"/>
              </w:rPr>
              <w:t>Sep/Oct-2025</w:t>
            </w:r>
          </w:p>
        </w:tc>
        <w:tc>
          <w:tcPr>
            <w:tcW w:type="dxa" w:w="8220"/>
          </w:tcPr>
          <w:p>
            <w:r>
              <w:rPr>
                <w:b w:val="0"/>
                <w:i w:val="0"/>
                <w:sz w:val="15"/>
              </w:rPr>
              <w:t>OpenAI exclusive telco partnership; Stargate Korea MOU; 30-Oct: CEO change, Q3 dividend skipped</w:t>
            </w:r>
          </w:p>
        </w:tc>
      </w:tr>
      <w:tr>
        <w:tc>
          <w:tcPr>
            <w:tcW w:type="dxa" w:w="1644"/>
            <w:shd w:val="clear" w:color="auto" w:fill="EEF1F6"/>
          </w:tcPr>
          <w:p>
            <w:r>
              <w:rPr>
                <w:b w:val="0"/>
                <w:i w:val="0"/>
                <w:sz w:val="15"/>
              </w:rPr>
              <w:t>Jan-2026</w:t>
            </w:r>
          </w:p>
        </w:tc>
        <w:tc>
          <w:tcPr>
            <w:tcW w:type="dxa" w:w="8220"/>
            <w:shd w:val="clear" w:color="auto" w:fill="EEF1F6"/>
          </w:tcPr>
          <w:p>
            <w:r>
              <w:rPr>
                <w:b w:val="0"/>
                <w:i w:val="0"/>
                <w:sz w:val="15"/>
              </w:rPr>
              <w:t>SKT sues to cancel PIPC fine; KT fee-waiver window - SKT gains ~200k; Anthropic Series G re-rating</w:t>
            </w:r>
          </w:p>
        </w:tc>
      </w:tr>
      <w:tr>
        <w:tc>
          <w:tcPr>
            <w:tcW w:type="dxa" w:w="1644"/>
          </w:tcPr>
          <w:p>
            <w:r>
              <w:rPr>
                <w:b w:val="0"/>
                <w:i w:val="0"/>
                <w:sz w:val="15"/>
              </w:rPr>
              <w:t>6-Feb-2026</w:t>
            </w:r>
          </w:p>
        </w:tc>
        <w:tc>
          <w:tcPr>
            <w:tcW w:type="dxa" w:w="8220"/>
          </w:tcPr>
          <w:p>
            <w:r>
              <w:rPr>
                <w:b w:val="0"/>
                <w:i w:val="0"/>
                <w:sz w:val="15"/>
              </w:rPr>
              <w:t>FY25 results; year-end dividend cancelled (-10.7%)</w:t>
            </w:r>
          </w:p>
        </w:tc>
      </w:tr>
      <w:tr>
        <w:tc>
          <w:tcPr>
            <w:tcW w:type="dxa" w:w="1644"/>
            <w:shd w:val="clear" w:color="auto" w:fill="EEF1F6"/>
          </w:tcPr>
          <w:p>
            <w:r>
              <w:rPr>
                <w:b w:val="0"/>
                <w:i w:val="0"/>
                <w:sz w:val="15"/>
              </w:rPr>
              <w:t>26-Mar-2026</w:t>
            </w:r>
          </w:p>
        </w:tc>
        <w:tc>
          <w:tcPr>
            <w:tcW w:type="dxa" w:w="8220"/>
            <w:shd w:val="clear" w:color="auto" w:fill="EEF1F6"/>
          </w:tcPr>
          <w:p>
            <w:r>
              <w:rPr>
                <w:b w:val="0"/>
                <w:i w:val="0"/>
                <w:sz w:val="15"/>
              </w:rPr>
              <w:t>AGM: new board, CEO Jung representative director; KRW 1.7tn reserve reclassified</w:t>
            </w:r>
          </w:p>
        </w:tc>
      </w:tr>
      <w:tr>
        <w:tc>
          <w:tcPr>
            <w:tcW w:type="dxa" w:w="1644"/>
          </w:tcPr>
          <w:p>
            <w:r>
              <w:rPr>
                <w:b w:val="0"/>
                <w:i w:val="0"/>
                <w:sz w:val="15"/>
              </w:rPr>
              <w:t>May-2026</w:t>
            </w:r>
          </w:p>
        </w:tc>
        <w:tc>
          <w:tcPr>
            <w:tcW w:type="dxa" w:w="8220"/>
          </w:tcPr>
          <w:p>
            <w:r>
              <w:rPr>
                <w:b w:val="0"/>
                <w:i w:val="0"/>
                <w:sz w:val="15"/>
              </w:rPr>
              <w:t>1Q26 beat; DPS 830 restored; SKB 100%; Anthropic Series H (SKT +157k shares)</w:t>
            </w:r>
          </w:p>
        </w:tc>
      </w:tr>
      <w:tr>
        <w:tc>
          <w:tcPr>
            <w:tcW w:type="dxa" w:w="1644"/>
            <w:shd w:val="clear" w:color="auto" w:fill="EEF1F6"/>
          </w:tcPr>
          <w:p>
            <w:r>
              <w:rPr>
                <w:b w:val="0"/>
                <w:i w:val="0"/>
                <w:sz w:val="15"/>
              </w:rPr>
              <w:t>1-2-Jun-2026</w:t>
            </w:r>
          </w:p>
        </w:tc>
        <w:tc>
          <w:tcPr>
            <w:tcW w:type="dxa" w:w="8220"/>
            <w:shd w:val="clear" w:color="auto" w:fill="EEF1F6"/>
          </w:tcPr>
          <w:p>
            <w:r>
              <w:rPr>
                <w:b w:val="0"/>
                <w:i w:val="0"/>
                <w:sz w:val="15"/>
              </w:rPr>
              <w:t>Anthropic confidential S-1; SKT all-time high 139,500 intraday</w:t>
            </w:r>
          </w:p>
        </w:tc>
      </w:tr>
      <w:tr>
        <w:tc>
          <w:tcPr>
            <w:tcW w:type="dxa" w:w="1644"/>
          </w:tcPr>
          <w:p>
            <w:r>
              <w:rPr>
                <w:b w:val="0"/>
                <w:i w:val="0"/>
                <w:sz w:val="15"/>
              </w:rPr>
              <w:t>28-Jul-2026</w:t>
            </w:r>
          </w:p>
        </w:tc>
        <w:tc>
          <w:tcPr>
            <w:tcW w:type="dxa" w:w="8220"/>
          </w:tcPr>
          <w:p>
            <w:r>
              <w:rPr>
                <w:b w:val="0"/>
                <w:i w:val="0"/>
                <w:sz w:val="15"/>
              </w:rPr>
              <w:t>SK Hyper &amp; related investments approved; stock -16%</w:t>
            </w:r>
          </w:p>
        </w:tc>
      </w:tr>
      <w:tr>
        <w:tc>
          <w:tcPr>
            <w:tcW w:type="dxa" w:w="1644"/>
            <w:shd w:val="clear" w:color="auto" w:fill="EEF1F6"/>
          </w:tcPr>
          <w:p>
            <w:r>
              <w:rPr>
                <w:b w:val="0"/>
                <w:i w:val="0"/>
                <w:sz w:val="15"/>
              </w:rPr>
              <w:t>5-Aug-2026</w:t>
            </w:r>
          </w:p>
        </w:tc>
        <w:tc>
          <w:tcPr>
            <w:tcW w:type="dxa" w:w="8220"/>
            <w:shd w:val="clear" w:color="auto" w:fill="EEF1F6"/>
          </w:tcPr>
          <w:p>
            <w:r>
              <w:rPr>
                <w:b w:val="0"/>
                <w:i w:val="0"/>
                <w:sz w:val="15"/>
              </w:rPr>
              <w:t>2Q26: OP +67%, record margin</w:t>
            </w:r>
          </w:p>
        </w:tc>
      </w:tr>
      <w:tr>
        <w:tc>
          <w:tcPr>
            <w:tcW w:type="dxa" w:w="1644"/>
          </w:tcPr>
          <w:p>
            <w:r>
              <w:rPr>
                <w:b w:val="0"/>
                <w:i w:val="0"/>
                <w:sz w:val="15"/>
              </w:rPr>
              <w:t>27-Aug-2026</w:t>
            </w:r>
          </w:p>
        </w:tc>
        <w:tc>
          <w:tcPr>
            <w:tcW w:type="dxa" w:w="8220"/>
          </w:tcPr>
          <w:p>
            <w:r>
              <w:rPr>
                <w:b w:val="0"/>
                <w:i w:val="0"/>
                <w:sz w:val="15"/>
              </w:rPr>
              <w:t>SK Horizon: 49% to KKR / IMM-Stonebridge for KRW 3.08tn; BoK hikes to 3.00%</w:t>
            </w:r>
          </w:p>
        </w:tc>
      </w:tr>
      <w:tr>
        <w:tc>
          <w:tcPr>
            <w:tcW w:type="dxa" w:w="1644"/>
            <w:shd w:val="clear" w:color="auto" w:fill="EEF1F6"/>
          </w:tcPr>
          <w:p>
            <w:r>
              <w:rPr>
                <w:b w:val="0"/>
                <w:i w:val="0"/>
                <w:sz w:val="15"/>
              </w:rPr>
              <w:t>17/18-Sep-2026</w:t>
            </w:r>
          </w:p>
        </w:tc>
        <w:tc>
          <w:tcPr>
            <w:tcW w:type="dxa" w:w="8220"/>
            <w:shd w:val="clear" w:color="auto" w:fill="EEF1F6"/>
          </w:tcPr>
          <w:p>
            <w:r>
              <w:rPr>
                <w:b w:val="0"/>
                <w:i w:val="0"/>
                <w:sz w:val="15"/>
              </w:rPr>
              <w:t>First hearing in PIPC-fine lawsuit; WSJ: Anthropic IPO moved to November</w:t>
            </w:r>
          </w:p>
        </w:tc>
      </w:tr>
      <w:tr>
        <w:tc>
          <w:tcPr>
            <w:tcW w:type="dxa" w:w="1644"/>
          </w:tcPr>
          <w:p>
            <w:r>
              <w:rPr>
                <w:b w:val="0"/>
                <w:i w:val="0"/>
                <w:sz w:val="15"/>
              </w:rPr>
              <w:t>29-Sep-2026</w:t>
            </w:r>
          </w:p>
        </w:tc>
        <w:tc>
          <w:tcPr>
            <w:tcW w:type="dxa" w:w="8220"/>
          </w:tcPr>
          <w:p>
            <w:r>
              <w:rPr>
                <w:b w:val="0"/>
                <w:i w:val="0"/>
                <w:sz w:val="15"/>
              </w:rPr>
              <w:t>Anthropic prospectus details (US$42bn 2025 net loss) reported</w:t>
            </w:r>
          </w:p>
        </w:tc>
      </w:tr>
    </w:tbl>
    <w:p/>
    <w:p>
      <w:pPr>
        <w:pStyle w:val="Heading2"/>
      </w:pPr>
      <w:r>
        <w:rPr>
          <w:b/>
          <w:i w:val="0"/>
          <w:color w:val="2D6CCB"/>
          <w:sz w:val="24"/>
        </w:rPr>
        <w:t>24.2 Upcoming catalysts (Oct-2026 to end-2027)</w:t>
      </w:r>
    </w:p>
    <w:tbl>
      <w:tblPr>
        <w:tblStyle w:val="TableGrid"/>
        <w:tblW w:type="auto" w:w="0"/>
        <w:jc w:val="center"/>
        <w:tblLook w:firstColumn="1" w:firstRow="1" w:lastColumn="0" w:lastRow="0" w:noHBand="0" w:noVBand="1" w:val="04A0"/>
      </w:tblPr>
      <w:tblGrid>
        <w:gridCol w:w="3400"/>
        <w:gridCol w:w="3400"/>
        <w:gridCol w:w="3400"/>
      </w:tblGrid>
      <w:tr>
        <w:tc>
          <w:tcPr>
            <w:tcW w:type="dxa" w:w="2009"/>
            <w:shd w:val="clear" w:color="auto" w:fill="13223F"/>
          </w:tcPr>
          <w:p>
            <w:r>
              <w:rPr>
                <w:b/>
                <w:i w:val="0"/>
                <w:color w:val="FFFFFF"/>
                <w:sz w:val="15"/>
              </w:rPr>
              <w:t>Timing</w:t>
            </w:r>
          </w:p>
        </w:tc>
        <w:tc>
          <w:tcPr>
            <w:tcW w:type="dxa" w:w="6394"/>
            <w:shd w:val="clear" w:color="auto" w:fill="13223F"/>
          </w:tcPr>
          <w:p>
            <w:r>
              <w:rPr>
                <w:b/>
                <w:i w:val="0"/>
                <w:color w:val="FFFFFF"/>
                <w:sz w:val="15"/>
              </w:rPr>
              <w:t>Catalyst</w:t>
            </w:r>
          </w:p>
        </w:tc>
        <w:tc>
          <w:tcPr>
            <w:tcW w:type="dxa" w:w="1461"/>
            <w:shd w:val="clear" w:color="auto" w:fill="13223F"/>
          </w:tcPr>
          <w:p>
            <w:r>
              <w:rPr>
                <w:b/>
                <w:i w:val="0"/>
                <w:color w:val="FFFFFF"/>
                <w:sz w:val="15"/>
              </w:rPr>
              <w:t>Importance</w:t>
            </w:r>
          </w:p>
        </w:tc>
      </w:tr>
      <w:tr>
        <w:tc>
          <w:tcPr>
            <w:tcW w:type="dxa" w:w="2009"/>
          </w:tcPr>
          <w:p>
            <w:r>
              <w:rPr>
                <w:b w:val="0"/>
                <w:i w:val="0"/>
                <w:sz w:val="15"/>
              </w:rPr>
              <w:t>Late Oct / early Nov-26 [e]</w:t>
            </w:r>
          </w:p>
        </w:tc>
        <w:tc>
          <w:tcPr>
            <w:tcW w:type="dxa" w:w="6394"/>
          </w:tcPr>
          <w:p>
            <w:r>
              <w:rPr>
                <w:b w:val="0"/>
                <w:i w:val="0"/>
                <w:sz w:val="15"/>
              </w:rPr>
              <w:t>3Q26 results &amp; Q3 dividend declaration (first clean y/y compare vs 3Q25 OP KRW 48bn)</w:t>
            </w:r>
          </w:p>
        </w:tc>
        <w:tc>
          <w:tcPr>
            <w:tcW w:type="dxa" w:w="1461"/>
          </w:tcPr>
          <w:p>
            <w:r>
              <w:rPr>
                <w:b w:val="0"/>
                <w:i w:val="0"/>
                <w:sz w:val="15"/>
              </w:rPr>
              <w:t>HIGH</w:t>
            </w:r>
          </w:p>
        </w:tc>
      </w:tr>
      <w:tr>
        <w:tc>
          <w:tcPr>
            <w:tcW w:type="dxa" w:w="2009"/>
            <w:shd w:val="clear" w:color="auto" w:fill="EEF1F6"/>
          </w:tcPr>
          <w:p>
            <w:r>
              <w:rPr>
                <w:b w:val="0"/>
                <w:i w:val="0"/>
                <w:sz w:val="15"/>
              </w:rPr>
              <w:t>Late Oct - early Dec-26</w:t>
            </w:r>
          </w:p>
        </w:tc>
        <w:tc>
          <w:tcPr>
            <w:tcW w:type="dxa" w:w="6394"/>
            <w:shd w:val="clear" w:color="auto" w:fill="EEF1F6"/>
          </w:tcPr>
          <w:p>
            <w:r>
              <w:rPr>
                <w:b w:val="0"/>
                <w:i w:val="0"/>
                <w:sz w:val="15"/>
              </w:rPr>
              <w:t>SK Group annual reshuffle (last year 30-Oct)</w:t>
            </w:r>
          </w:p>
        </w:tc>
        <w:tc>
          <w:tcPr>
            <w:tcW w:type="dxa" w:w="1461"/>
            <w:shd w:val="clear" w:color="auto" w:fill="EEF1F6"/>
          </w:tcPr>
          <w:p>
            <w:r>
              <w:rPr>
                <w:b w:val="0"/>
                <w:i w:val="0"/>
                <w:sz w:val="15"/>
              </w:rPr>
              <w:t>MEDIUM</w:t>
            </w:r>
          </w:p>
        </w:tc>
      </w:tr>
      <w:tr>
        <w:tc>
          <w:tcPr>
            <w:tcW w:type="dxa" w:w="2009"/>
          </w:tcPr>
          <w:p>
            <w:r>
              <w:rPr>
                <w:b w:val="0"/>
                <w:i w:val="0"/>
                <w:sz w:val="15"/>
              </w:rPr>
              <w:t>Nov-26 (reported)</w:t>
            </w:r>
          </w:p>
        </w:tc>
        <w:tc>
          <w:tcPr>
            <w:tcW w:type="dxa" w:w="6394"/>
          </w:tcPr>
          <w:p>
            <w:r>
              <w:rPr>
                <w:b/>
                <w:i w:val="0"/>
                <w:sz w:val="15"/>
              </w:rPr>
              <w:t>Anthropic IPO pricing</w:t>
            </w:r>
            <w:r>
              <w:rPr>
                <w:b w:val="0"/>
                <w:i w:val="0"/>
                <w:sz w:val="15"/>
              </w:rPr>
              <w:t xml:space="preserve"> - mark-to-market of 3.86m shares; lock-up terms</w:t>
            </w:r>
          </w:p>
        </w:tc>
        <w:tc>
          <w:tcPr>
            <w:tcW w:type="dxa" w:w="1461"/>
          </w:tcPr>
          <w:p>
            <w:r>
              <w:rPr>
                <w:b w:val="0"/>
                <w:i w:val="0"/>
                <w:sz w:val="15"/>
              </w:rPr>
              <w:t>CRITICAL</w:t>
            </w:r>
          </w:p>
        </w:tc>
      </w:tr>
      <w:tr>
        <w:tc>
          <w:tcPr>
            <w:tcW w:type="dxa" w:w="2009"/>
            <w:shd w:val="clear" w:color="auto" w:fill="EEF1F6"/>
          </w:tcPr>
          <w:p>
            <w:r>
              <w:rPr>
                <w:b w:val="0"/>
                <w:i w:val="0"/>
                <w:sz w:val="15"/>
              </w:rPr>
              <w:t>~30-Nov-26 [e]</w:t>
            </w:r>
          </w:p>
        </w:tc>
        <w:tc>
          <w:tcPr>
            <w:tcW w:type="dxa" w:w="6394"/>
            <w:shd w:val="clear" w:color="auto" w:fill="EEF1F6"/>
          </w:tcPr>
          <w:p>
            <w:r>
              <w:rPr>
                <w:b w:val="0"/>
                <w:i w:val="0"/>
                <w:sz w:val="15"/>
              </w:rPr>
              <w:t>Q3 dividend record date (KRW 830 expected)</w:t>
            </w:r>
          </w:p>
        </w:tc>
        <w:tc>
          <w:tcPr>
            <w:tcW w:type="dxa" w:w="1461"/>
            <w:shd w:val="clear" w:color="auto" w:fill="EEF1F6"/>
          </w:tcPr>
          <w:p>
            <w:r>
              <w:rPr>
                <w:b w:val="0"/>
                <w:i w:val="0"/>
                <w:sz w:val="15"/>
              </w:rPr>
              <w:t>MEDIUM</w:t>
            </w:r>
          </w:p>
        </w:tc>
      </w:tr>
      <w:tr>
        <w:tc>
          <w:tcPr>
            <w:tcW w:type="dxa" w:w="2009"/>
          </w:tcPr>
          <w:p>
            <w:r>
              <w:rPr>
                <w:b w:val="0"/>
                <w:i w:val="0"/>
                <w:sz w:val="15"/>
              </w:rPr>
              <w:t>Dec-26</w:t>
            </w:r>
          </w:p>
        </w:tc>
        <w:tc>
          <w:tcPr>
            <w:tcW w:type="dxa" w:w="6394"/>
          </w:tcPr>
          <w:p>
            <w:r>
              <w:rPr>
                <w:b w:val="0"/>
                <w:i w:val="0"/>
                <w:sz w:val="15"/>
              </w:rPr>
              <w:t>1.8/2.1/2.6GHz licence expiry and re-allocation payments; 5G SA compliance</w:t>
            </w:r>
          </w:p>
        </w:tc>
        <w:tc>
          <w:tcPr>
            <w:tcW w:type="dxa" w:w="1461"/>
          </w:tcPr>
          <w:p>
            <w:r>
              <w:rPr>
                <w:b w:val="0"/>
                <w:i w:val="0"/>
                <w:sz w:val="15"/>
              </w:rPr>
              <w:t>MEDIUM</w:t>
            </w:r>
          </w:p>
        </w:tc>
      </w:tr>
      <w:tr>
        <w:tc>
          <w:tcPr>
            <w:tcW w:type="dxa" w:w="2009"/>
            <w:shd w:val="clear" w:color="auto" w:fill="EEF1F6"/>
          </w:tcPr>
          <w:p>
            <w:r>
              <w:rPr>
                <w:b w:val="0"/>
                <w:i w:val="0"/>
                <w:sz w:val="15"/>
              </w:rPr>
              <w:t>31-Dec-26</w:t>
            </w:r>
          </w:p>
        </w:tc>
        <w:tc>
          <w:tcPr>
            <w:tcW w:type="dxa" w:w="6394"/>
            <w:shd w:val="clear" w:color="auto" w:fill="EEF1F6"/>
          </w:tcPr>
          <w:p>
            <w:r>
              <w:rPr>
                <w:b w:val="0"/>
                <w:i w:val="0"/>
                <w:sz w:val="15"/>
              </w:rPr>
              <w:t>TVING-Wavve price-freeze condition expires; merger closing</w:t>
            </w:r>
          </w:p>
        </w:tc>
        <w:tc>
          <w:tcPr>
            <w:tcW w:type="dxa" w:w="1461"/>
            <w:shd w:val="clear" w:color="auto" w:fill="EEF1F6"/>
          </w:tcPr>
          <w:p>
            <w:r>
              <w:rPr>
                <w:b w:val="0"/>
                <w:i w:val="0"/>
                <w:sz w:val="15"/>
              </w:rPr>
              <w:t>LOW</w:t>
            </w:r>
          </w:p>
        </w:tc>
      </w:tr>
      <w:tr>
        <w:tc>
          <w:tcPr>
            <w:tcW w:type="dxa" w:w="2009"/>
          </w:tcPr>
          <w:p>
            <w:r>
              <w:rPr>
                <w:b w:val="0"/>
                <w:i w:val="0"/>
                <w:sz w:val="15"/>
              </w:rPr>
              <w:t>4Q26-1Q27</w:t>
            </w:r>
          </w:p>
        </w:tc>
        <w:tc>
          <w:tcPr>
            <w:tcW w:type="dxa" w:w="6394"/>
          </w:tcPr>
          <w:p>
            <w:r>
              <w:rPr>
                <w:b w:val="0"/>
                <w:i w:val="0"/>
                <w:sz w:val="15"/>
              </w:rPr>
              <w:t>SK Horizon EGM, regulatory approvals and closing (KRW 3.08tn)</w:t>
            </w:r>
          </w:p>
        </w:tc>
        <w:tc>
          <w:tcPr>
            <w:tcW w:type="dxa" w:w="1461"/>
          </w:tcPr>
          <w:p>
            <w:r>
              <w:rPr>
                <w:b w:val="0"/>
                <w:i w:val="0"/>
                <w:sz w:val="15"/>
              </w:rPr>
              <w:t>HIGH</w:t>
            </w:r>
          </w:p>
        </w:tc>
      </w:tr>
      <w:tr>
        <w:tc>
          <w:tcPr>
            <w:tcW w:type="dxa" w:w="2009"/>
            <w:shd w:val="clear" w:color="auto" w:fill="EEF1F6"/>
          </w:tcPr>
          <w:p>
            <w:r>
              <w:rPr>
                <w:b w:val="0"/>
                <w:i w:val="0"/>
                <w:sz w:val="15"/>
              </w:rPr>
              <w:t>Ongoing</w:t>
            </w:r>
          </w:p>
        </w:tc>
        <w:tc>
          <w:tcPr>
            <w:tcW w:type="dxa" w:w="6394"/>
            <w:shd w:val="clear" w:color="auto" w:fill="EEF1F6"/>
          </w:tcPr>
          <w:p>
            <w:r>
              <w:rPr>
                <w:b w:val="0"/>
                <w:i w:val="0"/>
                <w:sz w:val="15"/>
              </w:rPr>
              <w:t>PIPC-fine lawsuit; civil suits (Seoul Central District Court); criminal probe</w:t>
            </w:r>
          </w:p>
        </w:tc>
        <w:tc>
          <w:tcPr>
            <w:tcW w:type="dxa" w:w="1461"/>
            <w:shd w:val="clear" w:color="auto" w:fill="EEF1F6"/>
          </w:tcPr>
          <w:p>
            <w:r>
              <w:rPr>
                <w:b w:val="0"/>
                <w:i w:val="0"/>
                <w:sz w:val="15"/>
              </w:rPr>
              <w:t>MEDIUM</w:t>
            </w:r>
          </w:p>
        </w:tc>
      </w:tr>
      <w:tr>
        <w:tc>
          <w:tcPr>
            <w:tcW w:type="dxa" w:w="2009"/>
          </w:tcPr>
          <w:p>
            <w:r>
              <w:rPr>
                <w:b w:val="0"/>
                <w:i w:val="0"/>
                <w:sz w:val="15"/>
              </w:rPr>
              <w:t>Ongoing</w:t>
            </w:r>
          </w:p>
        </w:tc>
        <w:tc>
          <w:tcPr>
            <w:tcW w:type="dxa" w:w="6394"/>
          </w:tcPr>
          <w:p>
            <w:r>
              <w:rPr>
                <w:b w:val="0"/>
                <w:i w:val="0"/>
                <w:sz w:val="15"/>
              </w:rPr>
              <w:t>SK Hyper site/power/customer announcements (Ulsan GW cluster, Chungcheong, Honam)</w:t>
            </w:r>
          </w:p>
        </w:tc>
        <w:tc>
          <w:tcPr>
            <w:tcW w:type="dxa" w:w="1461"/>
          </w:tcPr>
          <w:p>
            <w:r>
              <w:rPr>
                <w:b w:val="0"/>
                <w:i w:val="0"/>
                <w:sz w:val="15"/>
              </w:rPr>
              <w:t>HIGH</w:t>
            </w:r>
          </w:p>
        </w:tc>
      </w:tr>
      <w:tr>
        <w:tc>
          <w:tcPr>
            <w:tcW w:type="dxa" w:w="2009"/>
            <w:shd w:val="clear" w:color="auto" w:fill="EEF1F6"/>
          </w:tcPr>
          <w:p>
            <w:r>
              <w:rPr>
                <w:b w:val="0"/>
                <w:i w:val="0"/>
                <w:sz w:val="15"/>
              </w:rPr>
              <w:t>Ongoing</w:t>
            </w:r>
          </w:p>
        </w:tc>
        <w:tc>
          <w:tcPr>
            <w:tcW w:type="dxa" w:w="6394"/>
            <w:shd w:val="clear" w:color="auto" w:fill="EEF1F6"/>
          </w:tcPr>
          <w:p>
            <w:r>
              <w:rPr>
                <w:b w:val="0"/>
                <w:i w:val="0"/>
                <w:sz w:val="15"/>
              </w:rPr>
              <w:t>Sovereign-AI project Phase 3 evaluation (A.X K2 vs LG, Upstage)</w:t>
            </w:r>
          </w:p>
        </w:tc>
        <w:tc>
          <w:tcPr>
            <w:tcW w:type="dxa" w:w="1461"/>
            <w:shd w:val="clear" w:color="auto" w:fill="EEF1F6"/>
          </w:tcPr>
          <w:p>
            <w:r>
              <w:rPr>
                <w:b w:val="0"/>
                <w:i w:val="0"/>
                <w:sz w:val="15"/>
              </w:rPr>
              <w:t>MEDIUM</w:t>
            </w:r>
          </w:p>
        </w:tc>
      </w:tr>
      <w:tr>
        <w:tc>
          <w:tcPr>
            <w:tcW w:type="dxa" w:w="2009"/>
          </w:tcPr>
          <w:p>
            <w:r>
              <w:rPr>
                <w:b w:val="0"/>
                <w:i w:val="0"/>
                <w:sz w:val="15"/>
              </w:rPr>
              <w:t>Early Feb-27 [e]</w:t>
            </w:r>
          </w:p>
        </w:tc>
        <w:tc>
          <w:tcPr>
            <w:tcW w:type="dxa" w:w="6394"/>
          </w:tcPr>
          <w:p>
            <w:r>
              <w:rPr>
                <w:b w:val="0"/>
                <w:i w:val="0"/>
                <w:sz w:val="15"/>
              </w:rPr>
              <w:t>FY26 results; year-end DPS; 2027 outlook</w:t>
            </w:r>
          </w:p>
        </w:tc>
        <w:tc>
          <w:tcPr>
            <w:tcW w:type="dxa" w:w="1461"/>
          </w:tcPr>
          <w:p>
            <w:r>
              <w:rPr>
                <w:b w:val="0"/>
                <w:i w:val="0"/>
                <w:sz w:val="15"/>
              </w:rPr>
              <w:t>HIGH</w:t>
            </w:r>
          </w:p>
        </w:tc>
      </w:tr>
      <w:tr>
        <w:tc>
          <w:tcPr>
            <w:tcW w:type="dxa" w:w="2009"/>
            <w:shd w:val="clear" w:color="auto" w:fill="EEF1F6"/>
          </w:tcPr>
          <w:p>
            <w:r>
              <w:rPr>
                <w:b w:val="0"/>
                <w:i w:val="0"/>
                <w:sz w:val="15"/>
              </w:rPr>
              <w:t>1H-27</w:t>
            </w:r>
          </w:p>
        </w:tc>
        <w:tc>
          <w:tcPr>
            <w:tcW w:type="dxa" w:w="6394"/>
            <w:shd w:val="clear" w:color="auto" w:fill="EEF1F6"/>
          </w:tcPr>
          <w:p>
            <w:r>
              <w:rPr>
                <w:b w:val="0"/>
                <w:i w:val="0"/>
                <w:sz w:val="15"/>
              </w:rPr>
              <w:t>Rebellions KOSPI IPO (~18.2% look-through)</w:t>
            </w:r>
          </w:p>
        </w:tc>
        <w:tc>
          <w:tcPr>
            <w:tcW w:type="dxa" w:w="1461"/>
            <w:shd w:val="clear" w:color="auto" w:fill="EEF1F6"/>
          </w:tcPr>
          <w:p>
            <w:r>
              <w:rPr>
                <w:b w:val="0"/>
                <w:i w:val="0"/>
                <w:sz w:val="15"/>
              </w:rPr>
              <w:t>MEDIUM</w:t>
            </w:r>
          </w:p>
        </w:tc>
      </w:tr>
      <w:tr>
        <w:tc>
          <w:tcPr>
            <w:tcW w:type="dxa" w:w="2009"/>
          </w:tcPr>
          <w:p>
            <w:r>
              <w:rPr>
                <w:b w:val="0"/>
                <w:i w:val="0"/>
                <w:sz w:val="15"/>
              </w:rPr>
              <w:t>Late Mar-27</w:t>
            </w:r>
          </w:p>
        </w:tc>
        <w:tc>
          <w:tcPr>
            <w:tcW w:type="dxa" w:w="6394"/>
          </w:tcPr>
          <w:p>
            <w:r>
              <w:rPr>
                <w:b w:val="0"/>
                <w:i w:val="0"/>
                <w:sz w:val="15"/>
              </w:rPr>
              <w:t>AGM (capital return policy 2027-29 likely)</w:t>
            </w:r>
          </w:p>
        </w:tc>
        <w:tc>
          <w:tcPr>
            <w:tcW w:type="dxa" w:w="1461"/>
          </w:tcPr>
          <w:p>
            <w:r>
              <w:rPr>
                <w:b w:val="0"/>
                <w:i w:val="0"/>
                <w:sz w:val="15"/>
              </w:rPr>
              <w:t>MEDIUM</w:t>
            </w:r>
          </w:p>
        </w:tc>
      </w:tr>
      <w:tr>
        <w:tc>
          <w:tcPr>
            <w:tcW w:type="dxa" w:w="2009"/>
            <w:shd w:val="clear" w:color="auto" w:fill="EEF1F6"/>
          </w:tcPr>
          <w:p>
            <w:r>
              <w:rPr>
                <w:b w:val="0"/>
                <w:i w:val="0"/>
                <w:sz w:val="15"/>
              </w:rPr>
              <w:t>~May-27 [e]</w:t>
            </w:r>
          </w:p>
        </w:tc>
        <w:tc>
          <w:tcPr>
            <w:tcW w:type="dxa" w:w="6394"/>
            <w:shd w:val="clear" w:color="auto" w:fill="EEF1F6"/>
          </w:tcPr>
          <w:p>
            <w:r>
              <w:rPr>
                <w:b w:val="0"/>
                <w:i w:val="0"/>
                <w:sz w:val="15"/>
              </w:rPr>
              <w:t>Anthropic lock-up expiry window (if 180 days) - monetisation optionality</w:t>
            </w:r>
          </w:p>
        </w:tc>
        <w:tc>
          <w:tcPr>
            <w:tcW w:type="dxa" w:w="1461"/>
            <w:shd w:val="clear" w:color="auto" w:fill="EEF1F6"/>
          </w:tcPr>
          <w:p>
            <w:r>
              <w:rPr>
                <w:b w:val="0"/>
                <w:i w:val="0"/>
                <w:sz w:val="15"/>
              </w:rPr>
              <w:t>HIGH</w:t>
            </w:r>
          </w:p>
        </w:tc>
      </w:tr>
      <w:tr>
        <w:tc>
          <w:tcPr>
            <w:tcW w:type="dxa" w:w="2009"/>
          </w:tcPr>
          <w:p>
            <w:r>
              <w:rPr>
                <w:b w:val="0"/>
                <w:i w:val="0"/>
                <w:sz w:val="15"/>
              </w:rPr>
              <w:t>Jul-27</w:t>
            </w:r>
          </w:p>
        </w:tc>
        <w:tc>
          <w:tcPr>
            <w:tcW w:type="dxa" w:w="6394"/>
          </w:tcPr>
          <w:p>
            <w:r>
              <w:rPr>
                <w:b w:val="0"/>
                <w:i w:val="0"/>
                <w:sz w:val="15"/>
              </w:rPr>
              <w:t>USD 400m 6.625% bond maturity - refinancing</w:t>
            </w:r>
          </w:p>
        </w:tc>
        <w:tc>
          <w:tcPr>
            <w:tcW w:type="dxa" w:w="1461"/>
          </w:tcPr>
          <w:p>
            <w:r>
              <w:rPr>
                <w:b w:val="0"/>
                <w:i w:val="0"/>
                <w:sz w:val="15"/>
              </w:rPr>
              <w:t>LOW</w:t>
            </w:r>
          </w:p>
        </w:tc>
      </w:tr>
      <w:tr>
        <w:tc>
          <w:tcPr>
            <w:tcW w:type="dxa" w:w="2009"/>
            <w:shd w:val="clear" w:color="auto" w:fill="EEF1F6"/>
          </w:tcPr>
          <w:p>
            <w:r>
              <w:rPr>
                <w:b w:val="0"/>
                <w:i w:val="0"/>
                <w:sz w:val="15"/>
              </w:rPr>
              <w:t>Nov-27</w:t>
            </w:r>
          </w:p>
        </w:tc>
        <w:tc>
          <w:tcPr>
            <w:tcW w:type="dxa" w:w="6394"/>
            <w:shd w:val="clear" w:color="auto" w:fill="EEF1F6"/>
          </w:tcPr>
          <w:p>
            <w:r>
              <w:rPr>
                <w:b w:val="0"/>
                <w:i w:val="0"/>
                <w:sz w:val="15"/>
              </w:rPr>
              <w:t>Ulsan AI-DC Phase 1 (41MW) go-live</w:t>
            </w:r>
          </w:p>
        </w:tc>
        <w:tc>
          <w:tcPr>
            <w:tcW w:type="dxa" w:w="1461"/>
            <w:shd w:val="clear" w:color="auto" w:fill="EEF1F6"/>
          </w:tcPr>
          <w:p>
            <w:r>
              <w:rPr>
                <w:b w:val="0"/>
                <w:i w:val="0"/>
                <w:sz w:val="15"/>
              </w:rPr>
              <w:t>MEDIUM</w:t>
            </w:r>
          </w:p>
        </w:tc>
      </w:tr>
      <w:tr>
        <w:tc>
          <w:tcPr>
            <w:tcW w:type="dxa" w:w="2009"/>
          </w:tcPr>
          <w:p>
            <w:r>
              <w:rPr>
                <w:b w:val="0"/>
                <w:i w:val="0"/>
                <w:sz w:val="15"/>
              </w:rPr>
              <w:t>Ongoing</w:t>
            </w:r>
          </w:p>
        </w:tc>
        <w:tc>
          <w:tcPr>
            <w:tcW w:type="dxa" w:w="6394"/>
          </w:tcPr>
          <w:p>
            <w:r>
              <w:rPr>
                <w:b w:val="0"/>
                <w:i w:val="0"/>
                <w:sz w:val="15"/>
              </w:rPr>
              <w:t>BoK rate path; government tariff policy (low-cost 5G); KT/LG U+ remediation</w:t>
            </w:r>
          </w:p>
        </w:tc>
        <w:tc>
          <w:tcPr>
            <w:tcW w:type="dxa" w:w="1461"/>
          </w:tcPr>
          <w:p>
            <w:r>
              <w:rPr>
                <w:b w:val="0"/>
                <w:i w:val="0"/>
                <w:sz w:val="15"/>
              </w:rPr>
              <w:t>MEDIUM</w:t>
            </w:r>
          </w:p>
        </w:tc>
      </w:tr>
    </w:tbl>
    <w:p/>
    <w:p>
      <w:r>
        <w:br w:type="page"/>
      </w:r>
    </w:p>
    <w:p>
      <w:pPr>
        <w:pStyle w:val="Heading1"/>
      </w:pPr>
      <w:r>
        <w:rPr>
          <w:b/>
          <w:i w:val="0"/>
          <w:color w:val="13223F"/>
          <w:sz w:val="32"/>
        </w:rPr>
        <w:t>25. Investment conclusion</w:t>
      </w:r>
    </w:p>
    <w:tbl>
      <w:tblPr>
        <w:tblW w:type="auto" w:w="0"/>
        <w:tblLook w:firstColumn="1" w:firstRow="1" w:lastColumn="0" w:lastRow="0" w:noHBand="0" w:noVBand="1" w:val="04A0"/>
      </w:tblPr>
      <w:tblGrid>
        <w:gridCol w:w="10200"/>
      </w:tblGrid>
      <w:tr>
        <w:tc>
          <w:tcPr>
            <w:tcW w:type="dxa" w:w="10200"/>
            <w:shd w:val="clear" w:color="auto" w:fill="EEF1F6"/>
          </w:tcPr>
          <w:p>
            <w:r>
              <w:rPr>
                <w:b/>
                <w:i w:val="0"/>
                <w:color w:val="13223F"/>
                <w:sz w:val="19"/>
              </w:rPr>
              <w:t>BUY - 12-month target KRW 105,000 (+22%), event-driven sizing.</w:t>
            </w:r>
            <w:r>
              <w:rPr>
                <w:b w:val="0"/>
                <w:i w:val="0"/>
                <w:color w:val="13223F"/>
                <w:sz w:val="19"/>
              </w:rPr>
              <w:t xml:space="preserve"> The core telco has normalised and trades at ~4.0x EBITDA ex-stakes; the Anthropic IPO (Nov-26) and SK Horizon closing (1Q27) are dated catalysts that force the market to mark ~KRW 7-10tn of non-core value. Primary risks are group-driven capital allocation (SK Hyper), Anthropic IPO slippage and regulatory tariff pressure. </w:t>
            </w:r>
            <w:r>
              <w:rPr>
                <w:b/>
                <w:i w:val="0"/>
                <w:color w:val="13223F"/>
                <w:sz w:val="19"/>
              </w:rPr>
              <w:t>Review triggers:</w:t>
            </w:r>
            <w:r>
              <w:rPr>
                <w:b w:val="0"/>
                <w:i w:val="0"/>
                <w:color w:val="13223F"/>
                <w:sz w:val="19"/>
              </w:rPr>
              <w:t xml:space="preserve"> (1) Anthropic prices below US$965bn; (2) any SKT equity commitment to SK Hyper beyond KRW 750bn without co-investors; (3) quarterly DPS below KRW 830.</w:t>
            </w:r>
          </w:p>
        </w:tc>
      </w:tr>
    </w:tbl>
    <w:p/>
    <w:p>
      <w:pPr>
        <w:pStyle w:val="Heading2"/>
      </w:pPr>
      <w:r>
        <w:rPr>
          <w:b/>
          <w:i w:val="0"/>
          <w:color w:val="2D6CCB"/>
          <w:sz w:val="24"/>
        </w:rPr>
        <w:t>Monitoring checklist</w:t>
      </w:r>
    </w:p>
    <w:p>
      <w:pPr>
        <w:pStyle w:val="ListBullet"/>
        <w:spacing w:after="20"/>
      </w:pPr>
      <w:r>
        <w:rPr>
          <w:b w:val="0"/>
          <w:i w:val="0"/>
        </w:rPr>
        <w:t>Anthropic IPO: price vs Series H; SKT lock-up; accounting treatment disclosed in 3Q26 report.</w:t>
      </w:r>
    </w:p>
    <w:p>
      <w:pPr>
        <w:pStyle w:val="ListBullet"/>
        <w:spacing w:after="20"/>
      </w:pPr>
      <w:r>
        <w:rPr>
          <w:b w:val="0"/>
          <w:i w:val="0"/>
        </w:rPr>
        <w:t>3Q26: OP ≥ KRW 500bn, churn ≤1%, handset share ≥39%, AI-DC revenue ≥ KRW 140bn.</w:t>
      </w:r>
    </w:p>
    <w:p>
      <w:pPr>
        <w:pStyle w:val="ListBullet"/>
        <w:spacing w:after="20"/>
      </w:pPr>
      <w:r>
        <w:rPr>
          <w:b w:val="0"/>
          <w:i w:val="0"/>
        </w:rPr>
        <w:t>SK Horizon: EGM approval, KKR/IMM exit-rights disclosure.</w:t>
      </w:r>
    </w:p>
    <w:p>
      <w:pPr>
        <w:pStyle w:val="ListBullet"/>
        <w:spacing w:after="20"/>
      </w:pPr>
      <w:r>
        <w:rPr>
          <w:b w:val="0"/>
          <w:i w:val="0"/>
        </w:rPr>
        <w:t>Capital return: 2027-29 policy at the March-27 AGM; buyback potential from asset monetisation.</w:t>
      </w:r>
    </w:p>
    <w:p>
      <w:pPr>
        <w:pStyle w:val="ListBullet"/>
        <w:spacing w:after="20"/>
      </w:pPr>
      <w:r>
        <w:rPr>
          <w:b w:val="0"/>
          <w:i w:val="0"/>
        </w:rPr>
        <w:t>Regulation: spectrum payments, low-cost 5G roll-out, litigation rulings.</w:t>
      </w:r>
    </w:p>
    <w:p>
      <w:pPr>
        <w:pStyle w:val="Heading2"/>
      </w:pPr>
      <w:r>
        <w:rPr>
          <w:b/>
          <w:i w:val="0"/>
          <w:color w:val="2D6CCB"/>
          <w:sz w:val="24"/>
        </w:rPr>
        <w:t>Sources (principal)</w:t>
      </w:r>
    </w:p>
    <w:p>
      <w:pPr>
        <w:spacing w:after="80"/>
      </w:pPr>
      <w:r>
        <w:rPr>
          <w:b w:val="0"/>
          <w:i w:val="0"/>
        </w:rPr>
        <w:t>SK Telecom newsroom and IR releases (FY21-FY25, 1Q26, 2Q26); SK Telecom 20-F / 6-K (SEC CIK 1015650); DART/KIND H1-26 half-year report (13-Aug-2026, via press summaries); Korea Herald, Korea Times, Korea JoongAng Daily, Yonhap, Hankyung, Maeil/MT, Newspim, Asiae, Edaily, Etoday, Bizwatch, Asiatoday, ZDNet Korea, TheBell, InvestChosun, Dealsite; Anthropic (Series H announcement); TechCrunch, CNBC, Bloomberg, WSJ (via PYMNTS/Investing.com), Fortune; Business Wire (SK Horizon, Penguin Solutions); RCR Wireless, Light Reading, TelecomTV, DCD; broker notes (Meritz, IBK, SK Securities, Samsung Securities, Daishin, Eugene, Hana, UBS) as reported; Bank of Korea. Items marked [u] were not verifiable against primary filings at the time of writing.</w:t>
      </w:r>
    </w:p>
    <w:p>
      <w:pPr>
        <w:spacing w:after="80"/>
      </w:pPr>
      <w:r>
        <w:rPr>
          <w:b w:val="0"/>
          <w:i/>
        </w:rPr>
        <w:t>This report is for professional investors and is provided for information only. It does not constitute investment advice or an offer to buy or sell securities. Estimates are the author's and subject to change.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