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Georgia" w:hAnsi="Georgia"/>
          <w:b/>
          <w:color w:val="0B2545"/>
          <w:sz w:val="38"/>
        </w:rPr>
        <w:t>EPAM Systems, Inc.</w:t>
      </w:r>
    </w:p>
    <w:p>
      <w:pPr>
        <w:spacing w:before="0" w:after="40"/>
      </w:pPr>
      <w:r>
        <w:rPr>
          <w:i/>
          <w:color w:val="14487F"/>
          <w:sz w:val="20"/>
        </w:rPr>
        <w:t>NYSE: EPAM  |  IT Services &amp; Digital Engineering  |  United States</w:t>
      </w:r>
    </w:p>
    <w:p>
      <w:pPr>
        <w:spacing w:before="0" w:after="40"/>
      </w:pPr>
      <w:r>
        <w:rPr>
          <w:b/>
          <w:i/>
          <w:color w:val="14487F"/>
          <w:sz w:val="20"/>
        </w:rPr>
        <w:t>Deep-Dive Investment Case &amp; Operational Analysis</w:t>
      </w:r>
    </w:p>
    <w:p>
      <w:pPr>
        <w:spacing w:before="0" w:after="160"/>
      </w:pPr>
      <w:r>
        <w:rPr>
          <w:color w:val="555555"/>
          <w:sz w:val="15"/>
        </w:rPr>
        <w:t>Prepared 31 August 2026  |  Reference price $114.80 (28 Aug 2026 close)  |  52-week range $73.06 – $222.53</w:t>
      </w:r>
      <w:r>
        <w:rPr>
          <w:color w:val="555555"/>
          <w:sz w:val="15"/>
        </w:rPr>
        <w:br/>
      </w:r>
      <w:r>
        <w:rPr>
          <w:color w:val="555555"/>
          <w:sz w:val="15"/>
        </w:rPr>
        <w:t xml:space="preserve"> Market capitalisation approx. $5.9bn  |  Enterprise value approx. $5.1bn  |  Net cash approx. $0.77bn</w:t>
      </w:r>
    </w:p>
    <w:p>
      <w:pPr>
        <w:pBdr>
          <w:bottom w:val="single" w:sz="24" w:space="1" w:color="0B2545"/>
        </w:pBdr>
      </w:pPr>
    </w:p>
    <w:p>
      <w:pPr>
        <w:keepNext/>
        <w:spacing w:before="320" w:after="120"/>
        <w:pBdr>
          <w:bottom w:val="single" w:sz="12" w:space="2" w:color="0B2545"/>
        </w:pBdr>
      </w:pPr>
      <w:r>
        <w:rPr>
          <w:rFonts w:ascii="Georgia" w:hAnsi="Georgia"/>
          <w:b/>
          <w:color w:val="0B2545"/>
          <w:sz w:val="26"/>
        </w:rPr>
        <w:t>1. Investment Summary and Recommendation</w:t>
      </w:r>
    </w:p>
    <w:p>
      <w:pPr>
        <w:spacing w:before="40" w:after="60"/>
        <w:ind w:left="173" w:right="115"/>
        <w:jc w:val="both"/>
        <w:pBdr>
          <w:left w:val="single" w:sz="18" w:space="6" w:color="0B2545"/>
        </w:pBdr>
        <w:shd w:val="clear" w:fill="F4F7FA"/>
      </w:pPr>
      <w:r>
        <w:rPr>
          <w:b/>
          <w:sz w:val="17"/>
        </w:rPr>
        <w:t>Recommendation: BUY (high variance / event-driven).</w:t>
      </w:r>
      <w:r>
        <w:rPr>
          <w:sz w:val="17"/>
        </w:rPr>
        <w:t xml:space="preserve"> 12-month fair value </w:t>
      </w:r>
      <w:r>
        <w:rPr>
          <w:b/>
          <w:sz w:val="17"/>
        </w:rPr>
        <w:t>$150</w:t>
      </w:r>
      <w:r>
        <w:rPr>
          <w:sz w:val="17"/>
        </w:rPr>
        <w:t xml:space="preserve"> (range $145–158), approximately 31% above the reference price. Bull case $250–280; bear case $70–80. Position sizing should reflect genuine, non-trivial structural risk rather than conventional cyclical risk.</w:t>
      </w:r>
    </w:p>
    <w:p>
      <w:pPr>
        <w:spacing w:before="0" w:after="80"/>
        <w:jc w:val="both"/>
      </w:pPr>
      <w:r>
        <w:rPr/>
        <w:t xml:space="preserve">EPAM is a high-quality software engineering firm trading at a distressed multiple because the market has stopped treating its problem as cyclical and started treating it as terminal. At $114.80 the shares change hands at roughly </w:t>
      </w:r>
      <w:r>
        <w:rPr>
          <w:b/>
        </w:rPr>
        <w:t>5.5x EV/EBITDA</w:t>
      </w:r>
      <w:r>
        <w:rPr/>
        <w:t xml:space="preserve"> and </w:t>
      </w:r>
      <w:r>
        <w:rPr>
          <w:b/>
        </w:rPr>
        <w:t>8.7x</w:t>
      </w:r>
      <w:r>
        <w:rPr/>
        <w:t xml:space="preserve"> 2026 guided non-GAAP EPS, with net cash of about $0.77bn and a free cash flow yield in the region of 10%. Against a ten-year median EV/EBITDA near 25x and a November 2021 peak share price around $722, this is a 95%+ de-rating on a business that is still growing, still generating cash, and still expanding margins.</w:t>
      </w:r>
    </w:p>
    <w:p>
      <w:pPr>
        <w:spacing w:before="0" w:after="80"/>
        <w:jc w:val="both"/>
      </w:pPr>
      <w:r>
        <w:rPr/>
        <w:t>The bear thesis is coherent and deserves respect. EPAM sells engineering hours. Generative AI compresses the hours required per unit of software output. If pricing does not rise as fast as hours fall, revenue deflates structurally and no amount of operational excellence saves the model. Management's own Q2 2026 language — a "faster-than-expected shift away from task-based services" — is an admission that this deflation is already visible in the numbers, and the 22% single-day share price fall on 6 August 2026 was the market marking that admission to market.</w:t>
      </w:r>
    </w:p>
    <w:p>
      <w:pPr>
        <w:spacing w:before="0" w:after="80"/>
        <w:jc w:val="both"/>
      </w:pPr>
      <w:r>
        <w:rPr/>
        <w:t xml:space="preserve">The bull thesis rests on three observations the price appears to ignore. First, </w:t>
      </w:r>
      <w:r>
        <w:rPr>
          <w:b/>
        </w:rPr>
        <w:t>margins are going the wrong way for the bear case</w:t>
      </w:r>
      <w:r>
        <w:rPr/>
        <w:t xml:space="preserve">: non-GAAP gross margin expanded 190bp year-on-year to 32.0% in Q2 2026 and non-GAAP operating margin reached 16.4%, with non-GAAP EPS up 22% on revenue up 4.5%. A firm being commoditised does not expand gross margin on price increases. Second, </w:t>
      </w:r>
      <w:r>
        <w:rPr>
          <w:b/>
        </w:rPr>
        <w:t>the AI-native business is compounding fast from a real base</w:t>
      </w:r>
      <w:r>
        <w:rPr/>
        <w:t xml:space="preserve">: more than $160m in Q2, over 11% of revenue, a sixth consecutive quarter of double-digit sequential growth, tracking to a $600m full-year target. Third, </w:t>
      </w:r>
      <w:r>
        <w:rPr>
          <w:b/>
        </w:rPr>
        <w:t>the balance sheet converts a de-rating into a per-share tailwind</w:t>
      </w:r>
      <w:r>
        <w:rPr/>
        <w:t>: with net cash and roughly $450m of buyback authorisation remaining, every quarter spent at 8.7x earnings retires share count cheaply.</w:t>
      </w:r>
    </w:p>
    <w:p>
      <w:pPr>
        <w:spacing w:before="0" w:after="80"/>
        <w:jc w:val="both"/>
      </w:pPr>
      <w:r>
        <w:rPr/>
        <w:t xml:space="preserve">What the market is refusing to see, in our view, is that </w:t>
      </w:r>
      <w:r>
        <w:rPr>
          <w:i/>
        </w:rPr>
        <w:t>both</w:t>
      </w:r>
      <w:r>
        <w:rPr/>
        <w:t xml:space="preserve"> stories are true simultaneously. The task-based business is being deflated by AI, and it is being deflated faster than consensus modelled. But the surviving business is a higher-margin, higher-value, more defensible one, and the price now embeds essentially none of that transition succeeding. Our base case requires only that EPAM grows revenue at a low-to-mid single-digit rate and holds a 16% non-GAAP margin — below management's own 2028 ambition — to support a value near $150.</w:t>
      </w:r>
    </w:p>
    <w:p>
      <w:pPr>
        <w:keepNext/>
        <w:spacing w:before="200" w:after="80"/>
      </w:pPr>
      <w:r>
        <w:rPr>
          <w:rFonts w:ascii="Georgia" w:hAnsi="Georgia"/>
          <w:b/>
          <w:color w:val="14487F"/>
          <w:sz w:val="21"/>
        </w:rPr>
        <w:t>Key figures at a glance</w:t>
      </w:r>
    </w:p>
    <w:tbl>
      <w:tblPr>
        <w:tblStyle w:val="TableGrid"/>
        <w:tblW w:type="auto" w:w="0"/>
        <w:jc w:val="center"/>
        <w:tblLayout w:type="autofit"/>
        <w:tblLook w:firstColumn="1" w:firstRow="1" w:lastColumn="0" w:lastRow="0" w:noHBand="0" w:noVBand="1" w:val="04A0"/>
      </w:tblPr>
      <w:tblGrid>
        <w:gridCol w:w="1697"/>
        <w:gridCol w:w="1697"/>
        <w:gridCol w:w="1697"/>
        <w:gridCol w:w="1697"/>
        <w:gridCol w:w="1697"/>
        <w:gridCol w:w="1697"/>
      </w:tblGrid>
      <w:tr>
        <w:tc>
          <w:tcPr>
            <w:tcW w:type="dxa" w:w="1697"/>
            <w:shd w:val="clear" w:fill="0B2545"/>
          </w:tcPr>
          <w:p>
            <w:pPr>
              <w:spacing w:before="20" w:after="20"/>
            </w:pPr>
            <w:r>
              <w:rPr>
                <w:rFonts w:ascii="Georgia" w:hAnsi="Georgia"/>
                <w:b/>
                <w:color w:val="FFFFFF"/>
                <w:sz w:val="14"/>
              </w:rPr>
            </w:r>
            <w:r>
              <w:rPr>
                <w:rFonts w:ascii="Georgia" w:hAnsi="Georgia"/>
                <w:b/>
                <w:color w:val="FFFFFF"/>
                <w:sz w:val="14"/>
              </w:rPr>
              <w:t>Metric</w:t>
            </w:r>
          </w:p>
        </w:tc>
        <w:tc>
          <w:tcPr>
            <w:tcW w:type="dxa" w:w="1697"/>
            <w:shd w:val="clear" w:fill="0B2545"/>
          </w:tcPr>
          <w:p>
            <w:pPr>
              <w:spacing w:before="20" w:after="20"/>
              <w:jc w:val="right"/>
            </w:pPr>
            <w:r>
              <w:rPr>
                <w:rFonts w:ascii="Georgia" w:hAnsi="Georgia"/>
                <w:b/>
                <w:color w:val="FFFFFF"/>
                <w:sz w:val="14"/>
              </w:rPr>
            </w:r>
            <w:r>
              <w:rPr>
                <w:rFonts w:ascii="Georgia" w:hAnsi="Georgia"/>
                <w:b/>
                <w:color w:val="FFFFFF"/>
                <w:sz w:val="14"/>
              </w:rPr>
              <w:t>FY2024</w:t>
            </w:r>
          </w:p>
        </w:tc>
        <w:tc>
          <w:tcPr>
            <w:tcW w:type="dxa" w:w="1697"/>
            <w:shd w:val="clear" w:fill="0B2545"/>
          </w:tcPr>
          <w:p>
            <w:pPr>
              <w:spacing w:before="20" w:after="20"/>
              <w:jc w:val="right"/>
            </w:pPr>
            <w:r>
              <w:rPr>
                <w:rFonts w:ascii="Georgia" w:hAnsi="Georgia"/>
                <w:b/>
                <w:color w:val="FFFFFF"/>
                <w:sz w:val="14"/>
              </w:rPr>
            </w:r>
            <w:r>
              <w:rPr>
                <w:rFonts w:ascii="Georgia" w:hAnsi="Georgia"/>
                <w:b/>
                <w:color w:val="FFFFFF"/>
                <w:sz w:val="14"/>
              </w:rPr>
              <w:t>FY2025</w:t>
            </w:r>
          </w:p>
        </w:tc>
        <w:tc>
          <w:tcPr>
            <w:tcW w:type="dxa" w:w="1697"/>
            <w:shd w:val="clear" w:fill="0B2545"/>
          </w:tcPr>
          <w:p>
            <w:pPr>
              <w:spacing w:before="20" w:after="20"/>
              <w:jc w:val="right"/>
            </w:pPr>
            <w:r>
              <w:rPr>
                <w:rFonts w:ascii="Georgia" w:hAnsi="Georgia"/>
                <w:b/>
                <w:color w:val="FFFFFF"/>
                <w:sz w:val="14"/>
              </w:rPr>
            </w:r>
            <w:r>
              <w:rPr>
                <w:rFonts w:ascii="Georgia" w:hAnsi="Georgia"/>
                <w:b/>
                <w:color w:val="FFFFFF"/>
                <w:sz w:val="14"/>
              </w:rPr>
              <w:t>FY2026E (guide)</w:t>
            </w:r>
          </w:p>
        </w:tc>
        <w:tc>
          <w:tcPr>
            <w:tcW w:type="dxa" w:w="1697"/>
            <w:shd w:val="clear" w:fill="0B2545"/>
          </w:tcPr>
          <w:p>
            <w:pPr>
              <w:spacing w:before="20" w:after="20"/>
              <w:jc w:val="right"/>
            </w:pPr>
            <w:r>
              <w:rPr>
                <w:rFonts w:ascii="Georgia" w:hAnsi="Georgia"/>
                <w:b/>
                <w:color w:val="FFFFFF"/>
                <w:sz w:val="14"/>
              </w:rPr>
            </w:r>
            <w:r>
              <w:rPr>
                <w:rFonts w:ascii="Georgia" w:hAnsi="Georgia"/>
                <w:b/>
                <w:color w:val="FFFFFF"/>
                <w:sz w:val="14"/>
              </w:rPr>
              <w:t>FY2027E</w:t>
            </w:r>
          </w:p>
        </w:tc>
        <w:tc>
          <w:tcPr>
            <w:tcW w:type="dxa" w:w="1697"/>
            <w:shd w:val="clear" w:fill="0B2545"/>
          </w:tcPr>
          <w:p>
            <w:pPr>
              <w:spacing w:before="20" w:after="20"/>
              <w:jc w:val="right"/>
            </w:pPr>
            <w:r>
              <w:rPr>
                <w:rFonts w:ascii="Georgia" w:hAnsi="Georgia"/>
                <w:b/>
                <w:color w:val="FFFFFF"/>
                <w:sz w:val="14"/>
              </w:rPr>
            </w:r>
            <w:r>
              <w:rPr>
                <w:rFonts w:ascii="Georgia" w:hAnsi="Georgia"/>
                <w:b/>
                <w:color w:val="FFFFFF"/>
                <w:sz w:val="14"/>
              </w:rPr>
              <w:t>FY2028E</w:t>
            </w:r>
          </w:p>
        </w:tc>
      </w:tr>
      <w:tr>
        <w:tc>
          <w:tcPr>
            <w:tcW w:type="dxa" w:w="1697"/>
          </w:tcPr>
          <w:p>
            <w:pPr>
              <w:spacing w:before="20" w:after="20"/>
            </w:pPr>
            <w:r>
              <w:rPr>
                <w:rFonts w:ascii="Georgia" w:hAnsi="Georgia"/>
                <w:sz w:val="14"/>
              </w:rPr>
            </w:r>
            <w:r>
              <w:rPr>
                <w:rFonts w:ascii="Georgia" w:hAnsi="Georgia"/>
                <w:sz w:val="14"/>
              </w:rPr>
              <w:t>Revenue ($m)</w:t>
            </w:r>
          </w:p>
        </w:tc>
        <w:tc>
          <w:tcPr>
            <w:tcW w:type="dxa" w:w="1697"/>
          </w:tcPr>
          <w:p>
            <w:pPr>
              <w:spacing w:before="20" w:after="20"/>
              <w:jc w:val="right"/>
            </w:pPr>
            <w:r>
              <w:rPr>
                <w:rFonts w:ascii="Georgia" w:hAnsi="Georgia"/>
                <w:sz w:val="14"/>
              </w:rPr>
            </w:r>
            <w:r>
              <w:rPr>
                <w:rFonts w:ascii="Georgia" w:hAnsi="Georgia"/>
                <w:sz w:val="14"/>
              </w:rPr>
              <w:t>4,728</w:t>
            </w:r>
          </w:p>
        </w:tc>
        <w:tc>
          <w:tcPr>
            <w:tcW w:type="dxa" w:w="1697"/>
          </w:tcPr>
          <w:p>
            <w:pPr>
              <w:spacing w:before="20" w:after="20"/>
              <w:jc w:val="right"/>
            </w:pPr>
            <w:r>
              <w:rPr>
                <w:rFonts w:ascii="Georgia" w:hAnsi="Georgia"/>
                <w:sz w:val="14"/>
              </w:rPr>
            </w:r>
            <w:r>
              <w:rPr>
                <w:rFonts w:ascii="Georgia" w:hAnsi="Georgia"/>
                <w:sz w:val="14"/>
              </w:rPr>
              <w:t>5,457</w:t>
            </w:r>
          </w:p>
        </w:tc>
        <w:tc>
          <w:tcPr>
            <w:tcW w:type="dxa" w:w="1697"/>
          </w:tcPr>
          <w:p>
            <w:pPr>
              <w:spacing w:before="20" w:after="20"/>
              <w:jc w:val="right"/>
            </w:pPr>
            <w:r>
              <w:rPr>
                <w:rFonts w:ascii="Georgia" w:hAnsi="Georgia"/>
                <w:sz w:val="14"/>
              </w:rPr>
            </w:r>
            <w:r>
              <w:rPr>
                <w:rFonts w:ascii="Georgia" w:hAnsi="Georgia"/>
                <w:sz w:val="14"/>
              </w:rPr>
              <w:t>5,659</w:t>
            </w:r>
          </w:p>
        </w:tc>
        <w:tc>
          <w:tcPr>
            <w:tcW w:type="dxa" w:w="1697"/>
          </w:tcPr>
          <w:p>
            <w:pPr>
              <w:spacing w:before="20" w:after="20"/>
              <w:jc w:val="right"/>
            </w:pPr>
            <w:r>
              <w:rPr>
                <w:rFonts w:ascii="Georgia" w:hAnsi="Georgia"/>
                <w:sz w:val="14"/>
              </w:rPr>
            </w:r>
            <w:r>
              <w:rPr>
                <w:rFonts w:ascii="Georgia" w:hAnsi="Georgia"/>
                <w:sz w:val="14"/>
              </w:rPr>
              <w:t>5,942</w:t>
            </w:r>
          </w:p>
        </w:tc>
        <w:tc>
          <w:tcPr>
            <w:tcW w:type="dxa" w:w="1697"/>
          </w:tcPr>
          <w:p>
            <w:pPr>
              <w:spacing w:before="20" w:after="20"/>
              <w:jc w:val="right"/>
            </w:pPr>
            <w:r>
              <w:rPr>
                <w:rFonts w:ascii="Georgia" w:hAnsi="Georgia"/>
                <w:sz w:val="14"/>
              </w:rPr>
            </w:r>
            <w:r>
              <w:rPr>
                <w:rFonts w:ascii="Georgia" w:hAnsi="Georgia"/>
                <w:sz w:val="14"/>
              </w:rPr>
              <w:t>6,328</w:t>
            </w:r>
          </w:p>
        </w:tc>
      </w:tr>
      <w:tr>
        <w:tc>
          <w:tcPr>
            <w:tcW w:type="dxa" w:w="1697"/>
            <w:shd w:val="clear" w:fill="F4F7FA"/>
          </w:tcPr>
          <w:p>
            <w:pPr>
              <w:spacing w:before="20" w:after="20"/>
            </w:pPr>
            <w:r>
              <w:rPr>
                <w:rFonts w:ascii="Georgia" w:hAnsi="Georgia"/>
                <w:sz w:val="14"/>
              </w:rPr>
            </w:r>
            <w:r>
              <w:rPr>
                <w:rFonts w:ascii="Georgia" w:hAnsi="Georgia"/>
                <w:sz w:val="14"/>
              </w:rPr>
              <w:t>Revenue growth</w:t>
            </w:r>
          </w:p>
        </w:tc>
        <w:tc>
          <w:tcPr>
            <w:tcW w:type="dxa" w:w="1697"/>
            <w:shd w:val="clear" w:fill="F4F7FA"/>
          </w:tcPr>
          <w:p>
            <w:pPr>
              <w:spacing w:before="20" w:after="20"/>
              <w:jc w:val="right"/>
            </w:pPr>
            <w:r>
              <w:rPr>
                <w:rFonts w:ascii="Georgia" w:hAnsi="Georgia"/>
                <w:sz w:val="14"/>
              </w:rPr>
            </w:r>
            <w:r>
              <w:rPr>
                <w:rFonts w:ascii="Georgia" w:hAnsi="Georgia"/>
                <w:sz w:val="14"/>
              </w:rPr>
              <w:t>+0.8%</w:t>
            </w:r>
          </w:p>
        </w:tc>
        <w:tc>
          <w:tcPr>
            <w:tcW w:type="dxa" w:w="1697"/>
            <w:shd w:val="clear" w:fill="F4F7FA"/>
          </w:tcPr>
          <w:p>
            <w:pPr>
              <w:spacing w:before="20" w:after="20"/>
              <w:jc w:val="right"/>
            </w:pPr>
            <w:r>
              <w:rPr>
                <w:rFonts w:ascii="Georgia" w:hAnsi="Georgia"/>
                <w:sz w:val="14"/>
              </w:rPr>
            </w:r>
            <w:r>
              <w:rPr>
                <w:rFonts w:ascii="Georgia" w:hAnsi="Georgia"/>
                <w:sz w:val="14"/>
              </w:rPr>
              <w:t>+15.4%</w:t>
            </w:r>
          </w:p>
        </w:tc>
        <w:tc>
          <w:tcPr>
            <w:tcW w:type="dxa" w:w="1697"/>
            <w:shd w:val="clear" w:fill="F4F7FA"/>
          </w:tcPr>
          <w:p>
            <w:pPr>
              <w:spacing w:before="20" w:after="20"/>
              <w:jc w:val="right"/>
            </w:pPr>
            <w:r>
              <w:rPr>
                <w:rFonts w:ascii="Georgia" w:hAnsi="Georgia"/>
                <w:sz w:val="14"/>
              </w:rPr>
            </w:r>
            <w:r>
              <w:rPr>
                <w:rFonts w:ascii="Georgia" w:hAnsi="Georgia"/>
                <w:sz w:val="14"/>
              </w:rPr>
              <w:t>+3.7%</w:t>
            </w:r>
          </w:p>
        </w:tc>
        <w:tc>
          <w:tcPr>
            <w:tcW w:type="dxa" w:w="1697"/>
            <w:shd w:val="clear" w:fill="F4F7FA"/>
          </w:tcPr>
          <w:p>
            <w:pPr>
              <w:spacing w:before="20" w:after="20"/>
              <w:jc w:val="right"/>
            </w:pPr>
            <w:r>
              <w:rPr>
                <w:rFonts w:ascii="Georgia" w:hAnsi="Georgia"/>
                <w:sz w:val="14"/>
              </w:rPr>
            </w:r>
            <w:r>
              <w:rPr>
                <w:rFonts w:ascii="Georgia" w:hAnsi="Georgia"/>
                <w:sz w:val="14"/>
              </w:rPr>
              <w:t>+5.0%</w:t>
            </w:r>
          </w:p>
        </w:tc>
        <w:tc>
          <w:tcPr>
            <w:tcW w:type="dxa" w:w="1697"/>
            <w:shd w:val="clear" w:fill="F4F7FA"/>
          </w:tcPr>
          <w:p>
            <w:pPr>
              <w:spacing w:before="20" w:after="20"/>
              <w:jc w:val="right"/>
            </w:pPr>
            <w:r>
              <w:rPr>
                <w:rFonts w:ascii="Georgia" w:hAnsi="Georgia"/>
                <w:sz w:val="14"/>
              </w:rPr>
            </w:r>
            <w:r>
              <w:rPr>
                <w:rFonts w:ascii="Georgia" w:hAnsi="Georgia"/>
                <w:sz w:val="14"/>
              </w:rPr>
              <w:t>+6.5%</w:t>
            </w:r>
          </w:p>
        </w:tc>
      </w:tr>
      <w:tr>
        <w:tc>
          <w:tcPr>
            <w:tcW w:type="dxa" w:w="1697"/>
          </w:tcPr>
          <w:p>
            <w:pPr>
              <w:spacing w:before="20" w:after="20"/>
            </w:pPr>
            <w:r>
              <w:rPr>
                <w:rFonts w:ascii="Georgia" w:hAnsi="Georgia"/>
                <w:sz w:val="14"/>
              </w:rPr>
            </w:r>
            <w:r>
              <w:rPr>
                <w:rFonts w:ascii="Georgia" w:hAnsi="Georgia"/>
                <w:sz w:val="14"/>
              </w:rPr>
              <w:t>Organic constant-currency growth</w:t>
            </w:r>
          </w:p>
        </w:tc>
        <w:tc>
          <w:tcPr>
            <w:tcW w:type="dxa" w:w="1697"/>
          </w:tcPr>
          <w:p>
            <w:pPr>
              <w:spacing w:before="20" w:after="20"/>
              <w:jc w:val="right"/>
            </w:pPr>
            <w:r>
              <w:rPr>
                <w:rFonts w:ascii="Georgia" w:hAnsi="Georgia"/>
                <w:sz w:val="14"/>
              </w:rPr>
            </w:r>
            <w:r>
              <w:rPr>
                <w:rFonts w:ascii="Georgia" w:hAnsi="Georgia"/>
                <w:sz w:val="14"/>
              </w:rPr>
              <w:t>c.+1%</w:t>
            </w:r>
          </w:p>
        </w:tc>
        <w:tc>
          <w:tcPr>
            <w:tcW w:type="dxa" w:w="1697"/>
          </w:tcPr>
          <w:p>
            <w:pPr>
              <w:spacing w:before="20" w:after="20"/>
              <w:jc w:val="right"/>
            </w:pPr>
            <w:r>
              <w:rPr>
                <w:rFonts w:ascii="Georgia" w:hAnsi="Georgia"/>
                <w:sz w:val="14"/>
              </w:rPr>
            </w:r>
            <w:r>
              <w:rPr>
                <w:rFonts w:ascii="Georgia" w:hAnsi="Georgia"/>
                <w:sz w:val="14"/>
              </w:rPr>
              <w:t>+4.9%</w:t>
            </w:r>
          </w:p>
        </w:tc>
        <w:tc>
          <w:tcPr>
            <w:tcW w:type="dxa" w:w="1697"/>
          </w:tcPr>
          <w:p>
            <w:pPr>
              <w:spacing w:before="20" w:after="20"/>
              <w:jc w:val="right"/>
            </w:pPr>
            <w:r>
              <w:rPr>
                <w:rFonts w:ascii="Georgia" w:hAnsi="Georgia"/>
                <w:sz w:val="14"/>
              </w:rPr>
            </w:r>
            <w:r>
              <w:rPr>
                <w:rFonts w:ascii="Georgia" w:hAnsi="Georgia"/>
                <w:sz w:val="14"/>
              </w:rPr>
              <w:t>+2.5%</w:t>
            </w:r>
          </w:p>
        </w:tc>
        <w:tc>
          <w:tcPr>
            <w:tcW w:type="dxa" w:w="1697"/>
          </w:tcPr>
          <w:p>
            <w:pPr>
              <w:spacing w:before="20" w:after="20"/>
              <w:jc w:val="right"/>
            </w:pPr>
            <w:r>
              <w:rPr>
                <w:rFonts w:ascii="Georgia" w:hAnsi="Georgia"/>
                <w:sz w:val="14"/>
              </w:rPr>
            </w:r>
            <w:r>
              <w:rPr>
                <w:rFonts w:ascii="Georgia" w:hAnsi="Georgia"/>
                <w:sz w:val="14"/>
              </w:rPr>
              <w:t>+4.5%</w:t>
            </w:r>
          </w:p>
        </w:tc>
        <w:tc>
          <w:tcPr>
            <w:tcW w:type="dxa" w:w="1697"/>
          </w:tcPr>
          <w:p>
            <w:pPr>
              <w:spacing w:before="20" w:after="20"/>
              <w:jc w:val="right"/>
            </w:pPr>
            <w:r>
              <w:rPr>
                <w:rFonts w:ascii="Georgia" w:hAnsi="Georgia"/>
                <w:sz w:val="14"/>
              </w:rPr>
            </w:r>
            <w:r>
              <w:rPr>
                <w:rFonts w:ascii="Georgia" w:hAnsi="Georgia"/>
                <w:sz w:val="14"/>
              </w:rPr>
              <w:t>+6.0%</w:t>
            </w:r>
          </w:p>
        </w:tc>
      </w:tr>
      <w:tr>
        <w:tc>
          <w:tcPr>
            <w:tcW w:type="dxa" w:w="1697"/>
            <w:shd w:val="clear" w:fill="F4F7FA"/>
          </w:tcPr>
          <w:p>
            <w:pPr>
              <w:spacing w:before="20" w:after="20"/>
            </w:pPr>
            <w:r>
              <w:rPr>
                <w:rFonts w:ascii="Georgia" w:hAnsi="Georgia"/>
                <w:sz w:val="14"/>
              </w:rPr>
            </w:r>
            <w:r>
              <w:rPr>
                <w:rFonts w:ascii="Georgia" w:hAnsi="Georgia"/>
                <w:sz w:val="14"/>
              </w:rPr>
              <w:t>Non-GAAP operating margin</w:t>
            </w:r>
          </w:p>
        </w:tc>
        <w:tc>
          <w:tcPr>
            <w:tcW w:type="dxa" w:w="1697"/>
            <w:shd w:val="clear" w:fill="F4F7FA"/>
          </w:tcPr>
          <w:p>
            <w:pPr>
              <w:spacing w:before="20" w:after="20"/>
              <w:jc w:val="right"/>
            </w:pPr>
            <w:r>
              <w:rPr>
                <w:rFonts w:ascii="Georgia" w:hAnsi="Georgia"/>
                <w:sz w:val="14"/>
              </w:rPr>
            </w:r>
            <w:r>
              <w:rPr>
                <w:rFonts w:ascii="Georgia" w:hAnsi="Georgia"/>
                <w:sz w:val="14"/>
              </w:rPr>
              <w:t>c.15.8%</w:t>
            </w:r>
          </w:p>
        </w:tc>
        <w:tc>
          <w:tcPr>
            <w:tcW w:type="dxa" w:w="1697"/>
            <w:shd w:val="clear" w:fill="F4F7FA"/>
          </w:tcPr>
          <w:p>
            <w:pPr>
              <w:spacing w:before="20" w:after="20"/>
              <w:jc w:val="right"/>
            </w:pPr>
            <w:r>
              <w:rPr>
                <w:rFonts w:ascii="Georgia" w:hAnsi="Georgia"/>
                <w:sz w:val="14"/>
              </w:rPr>
            </w:r>
            <w:r>
              <w:rPr>
                <w:rFonts w:ascii="Georgia" w:hAnsi="Georgia"/>
                <w:sz w:val="14"/>
              </w:rPr>
              <w:t>15.2%</w:t>
            </w:r>
          </w:p>
        </w:tc>
        <w:tc>
          <w:tcPr>
            <w:tcW w:type="dxa" w:w="1697"/>
            <w:shd w:val="clear" w:fill="F4F7FA"/>
          </w:tcPr>
          <w:p>
            <w:pPr>
              <w:spacing w:before="20" w:after="20"/>
              <w:jc w:val="right"/>
            </w:pPr>
            <w:r>
              <w:rPr>
                <w:rFonts w:ascii="Georgia" w:hAnsi="Georgia"/>
                <w:sz w:val="14"/>
              </w:rPr>
            </w:r>
            <w:r>
              <w:rPr>
                <w:rFonts w:ascii="Georgia" w:hAnsi="Georgia"/>
                <w:sz w:val="14"/>
              </w:rPr>
              <w:t>15.7%</w:t>
            </w:r>
          </w:p>
        </w:tc>
        <w:tc>
          <w:tcPr>
            <w:tcW w:type="dxa" w:w="1697"/>
            <w:shd w:val="clear" w:fill="F4F7FA"/>
          </w:tcPr>
          <w:p>
            <w:pPr>
              <w:spacing w:before="20" w:after="20"/>
              <w:jc w:val="right"/>
            </w:pPr>
            <w:r>
              <w:rPr>
                <w:rFonts w:ascii="Georgia" w:hAnsi="Georgia"/>
                <w:sz w:val="14"/>
              </w:rPr>
            </w:r>
            <w:r>
              <w:rPr>
                <w:rFonts w:ascii="Georgia" w:hAnsi="Georgia"/>
                <w:sz w:val="14"/>
              </w:rPr>
              <w:t>16.0%</w:t>
            </w:r>
          </w:p>
        </w:tc>
        <w:tc>
          <w:tcPr>
            <w:tcW w:type="dxa" w:w="1697"/>
            <w:shd w:val="clear" w:fill="F4F7FA"/>
          </w:tcPr>
          <w:p>
            <w:pPr>
              <w:spacing w:before="20" w:after="20"/>
              <w:jc w:val="right"/>
            </w:pPr>
            <w:r>
              <w:rPr>
                <w:rFonts w:ascii="Georgia" w:hAnsi="Georgia"/>
                <w:sz w:val="14"/>
              </w:rPr>
            </w:r>
            <w:r>
              <w:rPr>
                <w:rFonts w:ascii="Georgia" w:hAnsi="Georgia"/>
                <w:sz w:val="14"/>
              </w:rPr>
              <w:t>16.3%</w:t>
            </w:r>
          </w:p>
        </w:tc>
      </w:tr>
      <w:tr>
        <w:tc>
          <w:tcPr>
            <w:tcW w:type="dxa" w:w="1697"/>
          </w:tcPr>
          <w:p>
            <w:pPr>
              <w:spacing w:before="20" w:after="20"/>
            </w:pPr>
            <w:r>
              <w:rPr>
                <w:rFonts w:ascii="Georgia" w:hAnsi="Georgia"/>
                <w:sz w:val="14"/>
              </w:rPr>
            </w:r>
            <w:r>
              <w:rPr>
                <w:rFonts w:ascii="Georgia" w:hAnsi="Georgia"/>
                <w:sz w:val="14"/>
              </w:rPr>
              <w:t>Non-GAAP diluted EPS ($)</w:t>
            </w:r>
          </w:p>
        </w:tc>
        <w:tc>
          <w:tcPr>
            <w:tcW w:type="dxa" w:w="1697"/>
          </w:tcPr>
          <w:p>
            <w:pPr>
              <w:spacing w:before="20" w:after="20"/>
              <w:jc w:val="right"/>
            </w:pPr>
            <w:r>
              <w:rPr>
                <w:rFonts w:ascii="Georgia" w:hAnsi="Georgia"/>
                <w:sz w:val="14"/>
              </w:rPr>
            </w:r>
            <w:r>
              <w:rPr>
                <w:rFonts w:ascii="Georgia" w:hAnsi="Georgia"/>
                <w:sz w:val="14"/>
              </w:rPr>
              <w:t>10.86</w:t>
            </w:r>
          </w:p>
        </w:tc>
        <w:tc>
          <w:tcPr>
            <w:tcW w:type="dxa" w:w="1697"/>
          </w:tcPr>
          <w:p>
            <w:pPr>
              <w:spacing w:before="20" w:after="20"/>
              <w:jc w:val="right"/>
            </w:pPr>
            <w:r>
              <w:rPr>
                <w:rFonts w:ascii="Georgia" w:hAnsi="Georgia"/>
                <w:sz w:val="14"/>
              </w:rPr>
            </w:r>
            <w:r>
              <w:rPr>
                <w:rFonts w:ascii="Georgia" w:hAnsi="Georgia"/>
                <w:sz w:val="14"/>
              </w:rPr>
              <w:t>11.50</w:t>
            </w:r>
          </w:p>
        </w:tc>
        <w:tc>
          <w:tcPr>
            <w:tcW w:type="dxa" w:w="1697"/>
          </w:tcPr>
          <w:p>
            <w:pPr>
              <w:spacing w:before="20" w:after="20"/>
              <w:jc w:val="right"/>
            </w:pPr>
            <w:r>
              <w:rPr>
                <w:rFonts w:ascii="Georgia" w:hAnsi="Georgia"/>
                <w:sz w:val="14"/>
              </w:rPr>
            </w:r>
            <w:r>
              <w:rPr>
                <w:rFonts w:ascii="Georgia" w:hAnsi="Georgia"/>
                <w:sz w:val="14"/>
              </w:rPr>
              <w:t>13.16</w:t>
            </w:r>
          </w:p>
        </w:tc>
        <w:tc>
          <w:tcPr>
            <w:tcW w:type="dxa" w:w="1697"/>
          </w:tcPr>
          <w:p>
            <w:pPr>
              <w:spacing w:before="20" w:after="20"/>
              <w:jc w:val="right"/>
            </w:pPr>
            <w:r>
              <w:rPr>
                <w:rFonts w:ascii="Georgia" w:hAnsi="Georgia"/>
                <w:sz w:val="14"/>
              </w:rPr>
            </w:r>
            <w:r>
              <w:rPr>
                <w:rFonts w:ascii="Georgia" w:hAnsi="Georgia"/>
                <w:sz w:val="14"/>
              </w:rPr>
              <w:t>14.55</w:t>
            </w:r>
          </w:p>
        </w:tc>
        <w:tc>
          <w:tcPr>
            <w:tcW w:type="dxa" w:w="1697"/>
          </w:tcPr>
          <w:p>
            <w:pPr>
              <w:spacing w:before="20" w:after="20"/>
              <w:jc w:val="right"/>
            </w:pPr>
            <w:r>
              <w:rPr>
                <w:rFonts w:ascii="Georgia" w:hAnsi="Georgia"/>
                <w:sz w:val="14"/>
              </w:rPr>
            </w:r>
            <w:r>
              <w:rPr>
                <w:rFonts w:ascii="Georgia" w:hAnsi="Georgia"/>
                <w:sz w:val="14"/>
              </w:rPr>
              <w:t>16.22</w:t>
            </w:r>
          </w:p>
        </w:tc>
      </w:tr>
      <w:tr>
        <w:tc>
          <w:tcPr>
            <w:tcW w:type="dxa" w:w="1697"/>
            <w:shd w:val="clear" w:fill="F4F7FA"/>
          </w:tcPr>
          <w:p>
            <w:pPr>
              <w:spacing w:before="20" w:after="20"/>
            </w:pPr>
            <w:r>
              <w:rPr>
                <w:rFonts w:ascii="Georgia" w:hAnsi="Georgia"/>
                <w:sz w:val="14"/>
              </w:rPr>
            </w:r>
            <w:r>
              <w:rPr>
                <w:rFonts w:ascii="Georgia" w:hAnsi="Georgia"/>
                <w:sz w:val="14"/>
              </w:rPr>
              <w:t>GAAP diluted EPS ($)</w:t>
            </w:r>
          </w:p>
        </w:tc>
        <w:tc>
          <w:tcPr>
            <w:tcW w:type="dxa" w:w="1697"/>
            <w:shd w:val="clear" w:fill="F4F7FA"/>
          </w:tcPr>
          <w:p>
            <w:pPr>
              <w:spacing w:before="20" w:after="20"/>
              <w:jc w:val="right"/>
            </w:pPr>
            <w:r>
              <w:rPr>
                <w:rFonts w:ascii="Georgia" w:hAnsi="Georgia"/>
                <w:sz w:val="14"/>
              </w:rPr>
            </w:r>
            <w:r>
              <w:rPr>
                <w:rFonts w:ascii="Georgia" w:hAnsi="Georgia"/>
                <w:sz w:val="14"/>
              </w:rPr>
              <w:t>7.93</w:t>
            </w:r>
          </w:p>
        </w:tc>
        <w:tc>
          <w:tcPr>
            <w:tcW w:type="dxa" w:w="1697"/>
            <w:shd w:val="clear" w:fill="F4F7FA"/>
          </w:tcPr>
          <w:p>
            <w:pPr>
              <w:spacing w:before="20" w:after="20"/>
              <w:jc w:val="right"/>
            </w:pPr>
            <w:r>
              <w:rPr>
                <w:rFonts w:ascii="Georgia" w:hAnsi="Georgia"/>
                <w:sz w:val="14"/>
              </w:rPr>
            </w:r>
            <w:r>
              <w:rPr>
                <w:rFonts w:ascii="Georgia" w:hAnsi="Georgia"/>
                <w:sz w:val="14"/>
              </w:rPr>
              <w:t>6.72</w:t>
            </w:r>
          </w:p>
        </w:tc>
        <w:tc>
          <w:tcPr>
            <w:tcW w:type="dxa" w:w="1697"/>
            <w:shd w:val="clear" w:fill="F4F7FA"/>
          </w:tcPr>
          <w:p>
            <w:pPr>
              <w:spacing w:before="20" w:after="20"/>
              <w:jc w:val="right"/>
            </w:pPr>
            <w:r>
              <w:rPr>
                <w:rFonts w:ascii="Georgia" w:hAnsi="Georgia"/>
                <w:sz w:val="14"/>
              </w:rPr>
            </w:r>
            <w:r>
              <w:rPr>
                <w:rFonts w:ascii="Georgia" w:hAnsi="Georgia"/>
                <w:sz w:val="14"/>
              </w:rPr>
              <w:t>8.30</w:t>
            </w:r>
          </w:p>
        </w:tc>
        <w:tc>
          <w:tcPr>
            <w:tcW w:type="dxa" w:w="1697"/>
            <w:shd w:val="clear" w:fill="F4F7FA"/>
          </w:tcPr>
          <w:p>
            <w:pPr>
              <w:spacing w:before="20" w:after="20"/>
              <w:jc w:val="right"/>
            </w:pPr>
            <w:r>
              <w:rPr>
                <w:rFonts w:ascii="Georgia" w:hAnsi="Georgia"/>
                <w:sz w:val="14"/>
              </w:rPr>
            </w:r>
            <w:r>
              <w:rPr>
                <w:rFonts w:ascii="Georgia" w:hAnsi="Georgia"/>
                <w:sz w:val="14"/>
              </w:rPr>
              <w:t>10.05</w:t>
            </w:r>
          </w:p>
        </w:tc>
        <w:tc>
          <w:tcPr>
            <w:tcW w:type="dxa" w:w="1697"/>
            <w:shd w:val="clear" w:fill="F4F7FA"/>
          </w:tcPr>
          <w:p>
            <w:pPr>
              <w:spacing w:before="20" w:after="20"/>
              <w:jc w:val="right"/>
            </w:pPr>
            <w:r>
              <w:rPr>
                <w:rFonts w:ascii="Georgia" w:hAnsi="Georgia"/>
                <w:sz w:val="14"/>
              </w:rPr>
            </w:r>
            <w:r>
              <w:rPr>
                <w:rFonts w:ascii="Georgia" w:hAnsi="Georgia"/>
                <w:sz w:val="14"/>
              </w:rPr>
              <w:t>11.70</w:t>
            </w:r>
          </w:p>
        </w:tc>
      </w:tr>
      <w:tr>
        <w:tc>
          <w:tcPr>
            <w:tcW w:type="dxa" w:w="1697"/>
          </w:tcPr>
          <w:p>
            <w:pPr>
              <w:spacing w:before="20" w:after="20"/>
            </w:pPr>
            <w:r>
              <w:rPr>
                <w:rFonts w:ascii="Georgia" w:hAnsi="Georgia"/>
                <w:sz w:val="14"/>
              </w:rPr>
            </w:r>
            <w:r>
              <w:rPr>
                <w:rFonts w:ascii="Georgia" w:hAnsi="Georgia"/>
                <w:sz w:val="14"/>
              </w:rPr>
              <w:t>Free cash flow ($m)</w:t>
            </w:r>
          </w:p>
        </w:tc>
        <w:tc>
          <w:tcPr>
            <w:tcW w:type="dxa" w:w="1697"/>
          </w:tcPr>
          <w:p>
            <w:pPr>
              <w:spacing w:before="20" w:after="20"/>
              <w:jc w:val="right"/>
            </w:pPr>
            <w:r>
              <w:rPr>
                <w:rFonts w:ascii="Georgia" w:hAnsi="Georgia"/>
                <w:sz w:val="14"/>
              </w:rPr>
            </w:r>
            <w:r>
              <w:rPr>
                <w:rFonts w:ascii="Georgia" w:hAnsi="Georgia"/>
                <w:sz w:val="14"/>
              </w:rPr>
              <w:t>c.560</w:t>
            </w:r>
          </w:p>
        </w:tc>
        <w:tc>
          <w:tcPr>
            <w:tcW w:type="dxa" w:w="1697"/>
          </w:tcPr>
          <w:p>
            <w:pPr>
              <w:spacing w:before="20" w:after="20"/>
              <w:jc w:val="right"/>
            </w:pPr>
            <w:r>
              <w:rPr>
                <w:rFonts w:ascii="Georgia" w:hAnsi="Georgia"/>
                <w:sz w:val="14"/>
              </w:rPr>
            </w:r>
            <w:r>
              <w:rPr>
                <w:rFonts w:ascii="Georgia" w:hAnsi="Georgia"/>
                <w:sz w:val="14"/>
              </w:rPr>
              <w:t>613</w:t>
            </w:r>
          </w:p>
        </w:tc>
        <w:tc>
          <w:tcPr>
            <w:tcW w:type="dxa" w:w="1697"/>
          </w:tcPr>
          <w:p>
            <w:pPr>
              <w:spacing w:before="20" w:after="20"/>
              <w:jc w:val="right"/>
            </w:pPr>
            <w:r>
              <w:rPr>
                <w:rFonts w:ascii="Georgia" w:hAnsi="Georgia"/>
                <w:sz w:val="14"/>
              </w:rPr>
            </w:r>
            <w:r>
              <w:rPr>
                <w:rFonts w:ascii="Georgia" w:hAnsi="Georgia"/>
                <w:sz w:val="14"/>
              </w:rPr>
              <w:t>c.540</w:t>
            </w:r>
          </w:p>
        </w:tc>
        <w:tc>
          <w:tcPr>
            <w:tcW w:type="dxa" w:w="1697"/>
          </w:tcPr>
          <w:p>
            <w:pPr>
              <w:spacing w:before="20" w:after="20"/>
              <w:jc w:val="right"/>
            </w:pPr>
            <w:r>
              <w:rPr>
                <w:rFonts w:ascii="Georgia" w:hAnsi="Georgia"/>
                <w:sz w:val="14"/>
              </w:rPr>
            </w:r>
            <w:r>
              <w:rPr>
                <w:rFonts w:ascii="Georgia" w:hAnsi="Georgia"/>
                <w:sz w:val="14"/>
              </w:rPr>
              <w:t>c.640</w:t>
            </w:r>
          </w:p>
        </w:tc>
        <w:tc>
          <w:tcPr>
            <w:tcW w:type="dxa" w:w="1697"/>
          </w:tcPr>
          <w:p>
            <w:pPr>
              <w:spacing w:before="20" w:after="20"/>
              <w:jc w:val="right"/>
            </w:pPr>
            <w:r>
              <w:rPr>
                <w:rFonts w:ascii="Georgia" w:hAnsi="Georgia"/>
                <w:sz w:val="14"/>
              </w:rPr>
            </w:r>
            <w:r>
              <w:rPr>
                <w:rFonts w:ascii="Georgia" w:hAnsi="Georgia"/>
                <w:sz w:val="14"/>
              </w:rPr>
              <w:t>c.710</w:t>
            </w:r>
          </w:p>
        </w:tc>
      </w:tr>
      <w:tr>
        <w:tc>
          <w:tcPr>
            <w:tcW w:type="dxa" w:w="1697"/>
            <w:shd w:val="clear" w:fill="F4F7FA"/>
          </w:tcPr>
          <w:p>
            <w:pPr>
              <w:spacing w:before="20" w:after="20"/>
            </w:pPr>
            <w:r>
              <w:rPr>
                <w:rFonts w:ascii="Georgia" w:hAnsi="Georgia"/>
                <w:sz w:val="14"/>
              </w:rPr>
            </w:r>
            <w:r>
              <w:rPr>
                <w:rFonts w:ascii="Georgia" w:hAnsi="Georgia"/>
                <w:sz w:val="14"/>
              </w:rPr>
              <w:t>Net cash ($m)</w:t>
            </w:r>
          </w:p>
        </w:tc>
        <w:tc>
          <w:tcPr>
            <w:tcW w:type="dxa" w:w="1697"/>
            <w:shd w:val="clear" w:fill="F4F7FA"/>
          </w:tcPr>
          <w:p>
            <w:pPr>
              <w:spacing w:before="20" w:after="20"/>
              <w:jc w:val="right"/>
            </w:pPr>
            <w:r>
              <w:rPr>
                <w:rFonts w:ascii="Georgia" w:hAnsi="Georgia"/>
                <w:sz w:val="14"/>
              </w:rPr>
            </w:r>
            <w:r>
              <w:rPr>
                <w:rFonts w:ascii="Georgia" w:hAnsi="Georgia"/>
                <w:sz w:val="14"/>
              </w:rPr>
              <w:t>c.1,290</w:t>
            </w:r>
          </w:p>
        </w:tc>
        <w:tc>
          <w:tcPr>
            <w:tcW w:type="dxa" w:w="1697"/>
            <w:shd w:val="clear" w:fill="F4F7FA"/>
          </w:tcPr>
          <w:p>
            <w:pPr>
              <w:spacing w:before="20" w:after="20"/>
              <w:jc w:val="right"/>
            </w:pPr>
            <w:r>
              <w:rPr>
                <w:rFonts w:ascii="Georgia" w:hAnsi="Georgia"/>
                <w:sz w:val="14"/>
              </w:rPr>
            </w:r>
            <w:r>
              <w:rPr>
                <w:rFonts w:ascii="Georgia" w:hAnsi="Georgia"/>
                <w:sz w:val="14"/>
              </w:rPr>
              <w:t>c.800</w:t>
            </w:r>
          </w:p>
        </w:tc>
        <w:tc>
          <w:tcPr>
            <w:tcW w:type="dxa" w:w="1697"/>
            <w:shd w:val="clear" w:fill="F4F7FA"/>
          </w:tcPr>
          <w:p>
            <w:pPr>
              <w:spacing w:before="20" w:after="20"/>
              <w:jc w:val="right"/>
            </w:pPr>
            <w:r>
              <w:rPr>
                <w:rFonts w:ascii="Georgia" w:hAnsi="Georgia"/>
                <w:sz w:val="14"/>
              </w:rPr>
            </w:r>
            <w:r>
              <w:rPr>
                <w:rFonts w:ascii="Georgia" w:hAnsi="Georgia"/>
                <w:sz w:val="14"/>
              </w:rPr>
              <w:t>c.790</w:t>
            </w:r>
          </w:p>
        </w:tc>
        <w:tc>
          <w:tcPr>
            <w:tcW w:type="dxa" w:w="1697"/>
            <w:shd w:val="clear" w:fill="F4F7FA"/>
          </w:tcPr>
          <w:p>
            <w:pPr>
              <w:spacing w:before="20" w:after="20"/>
              <w:jc w:val="right"/>
            </w:pPr>
            <w:r>
              <w:rPr>
                <w:rFonts w:ascii="Georgia" w:hAnsi="Georgia"/>
                <w:sz w:val="14"/>
              </w:rPr>
            </w:r>
            <w:r>
              <w:rPr>
                <w:rFonts w:ascii="Georgia" w:hAnsi="Georgia"/>
                <w:sz w:val="14"/>
              </w:rPr>
              <w:t>c.950</w:t>
            </w:r>
          </w:p>
        </w:tc>
        <w:tc>
          <w:tcPr>
            <w:tcW w:type="dxa" w:w="1697"/>
            <w:shd w:val="clear" w:fill="F4F7FA"/>
          </w:tcPr>
          <w:p>
            <w:pPr>
              <w:spacing w:before="20" w:after="20"/>
              <w:jc w:val="right"/>
            </w:pPr>
            <w:r>
              <w:rPr>
                <w:rFonts w:ascii="Georgia" w:hAnsi="Georgia"/>
                <w:sz w:val="14"/>
              </w:rPr>
            </w:r>
            <w:r>
              <w:rPr>
                <w:rFonts w:ascii="Georgia" w:hAnsi="Georgia"/>
                <w:sz w:val="14"/>
              </w:rPr>
              <w:t>c.1,150</w:t>
            </w:r>
          </w:p>
        </w:tc>
      </w:tr>
    </w:tbl>
    <w:p>
      <w:pPr>
        <w:spacing w:after="60"/>
      </w:pPr>
    </w:p>
    <w:p>
      <w:pPr>
        <w:spacing w:before="0" w:after="120"/>
        <w:jc w:val="both"/>
      </w:pPr>
      <w:r>
        <w:rPr>
          <w:i/>
          <w:color w:val="555555"/>
          <w:sz w:val="15"/>
        </w:rPr>
        <w:t>FY2024/FY2025 revenue, margins and EPS are reported. FY2026 revenue and EPS are the mid-points of company guidance issued 6 August 2026. FY2027–28 and all free cash flow / net cash figures beyond FY2025 are author estimates.</w:t>
      </w:r>
    </w:p>
    <w:p>
      <w:pPr>
        <w:keepNext/>
        <w:spacing w:before="320" w:after="120"/>
        <w:pBdr>
          <w:bottom w:val="single" w:sz="12" w:space="2" w:color="0B2545"/>
        </w:pBdr>
      </w:pPr>
      <w:r>
        <w:rPr>
          <w:rFonts w:ascii="Georgia" w:hAnsi="Georgia"/>
          <w:b/>
          <w:color w:val="0B2545"/>
          <w:sz w:val="26"/>
        </w:rPr>
        <w:t>2. Layman's Guide: What EPAM Does and How It Makes Money</w:t>
      </w:r>
    </w:p>
    <w:p>
      <w:pPr>
        <w:keepNext/>
        <w:spacing w:before="200" w:after="80"/>
      </w:pPr>
      <w:r>
        <w:rPr>
          <w:rFonts w:ascii="Georgia" w:hAnsi="Georgia"/>
          <w:b/>
          <w:color w:val="14487F"/>
          <w:sz w:val="21"/>
        </w:rPr>
        <w:t>The business in plain language</w:t>
      </w:r>
    </w:p>
    <w:p>
      <w:pPr>
        <w:spacing w:before="0" w:after="80"/>
        <w:jc w:val="both"/>
      </w:pPr>
      <w:r>
        <w:rPr/>
        <w:t xml:space="preserve">EPAM is a firm you hire to </w:t>
      </w:r>
      <w:r>
        <w:rPr>
          <w:b/>
        </w:rPr>
        <w:t>build software you cannot or do not want to build yourself</w:t>
      </w:r>
      <w:r>
        <w:rPr/>
        <w:t>. If a global bank needs to replace a forty-year-old mainframe trading system, or a pharmaceutical company needs a clinical-data platform, or a retailer needs a new e-commerce stack, it can either hire hundreds of engineers itself — slow, expensive, hard in a tight labour market — or it can hire EPAM, which already employs roughly 56,650 engineers across Europe, India and Latin America and can put a team of eighty on the problem within weeks.</w:t>
      </w:r>
    </w:p>
    <w:p>
      <w:pPr>
        <w:spacing w:before="0" w:after="80"/>
        <w:jc w:val="both"/>
      </w:pPr>
      <w:r>
        <w:rPr/>
        <w:t xml:space="preserve">The distinction that matters is that EPAM is an </w:t>
      </w:r>
      <w:r>
        <w:rPr>
          <w:b/>
        </w:rPr>
        <w:t>engineering</w:t>
      </w:r>
      <w:r>
        <w:rPr/>
        <w:t xml:space="preserve"> firm, not a consulting firm or a back-office outsourcer. It does not primarily advise on strategy (that is McKinsey or Accenture Strategy), and it does not primarily run help desks and payroll processing (that is Infosys BPM or Genpact). It writes production software. Its historical reputation, built out of Belarus, Ukraine and Hungary from 1993 onwards, is for unusually strong technical talent — the firm that gets called when the problem is genuinely hard.</w:t>
      </w:r>
    </w:p>
    <w:p>
      <w:pPr>
        <w:keepNext/>
        <w:spacing w:before="200" w:after="80"/>
      </w:pPr>
      <w:r>
        <w:rPr>
          <w:rFonts w:ascii="Georgia" w:hAnsi="Georgia"/>
          <w:b/>
          <w:color w:val="14487F"/>
          <w:sz w:val="21"/>
        </w:rPr>
        <w:t>How the money actually works</w:t>
      </w:r>
    </w:p>
    <w:p>
      <w:pPr>
        <w:spacing w:before="0" w:after="80"/>
        <w:jc w:val="both"/>
      </w:pPr>
      <w:r>
        <w:rPr/>
        <w:t xml:space="preserve">The economics are simple and almost entirely about people. Historically, roughly 85–90% of revenue has come from </w:t>
      </w:r>
      <w:r>
        <w:rPr>
          <w:b/>
        </w:rPr>
        <w:t>time-and-materials contracts</w:t>
      </w:r>
      <w:r>
        <w:rPr/>
        <w:t>: EPAM bills the client an hourly or monthly rate per engineer, for as many engineers as the client uses, for as long as they use them. The remainder is fixed-price work, where EPAM agrees a total price for a defined deliverable and keeps the difference if it delivers efficiently.</w:t>
      </w:r>
    </w:p>
    <w:p>
      <w:pPr>
        <w:spacing w:before="0" w:after="80"/>
        <w:jc w:val="both"/>
      </w:pPr>
      <w:r>
        <w:rPr/>
        <w:t>Profit is the spread between two numbers:</w:t>
      </w:r>
    </w:p>
    <w:p>
      <w:pPr>
        <w:pStyle w:val="ListBullet"/>
        <w:spacing w:after="50"/>
        <w:ind w:left="403"/>
        <w:jc w:val="both"/>
      </w:pPr>
      <w:r>
        <w:rPr>
          <w:rFonts w:ascii="Georgia" w:hAnsi="Georgia"/>
          <w:b/>
          <w:sz w:val="17"/>
        </w:rPr>
        <w:t>The bill rate</w:t>
      </w:r>
      <w:r>
        <w:rPr>
          <w:rFonts w:ascii="Georgia" w:hAnsi="Georgia"/>
          <w:sz w:val="17"/>
        </w:rPr>
        <w:t xml:space="preserve"> — what a client in New York, London or Zurich pays per engineer-hour.</w:t>
      </w:r>
    </w:p>
    <w:p>
      <w:pPr>
        <w:pStyle w:val="ListBullet"/>
        <w:spacing w:after="50"/>
        <w:ind w:left="403"/>
        <w:jc w:val="both"/>
      </w:pPr>
      <w:r>
        <w:rPr>
          <w:rFonts w:ascii="Georgia" w:hAnsi="Georgia"/>
          <w:b/>
          <w:sz w:val="17"/>
        </w:rPr>
        <w:t>The cost rate</w:t>
      </w:r>
      <w:r>
        <w:rPr>
          <w:rFonts w:ascii="Georgia" w:hAnsi="Georgia"/>
          <w:sz w:val="17"/>
        </w:rPr>
        <w:t xml:space="preserve"> — what EPAM pays that engineer, who sits in Hyderabad, Krakow, Guadalajara or Tbilisi.</w:t>
      </w:r>
    </w:p>
    <w:p>
      <w:pPr>
        <w:spacing w:before="0" w:after="80"/>
        <w:jc w:val="both"/>
      </w:pPr>
      <w:r>
        <w:rPr/>
        <w:t xml:space="preserve">That spread, after delivery overhead, produces a gross margin of roughly 30–32%. Subtract sales, marketing and corporate costs and roughly 15–16% of revenue reaches non-GAAP operating profit. Three levers move it: </w:t>
      </w:r>
      <w:r>
        <w:rPr>
          <w:b/>
        </w:rPr>
        <w:t>utilisation</w:t>
      </w:r>
      <w:r>
        <w:rPr/>
        <w:t xml:space="preserve"> (what fraction of paid engineer time is billable — 75.4% at end-2025), </w:t>
      </w:r>
      <w:r>
        <w:rPr>
          <w:b/>
        </w:rPr>
        <w:t>pricing</w:t>
      </w:r>
      <w:r>
        <w:rPr/>
        <w:t xml:space="preserve">, and </w:t>
      </w:r>
      <w:r>
        <w:rPr>
          <w:b/>
        </w:rPr>
        <w:t>delivery mix</w:t>
      </w:r>
      <w:r>
        <w:rPr/>
        <w:t xml:space="preserve"> (moving work to cheaper geographies). There is almost no capital intensity: capital expenditure runs at roughly 1% of revenue, which is why free cash flow tracks close to net income.</w:t>
      </w:r>
    </w:p>
    <w:p>
      <w:pPr>
        <w:keepNext/>
        <w:spacing w:before="200" w:after="80"/>
      </w:pPr>
      <w:r>
        <w:rPr>
          <w:rFonts w:ascii="Georgia" w:hAnsi="Georgia"/>
          <w:b/>
          <w:color w:val="14487F"/>
          <w:sz w:val="21"/>
        </w:rPr>
        <w:t>How each part of the business contributes</w:t>
      </w:r>
    </w:p>
    <w:p>
      <w:pPr>
        <w:spacing w:before="0" w:after="80"/>
        <w:jc w:val="both"/>
      </w:pPr>
      <w:r>
        <w:rPr/>
        <w:t xml:space="preserve">EPAM reports two </w:t>
      </w:r>
      <w:r>
        <w:rPr>
          <w:i/>
        </w:rPr>
        <w:t>reportable segments</w:t>
      </w:r>
      <w:r>
        <w:rPr/>
        <w:t xml:space="preserve"> for accounting purposes — </w:t>
      </w:r>
      <w:r>
        <w:rPr>
          <w:b/>
        </w:rPr>
        <w:t>Americas</w:t>
      </w:r>
      <w:r>
        <w:rPr/>
        <w:t xml:space="preserve"> and </w:t>
      </w:r>
      <w:r>
        <w:rPr>
          <w:b/>
        </w:rPr>
        <w:t>Europe</w:t>
      </w:r>
      <w:r>
        <w:rPr/>
        <w:t xml:space="preserve"> — but manages and discusses the business primarily through six </w:t>
      </w:r>
      <w:r>
        <w:rPr>
          <w:i/>
        </w:rPr>
        <w:t>industry verticals</w:t>
      </w:r>
      <w:r>
        <w:rPr/>
        <w:t xml:space="preserve"> and three </w:t>
      </w:r>
      <w:r>
        <w:rPr>
          <w:i/>
        </w:rPr>
        <w:t>geographies</w:t>
      </w:r>
      <w:r>
        <w:rPr/>
        <w:t>. For an investor the vertical view is the more informative one.</w:t>
      </w:r>
    </w:p>
    <w:tbl>
      <w:tblPr>
        <w:tblStyle w:val="TableGrid"/>
        <w:tblW w:type="auto" w:w="0"/>
        <w:jc w:val="center"/>
        <w:tblLayout w:type="autofit"/>
        <w:tblLook w:firstColumn="1" w:firstRow="1" w:lastColumn="0" w:lastRow="0" w:noHBand="0" w:noVBand="1" w:val="04A0"/>
      </w:tblPr>
      <w:tblGrid>
        <w:gridCol w:w="1697"/>
        <w:gridCol w:w="1697"/>
        <w:gridCol w:w="1697"/>
        <w:gridCol w:w="1697"/>
        <w:gridCol w:w="1697"/>
        <w:gridCol w:w="1697"/>
      </w:tblGrid>
      <w:tr>
        <w:tc>
          <w:tcPr>
            <w:tcW w:type="dxa" w:w="1697"/>
            <w:shd w:val="clear" w:fill="0B2545"/>
          </w:tcPr>
          <w:p>
            <w:pPr>
              <w:spacing w:before="20" w:after="20"/>
            </w:pPr>
            <w:r>
              <w:rPr>
                <w:rFonts w:ascii="Georgia" w:hAnsi="Georgia"/>
                <w:b/>
                <w:color w:val="FFFFFF"/>
                <w:sz w:val="14"/>
              </w:rPr>
            </w:r>
            <w:r>
              <w:rPr>
                <w:rFonts w:ascii="Georgia" w:hAnsi="Georgia"/>
                <w:b/>
                <w:color w:val="FFFFFF"/>
                <w:sz w:val="14"/>
              </w:rPr>
              <w:t>Division (FY2025)</w:t>
            </w:r>
          </w:p>
        </w:tc>
        <w:tc>
          <w:tcPr>
            <w:tcW w:type="dxa" w:w="1697"/>
            <w:shd w:val="clear" w:fill="0B2545"/>
          </w:tcPr>
          <w:p>
            <w:pPr>
              <w:spacing w:before="20" w:after="20"/>
              <w:jc w:val="right"/>
            </w:pPr>
            <w:r>
              <w:rPr>
                <w:rFonts w:ascii="Georgia" w:hAnsi="Georgia"/>
                <w:b/>
                <w:color w:val="FFFFFF"/>
                <w:sz w:val="14"/>
              </w:rPr>
            </w:r>
            <w:r>
              <w:rPr>
                <w:rFonts w:ascii="Georgia" w:hAnsi="Georgia"/>
                <w:b/>
                <w:color w:val="FFFFFF"/>
                <w:sz w:val="14"/>
              </w:rPr>
              <w:t>Revenue ($m)</w:t>
            </w:r>
          </w:p>
        </w:tc>
        <w:tc>
          <w:tcPr>
            <w:tcW w:type="dxa" w:w="1697"/>
            <w:shd w:val="clear" w:fill="0B2545"/>
          </w:tcPr>
          <w:p>
            <w:pPr>
              <w:spacing w:before="20" w:after="20"/>
              <w:jc w:val="right"/>
            </w:pPr>
            <w:r>
              <w:rPr>
                <w:rFonts w:ascii="Georgia" w:hAnsi="Georgia"/>
                <w:b/>
                <w:color w:val="FFFFFF"/>
                <w:sz w:val="14"/>
              </w:rPr>
            </w:r>
            <w:r>
              <w:rPr>
                <w:rFonts w:ascii="Georgia" w:hAnsi="Georgia"/>
                <w:b/>
                <w:color w:val="FFFFFF"/>
                <w:sz w:val="14"/>
              </w:rPr>
              <w:t>% of total</w:t>
            </w:r>
          </w:p>
        </w:tc>
        <w:tc>
          <w:tcPr>
            <w:tcW w:type="dxa" w:w="1697"/>
            <w:shd w:val="clear" w:fill="0B2545"/>
          </w:tcPr>
          <w:p>
            <w:pPr>
              <w:spacing w:before="20" w:after="20"/>
              <w:jc w:val="right"/>
            </w:pPr>
            <w:r>
              <w:rPr>
                <w:rFonts w:ascii="Georgia" w:hAnsi="Georgia"/>
                <w:b/>
                <w:color w:val="FFFFFF"/>
                <w:sz w:val="14"/>
              </w:rPr>
            </w:r>
            <w:r>
              <w:rPr>
                <w:rFonts w:ascii="Georgia" w:hAnsi="Georgia"/>
                <w:b/>
                <w:color w:val="FFFFFF"/>
                <w:sz w:val="14"/>
              </w:rPr>
              <w:t>FY25 growth</w:t>
            </w:r>
          </w:p>
        </w:tc>
        <w:tc>
          <w:tcPr>
            <w:tcW w:type="dxa" w:w="1697"/>
            <w:shd w:val="clear" w:fill="0B2545"/>
          </w:tcPr>
          <w:p>
            <w:pPr>
              <w:spacing w:before="20" w:after="20"/>
              <w:jc w:val="right"/>
            </w:pPr>
            <w:r>
              <w:rPr>
                <w:rFonts w:ascii="Georgia" w:hAnsi="Georgia"/>
                <w:b/>
                <w:color w:val="FFFFFF"/>
                <w:sz w:val="14"/>
              </w:rPr>
            </w:r>
            <w:r>
              <w:rPr>
                <w:rFonts w:ascii="Georgia" w:hAnsi="Georgia"/>
                <w:b/>
                <w:color w:val="FFFFFF"/>
                <w:sz w:val="14"/>
              </w:rPr>
              <w:t>Q2-26 growth</w:t>
            </w:r>
          </w:p>
        </w:tc>
        <w:tc>
          <w:tcPr>
            <w:tcW w:type="dxa" w:w="1697"/>
            <w:shd w:val="clear" w:fill="0B2545"/>
          </w:tcPr>
          <w:p>
            <w:pPr>
              <w:spacing w:before="20" w:after="20"/>
            </w:pPr>
            <w:r>
              <w:rPr>
                <w:rFonts w:ascii="Georgia" w:hAnsi="Georgia"/>
                <w:b/>
                <w:color w:val="FFFFFF"/>
                <w:sz w:val="14"/>
              </w:rPr>
            </w:r>
            <w:r>
              <w:rPr>
                <w:rFonts w:ascii="Georgia" w:hAnsi="Georgia"/>
                <w:b/>
                <w:color w:val="FFFFFF"/>
                <w:sz w:val="14"/>
              </w:rPr>
              <w:t>What it actually does</w:t>
            </w:r>
          </w:p>
        </w:tc>
      </w:tr>
      <w:tr>
        <w:tc>
          <w:tcPr>
            <w:tcW w:type="dxa" w:w="1697"/>
          </w:tcPr>
          <w:p>
            <w:pPr>
              <w:spacing w:before="20" w:after="20"/>
            </w:pPr>
            <w:r>
              <w:rPr>
                <w:rFonts w:ascii="Georgia" w:hAnsi="Georgia"/>
                <w:sz w:val="14"/>
              </w:rPr>
            </w:r>
            <w:r>
              <w:rPr>
                <w:rFonts w:ascii="Georgia" w:hAnsi="Georgia"/>
                <w:b/>
                <w:sz w:val="14"/>
              </w:rPr>
              <w:t>Financial Services</w:t>
            </w:r>
          </w:p>
        </w:tc>
        <w:tc>
          <w:tcPr>
            <w:tcW w:type="dxa" w:w="1697"/>
          </w:tcPr>
          <w:p>
            <w:pPr>
              <w:spacing w:before="20" w:after="20"/>
              <w:jc w:val="right"/>
            </w:pPr>
            <w:r>
              <w:rPr>
                <w:rFonts w:ascii="Georgia" w:hAnsi="Georgia"/>
                <w:sz w:val="14"/>
              </w:rPr>
            </w:r>
            <w:r>
              <w:rPr>
                <w:rFonts w:ascii="Georgia" w:hAnsi="Georgia"/>
                <w:sz w:val="14"/>
              </w:rPr>
              <w:t>1,316</w:t>
            </w:r>
          </w:p>
        </w:tc>
        <w:tc>
          <w:tcPr>
            <w:tcW w:type="dxa" w:w="1697"/>
          </w:tcPr>
          <w:p>
            <w:pPr>
              <w:spacing w:before="20" w:after="20"/>
              <w:jc w:val="right"/>
            </w:pPr>
            <w:r>
              <w:rPr>
                <w:rFonts w:ascii="Georgia" w:hAnsi="Georgia"/>
                <w:sz w:val="14"/>
              </w:rPr>
            </w:r>
            <w:r>
              <w:rPr>
                <w:rFonts w:ascii="Georgia" w:hAnsi="Georgia"/>
                <w:sz w:val="14"/>
              </w:rPr>
              <w:t>24.1%</w:t>
            </w:r>
          </w:p>
        </w:tc>
        <w:tc>
          <w:tcPr>
            <w:tcW w:type="dxa" w:w="1697"/>
          </w:tcPr>
          <w:p>
            <w:pPr>
              <w:spacing w:before="20" w:after="20"/>
              <w:jc w:val="right"/>
            </w:pPr>
            <w:r>
              <w:rPr>
                <w:rFonts w:ascii="Georgia" w:hAnsi="Georgia"/>
                <w:sz w:val="14"/>
              </w:rPr>
            </w:r>
            <w:r>
              <w:rPr>
                <w:rFonts w:ascii="Georgia" w:hAnsi="Georgia"/>
                <w:sz w:val="14"/>
              </w:rPr>
              <w:t>+28.7%</w:t>
            </w:r>
          </w:p>
        </w:tc>
        <w:tc>
          <w:tcPr>
            <w:tcW w:type="dxa" w:w="1697"/>
          </w:tcPr>
          <w:p>
            <w:pPr>
              <w:spacing w:before="20" w:after="20"/>
              <w:jc w:val="right"/>
            </w:pPr>
            <w:r>
              <w:rPr>
                <w:rFonts w:ascii="Georgia" w:hAnsi="Georgia"/>
                <w:sz w:val="14"/>
              </w:rPr>
            </w:r>
            <w:r>
              <w:rPr>
                <w:rFonts w:ascii="Georgia" w:hAnsi="Georgia"/>
                <w:sz w:val="14"/>
              </w:rPr>
              <w:t>+11.5%</w:t>
            </w:r>
          </w:p>
        </w:tc>
        <w:tc>
          <w:tcPr>
            <w:tcW w:type="dxa" w:w="1697"/>
          </w:tcPr>
          <w:p>
            <w:pPr>
              <w:spacing w:before="20" w:after="20"/>
            </w:pPr>
            <w:r>
              <w:rPr>
                <w:rFonts w:ascii="Georgia" w:hAnsi="Georgia"/>
                <w:sz w:val="14"/>
              </w:rPr>
            </w:r>
            <w:r>
              <w:rPr>
                <w:rFonts w:ascii="Georgia" w:hAnsi="Georgia"/>
                <w:sz w:val="14"/>
              </w:rPr>
              <w:t>Trading platforms, core banking and mainframe modernisation, payments, insurance systems. Now the growth engine; strengthened by the First Derivative acquisition.</w:t>
            </w:r>
          </w:p>
        </w:tc>
      </w:tr>
      <w:tr>
        <w:tc>
          <w:tcPr>
            <w:tcW w:type="dxa" w:w="1697"/>
            <w:shd w:val="clear" w:fill="F4F7FA"/>
          </w:tcPr>
          <w:p>
            <w:pPr>
              <w:spacing w:before="20" w:after="20"/>
            </w:pPr>
            <w:r>
              <w:rPr>
                <w:rFonts w:ascii="Georgia" w:hAnsi="Georgia"/>
                <w:sz w:val="14"/>
              </w:rPr>
            </w:r>
            <w:r>
              <w:rPr>
                <w:rFonts w:ascii="Georgia" w:hAnsi="Georgia"/>
                <w:b/>
                <w:sz w:val="14"/>
              </w:rPr>
              <w:t>Consumer Goods, Retail &amp; Travel</w:t>
            </w:r>
          </w:p>
        </w:tc>
        <w:tc>
          <w:tcPr>
            <w:tcW w:type="dxa" w:w="1697"/>
            <w:shd w:val="clear" w:fill="F4F7FA"/>
          </w:tcPr>
          <w:p>
            <w:pPr>
              <w:spacing w:before="20" w:after="20"/>
              <w:jc w:val="right"/>
            </w:pPr>
            <w:r>
              <w:rPr>
                <w:rFonts w:ascii="Georgia" w:hAnsi="Georgia"/>
                <w:sz w:val="14"/>
              </w:rPr>
            </w:r>
            <w:r>
              <w:rPr>
                <w:rFonts w:ascii="Georgia" w:hAnsi="Georgia"/>
                <w:sz w:val="14"/>
              </w:rPr>
              <w:t>1,077</w:t>
            </w:r>
          </w:p>
        </w:tc>
        <w:tc>
          <w:tcPr>
            <w:tcW w:type="dxa" w:w="1697"/>
            <w:shd w:val="clear" w:fill="F4F7FA"/>
          </w:tcPr>
          <w:p>
            <w:pPr>
              <w:spacing w:before="20" w:after="20"/>
              <w:jc w:val="right"/>
            </w:pPr>
            <w:r>
              <w:rPr>
                <w:rFonts w:ascii="Georgia" w:hAnsi="Georgia"/>
                <w:sz w:val="14"/>
              </w:rPr>
            </w:r>
            <w:r>
              <w:rPr>
                <w:rFonts w:ascii="Georgia" w:hAnsi="Georgia"/>
                <w:sz w:val="14"/>
              </w:rPr>
              <w:t>19.7%</w:t>
            </w:r>
          </w:p>
        </w:tc>
        <w:tc>
          <w:tcPr>
            <w:tcW w:type="dxa" w:w="1697"/>
            <w:shd w:val="clear" w:fill="F4F7FA"/>
          </w:tcPr>
          <w:p>
            <w:pPr>
              <w:spacing w:before="20" w:after="20"/>
              <w:jc w:val="right"/>
            </w:pPr>
            <w:r>
              <w:rPr>
                <w:rFonts w:ascii="Georgia" w:hAnsi="Georgia"/>
                <w:sz w:val="14"/>
              </w:rPr>
            </w:r>
            <w:r>
              <w:rPr>
                <w:rFonts w:ascii="Georgia" w:hAnsi="Georgia"/>
                <w:sz w:val="14"/>
              </w:rPr>
              <w:t>+6.4%</w:t>
            </w:r>
          </w:p>
        </w:tc>
        <w:tc>
          <w:tcPr>
            <w:tcW w:type="dxa" w:w="1697"/>
            <w:shd w:val="clear" w:fill="F4F7FA"/>
          </w:tcPr>
          <w:p>
            <w:pPr>
              <w:spacing w:before="20" w:after="20"/>
              <w:jc w:val="right"/>
            </w:pPr>
            <w:r>
              <w:rPr>
                <w:rFonts w:ascii="Georgia" w:hAnsi="Georgia"/>
                <w:sz w:val="14"/>
              </w:rPr>
            </w:r>
            <w:r>
              <w:rPr>
                <w:rFonts w:ascii="Georgia" w:hAnsi="Georgia"/>
                <w:sz w:val="14"/>
              </w:rPr>
              <w:t>+2.3%</w:t>
            </w:r>
          </w:p>
        </w:tc>
        <w:tc>
          <w:tcPr>
            <w:tcW w:type="dxa" w:w="1697"/>
            <w:shd w:val="clear" w:fill="F4F7FA"/>
          </w:tcPr>
          <w:p>
            <w:pPr>
              <w:spacing w:before="20" w:after="20"/>
            </w:pPr>
            <w:r>
              <w:rPr>
                <w:rFonts w:ascii="Georgia" w:hAnsi="Georgia"/>
                <w:sz w:val="14"/>
              </w:rPr>
            </w:r>
            <w:r>
              <w:rPr>
                <w:rFonts w:ascii="Georgia" w:hAnsi="Georgia"/>
                <w:sz w:val="14"/>
              </w:rPr>
              <w:t>E-commerce, loyalty, supply-chain and booking systems. Historically EPAM's anchor vertical; now the softest, tied to discretionary consumer capex.</w:t>
            </w:r>
          </w:p>
        </w:tc>
      </w:tr>
      <w:tr>
        <w:tc>
          <w:tcPr>
            <w:tcW w:type="dxa" w:w="1697"/>
          </w:tcPr>
          <w:p>
            <w:pPr>
              <w:spacing w:before="20" w:after="20"/>
            </w:pPr>
            <w:r>
              <w:rPr>
                <w:rFonts w:ascii="Georgia" w:hAnsi="Georgia"/>
                <w:sz w:val="14"/>
              </w:rPr>
            </w:r>
            <w:r>
              <w:rPr>
                <w:rFonts w:ascii="Georgia" w:hAnsi="Georgia"/>
                <w:b/>
                <w:sz w:val="14"/>
              </w:rPr>
              <w:t>Emerging Verticals</w:t>
            </w:r>
          </w:p>
        </w:tc>
        <w:tc>
          <w:tcPr>
            <w:tcW w:type="dxa" w:w="1697"/>
          </w:tcPr>
          <w:p>
            <w:pPr>
              <w:spacing w:before="20" w:after="20"/>
              <w:jc w:val="right"/>
            </w:pPr>
            <w:r>
              <w:rPr>
                <w:rFonts w:ascii="Georgia" w:hAnsi="Georgia"/>
                <w:sz w:val="14"/>
              </w:rPr>
            </w:r>
            <w:r>
              <w:rPr>
                <w:rFonts w:ascii="Georgia" w:hAnsi="Georgia"/>
                <w:sz w:val="14"/>
              </w:rPr>
              <w:t>940</w:t>
            </w:r>
          </w:p>
        </w:tc>
        <w:tc>
          <w:tcPr>
            <w:tcW w:type="dxa" w:w="1697"/>
          </w:tcPr>
          <w:p>
            <w:pPr>
              <w:spacing w:before="20" w:after="20"/>
              <w:jc w:val="right"/>
            </w:pPr>
            <w:r>
              <w:rPr>
                <w:rFonts w:ascii="Georgia" w:hAnsi="Georgia"/>
                <w:sz w:val="14"/>
              </w:rPr>
            </w:r>
            <w:r>
              <w:rPr>
                <w:rFonts w:ascii="Georgia" w:hAnsi="Georgia"/>
                <w:sz w:val="14"/>
              </w:rPr>
              <w:t>17.2%</w:t>
            </w:r>
          </w:p>
        </w:tc>
        <w:tc>
          <w:tcPr>
            <w:tcW w:type="dxa" w:w="1697"/>
          </w:tcPr>
          <w:p>
            <w:pPr>
              <w:spacing w:before="20" w:after="20"/>
              <w:jc w:val="right"/>
            </w:pPr>
            <w:r>
              <w:rPr>
                <w:rFonts w:ascii="Georgia" w:hAnsi="Georgia"/>
                <w:sz w:val="14"/>
              </w:rPr>
            </w:r>
            <w:r>
              <w:rPr>
                <w:rFonts w:ascii="Georgia" w:hAnsi="Georgia"/>
                <w:sz w:val="14"/>
              </w:rPr>
              <w:t>+0.2%</w:t>
            </w:r>
          </w:p>
        </w:tc>
        <w:tc>
          <w:tcPr>
            <w:tcW w:type="dxa" w:w="1697"/>
          </w:tcPr>
          <w:p>
            <w:pPr>
              <w:spacing w:before="20" w:after="20"/>
              <w:jc w:val="right"/>
            </w:pPr>
            <w:r>
              <w:rPr>
                <w:rFonts w:ascii="Georgia" w:hAnsi="Georgia"/>
                <w:sz w:val="14"/>
              </w:rPr>
            </w:r>
            <w:r>
              <w:rPr>
                <w:rFonts w:ascii="Georgia" w:hAnsi="Georgia"/>
                <w:sz w:val="14"/>
              </w:rPr>
              <w:t>+4.9%</w:t>
            </w:r>
          </w:p>
        </w:tc>
        <w:tc>
          <w:tcPr>
            <w:tcW w:type="dxa" w:w="1697"/>
          </w:tcPr>
          <w:p>
            <w:pPr>
              <w:spacing w:before="20" w:after="20"/>
            </w:pPr>
            <w:r>
              <w:rPr>
                <w:rFonts w:ascii="Georgia" w:hAnsi="Georgia"/>
                <w:sz w:val="14"/>
              </w:rPr>
            </w:r>
            <w:r>
              <w:rPr>
                <w:rFonts w:ascii="Georgia" w:hAnsi="Georgia"/>
                <w:sz w:val="14"/>
              </w:rPr>
              <w:t>Energy, telecoms, automotive, industrials, public sector. Diversifying but low-growth in aggregate.</w:t>
            </w:r>
          </w:p>
        </w:tc>
      </w:tr>
      <w:tr>
        <w:tc>
          <w:tcPr>
            <w:tcW w:type="dxa" w:w="1697"/>
            <w:shd w:val="clear" w:fill="F4F7FA"/>
          </w:tcPr>
          <w:p>
            <w:pPr>
              <w:spacing w:before="20" w:after="20"/>
            </w:pPr>
            <w:r>
              <w:rPr>
                <w:rFonts w:ascii="Georgia" w:hAnsi="Georgia"/>
                <w:sz w:val="14"/>
              </w:rPr>
            </w:r>
            <w:r>
              <w:rPr>
                <w:rFonts w:ascii="Georgia" w:hAnsi="Georgia"/>
                <w:b/>
                <w:sz w:val="14"/>
              </w:rPr>
              <w:t>Software &amp; Hi-Tech</w:t>
            </w:r>
          </w:p>
        </w:tc>
        <w:tc>
          <w:tcPr>
            <w:tcW w:type="dxa" w:w="1697"/>
            <w:shd w:val="clear" w:fill="F4F7FA"/>
          </w:tcPr>
          <w:p>
            <w:pPr>
              <w:spacing w:before="20" w:after="20"/>
              <w:jc w:val="right"/>
            </w:pPr>
            <w:r>
              <w:rPr>
                <w:rFonts w:ascii="Georgia" w:hAnsi="Georgia"/>
                <w:sz w:val="14"/>
              </w:rPr>
            </w:r>
            <w:r>
              <w:rPr>
                <w:rFonts w:ascii="Georgia" w:hAnsi="Georgia"/>
                <w:sz w:val="14"/>
              </w:rPr>
              <w:t>822</w:t>
            </w:r>
          </w:p>
        </w:tc>
        <w:tc>
          <w:tcPr>
            <w:tcW w:type="dxa" w:w="1697"/>
            <w:shd w:val="clear" w:fill="F4F7FA"/>
          </w:tcPr>
          <w:p>
            <w:pPr>
              <w:spacing w:before="20" w:after="20"/>
              <w:jc w:val="right"/>
            </w:pPr>
            <w:r>
              <w:rPr>
                <w:rFonts w:ascii="Georgia" w:hAnsi="Georgia"/>
                <w:sz w:val="14"/>
              </w:rPr>
            </w:r>
            <w:r>
              <w:rPr>
                <w:rFonts w:ascii="Georgia" w:hAnsi="Georgia"/>
                <w:sz w:val="14"/>
              </w:rPr>
              <w:t>15.1%</w:t>
            </w:r>
          </w:p>
        </w:tc>
        <w:tc>
          <w:tcPr>
            <w:tcW w:type="dxa" w:w="1697"/>
            <w:shd w:val="clear" w:fill="F4F7FA"/>
          </w:tcPr>
          <w:p>
            <w:pPr>
              <w:spacing w:before="20" w:after="20"/>
              <w:jc w:val="right"/>
            </w:pPr>
            <w:r>
              <w:rPr>
                <w:rFonts w:ascii="Georgia" w:hAnsi="Georgia"/>
                <w:sz w:val="14"/>
              </w:rPr>
            </w:r>
            <w:r>
              <w:rPr>
                <w:rFonts w:ascii="Georgia" w:hAnsi="Georgia"/>
                <w:sz w:val="14"/>
              </w:rPr>
              <w:t>+17.0%</w:t>
            </w:r>
          </w:p>
        </w:tc>
        <w:tc>
          <w:tcPr>
            <w:tcW w:type="dxa" w:w="1697"/>
            <w:shd w:val="clear" w:fill="F4F7FA"/>
          </w:tcPr>
          <w:p>
            <w:pPr>
              <w:spacing w:before="20" w:after="20"/>
              <w:jc w:val="right"/>
            </w:pPr>
            <w:r>
              <w:rPr>
                <w:rFonts w:ascii="Georgia" w:hAnsi="Georgia"/>
                <w:sz w:val="14"/>
              </w:rPr>
            </w:r>
            <w:r>
              <w:rPr>
                <w:rFonts w:ascii="Georgia" w:hAnsi="Georgia"/>
                <w:sz w:val="14"/>
              </w:rPr>
              <w:t>−1.3%</w:t>
            </w:r>
          </w:p>
        </w:tc>
        <w:tc>
          <w:tcPr>
            <w:tcW w:type="dxa" w:w="1697"/>
            <w:shd w:val="clear" w:fill="F4F7FA"/>
          </w:tcPr>
          <w:p>
            <w:pPr>
              <w:spacing w:before="20" w:after="20"/>
            </w:pPr>
            <w:r>
              <w:rPr>
                <w:rFonts w:ascii="Georgia" w:hAnsi="Georgia"/>
                <w:sz w:val="14"/>
              </w:rPr>
            </w:r>
            <w:r>
              <w:rPr>
                <w:rFonts w:ascii="Georgia" w:hAnsi="Georgia"/>
                <w:sz w:val="14"/>
              </w:rPr>
              <w:t>Outsourced R&amp;D for software vendors and platform companies. The most AI-exposed vertical, and it has now turned negative.</w:t>
            </w:r>
          </w:p>
        </w:tc>
      </w:tr>
      <w:tr>
        <w:tc>
          <w:tcPr>
            <w:tcW w:type="dxa" w:w="1697"/>
          </w:tcPr>
          <w:p>
            <w:pPr>
              <w:spacing w:before="20" w:after="20"/>
            </w:pPr>
            <w:r>
              <w:rPr>
                <w:rFonts w:ascii="Georgia" w:hAnsi="Georgia"/>
                <w:sz w:val="14"/>
              </w:rPr>
            </w:r>
            <w:r>
              <w:rPr>
                <w:rFonts w:ascii="Georgia" w:hAnsi="Georgia"/>
                <w:b/>
                <w:sz w:val="14"/>
              </w:rPr>
              <w:t>Business Information &amp; Media</w:t>
            </w:r>
          </w:p>
        </w:tc>
        <w:tc>
          <w:tcPr>
            <w:tcW w:type="dxa" w:w="1697"/>
          </w:tcPr>
          <w:p>
            <w:pPr>
              <w:spacing w:before="20" w:after="20"/>
              <w:jc w:val="right"/>
            </w:pPr>
            <w:r>
              <w:rPr>
                <w:rFonts w:ascii="Georgia" w:hAnsi="Georgia"/>
                <w:sz w:val="14"/>
              </w:rPr>
            </w:r>
            <w:r>
              <w:rPr>
                <w:rFonts w:ascii="Georgia" w:hAnsi="Georgia"/>
                <w:sz w:val="14"/>
              </w:rPr>
              <w:t>676</w:t>
            </w:r>
          </w:p>
        </w:tc>
        <w:tc>
          <w:tcPr>
            <w:tcW w:type="dxa" w:w="1697"/>
          </w:tcPr>
          <w:p>
            <w:pPr>
              <w:spacing w:before="20" w:after="20"/>
              <w:jc w:val="right"/>
            </w:pPr>
            <w:r>
              <w:rPr>
                <w:rFonts w:ascii="Georgia" w:hAnsi="Georgia"/>
                <w:sz w:val="14"/>
              </w:rPr>
            </w:r>
            <w:r>
              <w:rPr>
                <w:rFonts w:ascii="Georgia" w:hAnsi="Georgia"/>
                <w:sz w:val="14"/>
              </w:rPr>
              <w:t>12.4%</w:t>
            </w:r>
          </w:p>
        </w:tc>
        <w:tc>
          <w:tcPr>
            <w:tcW w:type="dxa" w:w="1697"/>
          </w:tcPr>
          <w:p>
            <w:pPr>
              <w:spacing w:before="20" w:after="20"/>
              <w:jc w:val="right"/>
            </w:pPr>
            <w:r>
              <w:rPr>
                <w:rFonts w:ascii="Georgia" w:hAnsi="Georgia"/>
                <w:sz w:val="14"/>
              </w:rPr>
            </w:r>
            <w:r>
              <w:rPr>
                <w:rFonts w:ascii="Georgia" w:hAnsi="Georgia"/>
                <w:sz w:val="14"/>
              </w:rPr>
              <w:t>+26.9%</w:t>
            </w:r>
          </w:p>
        </w:tc>
        <w:tc>
          <w:tcPr>
            <w:tcW w:type="dxa" w:w="1697"/>
          </w:tcPr>
          <w:p>
            <w:pPr>
              <w:spacing w:before="20" w:after="20"/>
              <w:jc w:val="right"/>
            </w:pPr>
            <w:r>
              <w:rPr>
                <w:rFonts w:ascii="Georgia" w:hAnsi="Georgia"/>
                <w:sz w:val="14"/>
              </w:rPr>
            </w:r>
            <w:r>
              <w:rPr>
                <w:rFonts w:ascii="Georgia" w:hAnsi="Georgia"/>
                <w:sz w:val="14"/>
              </w:rPr>
              <w:t>−2.1%</w:t>
            </w:r>
          </w:p>
        </w:tc>
        <w:tc>
          <w:tcPr>
            <w:tcW w:type="dxa" w:w="1697"/>
          </w:tcPr>
          <w:p>
            <w:pPr>
              <w:spacing w:before="20" w:after="20"/>
            </w:pPr>
            <w:r>
              <w:rPr>
                <w:rFonts w:ascii="Georgia" w:hAnsi="Georgia"/>
                <w:sz w:val="14"/>
              </w:rPr>
            </w:r>
            <w:r>
              <w:rPr>
                <w:rFonts w:ascii="Georgia" w:hAnsi="Georgia"/>
                <w:sz w:val="14"/>
              </w:rPr>
              <w:t>Publishing, data providers, market intelligence, advertising technology. Sharp deceleration.</w:t>
            </w:r>
          </w:p>
        </w:tc>
      </w:tr>
      <w:tr>
        <w:tc>
          <w:tcPr>
            <w:tcW w:type="dxa" w:w="1697"/>
            <w:shd w:val="clear" w:fill="F4F7FA"/>
          </w:tcPr>
          <w:p>
            <w:pPr>
              <w:spacing w:before="20" w:after="20"/>
            </w:pPr>
            <w:r>
              <w:rPr>
                <w:rFonts w:ascii="Georgia" w:hAnsi="Georgia"/>
                <w:sz w:val="14"/>
              </w:rPr>
            </w:r>
            <w:r>
              <w:rPr>
                <w:rFonts w:ascii="Georgia" w:hAnsi="Georgia"/>
                <w:b/>
                <w:sz w:val="14"/>
              </w:rPr>
              <w:t>Life Sciences &amp; Healthcare</w:t>
            </w:r>
          </w:p>
        </w:tc>
        <w:tc>
          <w:tcPr>
            <w:tcW w:type="dxa" w:w="1697"/>
            <w:shd w:val="clear" w:fill="F4F7FA"/>
          </w:tcPr>
          <w:p>
            <w:pPr>
              <w:spacing w:before="20" w:after="20"/>
              <w:jc w:val="right"/>
            </w:pPr>
            <w:r>
              <w:rPr>
                <w:rFonts w:ascii="Georgia" w:hAnsi="Georgia"/>
                <w:sz w:val="14"/>
              </w:rPr>
            </w:r>
            <w:r>
              <w:rPr>
                <w:rFonts w:ascii="Georgia" w:hAnsi="Georgia"/>
                <w:sz w:val="14"/>
              </w:rPr>
              <w:t>626</w:t>
            </w:r>
          </w:p>
        </w:tc>
        <w:tc>
          <w:tcPr>
            <w:tcW w:type="dxa" w:w="1697"/>
            <w:shd w:val="clear" w:fill="F4F7FA"/>
          </w:tcPr>
          <w:p>
            <w:pPr>
              <w:spacing w:before="20" w:after="20"/>
              <w:jc w:val="right"/>
            </w:pPr>
            <w:r>
              <w:rPr>
                <w:rFonts w:ascii="Georgia" w:hAnsi="Georgia"/>
                <w:sz w:val="14"/>
              </w:rPr>
            </w:r>
            <w:r>
              <w:rPr>
                <w:rFonts w:ascii="Georgia" w:hAnsi="Georgia"/>
                <w:sz w:val="14"/>
              </w:rPr>
              <w:t>11.5%</w:t>
            </w:r>
          </w:p>
        </w:tc>
        <w:tc>
          <w:tcPr>
            <w:tcW w:type="dxa" w:w="1697"/>
            <w:shd w:val="clear" w:fill="F4F7FA"/>
          </w:tcPr>
          <w:p>
            <w:pPr>
              <w:spacing w:before="20" w:after="20"/>
              <w:jc w:val="right"/>
            </w:pPr>
            <w:r>
              <w:rPr>
                <w:rFonts w:ascii="Georgia" w:hAnsi="Georgia"/>
                <w:sz w:val="14"/>
              </w:rPr>
            </w:r>
            <w:r>
              <w:rPr>
                <w:rFonts w:ascii="Georgia" w:hAnsi="Georgia"/>
                <w:sz w:val="14"/>
              </w:rPr>
              <w:t>+8.9%</w:t>
            </w:r>
          </w:p>
        </w:tc>
        <w:tc>
          <w:tcPr>
            <w:tcW w:type="dxa" w:w="1697"/>
            <w:shd w:val="clear" w:fill="F4F7FA"/>
          </w:tcPr>
          <w:p>
            <w:pPr>
              <w:spacing w:before="20" w:after="20"/>
              <w:jc w:val="right"/>
            </w:pPr>
            <w:r>
              <w:rPr>
                <w:rFonts w:ascii="Georgia" w:hAnsi="Georgia"/>
                <w:sz w:val="14"/>
              </w:rPr>
            </w:r>
            <w:r>
              <w:rPr>
                <w:rFonts w:ascii="Georgia" w:hAnsi="Georgia"/>
                <w:sz w:val="14"/>
              </w:rPr>
              <w:t>+8.0%</w:t>
            </w:r>
          </w:p>
        </w:tc>
        <w:tc>
          <w:tcPr>
            <w:tcW w:type="dxa" w:w="1697"/>
            <w:shd w:val="clear" w:fill="F4F7FA"/>
          </w:tcPr>
          <w:p>
            <w:pPr>
              <w:spacing w:before="20" w:after="20"/>
            </w:pPr>
            <w:r>
              <w:rPr>
                <w:rFonts w:ascii="Georgia" w:hAnsi="Georgia"/>
                <w:sz w:val="14"/>
              </w:rPr>
            </w:r>
            <w:r>
              <w:rPr>
                <w:rFonts w:ascii="Georgia" w:hAnsi="Georgia"/>
                <w:sz w:val="14"/>
              </w:rPr>
              <w:t>Clinical trial data, regulatory systems, payer and provider platforms. Steady, regulated, sticky; boosted by the Odysseus acquisition.</w:t>
            </w:r>
          </w:p>
        </w:tc>
      </w:tr>
      <w:tr>
        <w:tc>
          <w:tcPr>
            <w:tcW w:type="dxa" w:w="1697"/>
          </w:tcPr>
          <w:p>
            <w:pPr>
              <w:spacing w:before="20" w:after="20"/>
            </w:pPr>
            <w:r>
              <w:rPr>
                <w:rFonts w:ascii="Georgia" w:hAnsi="Georgia"/>
                <w:sz w:val="14"/>
              </w:rPr>
            </w:r>
            <w:r>
              <w:rPr>
                <w:rFonts w:ascii="Georgia" w:hAnsi="Georgia"/>
                <w:b/>
                <w:sz w:val="14"/>
              </w:rPr>
              <w:t>Total</w:t>
            </w:r>
          </w:p>
        </w:tc>
        <w:tc>
          <w:tcPr>
            <w:tcW w:type="dxa" w:w="1697"/>
          </w:tcPr>
          <w:p>
            <w:pPr>
              <w:spacing w:before="20" w:after="20"/>
              <w:jc w:val="right"/>
            </w:pPr>
            <w:r>
              <w:rPr>
                <w:rFonts w:ascii="Georgia" w:hAnsi="Georgia"/>
                <w:sz w:val="14"/>
              </w:rPr>
            </w:r>
            <w:r>
              <w:rPr>
                <w:rFonts w:ascii="Georgia" w:hAnsi="Georgia"/>
                <w:b/>
                <w:sz w:val="14"/>
              </w:rPr>
              <w:t>5,457</w:t>
            </w:r>
          </w:p>
        </w:tc>
        <w:tc>
          <w:tcPr>
            <w:tcW w:type="dxa" w:w="1697"/>
          </w:tcPr>
          <w:p>
            <w:pPr>
              <w:spacing w:before="20" w:after="20"/>
              <w:jc w:val="right"/>
            </w:pPr>
            <w:r>
              <w:rPr>
                <w:rFonts w:ascii="Georgia" w:hAnsi="Georgia"/>
                <w:sz w:val="14"/>
              </w:rPr>
            </w:r>
            <w:r>
              <w:rPr>
                <w:rFonts w:ascii="Georgia" w:hAnsi="Georgia"/>
                <w:b/>
                <w:sz w:val="14"/>
              </w:rPr>
              <w:t>100%</w:t>
            </w:r>
          </w:p>
        </w:tc>
        <w:tc>
          <w:tcPr>
            <w:tcW w:type="dxa" w:w="1697"/>
          </w:tcPr>
          <w:p>
            <w:pPr>
              <w:spacing w:before="20" w:after="20"/>
              <w:jc w:val="right"/>
            </w:pPr>
            <w:r>
              <w:rPr>
                <w:rFonts w:ascii="Georgia" w:hAnsi="Georgia"/>
                <w:sz w:val="14"/>
              </w:rPr>
            </w:r>
            <w:r>
              <w:rPr>
                <w:rFonts w:ascii="Georgia" w:hAnsi="Georgia"/>
                <w:b/>
                <w:sz w:val="14"/>
              </w:rPr>
              <w:t>+15.4%</w:t>
            </w:r>
          </w:p>
        </w:tc>
        <w:tc>
          <w:tcPr>
            <w:tcW w:type="dxa" w:w="1697"/>
          </w:tcPr>
          <w:p>
            <w:pPr>
              <w:spacing w:before="20" w:after="20"/>
              <w:jc w:val="right"/>
            </w:pPr>
            <w:r>
              <w:rPr>
                <w:rFonts w:ascii="Georgia" w:hAnsi="Georgia"/>
                <w:sz w:val="14"/>
              </w:rPr>
            </w:r>
            <w:r>
              <w:rPr>
                <w:rFonts w:ascii="Georgia" w:hAnsi="Georgia"/>
                <w:b/>
                <w:sz w:val="14"/>
              </w:rPr>
              <w:t>+4.5%</w:t>
            </w:r>
          </w:p>
        </w:tc>
        <w:tc>
          <w:tcPr>
            <w:tcW w:type="dxa" w:w="1697"/>
          </w:tcPr>
          <w:p>
            <w:pPr>
              <w:spacing w:before="20" w:after="20"/>
            </w:pPr>
            <w:r>
              <w:rPr>
                <w:rFonts w:ascii="Georgia" w:hAnsi="Georgia"/>
                <w:sz w:val="14"/>
              </w:rPr>
            </w:r>
          </w:p>
        </w:tc>
      </w:tr>
    </w:tbl>
    <w:p>
      <w:pPr>
        <w:spacing w:after="60"/>
      </w:pPr>
    </w:p>
    <w:p>
      <w:pPr>
        <w:spacing w:before="0" w:after="120"/>
        <w:jc w:val="both"/>
      </w:pPr>
      <w:r>
        <w:rPr>
          <w:i/>
          <w:color w:val="555555"/>
          <w:sz w:val="15"/>
        </w:rPr>
        <w:t>FY2025 vertical revenue and growth rates are reported. Q2 2026 growth rates are reported year-on-year rates.</w:t>
      </w:r>
    </w:p>
    <w:p>
      <w:pPr>
        <w:spacing w:before="40" w:after="60"/>
        <w:ind w:left="173" w:right="115"/>
        <w:jc w:val="both"/>
        <w:pBdr>
          <w:left w:val="single" w:sz="18" w:space="6" w:color="0B2545"/>
        </w:pBdr>
        <w:shd w:val="clear" w:fill="F4F7FA"/>
      </w:pPr>
      <w:r>
        <w:rPr>
          <w:b/>
          <w:sz w:val="17"/>
        </w:rPr>
        <w:t>The single most important line in that table</w:t>
      </w:r>
      <w:r>
        <w:rPr>
          <w:sz w:val="17"/>
        </w:rPr>
        <w:t xml:space="preserve"> is the divergence between the FY25 and Q2-26 growth columns. Business Information &amp; Media went from +26.9% to −2.1%; Software &amp; Hi-Tech from +17.0% to −1.3%. These are the two verticals whose clients are themselves technology-literate and therefore fastest to adopt AI coding tools internally. That is not a macro story. That is the AI substitution thesis showing up in the segment data, and it is the crux of the investment debate.</w:t>
      </w:r>
    </w:p>
    <w:p>
      <w:pPr>
        <w:keepNext/>
        <w:spacing w:before="200" w:after="80"/>
      </w:pPr>
      <w:r>
        <w:rPr>
          <w:rFonts w:ascii="Georgia" w:hAnsi="Georgia"/>
          <w:b/>
          <w:color w:val="14487F"/>
          <w:sz w:val="21"/>
        </w:rPr>
        <w:t>Geographic contribution</w:t>
      </w:r>
    </w:p>
    <w:tbl>
      <w:tblPr>
        <w:tblStyle w:val="TableGrid"/>
        <w:tblW w:type="auto" w:w="0"/>
        <w:jc w:val="center"/>
        <w:tblLayout w:type="autofit"/>
        <w:tblLook w:firstColumn="1" w:firstRow="1" w:lastColumn="0" w:lastRow="0" w:noHBand="0" w:noVBand="1" w:val="04A0"/>
      </w:tblPr>
      <w:tblGrid>
        <w:gridCol w:w="1697"/>
        <w:gridCol w:w="1697"/>
        <w:gridCol w:w="1697"/>
        <w:gridCol w:w="1697"/>
        <w:gridCol w:w="1697"/>
        <w:gridCol w:w="1697"/>
      </w:tblGrid>
      <w:tr>
        <w:tc>
          <w:tcPr>
            <w:tcW w:type="dxa" w:w="1697"/>
            <w:shd w:val="clear" w:fill="0B2545"/>
          </w:tcPr>
          <w:p>
            <w:pPr>
              <w:spacing w:before="20" w:after="20"/>
            </w:pPr>
            <w:r>
              <w:rPr>
                <w:rFonts w:ascii="Georgia" w:hAnsi="Georgia"/>
                <w:b/>
                <w:color w:val="FFFFFF"/>
                <w:sz w:val="14"/>
              </w:rPr>
            </w:r>
            <w:r>
              <w:rPr>
                <w:rFonts w:ascii="Georgia" w:hAnsi="Georgia"/>
                <w:b/>
                <w:color w:val="FFFFFF"/>
                <w:sz w:val="14"/>
              </w:rPr>
              <w:t>Geography</w:t>
            </w:r>
          </w:p>
        </w:tc>
        <w:tc>
          <w:tcPr>
            <w:tcW w:type="dxa" w:w="1697"/>
            <w:shd w:val="clear" w:fill="0B2545"/>
          </w:tcPr>
          <w:p>
            <w:pPr>
              <w:spacing w:before="20" w:after="20"/>
              <w:jc w:val="right"/>
            </w:pPr>
            <w:r>
              <w:rPr>
                <w:rFonts w:ascii="Georgia" w:hAnsi="Georgia"/>
                <w:b/>
                <w:color w:val="FFFFFF"/>
                <w:sz w:val="14"/>
              </w:rPr>
            </w:r>
            <w:r>
              <w:rPr>
                <w:rFonts w:ascii="Georgia" w:hAnsi="Georgia"/>
                <w:b/>
                <w:color w:val="FFFFFF"/>
                <w:sz w:val="14"/>
              </w:rPr>
              <w:t>FY2025 revenue ($m, est.)</w:t>
            </w:r>
          </w:p>
        </w:tc>
        <w:tc>
          <w:tcPr>
            <w:tcW w:type="dxa" w:w="1697"/>
            <w:shd w:val="clear" w:fill="0B2545"/>
          </w:tcPr>
          <w:p>
            <w:pPr>
              <w:spacing w:before="20" w:after="20"/>
              <w:jc w:val="right"/>
            </w:pPr>
            <w:r>
              <w:rPr>
                <w:rFonts w:ascii="Georgia" w:hAnsi="Georgia"/>
                <w:b/>
                <w:color w:val="FFFFFF"/>
                <w:sz w:val="14"/>
              </w:rPr>
            </w:r>
            <w:r>
              <w:rPr>
                <w:rFonts w:ascii="Georgia" w:hAnsi="Georgia"/>
                <w:b/>
                <w:color w:val="FFFFFF"/>
                <w:sz w:val="14"/>
              </w:rPr>
              <w:t>% of total</w:t>
            </w:r>
          </w:p>
        </w:tc>
        <w:tc>
          <w:tcPr>
            <w:tcW w:type="dxa" w:w="1697"/>
            <w:shd w:val="clear" w:fill="0B2545"/>
          </w:tcPr>
          <w:p>
            <w:pPr>
              <w:spacing w:before="20" w:after="20"/>
              <w:jc w:val="right"/>
            </w:pPr>
            <w:r>
              <w:rPr>
                <w:rFonts w:ascii="Georgia" w:hAnsi="Georgia"/>
                <w:b/>
                <w:color w:val="FFFFFF"/>
                <w:sz w:val="14"/>
              </w:rPr>
            </w:r>
            <w:r>
              <w:rPr>
                <w:rFonts w:ascii="Georgia" w:hAnsi="Georgia"/>
                <w:b/>
                <w:color w:val="FFFFFF"/>
                <w:sz w:val="14"/>
              </w:rPr>
              <w:t>Q2-26 revenue ($m)</w:t>
            </w:r>
          </w:p>
        </w:tc>
        <w:tc>
          <w:tcPr>
            <w:tcW w:type="dxa" w:w="1697"/>
            <w:shd w:val="clear" w:fill="0B2545"/>
          </w:tcPr>
          <w:p>
            <w:pPr>
              <w:spacing w:before="20" w:after="20"/>
              <w:jc w:val="right"/>
            </w:pPr>
            <w:r>
              <w:rPr>
                <w:rFonts w:ascii="Georgia" w:hAnsi="Georgia"/>
                <w:b/>
                <w:color w:val="FFFFFF"/>
                <w:sz w:val="14"/>
              </w:rPr>
            </w:r>
            <w:r>
              <w:rPr>
                <w:rFonts w:ascii="Georgia" w:hAnsi="Georgia"/>
                <w:b/>
                <w:color w:val="FFFFFF"/>
                <w:sz w:val="14"/>
              </w:rPr>
              <w:t>Q2-26 growth</w:t>
            </w:r>
          </w:p>
        </w:tc>
        <w:tc>
          <w:tcPr>
            <w:tcW w:type="dxa" w:w="1697"/>
            <w:shd w:val="clear" w:fill="0B2545"/>
          </w:tcPr>
          <w:p>
            <w:pPr>
              <w:spacing w:before="20" w:after="20"/>
            </w:pPr>
            <w:r>
              <w:rPr>
                <w:rFonts w:ascii="Georgia" w:hAnsi="Georgia"/>
                <w:b/>
                <w:color w:val="FFFFFF"/>
                <w:sz w:val="14"/>
              </w:rPr>
            </w:r>
            <w:r>
              <w:rPr>
                <w:rFonts w:ascii="Georgia" w:hAnsi="Georgia"/>
                <w:b/>
                <w:color w:val="FFFFFF"/>
                <w:sz w:val="14"/>
              </w:rPr>
              <w:t>Comment</w:t>
            </w:r>
          </w:p>
        </w:tc>
      </w:tr>
      <w:tr>
        <w:tc>
          <w:tcPr>
            <w:tcW w:type="dxa" w:w="1697"/>
          </w:tcPr>
          <w:p>
            <w:pPr>
              <w:spacing w:before="20" w:after="20"/>
            </w:pPr>
            <w:r>
              <w:rPr>
                <w:rFonts w:ascii="Georgia" w:hAnsi="Georgia"/>
                <w:sz w:val="14"/>
              </w:rPr>
            </w:r>
            <w:r>
              <w:rPr>
                <w:rFonts w:ascii="Georgia" w:hAnsi="Georgia"/>
                <w:sz w:val="14"/>
              </w:rPr>
              <w:t>Americas (chiefly USA)</w:t>
            </w:r>
          </w:p>
        </w:tc>
        <w:tc>
          <w:tcPr>
            <w:tcW w:type="dxa" w:w="1697"/>
          </w:tcPr>
          <w:p>
            <w:pPr>
              <w:spacing w:before="20" w:after="20"/>
              <w:jc w:val="right"/>
            </w:pPr>
            <w:r>
              <w:rPr>
                <w:rFonts w:ascii="Georgia" w:hAnsi="Georgia"/>
                <w:sz w:val="14"/>
              </w:rPr>
            </w:r>
            <w:r>
              <w:rPr>
                <w:rFonts w:ascii="Georgia" w:hAnsi="Georgia"/>
                <w:sz w:val="14"/>
              </w:rPr>
              <w:t>c.3,199</w:t>
            </w:r>
          </w:p>
        </w:tc>
        <w:tc>
          <w:tcPr>
            <w:tcW w:type="dxa" w:w="1697"/>
          </w:tcPr>
          <w:p>
            <w:pPr>
              <w:spacing w:before="20" w:after="20"/>
              <w:jc w:val="right"/>
            </w:pPr>
            <w:r>
              <w:rPr>
                <w:rFonts w:ascii="Georgia" w:hAnsi="Georgia"/>
                <w:sz w:val="14"/>
              </w:rPr>
            </w:r>
            <w:r>
              <w:rPr>
                <w:rFonts w:ascii="Georgia" w:hAnsi="Georgia"/>
                <w:sz w:val="14"/>
              </w:rPr>
              <w:t>c.58.6%</w:t>
            </w:r>
          </w:p>
        </w:tc>
        <w:tc>
          <w:tcPr>
            <w:tcW w:type="dxa" w:w="1697"/>
          </w:tcPr>
          <w:p>
            <w:pPr>
              <w:spacing w:before="20" w:after="20"/>
              <w:jc w:val="right"/>
            </w:pPr>
            <w:r>
              <w:rPr>
                <w:rFonts w:ascii="Georgia" w:hAnsi="Georgia"/>
                <w:sz w:val="14"/>
              </w:rPr>
            </w:r>
            <w:r>
              <w:rPr>
                <w:rFonts w:ascii="Georgia" w:hAnsi="Georgia"/>
                <w:sz w:val="14"/>
              </w:rPr>
              <w:t>806</w:t>
            </w:r>
          </w:p>
        </w:tc>
        <w:tc>
          <w:tcPr>
            <w:tcW w:type="dxa" w:w="1697"/>
          </w:tcPr>
          <w:p>
            <w:pPr>
              <w:spacing w:before="20" w:after="20"/>
              <w:jc w:val="right"/>
            </w:pPr>
            <w:r>
              <w:rPr>
                <w:rFonts w:ascii="Georgia" w:hAnsi="Georgia"/>
                <w:sz w:val="14"/>
              </w:rPr>
            </w:r>
            <w:r>
              <w:rPr>
                <w:rFonts w:ascii="Georgia" w:hAnsi="Georgia"/>
                <w:sz w:val="14"/>
              </w:rPr>
              <w:t>+0.5%</w:t>
            </w:r>
          </w:p>
        </w:tc>
        <w:tc>
          <w:tcPr>
            <w:tcW w:type="dxa" w:w="1697"/>
          </w:tcPr>
          <w:p>
            <w:pPr>
              <w:spacing w:before="20" w:after="20"/>
            </w:pPr>
            <w:r>
              <w:rPr>
                <w:rFonts w:ascii="Georgia" w:hAnsi="Georgia"/>
                <w:sz w:val="14"/>
              </w:rPr>
            </w:r>
            <w:r>
              <w:rPr>
                <w:rFonts w:ascii="Georgia" w:hAnsi="Georgia"/>
                <w:sz w:val="14"/>
              </w:rPr>
              <w:t>Largest market, now effectively stalled. Client decision cycles have lengthened materially.</w:t>
            </w:r>
          </w:p>
        </w:tc>
      </w:tr>
      <w:tr>
        <w:tc>
          <w:tcPr>
            <w:tcW w:type="dxa" w:w="1697"/>
            <w:shd w:val="clear" w:fill="F4F7FA"/>
          </w:tcPr>
          <w:p>
            <w:pPr>
              <w:spacing w:before="20" w:after="20"/>
            </w:pPr>
            <w:r>
              <w:rPr>
                <w:rFonts w:ascii="Georgia" w:hAnsi="Georgia"/>
                <w:sz w:val="14"/>
              </w:rPr>
            </w:r>
            <w:r>
              <w:rPr>
                <w:rFonts w:ascii="Georgia" w:hAnsi="Georgia"/>
                <w:sz w:val="14"/>
              </w:rPr>
              <w:t>EMEA</w:t>
            </w:r>
          </w:p>
        </w:tc>
        <w:tc>
          <w:tcPr>
            <w:tcW w:type="dxa" w:w="1697"/>
            <w:shd w:val="clear" w:fill="F4F7FA"/>
          </w:tcPr>
          <w:p>
            <w:pPr>
              <w:spacing w:before="20" w:after="20"/>
              <w:jc w:val="right"/>
            </w:pPr>
            <w:r>
              <w:rPr>
                <w:rFonts w:ascii="Georgia" w:hAnsi="Georgia"/>
                <w:sz w:val="14"/>
              </w:rPr>
            </w:r>
            <w:r>
              <w:rPr>
                <w:rFonts w:ascii="Georgia" w:hAnsi="Georgia"/>
                <w:sz w:val="14"/>
              </w:rPr>
              <w:t>c.2,148</w:t>
            </w:r>
          </w:p>
        </w:tc>
        <w:tc>
          <w:tcPr>
            <w:tcW w:type="dxa" w:w="1697"/>
            <w:shd w:val="clear" w:fill="F4F7FA"/>
          </w:tcPr>
          <w:p>
            <w:pPr>
              <w:spacing w:before="20" w:after="20"/>
              <w:jc w:val="right"/>
            </w:pPr>
            <w:r>
              <w:rPr>
                <w:rFonts w:ascii="Georgia" w:hAnsi="Georgia"/>
                <w:sz w:val="14"/>
              </w:rPr>
            </w:r>
            <w:r>
              <w:rPr>
                <w:rFonts w:ascii="Georgia" w:hAnsi="Georgia"/>
                <w:sz w:val="14"/>
              </w:rPr>
              <w:t>c.39.4%</w:t>
            </w:r>
          </w:p>
        </w:tc>
        <w:tc>
          <w:tcPr>
            <w:tcW w:type="dxa" w:w="1697"/>
            <w:shd w:val="clear" w:fill="F4F7FA"/>
          </w:tcPr>
          <w:p>
            <w:pPr>
              <w:spacing w:before="20" w:after="20"/>
              <w:jc w:val="right"/>
            </w:pPr>
            <w:r>
              <w:rPr>
                <w:rFonts w:ascii="Georgia" w:hAnsi="Georgia"/>
                <w:sz w:val="14"/>
              </w:rPr>
            </w:r>
            <w:r>
              <w:rPr>
                <w:rFonts w:ascii="Georgia" w:hAnsi="Georgia"/>
                <w:sz w:val="14"/>
              </w:rPr>
              <w:t>582</w:t>
            </w:r>
          </w:p>
        </w:tc>
        <w:tc>
          <w:tcPr>
            <w:tcW w:type="dxa" w:w="1697"/>
            <w:shd w:val="clear" w:fill="F4F7FA"/>
          </w:tcPr>
          <w:p>
            <w:pPr>
              <w:spacing w:before="20" w:after="20"/>
              <w:jc w:val="right"/>
            </w:pPr>
            <w:r>
              <w:rPr>
                <w:rFonts w:ascii="Georgia" w:hAnsi="Georgia"/>
                <w:sz w:val="14"/>
              </w:rPr>
            </w:r>
            <w:r>
              <w:rPr>
                <w:rFonts w:ascii="Georgia" w:hAnsi="Georgia"/>
                <w:sz w:val="14"/>
              </w:rPr>
              <w:t>+10.9%</w:t>
            </w:r>
          </w:p>
        </w:tc>
        <w:tc>
          <w:tcPr>
            <w:tcW w:type="dxa" w:w="1697"/>
            <w:shd w:val="clear" w:fill="F4F7FA"/>
          </w:tcPr>
          <w:p>
            <w:pPr>
              <w:spacing w:before="20" w:after="20"/>
            </w:pPr>
            <w:r>
              <w:rPr>
                <w:rFonts w:ascii="Georgia" w:hAnsi="Georgia"/>
                <w:sz w:val="14"/>
              </w:rPr>
            </w:r>
            <w:r>
              <w:rPr>
                <w:rFonts w:ascii="Georgia" w:hAnsi="Georgia"/>
                <w:sz w:val="14"/>
              </w:rPr>
              <w:t>The growth engine. Benefiting from FX, European AI/data-sovereignty spend and the NEORIS/Emakina footprint.</w:t>
            </w:r>
          </w:p>
        </w:tc>
      </w:tr>
      <w:tr>
        <w:tc>
          <w:tcPr>
            <w:tcW w:type="dxa" w:w="1697"/>
          </w:tcPr>
          <w:p>
            <w:pPr>
              <w:spacing w:before="20" w:after="20"/>
            </w:pPr>
            <w:r>
              <w:rPr>
                <w:rFonts w:ascii="Georgia" w:hAnsi="Georgia"/>
                <w:sz w:val="14"/>
              </w:rPr>
            </w:r>
            <w:r>
              <w:rPr>
                <w:rFonts w:ascii="Georgia" w:hAnsi="Georgia"/>
                <w:sz w:val="14"/>
              </w:rPr>
              <w:t>APAC</w:t>
            </w:r>
          </w:p>
        </w:tc>
        <w:tc>
          <w:tcPr>
            <w:tcW w:type="dxa" w:w="1697"/>
          </w:tcPr>
          <w:p>
            <w:pPr>
              <w:spacing w:before="20" w:after="20"/>
              <w:jc w:val="right"/>
            </w:pPr>
            <w:r>
              <w:rPr>
                <w:rFonts w:ascii="Georgia" w:hAnsi="Georgia"/>
                <w:sz w:val="14"/>
              </w:rPr>
            </w:r>
            <w:r>
              <w:rPr>
                <w:rFonts w:ascii="Georgia" w:hAnsi="Georgia"/>
                <w:sz w:val="14"/>
              </w:rPr>
              <w:t>c.110</w:t>
            </w:r>
          </w:p>
        </w:tc>
        <w:tc>
          <w:tcPr>
            <w:tcW w:type="dxa" w:w="1697"/>
          </w:tcPr>
          <w:p>
            <w:pPr>
              <w:spacing w:before="20" w:after="20"/>
              <w:jc w:val="right"/>
            </w:pPr>
            <w:r>
              <w:rPr>
                <w:rFonts w:ascii="Georgia" w:hAnsi="Georgia"/>
                <w:sz w:val="14"/>
              </w:rPr>
            </w:r>
            <w:r>
              <w:rPr>
                <w:rFonts w:ascii="Georgia" w:hAnsi="Georgia"/>
                <w:sz w:val="14"/>
              </w:rPr>
              <w:t>c.2.0%</w:t>
            </w:r>
          </w:p>
        </w:tc>
        <w:tc>
          <w:tcPr>
            <w:tcW w:type="dxa" w:w="1697"/>
          </w:tcPr>
          <w:p>
            <w:pPr>
              <w:spacing w:before="20" w:after="20"/>
              <w:jc w:val="right"/>
            </w:pPr>
            <w:r>
              <w:rPr>
                <w:rFonts w:ascii="Georgia" w:hAnsi="Georgia"/>
                <w:sz w:val="14"/>
              </w:rPr>
            </w:r>
            <w:r>
              <w:rPr>
                <w:rFonts w:ascii="Georgia" w:hAnsi="Georgia"/>
                <w:sz w:val="14"/>
              </w:rPr>
              <w:t>27</w:t>
            </w:r>
          </w:p>
        </w:tc>
        <w:tc>
          <w:tcPr>
            <w:tcW w:type="dxa" w:w="1697"/>
          </w:tcPr>
          <w:p>
            <w:pPr>
              <w:spacing w:before="20" w:after="20"/>
              <w:jc w:val="right"/>
            </w:pPr>
            <w:r>
              <w:rPr>
                <w:rFonts w:ascii="Georgia" w:hAnsi="Georgia"/>
                <w:sz w:val="14"/>
              </w:rPr>
            </w:r>
            <w:r>
              <w:rPr>
                <w:rFonts w:ascii="Georgia" w:hAnsi="Georgia"/>
                <w:sz w:val="14"/>
              </w:rPr>
              <w:t>−0.3%</w:t>
            </w:r>
          </w:p>
        </w:tc>
        <w:tc>
          <w:tcPr>
            <w:tcW w:type="dxa" w:w="1697"/>
          </w:tcPr>
          <w:p>
            <w:pPr>
              <w:spacing w:before="20" w:after="20"/>
            </w:pPr>
            <w:r>
              <w:rPr>
                <w:rFonts w:ascii="Georgia" w:hAnsi="Georgia"/>
                <w:sz w:val="14"/>
              </w:rPr>
            </w:r>
            <w:r>
              <w:rPr>
                <w:rFonts w:ascii="Georgia" w:hAnsi="Georgia"/>
                <w:sz w:val="14"/>
              </w:rPr>
              <w:t>Sub-scale. India is a delivery location, not a meaningful revenue market.</w:t>
            </w:r>
          </w:p>
        </w:tc>
      </w:tr>
    </w:tbl>
    <w:p>
      <w:pPr>
        <w:spacing w:after="60"/>
      </w:pPr>
    </w:p>
    <w:p>
      <w:pPr>
        <w:spacing w:before="0" w:after="120"/>
        <w:jc w:val="both"/>
      </w:pPr>
      <w:r>
        <w:rPr>
          <w:i/>
          <w:color w:val="555555"/>
          <w:sz w:val="15"/>
        </w:rPr>
        <w:t>Q2 2026 figures are reported. FY2025 geographic figures are derived by the author from reported quarterly disclosures and are approximate.</w:t>
      </w:r>
    </w:p>
    <w:p>
      <w:pPr>
        <w:keepNext/>
        <w:spacing w:before="320" w:after="120"/>
        <w:pBdr>
          <w:bottom w:val="single" w:sz="12" w:space="2" w:color="0B2545"/>
        </w:pBdr>
      </w:pPr>
      <w:r>
        <w:rPr>
          <w:rFonts w:ascii="Georgia" w:hAnsi="Georgia"/>
          <w:b/>
          <w:color w:val="0B2545"/>
          <w:sz w:val="26"/>
        </w:rPr>
        <w:t>3. Historical Share-Price Catalysts (Moves Greater Than 5%)</w:t>
      </w:r>
    </w:p>
    <w:p>
      <w:pPr>
        <w:spacing w:before="0" w:after="80"/>
        <w:jc w:val="both"/>
      </w:pPr>
      <w:r>
        <w:rPr/>
        <w:t xml:space="preserve">EPAM's five-year price history is among the most violent in US listed IT services. The stock compounded from roughly $150 in early 2020 to an all-time high near </w:t>
      </w:r>
      <w:r>
        <w:rPr>
          <w:b/>
        </w:rPr>
        <w:t>$722 in November 2021</w:t>
      </w:r>
      <w:r>
        <w:rPr/>
        <w:t>, then lost more than 95% of that peak value across two distinct shocks: a geopolitical one in 2022 and a technological one in 2024–26.</w:t>
      </w:r>
    </w:p>
    <w:tbl>
      <w:tblPr>
        <w:tblStyle w:val="TableGrid"/>
        <w:tblW w:type="auto" w:w="0"/>
        <w:jc w:val="center"/>
        <w:tblLayout w:type="autofit"/>
        <w:tblLook w:firstColumn="1" w:firstRow="1" w:lastColumn="0" w:lastRow="0" w:noHBand="0" w:noVBand="1" w:val="04A0"/>
      </w:tblPr>
      <w:tblGrid>
        <w:gridCol w:w="2545"/>
        <w:gridCol w:w="2545"/>
        <w:gridCol w:w="2545"/>
        <w:gridCol w:w="2545"/>
      </w:tblGrid>
      <w:tr>
        <w:tc>
          <w:tcPr>
            <w:tcW w:type="dxa" w:w="2545"/>
            <w:shd w:val="clear" w:fill="0B2545"/>
          </w:tcPr>
          <w:p>
            <w:pPr>
              <w:spacing w:before="20" w:after="20"/>
            </w:pPr>
            <w:r>
              <w:rPr>
                <w:rFonts w:ascii="Georgia" w:hAnsi="Georgia"/>
                <w:b/>
                <w:color w:val="FFFFFF"/>
                <w:sz w:val="14"/>
              </w:rPr>
            </w:r>
            <w:r>
              <w:rPr>
                <w:rFonts w:ascii="Georgia" w:hAnsi="Georgia"/>
                <w:b/>
                <w:color w:val="FFFFFF"/>
                <w:sz w:val="14"/>
              </w:rPr>
              <w:t>Date</w:t>
            </w:r>
          </w:p>
        </w:tc>
        <w:tc>
          <w:tcPr>
            <w:tcW w:type="dxa" w:w="2545"/>
            <w:shd w:val="clear" w:fill="0B2545"/>
          </w:tcPr>
          <w:p>
            <w:pPr>
              <w:spacing w:before="20" w:after="20"/>
            </w:pPr>
            <w:r>
              <w:rPr>
                <w:rFonts w:ascii="Georgia" w:hAnsi="Georgia"/>
                <w:b/>
                <w:color w:val="FFFFFF"/>
                <w:sz w:val="14"/>
              </w:rPr>
            </w:r>
            <w:r>
              <w:rPr>
                <w:rFonts w:ascii="Georgia" w:hAnsi="Georgia"/>
                <w:b/>
                <w:color w:val="FFFFFF"/>
                <w:sz w:val="14"/>
              </w:rPr>
              <w:t>Event</w:t>
            </w:r>
          </w:p>
        </w:tc>
        <w:tc>
          <w:tcPr>
            <w:tcW w:type="dxa" w:w="2545"/>
            <w:shd w:val="clear" w:fill="0B2545"/>
          </w:tcPr>
          <w:p>
            <w:pPr>
              <w:spacing w:before="20" w:after="20"/>
            </w:pPr>
            <w:r>
              <w:rPr>
                <w:rFonts w:ascii="Georgia" w:hAnsi="Georgia"/>
                <w:b/>
                <w:color w:val="FFFFFF"/>
                <w:sz w:val="14"/>
              </w:rPr>
            </w:r>
            <w:r>
              <w:rPr>
                <w:rFonts w:ascii="Georgia" w:hAnsi="Georgia"/>
                <w:b/>
                <w:color w:val="FFFFFF"/>
                <w:sz w:val="14"/>
              </w:rPr>
              <w:t>Approx. move</w:t>
            </w:r>
          </w:p>
        </w:tc>
        <w:tc>
          <w:tcPr>
            <w:tcW w:type="dxa" w:w="2545"/>
            <w:shd w:val="clear" w:fill="0B2545"/>
          </w:tcPr>
          <w:p>
            <w:pPr>
              <w:spacing w:before="20" w:after="20"/>
            </w:pPr>
            <w:r>
              <w:rPr>
                <w:rFonts w:ascii="Georgia" w:hAnsi="Georgia"/>
                <w:b/>
                <w:color w:val="FFFFFF"/>
                <w:sz w:val="14"/>
              </w:rPr>
            </w:r>
            <w:r>
              <w:rPr>
                <w:rFonts w:ascii="Georgia" w:hAnsi="Georgia"/>
                <w:b/>
                <w:color w:val="FFFFFF"/>
                <w:sz w:val="14"/>
              </w:rPr>
              <w:t>Interpretation</w:t>
            </w:r>
          </w:p>
        </w:tc>
      </w:tr>
      <w:tr>
        <w:tc>
          <w:tcPr>
            <w:tcW w:type="dxa" w:w="2545"/>
          </w:tcPr>
          <w:p>
            <w:pPr>
              <w:spacing w:before="20" w:after="20"/>
            </w:pPr>
            <w:r>
              <w:rPr>
                <w:rFonts w:ascii="Georgia" w:hAnsi="Georgia"/>
                <w:sz w:val="14"/>
              </w:rPr>
            </w:r>
            <w:r>
              <w:rPr>
                <w:rFonts w:ascii="Georgia" w:hAnsi="Georgia"/>
                <w:sz w:val="14"/>
              </w:rPr>
              <w:t>Nov 2021</w:t>
            </w:r>
          </w:p>
        </w:tc>
        <w:tc>
          <w:tcPr>
            <w:tcW w:type="dxa" w:w="2545"/>
          </w:tcPr>
          <w:p>
            <w:pPr>
              <w:spacing w:before="20" w:after="20"/>
            </w:pPr>
            <w:r>
              <w:rPr>
                <w:rFonts w:ascii="Georgia" w:hAnsi="Georgia"/>
                <w:sz w:val="14"/>
              </w:rPr>
            </w:r>
            <w:r>
              <w:rPr>
                <w:rFonts w:ascii="Georgia" w:hAnsi="Georgia"/>
                <w:sz w:val="14"/>
              </w:rPr>
              <w:t>All-time high c.$722 following Q3 2021 results; revenue growing above 50% y/y</w:t>
            </w:r>
          </w:p>
        </w:tc>
        <w:tc>
          <w:tcPr>
            <w:tcW w:type="dxa" w:w="2545"/>
          </w:tcPr>
          <w:p>
            <w:pPr>
              <w:spacing w:before="20" w:after="20"/>
              <w:jc w:val="right"/>
            </w:pPr>
            <w:r>
              <w:rPr>
                <w:rFonts w:ascii="Georgia" w:hAnsi="Georgia"/>
                <w:sz w:val="14"/>
              </w:rPr>
            </w:r>
            <w:r>
              <w:rPr>
                <w:rFonts w:ascii="Georgia" w:hAnsi="Georgia"/>
                <w:sz w:val="14"/>
              </w:rPr>
              <w:t>Peak</w:t>
            </w:r>
          </w:p>
        </w:tc>
        <w:tc>
          <w:tcPr>
            <w:tcW w:type="dxa" w:w="2545"/>
          </w:tcPr>
          <w:p>
            <w:pPr>
              <w:spacing w:before="20" w:after="20"/>
            </w:pPr>
            <w:r>
              <w:rPr>
                <w:rFonts w:ascii="Georgia" w:hAnsi="Georgia"/>
                <w:sz w:val="14"/>
              </w:rPr>
            </w:r>
            <w:r>
              <w:rPr>
                <w:rFonts w:ascii="Georgia" w:hAnsi="Georgia"/>
                <w:sz w:val="14"/>
              </w:rPr>
              <w:t>Priced as a hyper-growth compounder at a multiple above 60x EV/EBITDA. The subsequent de-rating begins from an extraordinary starting point.</w:t>
            </w:r>
          </w:p>
        </w:tc>
      </w:tr>
      <w:tr>
        <w:tc>
          <w:tcPr>
            <w:tcW w:type="dxa" w:w="2545"/>
            <w:shd w:val="clear" w:fill="F4F7FA"/>
          </w:tcPr>
          <w:p>
            <w:pPr>
              <w:spacing w:before="20" w:after="20"/>
            </w:pPr>
            <w:r>
              <w:rPr>
                <w:rFonts w:ascii="Georgia" w:hAnsi="Georgia"/>
                <w:sz w:val="14"/>
              </w:rPr>
            </w:r>
            <w:r>
              <w:rPr>
                <w:rFonts w:ascii="Georgia" w:hAnsi="Georgia"/>
                <w:sz w:val="14"/>
              </w:rPr>
              <w:t>24 Feb 2022</w:t>
            </w:r>
          </w:p>
        </w:tc>
        <w:tc>
          <w:tcPr>
            <w:tcW w:type="dxa" w:w="2545"/>
            <w:shd w:val="clear" w:fill="F4F7FA"/>
          </w:tcPr>
          <w:p>
            <w:pPr>
              <w:spacing w:before="20" w:after="20"/>
            </w:pPr>
            <w:r>
              <w:rPr>
                <w:rFonts w:ascii="Georgia" w:hAnsi="Georgia"/>
                <w:sz w:val="14"/>
              </w:rPr>
            </w:r>
            <w:r>
              <w:rPr>
                <w:rFonts w:ascii="Georgia" w:hAnsi="Georgia"/>
                <w:sz w:val="14"/>
              </w:rPr>
              <w:t>Russia invades Ukraine. EPAM had c.14,000 staff in Ukraine and thousands more in Russia and Belarus</w:t>
            </w:r>
          </w:p>
        </w:tc>
        <w:tc>
          <w:tcPr>
            <w:tcW w:type="dxa" w:w="2545"/>
            <w:shd w:val="clear" w:fill="F4F7FA"/>
          </w:tcPr>
          <w:p>
            <w:pPr>
              <w:spacing w:before="20" w:after="20"/>
              <w:jc w:val="right"/>
            </w:pPr>
            <w:r>
              <w:rPr>
                <w:rFonts w:ascii="Georgia" w:hAnsi="Georgia"/>
                <w:sz w:val="14"/>
              </w:rPr>
            </w:r>
            <w:r>
              <w:rPr>
                <w:rFonts w:ascii="Georgia" w:hAnsi="Georgia"/>
                <w:sz w:val="14"/>
              </w:rPr>
              <w:t>Opened −16%, closed −8.6%</w:t>
            </w:r>
          </w:p>
        </w:tc>
        <w:tc>
          <w:tcPr>
            <w:tcW w:type="dxa" w:w="2545"/>
            <w:shd w:val="clear" w:fill="F4F7FA"/>
          </w:tcPr>
          <w:p>
            <w:pPr>
              <w:spacing w:before="20" w:after="20"/>
            </w:pPr>
            <w:r>
              <w:rPr>
                <w:rFonts w:ascii="Georgia" w:hAnsi="Georgia"/>
                <w:sz w:val="14"/>
              </w:rPr>
            </w:r>
            <w:r>
              <w:rPr>
                <w:rFonts w:ascii="Georgia" w:hAnsi="Georgia"/>
                <w:sz w:val="14"/>
              </w:rPr>
              <w:t>Existential delivery risk. Over half of EPAM's production capacity sat inside or adjacent to the conflict zone.</w:t>
            </w:r>
          </w:p>
        </w:tc>
      </w:tr>
      <w:tr>
        <w:tc>
          <w:tcPr>
            <w:tcW w:type="dxa" w:w="2545"/>
          </w:tcPr>
          <w:p>
            <w:pPr>
              <w:spacing w:before="20" w:after="20"/>
            </w:pPr>
            <w:r>
              <w:rPr>
                <w:rFonts w:ascii="Georgia" w:hAnsi="Georgia"/>
                <w:sz w:val="14"/>
              </w:rPr>
            </w:r>
            <w:r>
              <w:rPr>
                <w:rFonts w:ascii="Georgia" w:hAnsi="Georgia"/>
                <w:sz w:val="14"/>
              </w:rPr>
              <w:t>28 Feb – Mar 2022</w:t>
            </w:r>
          </w:p>
        </w:tc>
        <w:tc>
          <w:tcPr>
            <w:tcW w:type="dxa" w:w="2545"/>
          </w:tcPr>
          <w:p>
            <w:pPr>
              <w:spacing w:before="20" w:after="20"/>
            </w:pPr>
            <w:r>
              <w:rPr>
                <w:rFonts w:ascii="Georgia" w:hAnsi="Georgia"/>
                <w:sz w:val="14"/>
              </w:rPr>
            </w:r>
            <w:r>
              <w:rPr>
                <w:rFonts w:ascii="Georgia" w:hAnsi="Georgia"/>
                <w:sz w:val="14"/>
              </w:rPr>
              <w:t xml:space="preserve">Q1 and FY2022 guidance withdrawn; single worst session </w:t>
            </w:r>
            <w:r>
              <w:rPr>
                <w:rFonts w:ascii="Georgia" w:hAnsi="Georgia"/>
                <w:b/>
                <w:sz w:val="14"/>
              </w:rPr>
              <w:t>−45.7%</w:t>
            </w:r>
            <w:r>
              <w:rPr>
                <w:rFonts w:ascii="Georgia" w:hAnsi="Georgia"/>
                <w:sz w:val="14"/>
              </w:rPr>
              <w:t>, the largest one-day fall on any main US exchange that day</w:t>
            </w:r>
          </w:p>
        </w:tc>
        <w:tc>
          <w:tcPr>
            <w:tcW w:type="dxa" w:w="2545"/>
          </w:tcPr>
          <w:p>
            <w:pPr>
              <w:spacing w:before="20" w:after="20"/>
              <w:jc w:val="right"/>
            </w:pPr>
            <w:r>
              <w:rPr>
                <w:rFonts w:ascii="Georgia" w:hAnsi="Georgia"/>
                <w:sz w:val="14"/>
              </w:rPr>
            </w:r>
            <w:r>
              <w:rPr>
                <w:rFonts w:ascii="Georgia" w:hAnsi="Georgia"/>
                <w:sz w:val="14"/>
              </w:rPr>
              <w:t>−45.7%</w:t>
            </w:r>
          </w:p>
        </w:tc>
        <w:tc>
          <w:tcPr>
            <w:tcW w:type="dxa" w:w="2545"/>
          </w:tcPr>
          <w:p>
            <w:pPr>
              <w:spacing w:before="20" w:after="20"/>
            </w:pPr>
            <w:r>
              <w:rPr>
                <w:rFonts w:ascii="Georgia" w:hAnsi="Georgia"/>
                <w:sz w:val="14"/>
              </w:rPr>
            </w:r>
            <w:r>
              <w:rPr>
                <w:rFonts w:ascii="Georgia" w:hAnsi="Georgia"/>
                <w:sz w:val="14"/>
              </w:rPr>
              <w:t>The defining event in EPAM's history as a public company. Roughly $25bn of market value destroyed; shares fell from above $700 to near $200.</w:t>
            </w:r>
          </w:p>
        </w:tc>
      </w:tr>
      <w:tr>
        <w:tc>
          <w:tcPr>
            <w:tcW w:type="dxa" w:w="2545"/>
            <w:shd w:val="clear" w:fill="F4F7FA"/>
          </w:tcPr>
          <w:p>
            <w:pPr>
              <w:spacing w:before="20" w:after="20"/>
            </w:pPr>
            <w:r>
              <w:rPr>
                <w:rFonts w:ascii="Georgia" w:hAnsi="Georgia"/>
                <w:sz w:val="14"/>
              </w:rPr>
            </w:r>
            <w:r>
              <w:rPr>
                <w:rFonts w:ascii="Georgia" w:hAnsi="Georgia"/>
                <w:sz w:val="14"/>
              </w:rPr>
              <w:t>Mar 2022</w:t>
            </w:r>
          </w:p>
        </w:tc>
        <w:tc>
          <w:tcPr>
            <w:tcW w:type="dxa" w:w="2545"/>
            <w:shd w:val="clear" w:fill="F4F7FA"/>
          </w:tcPr>
          <w:p>
            <w:pPr>
              <w:spacing w:before="20" w:after="20"/>
            </w:pPr>
            <w:r>
              <w:rPr>
                <w:rFonts w:ascii="Georgia" w:hAnsi="Georgia"/>
                <w:sz w:val="14"/>
              </w:rPr>
            </w:r>
            <w:r>
              <w:rPr>
                <w:rFonts w:ascii="Georgia" w:hAnsi="Georgia"/>
                <w:sz w:val="14"/>
              </w:rPr>
              <w:t>Company announces exit from Russia and cessation of service to Russian clients</w:t>
            </w:r>
          </w:p>
        </w:tc>
        <w:tc>
          <w:tcPr>
            <w:tcW w:type="dxa" w:w="2545"/>
            <w:shd w:val="clear" w:fill="F4F7FA"/>
          </w:tcPr>
          <w:p>
            <w:pPr>
              <w:spacing w:before="20" w:after="20"/>
              <w:jc w:val="right"/>
            </w:pPr>
            <w:r>
              <w:rPr>
                <w:rFonts w:ascii="Georgia" w:hAnsi="Georgia"/>
                <w:sz w:val="14"/>
              </w:rPr>
            </w:r>
            <w:r>
              <w:rPr>
                <w:rFonts w:ascii="Georgia" w:hAnsi="Georgia"/>
                <w:sz w:val="14"/>
              </w:rPr>
              <w:t>Volatile</w:t>
            </w:r>
          </w:p>
        </w:tc>
        <w:tc>
          <w:tcPr>
            <w:tcW w:type="dxa" w:w="2545"/>
            <w:shd w:val="clear" w:fill="F4F7FA"/>
          </w:tcPr>
          <w:p>
            <w:pPr>
              <w:spacing w:before="20" w:after="20"/>
            </w:pPr>
            <w:r>
              <w:rPr>
                <w:rFonts w:ascii="Georgia" w:hAnsi="Georgia"/>
                <w:sz w:val="14"/>
              </w:rPr>
            </w:r>
            <w:r>
              <w:rPr>
                <w:rFonts w:ascii="Georgia" w:hAnsi="Georgia"/>
                <w:sz w:val="14"/>
              </w:rPr>
              <w:t>Beginning of a multi-year, and ultimately successful, delivery diversification into India, Latin America, Central Europe and the Caucasus.</w:t>
            </w:r>
          </w:p>
        </w:tc>
      </w:tr>
      <w:tr>
        <w:tc>
          <w:tcPr>
            <w:tcW w:type="dxa" w:w="2545"/>
          </w:tcPr>
          <w:p>
            <w:pPr>
              <w:spacing w:before="20" w:after="20"/>
            </w:pPr>
            <w:r>
              <w:rPr>
                <w:rFonts w:ascii="Georgia" w:hAnsi="Georgia"/>
                <w:sz w:val="14"/>
              </w:rPr>
            </w:r>
            <w:r>
              <w:rPr>
                <w:rFonts w:ascii="Georgia" w:hAnsi="Georgia"/>
                <w:sz w:val="14"/>
              </w:rPr>
              <w:t>Feb 2024</w:t>
            </w:r>
          </w:p>
        </w:tc>
        <w:tc>
          <w:tcPr>
            <w:tcW w:type="dxa" w:w="2545"/>
          </w:tcPr>
          <w:p>
            <w:pPr>
              <w:spacing w:before="20" w:after="20"/>
            </w:pPr>
            <w:r>
              <w:rPr>
                <w:rFonts w:ascii="Georgia" w:hAnsi="Georgia"/>
                <w:sz w:val="14"/>
              </w:rPr>
            </w:r>
            <w:r>
              <w:rPr>
                <w:rFonts w:ascii="Georgia" w:hAnsi="Georgia"/>
                <w:sz w:val="14"/>
              </w:rPr>
              <w:t>Q4 2023 results with weak FY2024 guidance</w:t>
            </w:r>
          </w:p>
        </w:tc>
        <w:tc>
          <w:tcPr>
            <w:tcW w:type="dxa" w:w="2545"/>
          </w:tcPr>
          <w:p>
            <w:pPr>
              <w:spacing w:before="20" w:after="20"/>
              <w:jc w:val="right"/>
            </w:pPr>
            <w:r>
              <w:rPr>
                <w:rFonts w:ascii="Georgia" w:hAnsi="Georgia"/>
                <w:sz w:val="14"/>
              </w:rPr>
            </w:r>
            <w:r>
              <w:rPr>
                <w:rFonts w:ascii="Georgia" w:hAnsi="Georgia"/>
                <w:sz w:val="14"/>
              </w:rPr>
              <w:t>−5%+</w:t>
            </w:r>
          </w:p>
        </w:tc>
        <w:tc>
          <w:tcPr>
            <w:tcW w:type="dxa" w:w="2545"/>
          </w:tcPr>
          <w:p>
            <w:pPr>
              <w:spacing w:before="20" w:after="20"/>
            </w:pPr>
            <w:r>
              <w:rPr>
                <w:rFonts w:ascii="Georgia" w:hAnsi="Georgia"/>
                <w:sz w:val="14"/>
              </w:rPr>
            </w:r>
            <w:r>
              <w:rPr>
                <w:rFonts w:ascii="Georgia" w:hAnsi="Georgia"/>
                <w:sz w:val="14"/>
              </w:rPr>
              <w:t>First clear signal that post-war recovery would not restore prior growth rates.</w:t>
            </w:r>
          </w:p>
        </w:tc>
      </w:tr>
      <w:tr>
        <w:tc>
          <w:tcPr>
            <w:tcW w:type="dxa" w:w="2545"/>
            <w:shd w:val="clear" w:fill="F4F7FA"/>
          </w:tcPr>
          <w:p>
            <w:pPr>
              <w:spacing w:before="20" w:after="20"/>
            </w:pPr>
            <w:r>
              <w:rPr>
                <w:rFonts w:ascii="Georgia" w:hAnsi="Georgia"/>
                <w:sz w:val="14"/>
              </w:rPr>
            </w:r>
            <w:r>
              <w:rPr>
                <w:rFonts w:ascii="Georgia" w:hAnsi="Georgia"/>
                <w:sz w:val="14"/>
              </w:rPr>
              <w:t>May 2024</w:t>
            </w:r>
          </w:p>
        </w:tc>
        <w:tc>
          <w:tcPr>
            <w:tcW w:type="dxa" w:w="2545"/>
            <w:shd w:val="clear" w:fill="F4F7FA"/>
          </w:tcPr>
          <w:p>
            <w:pPr>
              <w:spacing w:before="20" w:after="20"/>
            </w:pPr>
            <w:r>
              <w:rPr>
                <w:rFonts w:ascii="Georgia" w:hAnsi="Georgia"/>
                <w:sz w:val="14"/>
              </w:rPr>
            </w:r>
            <w:r>
              <w:rPr>
                <w:rFonts w:ascii="Georgia" w:hAnsi="Georgia"/>
                <w:sz w:val="14"/>
              </w:rPr>
              <w:t>Q1 2024: non-GAAP EPS of $2.46 beat consensus of $2.32, but FY2024 guidance cut on a "challenging demand environment"</w:t>
            </w:r>
          </w:p>
        </w:tc>
        <w:tc>
          <w:tcPr>
            <w:tcW w:type="dxa" w:w="2545"/>
            <w:shd w:val="clear" w:fill="F4F7FA"/>
          </w:tcPr>
          <w:p>
            <w:pPr>
              <w:spacing w:before="20" w:after="20"/>
              <w:jc w:val="right"/>
            </w:pPr>
            <w:r>
              <w:rPr>
                <w:rFonts w:ascii="Georgia" w:hAnsi="Georgia"/>
                <w:sz w:val="14"/>
              </w:rPr>
            </w:r>
            <w:r>
              <w:rPr>
                <w:rFonts w:ascii="Georgia" w:hAnsi="Georgia"/>
                <w:sz w:val="14"/>
              </w:rPr>
              <w:t>−27%</w:t>
            </w:r>
          </w:p>
        </w:tc>
        <w:tc>
          <w:tcPr>
            <w:tcW w:type="dxa" w:w="2545"/>
            <w:shd w:val="clear" w:fill="F4F7FA"/>
          </w:tcPr>
          <w:p>
            <w:pPr>
              <w:spacing w:before="20" w:after="20"/>
            </w:pPr>
            <w:r>
              <w:rPr>
                <w:rFonts w:ascii="Georgia" w:hAnsi="Georgia"/>
                <w:sz w:val="14"/>
              </w:rPr>
            </w:r>
            <w:r>
              <w:rPr>
                <w:rFonts w:ascii="Georgia" w:hAnsi="Georgia"/>
                <w:sz w:val="14"/>
              </w:rPr>
              <w:t xml:space="preserve">Established the pattern that now dominates the stock: </w:t>
            </w:r>
            <w:r>
              <w:rPr>
                <w:rFonts w:ascii="Georgia" w:hAnsi="Georgia"/>
                <w:i/>
                <w:sz w:val="14"/>
              </w:rPr>
              <w:t>beat on earnings, cut on revenue, sell off hard</w:t>
            </w:r>
            <w:r>
              <w:rPr>
                <w:rFonts w:ascii="Georgia" w:hAnsi="Georgia"/>
                <w:sz w:val="14"/>
              </w:rPr>
              <w:t>. Guidance credibility, not profitability, is what the market prices.</w:t>
            </w:r>
          </w:p>
        </w:tc>
      </w:tr>
      <w:tr>
        <w:tc>
          <w:tcPr>
            <w:tcW w:type="dxa" w:w="2545"/>
          </w:tcPr>
          <w:p>
            <w:pPr>
              <w:spacing w:before="20" w:after="20"/>
            </w:pPr>
            <w:r>
              <w:rPr>
                <w:rFonts w:ascii="Georgia" w:hAnsi="Georgia"/>
                <w:sz w:val="14"/>
              </w:rPr>
            </w:r>
            <w:r>
              <w:rPr>
                <w:rFonts w:ascii="Georgia" w:hAnsi="Georgia"/>
                <w:sz w:val="14"/>
              </w:rPr>
              <w:t>Feb 2025</w:t>
            </w:r>
          </w:p>
        </w:tc>
        <w:tc>
          <w:tcPr>
            <w:tcW w:type="dxa" w:w="2545"/>
          </w:tcPr>
          <w:p>
            <w:pPr>
              <w:spacing w:before="20" w:after="20"/>
            </w:pPr>
            <w:r>
              <w:rPr>
                <w:rFonts w:ascii="Georgia" w:hAnsi="Georgia"/>
                <w:sz w:val="14"/>
              </w:rPr>
            </w:r>
            <w:r>
              <w:rPr>
                <w:rFonts w:ascii="Georgia" w:hAnsi="Georgia"/>
                <w:sz w:val="14"/>
              </w:rPr>
              <w:t>Q4 2024 non-GAAP EPS $2.84 beat by 3.3%; revenue $1.25bn beat by 3.3%; but soft 2025 outlook</w:t>
            </w:r>
          </w:p>
        </w:tc>
        <w:tc>
          <w:tcPr>
            <w:tcW w:type="dxa" w:w="2545"/>
          </w:tcPr>
          <w:p>
            <w:pPr>
              <w:spacing w:before="20" w:after="20"/>
              <w:jc w:val="right"/>
            </w:pPr>
            <w:r>
              <w:rPr>
                <w:rFonts w:ascii="Georgia" w:hAnsi="Georgia"/>
                <w:sz w:val="14"/>
              </w:rPr>
            </w:r>
            <w:r>
              <w:rPr>
                <w:rFonts w:ascii="Georgia" w:hAnsi="Georgia"/>
                <w:sz w:val="14"/>
              </w:rPr>
              <w:t>−5.0%</w:t>
            </w:r>
          </w:p>
        </w:tc>
        <w:tc>
          <w:tcPr>
            <w:tcW w:type="dxa" w:w="2545"/>
          </w:tcPr>
          <w:p>
            <w:pPr>
              <w:spacing w:before="20" w:after="20"/>
            </w:pPr>
            <w:r>
              <w:rPr>
                <w:rFonts w:ascii="Georgia" w:hAnsi="Georgia"/>
                <w:sz w:val="14"/>
              </w:rPr>
            </w:r>
            <w:r>
              <w:rPr>
                <w:rFonts w:ascii="Georgia" w:hAnsi="Georgia"/>
                <w:sz w:val="14"/>
              </w:rPr>
              <w:t>Same pattern repeats.</w:t>
            </w:r>
          </w:p>
        </w:tc>
      </w:tr>
      <w:tr>
        <w:tc>
          <w:tcPr>
            <w:tcW w:type="dxa" w:w="2545"/>
            <w:shd w:val="clear" w:fill="F4F7FA"/>
          </w:tcPr>
          <w:p>
            <w:pPr>
              <w:spacing w:before="20" w:after="20"/>
            </w:pPr>
            <w:r>
              <w:rPr>
                <w:rFonts w:ascii="Georgia" w:hAnsi="Georgia"/>
                <w:sz w:val="14"/>
              </w:rPr>
            </w:r>
            <w:r>
              <w:rPr>
                <w:rFonts w:ascii="Georgia" w:hAnsi="Georgia"/>
                <w:sz w:val="14"/>
              </w:rPr>
              <w:t>Aug 2025</w:t>
            </w:r>
          </w:p>
        </w:tc>
        <w:tc>
          <w:tcPr>
            <w:tcW w:type="dxa" w:w="2545"/>
            <w:shd w:val="clear" w:fill="F4F7FA"/>
          </w:tcPr>
          <w:p>
            <w:pPr>
              <w:spacing w:before="20" w:after="20"/>
            </w:pPr>
            <w:r>
              <w:rPr>
                <w:rFonts w:ascii="Georgia" w:hAnsi="Georgia"/>
                <w:sz w:val="14"/>
              </w:rPr>
            </w:r>
            <w:r>
              <w:rPr>
                <w:rFonts w:ascii="Georgia" w:hAnsi="Georgia"/>
                <w:sz w:val="14"/>
              </w:rPr>
              <w:t>Q2 2025 beat with raised full-year revenue outlook</w:t>
            </w:r>
          </w:p>
        </w:tc>
        <w:tc>
          <w:tcPr>
            <w:tcW w:type="dxa" w:w="2545"/>
            <w:shd w:val="clear" w:fill="F4F7FA"/>
          </w:tcPr>
          <w:p>
            <w:pPr>
              <w:spacing w:before="20" w:after="20"/>
              <w:jc w:val="right"/>
            </w:pPr>
            <w:r>
              <w:rPr>
                <w:rFonts w:ascii="Georgia" w:hAnsi="Georgia"/>
                <w:sz w:val="14"/>
              </w:rPr>
            </w:r>
            <w:r>
              <w:rPr>
                <w:rFonts w:ascii="Georgia" w:hAnsi="Georgia"/>
                <w:sz w:val="14"/>
              </w:rPr>
              <w:t>+4.3% to +6%</w:t>
            </w:r>
          </w:p>
        </w:tc>
        <w:tc>
          <w:tcPr>
            <w:tcW w:type="dxa" w:w="2545"/>
            <w:shd w:val="clear" w:fill="F4F7FA"/>
          </w:tcPr>
          <w:p>
            <w:pPr>
              <w:spacing w:before="20" w:after="20"/>
            </w:pPr>
            <w:r>
              <w:rPr>
                <w:rFonts w:ascii="Georgia" w:hAnsi="Georgia"/>
                <w:sz w:val="14"/>
              </w:rPr>
            </w:r>
            <w:r>
              <w:rPr>
                <w:rFonts w:ascii="Georgia" w:hAnsi="Georgia"/>
                <w:sz w:val="14"/>
              </w:rPr>
              <w:t>Brief re-rating. NEORIS and First Derivative were driving reported growth above 15%.</w:t>
            </w:r>
          </w:p>
        </w:tc>
      </w:tr>
      <w:tr>
        <w:tc>
          <w:tcPr>
            <w:tcW w:type="dxa" w:w="2545"/>
          </w:tcPr>
          <w:p>
            <w:pPr>
              <w:spacing w:before="20" w:after="20"/>
            </w:pPr>
            <w:r>
              <w:rPr>
                <w:rFonts w:ascii="Georgia" w:hAnsi="Georgia"/>
                <w:sz w:val="14"/>
              </w:rPr>
            </w:r>
            <w:r>
              <w:rPr>
                <w:rFonts w:ascii="Georgia" w:hAnsi="Georgia"/>
                <w:sz w:val="14"/>
              </w:rPr>
              <w:t>Nov 2025</w:t>
            </w:r>
          </w:p>
        </w:tc>
        <w:tc>
          <w:tcPr>
            <w:tcW w:type="dxa" w:w="2545"/>
          </w:tcPr>
          <w:p>
            <w:pPr>
              <w:spacing w:before="20" w:after="20"/>
            </w:pPr>
            <w:r>
              <w:rPr>
                <w:rFonts w:ascii="Georgia" w:hAnsi="Georgia"/>
                <w:sz w:val="14"/>
              </w:rPr>
            </w:r>
            <w:r>
              <w:rPr>
                <w:rFonts w:ascii="Georgia" w:hAnsi="Georgia"/>
                <w:sz w:val="14"/>
              </w:rPr>
              <w:t>Q3 2025: revenue and EPS outlook both raised; all geographies growing double digits</w:t>
            </w:r>
          </w:p>
        </w:tc>
        <w:tc>
          <w:tcPr>
            <w:tcW w:type="dxa" w:w="2545"/>
          </w:tcPr>
          <w:p>
            <w:pPr>
              <w:spacing w:before="20" w:after="20"/>
              <w:jc w:val="right"/>
            </w:pPr>
            <w:r>
              <w:rPr>
                <w:rFonts w:ascii="Georgia" w:hAnsi="Georgia"/>
                <w:sz w:val="14"/>
              </w:rPr>
            </w:r>
            <w:r>
              <w:rPr>
                <w:rFonts w:ascii="Georgia" w:hAnsi="Georgia"/>
                <w:sz w:val="14"/>
              </w:rPr>
              <w:t>Positive</w:t>
            </w:r>
          </w:p>
        </w:tc>
        <w:tc>
          <w:tcPr>
            <w:tcW w:type="dxa" w:w="2545"/>
          </w:tcPr>
          <w:p>
            <w:pPr>
              <w:spacing w:before="20" w:after="20"/>
            </w:pPr>
            <w:r>
              <w:rPr>
                <w:rFonts w:ascii="Georgia" w:hAnsi="Georgia"/>
                <w:sz w:val="14"/>
              </w:rPr>
            </w:r>
            <w:r>
              <w:rPr>
                <w:rFonts w:ascii="Georgia" w:hAnsi="Georgia"/>
                <w:sz w:val="14"/>
              </w:rPr>
              <w:t>High-water mark of the recovery narrative. Americas +16.0%, EMEA +24.9%.</w:t>
            </w:r>
          </w:p>
        </w:tc>
      </w:tr>
      <w:tr>
        <w:tc>
          <w:tcPr>
            <w:tcW w:type="dxa" w:w="2545"/>
            <w:shd w:val="clear" w:fill="F4F7FA"/>
          </w:tcPr>
          <w:p>
            <w:pPr>
              <w:spacing w:before="20" w:after="20"/>
            </w:pPr>
            <w:r>
              <w:rPr>
                <w:rFonts w:ascii="Georgia" w:hAnsi="Georgia"/>
                <w:sz w:val="14"/>
              </w:rPr>
            </w:r>
            <w:r>
              <w:rPr>
                <w:rFonts w:ascii="Georgia" w:hAnsi="Georgia"/>
                <w:sz w:val="14"/>
              </w:rPr>
              <w:t>19 Feb 2026</w:t>
            </w:r>
          </w:p>
        </w:tc>
        <w:tc>
          <w:tcPr>
            <w:tcW w:type="dxa" w:w="2545"/>
            <w:shd w:val="clear" w:fill="F4F7FA"/>
          </w:tcPr>
          <w:p>
            <w:pPr>
              <w:spacing w:before="20" w:after="20"/>
            </w:pPr>
            <w:r>
              <w:rPr>
                <w:rFonts w:ascii="Georgia" w:hAnsi="Georgia"/>
                <w:sz w:val="14"/>
              </w:rPr>
            </w:r>
            <w:r>
              <w:rPr>
                <w:rFonts w:ascii="Georgia" w:hAnsi="Georgia"/>
                <w:sz w:val="14"/>
              </w:rPr>
              <w:t>Q4/FY2025 results: revenue $5.457bn (+15.4%), non-GAAP EPS $11.50 (+5.9%), but GAAP EPS −14.3%</w:t>
            </w:r>
          </w:p>
        </w:tc>
        <w:tc>
          <w:tcPr>
            <w:tcW w:type="dxa" w:w="2545"/>
            <w:shd w:val="clear" w:fill="F4F7FA"/>
          </w:tcPr>
          <w:p>
            <w:pPr>
              <w:spacing w:before="20" w:after="20"/>
              <w:jc w:val="right"/>
            </w:pPr>
            <w:r>
              <w:rPr>
                <w:rFonts w:ascii="Georgia" w:hAnsi="Georgia"/>
                <w:sz w:val="14"/>
              </w:rPr>
            </w:r>
            <w:r>
              <w:rPr>
                <w:rFonts w:ascii="Georgia" w:hAnsi="Georgia"/>
                <w:sz w:val="14"/>
              </w:rPr>
              <w:t>Mixed</w:t>
            </w:r>
          </w:p>
        </w:tc>
        <w:tc>
          <w:tcPr>
            <w:tcW w:type="dxa" w:w="2545"/>
            <w:shd w:val="clear" w:fill="F4F7FA"/>
          </w:tcPr>
          <w:p>
            <w:pPr>
              <w:spacing w:before="20" w:after="20"/>
            </w:pPr>
            <w:r>
              <w:rPr>
                <w:rFonts w:ascii="Georgia" w:hAnsi="Georgia"/>
                <w:sz w:val="14"/>
              </w:rPr>
            </w:r>
            <w:r>
              <w:rPr>
                <w:rFonts w:ascii="Georgia" w:hAnsi="Georgia"/>
                <w:sz w:val="14"/>
              </w:rPr>
              <w:t>The GAAP/non-GAAP divergence — driven by tax, acquisition amortisation and lower interest income — began to attract scrutiny.</w:t>
            </w:r>
          </w:p>
        </w:tc>
      </w:tr>
      <w:tr>
        <w:tc>
          <w:tcPr>
            <w:tcW w:type="dxa" w:w="2545"/>
          </w:tcPr>
          <w:p>
            <w:pPr>
              <w:spacing w:before="20" w:after="20"/>
            </w:pPr>
            <w:r>
              <w:rPr>
                <w:rFonts w:ascii="Georgia" w:hAnsi="Georgia"/>
                <w:sz w:val="14"/>
              </w:rPr>
            </w:r>
            <w:r>
              <w:rPr>
                <w:rFonts w:ascii="Georgia" w:hAnsi="Georgia"/>
                <w:sz w:val="14"/>
              </w:rPr>
              <w:t>12 Mar 2026</w:t>
            </w:r>
          </w:p>
        </w:tc>
        <w:tc>
          <w:tcPr>
            <w:tcW w:type="dxa" w:w="2545"/>
          </w:tcPr>
          <w:p>
            <w:pPr>
              <w:spacing w:before="20" w:after="20"/>
            </w:pPr>
            <w:r>
              <w:rPr>
                <w:rFonts w:ascii="Georgia" w:hAnsi="Georgia"/>
                <w:sz w:val="14"/>
              </w:rPr>
            </w:r>
            <w:r>
              <w:rPr>
                <w:rFonts w:ascii="Georgia" w:hAnsi="Georgia"/>
                <w:sz w:val="14"/>
              </w:rPr>
              <w:t>Investor Day: AI-native strategy, AI/RUN launch, 2028 targets of 16%+ non-GAAP margin and $1.8bn+ cumulative FCF</w:t>
            </w:r>
          </w:p>
        </w:tc>
        <w:tc>
          <w:tcPr>
            <w:tcW w:type="dxa" w:w="2545"/>
          </w:tcPr>
          <w:p>
            <w:pPr>
              <w:spacing w:before="20" w:after="20"/>
              <w:jc w:val="right"/>
            </w:pPr>
            <w:r>
              <w:rPr>
                <w:rFonts w:ascii="Georgia" w:hAnsi="Georgia"/>
                <w:sz w:val="14"/>
              </w:rPr>
            </w:r>
            <w:r>
              <w:rPr>
                <w:rFonts w:ascii="Georgia" w:hAnsi="Georgia"/>
                <w:sz w:val="14"/>
              </w:rPr>
              <w:t>Modest</w:t>
            </w:r>
          </w:p>
        </w:tc>
        <w:tc>
          <w:tcPr>
            <w:tcW w:type="dxa" w:w="2545"/>
          </w:tcPr>
          <w:p>
            <w:pPr>
              <w:spacing w:before="20" w:after="20"/>
            </w:pPr>
            <w:r>
              <w:rPr>
                <w:rFonts w:ascii="Georgia" w:hAnsi="Georgia"/>
                <w:sz w:val="14"/>
              </w:rPr>
            </w:r>
            <w:r>
              <w:rPr>
                <w:rFonts w:ascii="Georgia" w:hAnsi="Georgia"/>
                <w:sz w:val="14"/>
              </w:rPr>
              <w:t>Management attempted to reframe the equity story from labour arbitrage to AI transformation. The market gave limited credit.</w:t>
            </w:r>
          </w:p>
        </w:tc>
      </w:tr>
      <w:tr>
        <w:tc>
          <w:tcPr>
            <w:tcW w:type="dxa" w:w="2545"/>
            <w:shd w:val="clear" w:fill="F4F7FA"/>
          </w:tcPr>
          <w:p>
            <w:pPr>
              <w:spacing w:before="20" w:after="20"/>
            </w:pPr>
            <w:r>
              <w:rPr>
                <w:rFonts w:ascii="Georgia" w:hAnsi="Georgia"/>
                <w:sz w:val="14"/>
              </w:rPr>
            </w:r>
            <w:r>
              <w:rPr>
                <w:rFonts w:ascii="Georgia" w:hAnsi="Georgia"/>
                <w:sz w:val="14"/>
              </w:rPr>
              <w:t>May 2026</w:t>
            </w:r>
          </w:p>
        </w:tc>
        <w:tc>
          <w:tcPr>
            <w:tcW w:type="dxa" w:w="2545"/>
            <w:shd w:val="clear" w:fill="F4F7FA"/>
          </w:tcPr>
          <w:p>
            <w:pPr>
              <w:spacing w:before="20" w:after="20"/>
            </w:pPr>
            <w:r>
              <w:rPr>
                <w:rFonts w:ascii="Georgia" w:hAnsi="Georgia"/>
                <w:sz w:val="14"/>
              </w:rPr>
            </w:r>
            <w:r>
              <w:rPr>
                <w:rFonts w:ascii="Georgia" w:hAnsi="Georgia"/>
                <w:sz w:val="14"/>
              </w:rPr>
              <w:t>Q1 2026: revenue $1.4bn (+7.6%), EPS $2.86 vs $2.75 expected (+4% surprise), but FY26 growth guidance cut to 4.0–6.5% on delayed North American decisions</w:t>
            </w:r>
          </w:p>
        </w:tc>
        <w:tc>
          <w:tcPr>
            <w:tcW w:type="dxa" w:w="2545"/>
            <w:shd w:val="clear" w:fill="F4F7FA"/>
          </w:tcPr>
          <w:p>
            <w:pPr>
              <w:spacing w:before="20" w:after="20"/>
              <w:jc w:val="right"/>
            </w:pPr>
            <w:r>
              <w:rPr>
                <w:rFonts w:ascii="Georgia" w:hAnsi="Georgia"/>
                <w:sz w:val="14"/>
              </w:rPr>
            </w:r>
            <w:r>
              <w:rPr>
                <w:rFonts w:ascii="Georgia" w:hAnsi="Georgia"/>
                <w:sz w:val="14"/>
              </w:rPr>
              <w:t>Fell on the print</w:t>
            </w:r>
          </w:p>
        </w:tc>
        <w:tc>
          <w:tcPr>
            <w:tcW w:type="dxa" w:w="2545"/>
            <w:shd w:val="clear" w:fill="F4F7FA"/>
          </w:tcPr>
          <w:p>
            <w:pPr>
              <w:spacing w:before="20" w:after="20"/>
            </w:pPr>
            <w:r>
              <w:rPr>
                <w:rFonts w:ascii="Georgia" w:hAnsi="Georgia"/>
                <w:sz w:val="14"/>
              </w:rPr>
            </w:r>
            <w:r>
              <w:rPr>
                <w:rFonts w:ascii="Georgia" w:hAnsi="Georgia"/>
                <w:sz w:val="14"/>
              </w:rPr>
              <w:t>Third consecutive year of the beat-and-cut pattern. Analysts trimmed targets.</w:t>
            </w:r>
          </w:p>
        </w:tc>
      </w:tr>
      <w:tr>
        <w:tc>
          <w:tcPr>
            <w:tcW w:type="dxa" w:w="2545"/>
          </w:tcPr>
          <w:p>
            <w:pPr>
              <w:spacing w:before="20" w:after="20"/>
            </w:pPr>
            <w:r>
              <w:rPr>
                <w:rFonts w:ascii="Georgia" w:hAnsi="Georgia"/>
                <w:sz w:val="14"/>
              </w:rPr>
            </w:r>
            <w:r>
              <w:rPr>
                <w:rFonts w:ascii="Georgia" w:hAnsi="Georgia"/>
                <w:sz w:val="14"/>
              </w:rPr>
              <w:t>Jun 2026</w:t>
            </w:r>
          </w:p>
        </w:tc>
        <w:tc>
          <w:tcPr>
            <w:tcW w:type="dxa" w:w="2545"/>
          </w:tcPr>
          <w:p>
            <w:pPr>
              <w:spacing w:before="20" w:after="20"/>
            </w:pPr>
            <w:r>
              <w:rPr>
                <w:rFonts w:ascii="Georgia" w:hAnsi="Georgia"/>
                <w:sz w:val="14"/>
              </w:rPr>
            </w:r>
            <w:r>
              <w:rPr>
                <w:rFonts w:ascii="Georgia" w:hAnsi="Georgia"/>
                <w:sz w:val="14"/>
              </w:rPr>
              <w:t>Sector-wide de-rating of IT services on AI-substitution fears</w:t>
            </w:r>
          </w:p>
        </w:tc>
        <w:tc>
          <w:tcPr>
            <w:tcW w:type="dxa" w:w="2545"/>
          </w:tcPr>
          <w:p>
            <w:pPr>
              <w:spacing w:before="20" w:after="20"/>
              <w:jc w:val="right"/>
            </w:pPr>
            <w:r>
              <w:rPr>
                <w:rFonts w:ascii="Georgia" w:hAnsi="Georgia"/>
                <w:sz w:val="14"/>
              </w:rPr>
            </w:r>
            <w:r>
              <w:rPr>
                <w:rFonts w:ascii="Georgia" w:hAnsi="Georgia"/>
                <w:sz w:val="14"/>
              </w:rPr>
              <w:t>Sharp</w:t>
            </w:r>
          </w:p>
        </w:tc>
        <w:tc>
          <w:tcPr>
            <w:tcW w:type="dxa" w:w="2545"/>
          </w:tcPr>
          <w:p>
            <w:pPr>
              <w:spacing w:before="20" w:after="20"/>
            </w:pPr>
            <w:r>
              <w:rPr>
                <w:rFonts w:ascii="Georgia" w:hAnsi="Georgia"/>
                <w:sz w:val="14"/>
              </w:rPr>
            </w:r>
            <w:r>
              <w:rPr>
                <w:rFonts w:ascii="Georgia" w:hAnsi="Georgia"/>
                <w:sz w:val="14"/>
              </w:rPr>
              <w:t>Not company-specific. EPAM, Accenture, Globant, Endava and Cognizant sold off together as the market repriced the entire labour-based services model.</w:t>
            </w:r>
          </w:p>
        </w:tc>
      </w:tr>
      <w:tr>
        <w:tc>
          <w:tcPr>
            <w:tcW w:type="dxa" w:w="2545"/>
            <w:shd w:val="clear" w:fill="F4F7FA"/>
          </w:tcPr>
          <w:p>
            <w:pPr>
              <w:spacing w:before="20" w:after="20"/>
            </w:pPr>
            <w:r>
              <w:rPr>
                <w:rFonts w:ascii="Georgia" w:hAnsi="Georgia"/>
                <w:sz w:val="14"/>
              </w:rPr>
            </w:r>
            <w:r>
              <w:rPr>
                <w:rFonts w:ascii="Georgia" w:hAnsi="Georgia"/>
                <w:b/>
                <w:sz w:val="14"/>
              </w:rPr>
              <w:t>6 Aug 2026</w:t>
            </w:r>
          </w:p>
        </w:tc>
        <w:tc>
          <w:tcPr>
            <w:tcW w:type="dxa" w:w="2545"/>
            <w:shd w:val="clear" w:fill="F4F7FA"/>
          </w:tcPr>
          <w:p>
            <w:pPr>
              <w:spacing w:before="20" w:after="20"/>
            </w:pPr>
            <w:r>
              <w:rPr>
                <w:rFonts w:ascii="Georgia" w:hAnsi="Georgia"/>
                <w:sz w:val="14"/>
              </w:rPr>
            </w:r>
            <w:r>
              <w:rPr>
                <w:rFonts w:ascii="Georgia" w:hAnsi="Georgia"/>
                <w:b/>
                <w:sz w:val="14"/>
              </w:rPr>
              <w:t>Q2 2026: revenue $1.415bn at the high end, non-GAAP EPS $3.38 (+22%), margin 16.4% — but FY26 growth cut again to 3.2–4.2% on a "faster-than-expected shift away from task-based services"; major AI deals slip to H1 2027</w:t>
            </w:r>
          </w:p>
        </w:tc>
        <w:tc>
          <w:tcPr>
            <w:tcW w:type="dxa" w:w="2545"/>
            <w:shd w:val="clear" w:fill="F4F7FA"/>
          </w:tcPr>
          <w:p>
            <w:pPr>
              <w:spacing w:before="20" w:after="20"/>
              <w:jc w:val="right"/>
            </w:pPr>
            <w:r>
              <w:rPr>
                <w:rFonts w:ascii="Georgia" w:hAnsi="Georgia"/>
                <w:sz w:val="14"/>
              </w:rPr>
            </w:r>
            <w:r>
              <w:rPr>
                <w:rFonts w:ascii="Georgia" w:hAnsi="Georgia"/>
                <w:sz w:val="14"/>
              </w:rPr>
              <w:t>−22% intraday; −16.4% on the week</w:t>
            </w:r>
          </w:p>
        </w:tc>
        <w:tc>
          <w:tcPr>
            <w:tcW w:type="dxa" w:w="2545"/>
            <w:shd w:val="clear" w:fill="F4F7FA"/>
          </w:tcPr>
          <w:p>
            <w:pPr>
              <w:spacing w:before="20" w:after="20"/>
            </w:pPr>
            <w:r>
              <w:rPr>
                <w:rFonts w:ascii="Georgia" w:hAnsi="Georgia"/>
                <w:sz w:val="14"/>
              </w:rPr>
            </w:r>
            <w:r>
              <w:rPr>
                <w:rFonts w:ascii="Georgia" w:hAnsi="Georgia"/>
                <w:b/>
                <w:sz w:val="14"/>
              </w:rPr>
              <w:t>The most important recent event.</w:t>
            </w:r>
            <w:r>
              <w:rPr>
                <w:rFonts w:ascii="Georgia" w:hAnsi="Georgia"/>
                <w:sz w:val="14"/>
              </w:rPr>
              <w:t xml:space="preserve"> The market concluded the deceleration is structural, not cyclical. Deutsche Bank cut its target to $85; Goldman Sachs downgraded to a $110 target; Wells Fargo cut from $195 to $151; Citigroup to $112.</w:t>
            </w:r>
          </w:p>
        </w:tc>
      </w:tr>
    </w:tbl>
    <w:p>
      <w:pPr>
        <w:spacing w:after="60"/>
      </w:pPr>
    </w:p>
    <w:p>
      <w:pPr>
        <w:spacing w:before="40" w:after="60"/>
        <w:ind w:left="173" w:right="115"/>
        <w:jc w:val="both"/>
        <w:pBdr>
          <w:left w:val="single" w:sz="18" w:space="6" w:color="0B2545"/>
        </w:pBdr>
        <w:shd w:val="clear" w:fill="F4F7FA"/>
      </w:pPr>
      <w:r>
        <w:rPr>
          <w:b/>
          <w:sz w:val="17"/>
        </w:rPr>
        <w:t>Pattern recognition.</w:t>
      </w:r>
      <w:r>
        <w:rPr>
          <w:sz w:val="17"/>
        </w:rPr>
        <w:t xml:space="preserve"> Across 2024, 2025 and 2026 EPAM has beaten consensus on earnings in essentially every quarter and been sold off in most of them. The market is not trading EPAM on profitability — it is trading it on the credibility of the revenue trajectory. Any re-rating therefore requires a quarter in which </w:t>
      </w:r>
      <w:r>
        <w:rPr>
          <w:i/>
          <w:sz w:val="17"/>
        </w:rPr>
        <w:t>guidance is maintained or raised</w:t>
      </w:r>
      <w:r>
        <w:rPr>
          <w:sz w:val="17"/>
        </w:rPr>
        <w:t>, not merely one in which EPS beats. That is the specific catalyst to watch for on 29 October 2026.</w:t>
      </w:r>
    </w:p>
    <w:p>
      <w:pPr>
        <w:keepNext/>
        <w:spacing w:before="320" w:after="120"/>
        <w:pBdr>
          <w:bottom w:val="single" w:sz="12" w:space="2" w:color="0B2545"/>
        </w:pBdr>
      </w:pPr>
      <w:r>
        <w:rPr>
          <w:rFonts w:ascii="Georgia" w:hAnsi="Georgia"/>
          <w:b/>
          <w:color w:val="0B2545"/>
          <w:sz w:val="26"/>
        </w:rPr>
        <w:t>4. Business Model, Key Drivers, Customers, Suppliers and Contracts</w:t>
      </w:r>
    </w:p>
    <w:p>
      <w:pPr>
        <w:keepNext/>
        <w:spacing w:before="200" w:after="80"/>
      </w:pPr>
      <w:r>
        <w:rPr>
          <w:rFonts w:ascii="Georgia" w:hAnsi="Georgia"/>
          <w:b/>
          <w:color w:val="14487F"/>
          <w:sz w:val="21"/>
        </w:rPr>
        <w:t>Key business drivers, ranked by importance</w:t>
      </w:r>
    </w:p>
    <w:tbl>
      <w:tblPr>
        <w:tblStyle w:val="TableGrid"/>
        <w:tblW w:type="auto" w:w="0"/>
        <w:jc w:val="center"/>
        <w:tblLayout w:type="autofit"/>
        <w:tblLook w:firstColumn="1" w:firstRow="1" w:lastColumn="0" w:lastRow="0" w:noHBand="0" w:noVBand="1" w:val="04A0"/>
      </w:tblPr>
      <w:tblGrid>
        <w:gridCol w:w="3394"/>
        <w:gridCol w:w="3394"/>
        <w:gridCol w:w="3394"/>
      </w:tblGrid>
      <w:tr>
        <w:tc>
          <w:tcPr>
            <w:tcW w:type="dxa" w:w="3394"/>
            <w:shd w:val="clear" w:fill="0B2545"/>
          </w:tcPr>
          <w:p>
            <w:pPr>
              <w:spacing w:before="20" w:after="20"/>
            </w:pPr>
            <w:r>
              <w:rPr>
                <w:rFonts w:ascii="Georgia" w:hAnsi="Georgia"/>
                <w:b/>
                <w:color w:val="FFFFFF"/>
                <w:sz w:val="14"/>
              </w:rPr>
            </w:r>
            <w:r>
              <w:rPr>
                <w:rFonts w:ascii="Georgia" w:hAnsi="Georgia"/>
                <w:b/>
                <w:color w:val="FFFFFF"/>
                <w:sz w:val="14"/>
              </w:rPr>
              <w:t>Driver</w:t>
            </w:r>
          </w:p>
        </w:tc>
        <w:tc>
          <w:tcPr>
            <w:tcW w:type="dxa" w:w="3394"/>
            <w:shd w:val="clear" w:fill="0B2545"/>
          </w:tcPr>
          <w:p>
            <w:pPr>
              <w:spacing w:before="20" w:after="20"/>
            </w:pPr>
            <w:r>
              <w:rPr>
                <w:rFonts w:ascii="Georgia" w:hAnsi="Georgia"/>
                <w:b/>
                <w:color w:val="FFFFFF"/>
                <w:sz w:val="14"/>
              </w:rPr>
            </w:r>
            <w:r>
              <w:rPr>
                <w:rFonts w:ascii="Georgia" w:hAnsi="Georgia"/>
                <w:b/>
                <w:color w:val="FFFFFF"/>
                <w:sz w:val="14"/>
              </w:rPr>
              <w:t>Mechanism</w:t>
            </w:r>
          </w:p>
        </w:tc>
        <w:tc>
          <w:tcPr>
            <w:tcW w:type="dxa" w:w="3394"/>
            <w:shd w:val="clear" w:fill="0B2545"/>
          </w:tcPr>
          <w:p>
            <w:pPr>
              <w:spacing w:before="20" w:after="20"/>
            </w:pPr>
            <w:r>
              <w:rPr>
                <w:rFonts w:ascii="Georgia" w:hAnsi="Georgia"/>
                <w:b/>
                <w:color w:val="FFFFFF"/>
                <w:sz w:val="14"/>
              </w:rPr>
            </w:r>
            <w:r>
              <w:rPr>
                <w:rFonts w:ascii="Georgia" w:hAnsi="Georgia"/>
                <w:b/>
                <w:color w:val="FFFFFF"/>
                <w:sz w:val="14"/>
              </w:rPr>
              <w:t>Current direction</w:t>
            </w:r>
          </w:p>
        </w:tc>
      </w:tr>
      <w:tr>
        <w:tc>
          <w:tcPr>
            <w:tcW w:type="dxa" w:w="3394"/>
          </w:tcPr>
          <w:p>
            <w:pPr>
              <w:spacing w:before="20" w:after="20"/>
            </w:pPr>
            <w:r>
              <w:rPr>
                <w:rFonts w:ascii="Georgia" w:hAnsi="Georgia"/>
                <w:sz w:val="14"/>
              </w:rPr>
            </w:r>
            <w:r>
              <w:rPr>
                <w:rFonts w:ascii="Georgia" w:hAnsi="Georgia"/>
                <w:b/>
                <w:sz w:val="14"/>
              </w:rPr>
              <w:t>Volume (billable headcount)</w:t>
            </w:r>
          </w:p>
        </w:tc>
        <w:tc>
          <w:tcPr>
            <w:tcW w:type="dxa" w:w="3394"/>
          </w:tcPr>
          <w:p>
            <w:pPr>
              <w:spacing w:before="20" w:after="20"/>
            </w:pPr>
            <w:r>
              <w:rPr>
                <w:rFonts w:ascii="Georgia" w:hAnsi="Georgia"/>
                <w:sz w:val="14"/>
              </w:rPr>
            </w:r>
            <w:r>
              <w:rPr>
                <w:rFonts w:ascii="Georgia" w:hAnsi="Georgia"/>
                <w:sz w:val="14"/>
              </w:rPr>
              <w:t>Revenue is approximately headcount x utilisation x bill rate. Delivery headcount grew only 1.5% y/y in Q2 2026 to 56,650.</w:t>
            </w:r>
          </w:p>
        </w:tc>
        <w:tc>
          <w:tcPr>
            <w:tcW w:type="dxa" w:w="3394"/>
          </w:tcPr>
          <w:p>
            <w:pPr>
              <w:spacing w:before="20" w:after="20"/>
            </w:pPr>
            <w:r>
              <w:rPr>
                <w:rFonts w:ascii="Georgia" w:hAnsi="Georgia"/>
                <w:sz w:val="14"/>
              </w:rPr>
            </w:r>
            <w:r>
              <w:rPr>
                <w:rFonts w:ascii="Georgia" w:hAnsi="Georgia"/>
                <w:sz w:val="14"/>
              </w:rPr>
              <w:t>Decelerating — the binding constraint on growth</w:t>
            </w:r>
          </w:p>
        </w:tc>
      </w:tr>
      <w:tr>
        <w:tc>
          <w:tcPr>
            <w:tcW w:type="dxa" w:w="3394"/>
            <w:shd w:val="clear" w:fill="F4F7FA"/>
          </w:tcPr>
          <w:p>
            <w:pPr>
              <w:spacing w:before="20" w:after="20"/>
            </w:pPr>
            <w:r>
              <w:rPr>
                <w:rFonts w:ascii="Georgia" w:hAnsi="Georgia"/>
                <w:sz w:val="14"/>
              </w:rPr>
            </w:r>
            <w:r>
              <w:rPr>
                <w:rFonts w:ascii="Georgia" w:hAnsi="Georgia"/>
                <w:b/>
                <w:sz w:val="14"/>
              </w:rPr>
              <w:t>Pricing / rate card</w:t>
            </w:r>
          </w:p>
        </w:tc>
        <w:tc>
          <w:tcPr>
            <w:tcW w:type="dxa" w:w="3394"/>
            <w:shd w:val="clear" w:fill="F4F7FA"/>
          </w:tcPr>
          <w:p>
            <w:pPr>
              <w:spacing w:before="20" w:after="20"/>
            </w:pPr>
            <w:r>
              <w:rPr>
                <w:rFonts w:ascii="Georgia" w:hAnsi="Georgia"/>
                <w:sz w:val="14"/>
              </w:rPr>
            </w:r>
            <w:r>
              <w:rPr>
                <w:rFonts w:ascii="Georgia" w:hAnsi="Georgia"/>
                <w:sz w:val="14"/>
              </w:rPr>
              <w:t>Bill rates by role and geography. Management explicitly cited "price increases" as a driver of the 190bp gross-margin expansion in Q2 2026.</w:t>
            </w:r>
          </w:p>
        </w:tc>
        <w:tc>
          <w:tcPr>
            <w:tcW w:type="dxa" w:w="3394"/>
            <w:shd w:val="clear" w:fill="F4F7FA"/>
          </w:tcPr>
          <w:p>
            <w:pPr>
              <w:spacing w:before="20" w:after="20"/>
            </w:pPr>
            <w:r>
              <w:rPr>
                <w:rFonts w:ascii="Georgia" w:hAnsi="Georgia"/>
                <w:sz w:val="14"/>
              </w:rPr>
            </w:r>
            <w:r>
              <w:rPr>
                <w:rFonts w:ascii="Georgia" w:hAnsi="Georgia"/>
                <w:sz w:val="14"/>
              </w:rPr>
              <w:t>Positive — genuinely surprising and bullish</w:t>
            </w:r>
          </w:p>
        </w:tc>
      </w:tr>
      <w:tr>
        <w:tc>
          <w:tcPr>
            <w:tcW w:type="dxa" w:w="3394"/>
          </w:tcPr>
          <w:p>
            <w:pPr>
              <w:spacing w:before="20" w:after="20"/>
            </w:pPr>
            <w:r>
              <w:rPr>
                <w:rFonts w:ascii="Georgia" w:hAnsi="Georgia"/>
                <w:sz w:val="14"/>
              </w:rPr>
            </w:r>
            <w:r>
              <w:rPr>
                <w:rFonts w:ascii="Georgia" w:hAnsi="Georgia"/>
                <w:b/>
                <w:sz w:val="14"/>
              </w:rPr>
              <w:t>Mix: AI-native vs task-based</w:t>
            </w:r>
          </w:p>
        </w:tc>
        <w:tc>
          <w:tcPr>
            <w:tcW w:type="dxa" w:w="3394"/>
          </w:tcPr>
          <w:p>
            <w:pPr>
              <w:spacing w:before="20" w:after="20"/>
            </w:pPr>
            <w:r>
              <w:rPr>
                <w:rFonts w:ascii="Georgia" w:hAnsi="Georgia"/>
                <w:sz w:val="14"/>
              </w:rPr>
            </w:r>
            <w:r>
              <w:rPr>
                <w:rFonts w:ascii="Georgia" w:hAnsi="Georgia"/>
                <w:sz w:val="14"/>
              </w:rPr>
              <w:t>AI-native work (&gt;$160m in Q2, &gt;11% of revenue) carries higher value and better margin; task-based work is being deflated.</w:t>
            </w:r>
          </w:p>
        </w:tc>
        <w:tc>
          <w:tcPr>
            <w:tcW w:type="dxa" w:w="3394"/>
          </w:tcPr>
          <w:p>
            <w:pPr>
              <w:spacing w:before="20" w:after="20"/>
            </w:pPr>
            <w:r>
              <w:rPr>
                <w:rFonts w:ascii="Georgia" w:hAnsi="Georgia"/>
                <w:sz w:val="14"/>
              </w:rPr>
            </w:r>
            <w:r>
              <w:rPr>
                <w:rFonts w:ascii="Georgia" w:hAnsi="Georgia"/>
                <w:sz w:val="14"/>
              </w:rPr>
              <w:t>Improving mix, but the substitution is net-negative to revenue today</w:t>
            </w:r>
          </w:p>
        </w:tc>
      </w:tr>
      <w:tr>
        <w:tc>
          <w:tcPr>
            <w:tcW w:type="dxa" w:w="3394"/>
            <w:shd w:val="clear" w:fill="F4F7FA"/>
          </w:tcPr>
          <w:p>
            <w:pPr>
              <w:spacing w:before="20" w:after="20"/>
            </w:pPr>
            <w:r>
              <w:rPr>
                <w:rFonts w:ascii="Georgia" w:hAnsi="Georgia"/>
                <w:sz w:val="14"/>
              </w:rPr>
            </w:r>
            <w:r>
              <w:rPr>
                <w:rFonts w:ascii="Georgia" w:hAnsi="Georgia"/>
                <w:b/>
                <w:sz w:val="14"/>
              </w:rPr>
              <w:t>Delivery-location mix</w:t>
            </w:r>
          </w:p>
        </w:tc>
        <w:tc>
          <w:tcPr>
            <w:tcW w:type="dxa" w:w="3394"/>
            <w:shd w:val="clear" w:fill="F4F7FA"/>
          </w:tcPr>
          <w:p>
            <w:pPr>
              <w:spacing w:before="20" w:after="20"/>
            </w:pPr>
            <w:r>
              <w:rPr>
                <w:rFonts w:ascii="Georgia" w:hAnsi="Georgia"/>
                <w:sz w:val="14"/>
              </w:rPr>
            </w:r>
            <w:r>
              <w:rPr>
                <w:rFonts w:ascii="Georgia" w:hAnsi="Georgia"/>
                <w:sz w:val="14"/>
              </w:rPr>
              <w:t>Shifting work from Central/Eastern Europe to India (c.12,200 professionals, largest single location), Latin America and the Caucasus lowers cost per hour.</w:t>
            </w:r>
          </w:p>
        </w:tc>
        <w:tc>
          <w:tcPr>
            <w:tcW w:type="dxa" w:w="3394"/>
            <w:shd w:val="clear" w:fill="F4F7FA"/>
          </w:tcPr>
          <w:p>
            <w:pPr>
              <w:spacing w:before="20" w:after="20"/>
            </w:pPr>
            <w:r>
              <w:rPr>
                <w:rFonts w:ascii="Georgia" w:hAnsi="Georgia"/>
                <w:sz w:val="14"/>
              </w:rPr>
            </w:r>
            <w:r>
              <w:rPr>
                <w:rFonts w:ascii="Georgia" w:hAnsi="Georgia"/>
                <w:sz w:val="14"/>
              </w:rPr>
              <w:t>Positive, but largely harvested</w:t>
            </w:r>
          </w:p>
        </w:tc>
      </w:tr>
      <w:tr>
        <w:tc>
          <w:tcPr>
            <w:tcW w:type="dxa" w:w="3394"/>
          </w:tcPr>
          <w:p>
            <w:pPr>
              <w:spacing w:before="20" w:after="20"/>
            </w:pPr>
            <w:r>
              <w:rPr>
                <w:rFonts w:ascii="Georgia" w:hAnsi="Georgia"/>
                <w:sz w:val="14"/>
              </w:rPr>
            </w:r>
            <w:r>
              <w:rPr>
                <w:rFonts w:ascii="Georgia" w:hAnsi="Georgia"/>
                <w:b/>
                <w:sz w:val="14"/>
              </w:rPr>
              <w:t>Utilisation</w:t>
            </w:r>
          </w:p>
        </w:tc>
        <w:tc>
          <w:tcPr>
            <w:tcW w:type="dxa" w:w="3394"/>
          </w:tcPr>
          <w:p>
            <w:pPr>
              <w:spacing w:before="20" w:after="20"/>
            </w:pPr>
            <w:r>
              <w:rPr>
                <w:rFonts w:ascii="Georgia" w:hAnsi="Georgia"/>
                <w:sz w:val="14"/>
              </w:rPr>
            </w:r>
            <w:r>
              <w:rPr>
                <w:rFonts w:ascii="Georgia" w:hAnsi="Georgia"/>
                <w:sz w:val="14"/>
              </w:rPr>
              <w:t>75.4% at end-2025 (vs 76.2% a year earlier, 76.5% in Q3 2025). Pressured by vacation timing, location transitions and junior onboarding.</w:t>
            </w:r>
          </w:p>
        </w:tc>
        <w:tc>
          <w:tcPr>
            <w:tcW w:type="dxa" w:w="3394"/>
          </w:tcPr>
          <w:p>
            <w:pPr>
              <w:spacing w:before="20" w:after="20"/>
            </w:pPr>
            <w:r>
              <w:rPr>
                <w:rFonts w:ascii="Georgia" w:hAnsi="Georgia"/>
                <w:sz w:val="14"/>
              </w:rPr>
            </w:r>
            <w:r>
              <w:rPr>
                <w:rFonts w:ascii="Georgia" w:hAnsi="Georgia"/>
                <w:sz w:val="14"/>
              </w:rPr>
              <w:t>Slightly negative</w:t>
            </w:r>
          </w:p>
        </w:tc>
      </w:tr>
      <w:tr>
        <w:tc>
          <w:tcPr>
            <w:tcW w:type="dxa" w:w="3394"/>
            <w:shd w:val="clear" w:fill="F4F7FA"/>
          </w:tcPr>
          <w:p>
            <w:pPr>
              <w:spacing w:before="20" w:after="20"/>
            </w:pPr>
            <w:r>
              <w:rPr>
                <w:rFonts w:ascii="Georgia" w:hAnsi="Georgia"/>
                <w:sz w:val="14"/>
              </w:rPr>
            </w:r>
            <w:r>
              <w:rPr>
                <w:rFonts w:ascii="Georgia" w:hAnsi="Georgia"/>
                <w:b/>
                <w:sz w:val="14"/>
              </w:rPr>
              <w:t>Seniority index / pyramid</w:t>
            </w:r>
          </w:p>
        </w:tc>
        <w:tc>
          <w:tcPr>
            <w:tcW w:type="dxa" w:w="3394"/>
            <w:shd w:val="clear" w:fill="F4F7FA"/>
          </w:tcPr>
          <w:p>
            <w:pPr>
              <w:spacing w:before="20" w:after="20"/>
            </w:pPr>
            <w:r>
              <w:rPr>
                <w:rFonts w:ascii="Georgia" w:hAnsi="Georgia"/>
                <w:sz w:val="14"/>
              </w:rPr>
            </w:r>
            <w:r>
              <w:rPr>
                <w:rFonts w:ascii="Georgia" w:hAnsi="Georgia"/>
                <w:sz w:val="14"/>
              </w:rPr>
              <w:t>Deliberate hiring of juniors in 2025–26 to lower the average cost per head. Dilutes utilisation short-term, helps margin later.</w:t>
            </w:r>
          </w:p>
        </w:tc>
        <w:tc>
          <w:tcPr>
            <w:tcW w:type="dxa" w:w="3394"/>
            <w:shd w:val="clear" w:fill="F4F7FA"/>
          </w:tcPr>
          <w:p>
            <w:pPr>
              <w:spacing w:before="20" w:after="20"/>
            </w:pPr>
            <w:r>
              <w:rPr>
                <w:rFonts w:ascii="Georgia" w:hAnsi="Georgia"/>
                <w:sz w:val="14"/>
              </w:rPr>
            </w:r>
            <w:r>
              <w:rPr>
                <w:rFonts w:ascii="Georgia" w:hAnsi="Georgia"/>
                <w:sz w:val="14"/>
              </w:rPr>
              <w:t>Improving</w:t>
            </w:r>
          </w:p>
        </w:tc>
      </w:tr>
      <w:tr>
        <w:tc>
          <w:tcPr>
            <w:tcW w:type="dxa" w:w="3394"/>
          </w:tcPr>
          <w:p>
            <w:pPr>
              <w:spacing w:before="20" w:after="20"/>
            </w:pPr>
            <w:r>
              <w:rPr>
                <w:rFonts w:ascii="Georgia" w:hAnsi="Georgia"/>
                <w:sz w:val="14"/>
              </w:rPr>
            </w:r>
            <w:r>
              <w:rPr>
                <w:rFonts w:ascii="Georgia" w:hAnsi="Georgia"/>
                <w:b/>
                <w:sz w:val="14"/>
              </w:rPr>
              <w:t>FX</w:t>
            </w:r>
          </w:p>
        </w:tc>
        <w:tc>
          <w:tcPr>
            <w:tcW w:type="dxa" w:w="3394"/>
          </w:tcPr>
          <w:p>
            <w:pPr>
              <w:spacing w:before="20" w:after="20"/>
            </w:pPr>
            <w:r>
              <w:rPr>
                <w:rFonts w:ascii="Georgia" w:hAnsi="Georgia"/>
                <w:sz w:val="14"/>
              </w:rPr>
            </w:r>
            <w:r>
              <w:rPr>
                <w:rFonts w:ascii="Georgia" w:hAnsi="Georgia"/>
                <w:sz w:val="14"/>
              </w:rPr>
              <w:t>Costs in PLN, INR, HUF, GEL, MXN; revenue in USD, EUR, GBP, CHF. FX contributed roughly +1.5pp to 2026 guided growth.</w:t>
            </w:r>
          </w:p>
        </w:tc>
        <w:tc>
          <w:tcPr>
            <w:tcW w:type="dxa" w:w="3394"/>
          </w:tcPr>
          <w:p>
            <w:pPr>
              <w:spacing w:before="20" w:after="20"/>
            </w:pPr>
            <w:r>
              <w:rPr>
                <w:rFonts w:ascii="Georgia" w:hAnsi="Georgia"/>
                <w:sz w:val="14"/>
              </w:rPr>
            </w:r>
            <w:r>
              <w:rPr>
                <w:rFonts w:ascii="Georgia" w:hAnsi="Georgia"/>
                <w:sz w:val="14"/>
              </w:rPr>
              <w:t>Currently a tailwind</w:t>
            </w:r>
          </w:p>
        </w:tc>
      </w:tr>
      <w:tr>
        <w:tc>
          <w:tcPr>
            <w:tcW w:type="dxa" w:w="3394"/>
            <w:shd w:val="clear" w:fill="F4F7FA"/>
          </w:tcPr>
          <w:p>
            <w:pPr>
              <w:spacing w:before="20" w:after="20"/>
            </w:pPr>
            <w:r>
              <w:rPr>
                <w:rFonts w:ascii="Georgia" w:hAnsi="Georgia"/>
                <w:sz w:val="14"/>
              </w:rPr>
            </w:r>
            <w:r>
              <w:rPr>
                <w:rFonts w:ascii="Georgia" w:hAnsi="Georgia"/>
                <w:b/>
                <w:sz w:val="14"/>
              </w:rPr>
              <w:t>M&amp;A</w:t>
            </w:r>
          </w:p>
        </w:tc>
        <w:tc>
          <w:tcPr>
            <w:tcW w:type="dxa" w:w="3394"/>
            <w:shd w:val="clear" w:fill="F4F7FA"/>
          </w:tcPr>
          <w:p>
            <w:pPr>
              <w:spacing w:before="20" w:after="20"/>
            </w:pPr>
            <w:r>
              <w:rPr>
                <w:rFonts w:ascii="Georgia" w:hAnsi="Georgia"/>
                <w:sz w:val="14"/>
              </w:rPr>
            </w:r>
            <w:r>
              <w:rPr>
                <w:rFonts w:ascii="Georgia" w:hAnsi="Georgia"/>
                <w:sz w:val="14"/>
              </w:rPr>
              <w:t>NEORIS ($626m) and First Derivative ($290m) contributed roughly 10pp of the 15.4% FY2025 reported growth.</w:t>
            </w:r>
          </w:p>
        </w:tc>
        <w:tc>
          <w:tcPr>
            <w:tcW w:type="dxa" w:w="3394"/>
            <w:shd w:val="clear" w:fill="F4F7FA"/>
          </w:tcPr>
          <w:p>
            <w:pPr>
              <w:spacing w:before="20" w:after="20"/>
            </w:pPr>
            <w:r>
              <w:rPr>
                <w:rFonts w:ascii="Georgia" w:hAnsi="Georgia"/>
                <w:sz w:val="14"/>
              </w:rPr>
            </w:r>
            <w:r>
              <w:rPr>
                <w:rFonts w:ascii="Georgia" w:hAnsi="Georgia"/>
                <w:sz w:val="14"/>
              </w:rPr>
              <w:t>Annualising out; organic growth now exposed</w:t>
            </w:r>
          </w:p>
        </w:tc>
      </w:tr>
      <w:tr>
        <w:tc>
          <w:tcPr>
            <w:tcW w:type="dxa" w:w="3394"/>
          </w:tcPr>
          <w:p>
            <w:pPr>
              <w:spacing w:before="20" w:after="20"/>
            </w:pPr>
            <w:r>
              <w:rPr>
                <w:rFonts w:ascii="Georgia" w:hAnsi="Georgia"/>
                <w:sz w:val="14"/>
              </w:rPr>
            </w:r>
            <w:r>
              <w:rPr>
                <w:rFonts w:ascii="Georgia" w:hAnsi="Georgia"/>
                <w:b/>
                <w:sz w:val="14"/>
              </w:rPr>
              <w:t>Capex cycles</w:t>
            </w:r>
          </w:p>
        </w:tc>
        <w:tc>
          <w:tcPr>
            <w:tcW w:type="dxa" w:w="3394"/>
          </w:tcPr>
          <w:p>
            <w:pPr>
              <w:spacing w:before="20" w:after="20"/>
            </w:pPr>
            <w:r>
              <w:rPr>
                <w:rFonts w:ascii="Georgia" w:hAnsi="Georgia"/>
                <w:sz w:val="14"/>
              </w:rPr>
            </w:r>
            <w:r>
              <w:rPr>
                <w:rFonts w:ascii="Georgia" w:hAnsi="Georgia"/>
                <w:sz w:val="14"/>
              </w:rPr>
              <w:t>Minimal. Capex runs at roughly 1% of revenue. This is a people business, not an asset business.</w:t>
            </w:r>
          </w:p>
        </w:tc>
        <w:tc>
          <w:tcPr>
            <w:tcW w:type="dxa" w:w="3394"/>
          </w:tcPr>
          <w:p>
            <w:pPr>
              <w:spacing w:before="20" w:after="20"/>
            </w:pPr>
            <w:r>
              <w:rPr>
                <w:rFonts w:ascii="Georgia" w:hAnsi="Georgia"/>
                <w:sz w:val="14"/>
              </w:rPr>
            </w:r>
            <w:r>
              <w:rPr>
                <w:rFonts w:ascii="Georgia" w:hAnsi="Georgia"/>
                <w:sz w:val="14"/>
              </w:rPr>
              <w:t>Structurally favourable</w:t>
            </w:r>
          </w:p>
        </w:tc>
      </w:tr>
      <w:tr>
        <w:tc>
          <w:tcPr>
            <w:tcW w:type="dxa" w:w="3394"/>
            <w:shd w:val="clear" w:fill="F4F7FA"/>
          </w:tcPr>
          <w:p>
            <w:pPr>
              <w:spacing w:before="20" w:after="20"/>
            </w:pPr>
            <w:r>
              <w:rPr>
                <w:rFonts w:ascii="Georgia" w:hAnsi="Georgia"/>
                <w:sz w:val="14"/>
              </w:rPr>
            </w:r>
            <w:r>
              <w:rPr>
                <w:rFonts w:ascii="Georgia" w:hAnsi="Georgia"/>
                <w:b/>
                <w:sz w:val="14"/>
              </w:rPr>
              <w:t>Regulation</w:t>
            </w:r>
          </w:p>
        </w:tc>
        <w:tc>
          <w:tcPr>
            <w:tcW w:type="dxa" w:w="3394"/>
            <w:shd w:val="clear" w:fill="F4F7FA"/>
          </w:tcPr>
          <w:p>
            <w:pPr>
              <w:spacing w:before="20" w:after="20"/>
            </w:pPr>
            <w:r>
              <w:rPr>
                <w:rFonts w:ascii="Georgia" w:hAnsi="Georgia"/>
                <w:sz w:val="14"/>
              </w:rPr>
            </w:r>
            <w:r>
              <w:rPr>
                <w:rFonts w:ascii="Georgia" w:hAnsi="Georgia"/>
                <w:sz w:val="14"/>
              </w:rPr>
              <w:t>Not a licensed industry. Indirect exposure via client regulation (financial services, life sciences), data sovereignty rules, sanctions and immigration/visa policy.</w:t>
            </w:r>
          </w:p>
        </w:tc>
        <w:tc>
          <w:tcPr>
            <w:tcW w:type="dxa" w:w="3394"/>
            <w:shd w:val="clear" w:fill="F4F7FA"/>
          </w:tcPr>
          <w:p>
            <w:pPr>
              <w:spacing w:before="20" w:after="20"/>
              <w:jc w:val="right"/>
            </w:pPr>
            <w:r>
              <w:rPr>
                <w:rFonts w:ascii="Georgia" w:hAnsi="Georgia"/>
                <w:sz w:val="14"/>
              </w:rPr>
            </w:r>
            <w:r>
              <w:rPr>
                <w:rFonts w:ascii="Georgia" w:hAnsi="Georgia"/>
                <w:sz w:val="14"/>
              </w:rPr>
              <w:t>Mixed</w:t>
            </w:r>
          </w:p>
        </w:tc>
      </w:tr>
    </w:tbl>
    <w:p>
      <w:pPr>
        <w:spacing w:after="60"/>
      </w:pPr>
    </w:p>
    <w:p>
      <w:pPr>
        <w:keepNext/>
        <w:spacing w:before="200" w:after="80"/>
      </w:pPr>
      <w:r>
        <w:rPr>
          <w:rFonts w:ascii="Georgia" w:hAnsi="Georgia"/>
          <w:b/>
          <w:color w:val="14487F"/>
          <w:sz w:val="21"/>
        </w:rPr>
        <w:t>Products and services</w:t>
      </w:r>
    </w:p>
    <w:p>
      <w:pPr>
        <w:pStyle w:val="ListBullet"/>
        <w:spacing w:after="50"/>
        <w:ind w:left="403"/>
        <w:jc w:val="both"/>
      </w:pPr>
      <w:r>
        <w:rPr>
          <w:rFonts w:ascii="Georgia" w:hAnsi="Georgia"/>
          <w:b/>
          <w:sz w:val="17"/>
        </w:rPr>
        <w:t>Custom software engineering</w:t>
      </w:r>
      <w:r>
        <w:rPr>
          <w:rFonts w:ascii="Georgia" w:hAnsi="Georgia"/>
          <w:sz w:val="17"/>
        </w:rPr>
        <w:t xml:space="preserve"> — the core. Design and build of production applications, platforms and embedded systems.</w:t>
      </w:r>
    </w:p>
    <w:p>
      <w:pPr>
        <w:pStyle w:val="ListBullet"/>
        <w:spacing w:after="50"/>
        <w:ind w:left="403"/>
        <w:jc w:val="both"/>
      </w:pPr>
      <w:r>
        <w:rPr>
          <w:rFonts w:ascii="Georgia" w:hAnsi="Georgia"/>
          <w:b/>
          <w:sz w:val="17"/>
        </w:rPr>
        <w:t>Digital platform engineering and modernisation</w:t>
      </w:r>
      <w:r>
        <w:rPr>
          <w:rFonts w:ascii="Georgia" w:hAnsi="Georgia"/>
          <w:sz w:val="17"/>
        </w:rPr>
        <w:t xml:space="preserve"> — replatforming legacy estates, notably mainframe transformation in banking, which management has called out as a Q2 2026 growth driver.</w:t>
      </w:r>
    </w:p>
    <w:p>
      <w:pPr>
        <w:pStyle w:val="ListBullet"/>
        <w:spacing w:after="50"/>
        <w:ind w:left="403"/>
        <w:jc w:val="both"/>
      </w:pPr>
      <w:r>
        <w:rPr>
          <w:rFonts w:ascii="Georgia" w:hAnsi="Georgia"/>
          <w:b/>
          <w:sz w:val="17"/>
        </w:rPr>
        <w:t>Data and analytics engineering</w:t>
      </w:r>
      <w:r>
        <w:rPr>
          <w:rFonts w:ascii="Georgia" w:hAnsi="Georgia"/>
          <w:sz w:val="17"/>
        </w:rPr>
        <w:t xml:space="preserve"> — data platforms, real-time pipelines, data modernisation as the substrate for AI.</w:t>
      </w:r>
    </w:p>
    <w:p>
      <w:pPr>
        <w:pStyle w:val="ListBullet"/>
        <w:spacing w:after="50"/>
        <w:ind w:left="403"/>
        <w:jc w:val="both"/>
      </w:pPr>
      <w:r>
        <w:rPr>
          <w:rFonts w:ascii="Georgia" w:hAnsi="Georgia"/>
          <w:b/>
          <w:sz w:val="17"/>
        </w:rPr>
        <w:t>AI-native services</w:t>
      </w:r>
      <w:r>
        <w:rPr>
          <w:rFonts w:ascii="Georgia" w:hAnsi="Georgia"/>
          <w:sz w:val="17"/>
        </w:rPr>
        <w:t xml:space="preserve"> — the strategic priority. Delivered through the </w:t>
      </w:r>
      <w:r>
        <w:rPr>
          <w:rFonts w:ascii="Georgia" w:hAnsi="Georgia"/>
          <w:b/>
          <w:sz w:val="17"/>
        </w:rPr>
        <w:t>AI/RUN</w:t>
      </w:r>
      <w:r>
        <w:rPr>
          <w:rFonts w:ascii="Georgia" w:hAnsi="Georgia"/>
          <w:sz w:val="17"/>
        </w:rPr>
        <w:t xml:space="preserve"> playbook (blueprints, trained talent pools and reusable agentic components) and </w:t>
      </w:r>
      <w:r>
        <w:rPr>
          <w:rFonts w:ascii="Georgia" w:hAnsi="Georgia"/>
          <w:b/>
          <w:sz w:val="17"/>
        </w:rPr>
        <w:t>DIAL</w:t>
      </w:r>
      <w:r>
        <w:rPr>
          <w:rFonts w:ascii="Georgia" w:hAnsi="Georgia"/>
          <w:sz w:val="17"/>
        </w:rPr>
        <w:t xml:space="preserve">, EPAM's Deterministic AI Layer for building and governing enterprise AI applications. Also </w:t>
      </w:r>
      <w:r>
        <w:rPr>
          <w:rFonts w:ascii="Georgia" w:hAnsi="Georgia"/>
          <w:b/>
          <w:sz w:val="17"/>
        </w:rPr>
        <w:t>MF Lens</w:t>
      </w:r>
      <w:r>
        <w:rPr>
          <w:rFonts w:ascii="Georgia" w:hAnsi="Georgia"/>
          <w:sz w:val="17"/>
        </w:rPr>
        <w:t xml:space="preserve"> for mainframe analysis.</w:t>
      </w:r>
    </w:p>
    <w:p>
      <w:pPr>
        <w:pStyle w:val="ListBullet"/>
        <w:spacing w:after="50"/>
        <w:ind w:left="403"/>
        <w:jc w:val="both"/>
      </w:pPr>
      <w:r>
        <w:rPr>
          <w:rFonts w:ascii="Georgia" w:hAnsi="Georgia"/>
          <w:b/>
          <w:sz w:val="17"/>
        </w:rPr>
        <w:t>Experience design and product consulting</w:t>
      </w:r>
      <w:r>
        <w:rPr>
          <w:rFonts w:ascii="Georgia" w:hAnsi="Georgia"/>
          <w:sz w:val="17"/>
        </w:rPr>
        <w:t xml:space="preserve"> — via EPAM Continuum, and the Emakina and Optiva Media agencies.</w:t>
      </w:r>
    </w:p>
    <w:p>
      <w:pPr>
        <w:pStyle w:val="ListBullet"/>
        <w:spacing w:after="50"/>
        <w:ind w:left="403"/>
        <w:jc w:val="both"/>
      </w:pPr>
      <w:r>
        <w:rPr>
          <w:rFonts w:ascii="Georgia" w:hAnsi="Georgia"/>
          <w:b/>
          <w:sz w:val="17"/>
        </w:rPr>
        <w:t>Cloud, DevOps, cybersecurity and managed services</w:t>
      </w:r>
      <w:r>
        <w:rPr>
          <w:rFonts w:ascii="Georgia" w:hAnsi="Georgia"/>
          <w:sz w:val="17"/>
        </w:rPr>
        <w:t xml:space="preserve"> — increasingly positioned as "AI-enabled managed services" and "agentic BPO".</w:t>
      </w:r>
    </w:p>
    <w:p>
      <w:pPr>
        <w:keepNext/>
        <w:spacing w:before="200" w:after="80"/>
      </w:pPr>
      <w:r>
        <w:rPr>
          <w:rFonts w:ascii="Georgia" w:hAnsi="Georgia"/>
          <w:b/>
          <w:color w:val="14487F"/>
          <w:sz w:val="21"/>
        </w:rPr>
        <w:t>Customers</w:t>
      </w:r>
    </w:p>
    <w:p>
      <w:pPr>
        <w:spacing w:before="0" w:after="80"/>
        <w:jc w:val="both"/>
      </w:pPr>
      <w:r>
        <w:rPr/>
        <w:t xml:space="preserve">EPAM's client base is enterprise, blue-chip and notably </w:t>
      </w:r>
      <w:r>
        <w:rPr>
          <w:b/>
        </w:rPr>
        <w:t>un-concentrated</w:t>
      </w:r>
      <w:r>
        <w:rPr/>
        <w:t xml:space="preserve">. In 2025 the top five clients provided </w:t>
      </w:r>
      <w:r>
        <w:rPr>
          <w:b/>
        </w:rPr>
        <w:t>13.7%</w:t>
      </w:r>
      <w:r>
        <w:rPr/>
        <w:t xml:space="preserve"> of revenue and the top ten </w:t>
      </w:r>
      <w:r>
        <w:rPr>
          <w:b/>
        </w:rPr>
        <w:t>21.6%</w:t>
      </w:r>
      <w:r>
        <w:rPr/>
        <w:t>. For an engineering services firm this is unusually diversified — no single client loss is material — though it also means EPAM lacks the deep, decade-long mega-relationships that anchor Accenture or TCS.</w:t>
      </w:r>
    </w:p>
    <w:p>
      <w:pPr>
        <w:spacing w:before="0" w:after="80"/>
        <w:jc w:val="both"/>
      </w:pPr>
      <w:r>
        <w:rPr/>
        <w:t>Clients are concentrated in North America and Western Europe and skew toward Fortune 500 and FTSE 100 institutions: global and investment banks, asset managers and insurers; pharmaceutical and biotech companies; software vendors and platform businesses; retailers, consumer-goods manufacturers and travel operators; media, publishing and information-services groups. Named relationships disclosed publicly over time have included Google, Adobe, Expedia, Wolters Kluwer, Sberbank (pre-2022), Barclays and PayPal, though EPAM does not routinely publish a client list.</w:t>
      </w:r>
    </w:p>
    <w:p>
      <w:pPr>
        <w:keepNext/>
        <w:spacing w:before="200" w:after="80"/>
      </w:pPr>
      <w:r>
        <w:rPr>
          <w:rFonts w:ascii="Georgia" w:hAnsi="Georgia"/>
          <w:b/>
          <w:color w:val="14487F"/>
          <w:sz w:val="21"/>
        </w:rPr>
        <w:t>Suppliers</w:t>
      </w:r>
    </w:p>
    <w:p>
      <w:pPr>
        <w:spacing w:before="0" w:after="80"/>
        <w:jc w:val="both"/>
      </w:pPr>
      <w:r>
        <w:rPr/>
        <w:t xml:space="preserve">EPAM's "supply chain" is overwhelmingly </w:t>
      </w:r>
      <w:r>
        <w:rPr>
          <w:b/>
        </w:rPr>
        <w:t>human capital</w:t>
      </w:r>
      <w:r>
        <w:rPr/>
        <w:t>. Beyond that:</w:t>
      </w:r>
    </w:p>
    <w:p>
      <w:pPr>
        <w:pStyle w:val="ListBullet"/>
        <w:spacing w:after="50"/>
        <w:ind w:left="403"/>
        <w:jc w:val="both"/>
      </w:pPr>
      <w:r>
        <w:rPr>
          <w:rFonts w:ascii="Georgia" w:hAnsi="Georgia"/>
          <w:b/>
          <w:sz w:val="17"/>
        </w:rPr>
        <w:t>Technology platform partners</w:t>
      </w:r>
      <w:r>
        <w:rPr>
          <w:rFonts w:ascii="Georgia" w:hAnsi="Georgia"/>
          <w:sz w:val="17"/>
        </w:rPr>
        <w:t>: Microsoft/Azure and OpenAI, Amazon Web Services, Google Cloud, Anthropic, Salesforce, SAP, Adobe, Databricks, Snowflake, ServiceNow, MongoDB, Guidewire, Temenos.</w:t>
      </w:r>
    </w:p>
    <w:p>
      <w:pPr>
        <w:pStyle w:val="ListBullet"/>
        <w:spacing w:after="50"/>
        <w:ind w:left="403"/>
        <w:jc w:val="both"/>
      </w:pPr>
      <w:r>
        <w:rPr>
          <w:rFonts w:ascii="Georgia" w:hAnsi="Georgia"/>
          <w:b/>
          <w:sz w:val="17"/>
        </w:rPr>
        <w:t>Universities and training pipelines</w:t>
      </w:r>
      <w:r>
        <w:rPr>
          <w:rFonts w:ascii="Georgia" w:hAnsi="Georgia"/>
          <w:sz w:val="17"/>
        </w:rPr>
        <w:t>: EPAM operates one of the largest private technical training networks in Central and Eastern Europe and India, historically a genuine differentiator in talent supply.</w:t>
      </w:r>
    </w:p>
    <w:p>
      <w:pPr>
        <w:pStyle w:val="ListBullet"/>
        <w:spacing w:after="50"/>
        <w:ind w:left="403"/>
        <w:jc w:val="both"/>
      </w:pPr>
      <w:r>
        <w:rPr>
          <w:rFonts w:ascii="Georgia" w:hAnsi="Georgia"/>
          <w:b/>
          <w:sz w:val="17"/>
        </w:rPr>
        <w:t>Subcontractors and contingent labour</w:t>
      </w:r>
      <w:r>
        <w:rPr>
          <w:rFonts w:ascii="Georgia" w:hAnsi="Georgia"/>
          <w:sz w:val="17"/>
        </w:rPr>
        <w:t>: used to flex capacity; a margin lever when in-house utilisation is high.</w:t>
      </w:r>
    </w:p>
    <w:p>
      <w:pPr>
        <w:pStyle w:val="ListBullet"/>
        <w:spacing w:after="50"/>
        <w:ind w:left="403"/>
        <w:jc w:val="both"/>
      </w:pPr>
      <w:r>
        <w:rPr>
          <w:rFonts w:ascii="Georgia" w:hAnsi="Georgia"/>
          <w:b/>
          <w:sz w:val="17"/>
        </w:rPr>
        <w:t>Real estate and infrastructure</w:t>
      </w:r>
      <w:r>
        <w:rPr>
          <w:rFonts w:ascii="Georgia" w:hAnsi="Georgia"/>
          <w:sz w:val="17"/>
        </w:rPr>
        <w:t>: leased delivery centres across roughly 55 countries; asset-light and increasingly hybrid.</w:t>
      </w:r>
    </w:p>
    <w:p>
      <w:pPr>
        <w:pStyle w:val="ListBullet"/>
        <w:spacing w:after="50"/>
        <w:ind w:left="403"/>
        <w:jc w:val="both"/>
      </w:pPr>
      <w:r>
        <w:rPr>
          <w:rFonts w:ascii="Georgia" w:hAnsi="Georgia"/>
          <w:b/>
          <w:sz w:val="17"/>
        </w:rPr>
        <w:t>LLM inference and cloud compute</w:t>
      </w:r>
      <w:r>
        <w:rPr>
          <w:rFonts w:ascii="Georgia" w:hAnsi="Georgia"/>
          <w:sz w:val="17"/>
        </w:rPr>
        <w:t>: a genuinely new cost line. Management now speaks about "token cost engineering" as a discipline, which tells you compute is becoming a real input cost.</w:t>
      </w:r>
    </w:p>
    <w:p>
      <w:pPr>
        <w:keepNext/>
        <w:spacing w:before="200" w:after="80"/>
      </w:pPr>
      <w:r>
        <w:rPr>
          <w:rFonts w:ascii="Georgia" w:hAnsi="Georgia"/>
          <w:b/>
          <w:color w:val="14487F"/>
          <w:sz w:val="21"/>
        </w:rPr>
        <w:t>Contracts and payment terms</w:t>
      </w:r>
    </w:p>
    <w:tbl>
      <w:tblPr>
        <w:tblStyle w:val="TableGrid"/>
        <w:tblW w:type="auto" w:w="0"/>
        <w:jc w:val="center"/>
        <w:tblLayout w:type="autofit"/>
        <w:tblLook w:firstColumn="1" w:firstRow="1" w:lastColumn="0" w:lastRow="0" w:noHBand="0" w:noVBand="1" w:val="04A0"/>
      </w:tblPr>
      <w:tblGrid>
        <w:gridCol w:w="3394"/>
        <w:gridCol w:w="3394"/>
        <w:gridCol w:w="3394"/>
      </w:tblGrid>
      <w:tr>
        <w:tc>
          <w:tcPr>
            <w:tcW w:type="dxa" w:w="3394"/>
            <w:shd w:val="clear" w:fill="0B2545"/>
          </w:tcPr>
          <w:p>
            <w:pPr>
              <w:spacing w:before="20" w:after="20"/>
            </w:pPr>
            <w:r>
              <w:rPr>
                <w:rFonts w:ascii="Georgia" w:hAnsi="Georgia"/>
                <w:b/>
                <w:color w:val="FFFFFF"/>
                <w:sz w:val="14"/>
              </w:rPr>
            </w:r>
            <w:r>
              <w:rPr>
                <w:rFonts w:ascii="Georgia" w:hAnsi="Georgia"/>
                <w:b/>
                <w:color w:val="FFFFFF"/>
                <w:sz w:val="14"/>
              </w:rPr>
              <w:t>Contract type</w:t>
            </w:r>
          </w:p>
        </w:tc>
        <w:tc>
          <w:tcPr>
            <w:tcW w:type="dxa" w:w="3394"/>
            <w:shd w:val="clear" w:fill="0B2545"/>
          </w:tcPr>
          <w:p>
            <w:pPr>
              <w:spacing w:before="20" w:after="20"/>
              <w:jc w:val="right"/>
            </w:pPr>
            <w:r>
              <w:rPr>
                <w:rFonts w:ascii="Georgia" w:hAnsi="Georgia"/>
                <w:b/>
                <w:color w:val="FFFFFF"/>
                <w:sz w:val="14"/>
              </w:rPr>
            </w:r>
            <w:r>
              <w:rPr>
                <w:rFonts w:ascii="Georgia" w:hAnsi="Georgia"/>
                <w:b/>
                <w:color w:val="FFFFFF"/>
                <w:sz w:val="14"/>
              </w:rPr>
              <w:t>Share of revenue</w:t>
            </w:r>
          </w:p>
        </w:tc>
        <w:tc>
          <w:tcPr>
            <w:tcW w:type="dxa" w:w="3394"/>
            <w:shd w:val="clear" w:fill="0B2545"/>
          </w:tcPr>
          <w:p>
            <w:pPr>
              <w:spacing w:before="20" w:after="20"/>
            </w:pPr>
            <w:r>
              <w:rPr>
                <w:rFonts w:ascii="Georgia" w:hAnsi="Georgia"/>
                <w:b/>
                <w:color w:val="FFFFFF"/>
                <w:sz w:val="14"/>
              </w:rPr>
            </w:r>
            <w:r>
              <w:rPr>
                <w:rFonts w:ascii="Georgia" w:hAnsi="Georgia"/>
                <w:b/>
                <w:color w:val="FFFFFF"/>
                <w:sz w:val="14"/>
              </w:rPr>
              <w:t>Mechanics and risk</w:t>
            </w:r>
          </w:p>
        </w:tc>
      </w:tr>
      <w:tr>
        <w:tc>
          <w:tcPr>
            <w:tcW w:type="dxa" w:w="3394"/>
          </w:tcPr>
          <w:p>
            <w:pPr>
              <w:spacing w:before="20" w:after="20"/>
            </w:pPr>
            <w:r>
              <w:rPr>
                <w:rFonts w:ascii="Georgia" w:hAnsi="Georgia"/>
                <w:sz w:val="14"/>
              </w:rPr>
            </w:r>
            <w:r>
              <w:rPr>
                <w:rFonts w:ascii="Georgia" w:hAnsi="Georgia"/>
                <w:sz w:val="14"/>
              </w:rPr>
              <w:t>Time-and-materials</w:t>
            </w:r>
          </w:p>
        </w:tc>
        <w:tc>
          <w:tcPr>
            <w:tcW w:type="dxa" w:w="3394"/>
          </w:tcPr>
          <w:p>
            <w:pPr>
              <w:spacing w:before="20" w:after="20"/>
              <w:jc w:val="right"/>
            </w:pPr>
            <w:r>
              <w:rPr>
                <w:rFonts w:ascii="Georgia" w:hAnsi="Georgia"/>
                <w:sz w:val="14"/>
              </w:rPr>
            </w:r>
            <w:r>
              <w:rPr>
                <w:rFonts w:ascii="Georgia" w:hAnsi="Georgia"/>
                <w:sz w:val="14"/>
              </w:rPr>
              <w:t>c.85–90%</w:t>
            </w:r>
          </w:p>
        </w:tc>
        <w:tc>
          <w:tcPr>
            <w:tcW w:type="dxa" w:w="3394"/>
          </w:tcPr>
          <w:p>
            <w:pPr>
              <w:spacing w:before="20" w:after="20"/>
            </w:pPr>
            <w:r>
              <w:rPr>
                <w:rFonts w:ascii="Georgia" w:hAnsi="Georgia"/>
                <w:sz w:val="14"/>
              </w:rPr>
            </w:r>
            <w:r>
              <w:rPr>
                <w:rFonts w:ascii="Georgia" w:hAnsi="Georgia"/>
                <w:sz w:val="14"/>
              </w:rPr>
              <w:t xml:space="preserve">Billed monthly in arrears at negotiated hourly, daily or monthly rates per professional. Low delivery risk to EPAM, but no protection against volume decline — a client can simply reduce the team. </w:t>
            </w:r>
            <w:r>
              <w:rPr>
                <w:rFonts w:ascii="Georgia" w:hAnsi="Georgia"/>
                <w:b/>
                <w:sz w:val="14"/>
              </w:rPr>
              <w:t>This is the structural vulnerability to AI.</w:t>
            </w:r>
          </w:p>
        </w:tc>
      </w:tr>
      <w:tr>
        <w:tc>
          <w:tcPr>
            <w:tcW w:type="dxa" w:w="3394"/>
            <w:shd w:val="clear" w:fill="F4F7FA"/>
          </w:tcPr>
          <w:p>
            <w:pPr>
              <w:spacing w:before="20" w:after="20"/>
            </w:pPr>
            <w:r>
              <w:rPr>
                <w:rFonts w:ascii="Georgia" w:hAnsi="Georgia"/>
                <w:sz w:val="14"/>
              </w:rPr>
            </w:r>
            <w:r>
              <w:rPr>
                <w:rFonts w:ascii="Georgia" w:hAnsi="Georgia"/>
                <w:sz w:val="14"/>
              </w:rPr>
              <w:t>Fixed-price (development)</w:t>
            </w:r>
          </w:p>
        </w:tc>
        <w:tc>
          <w:tcPr>
            <w:tcW w:type="dxa" w:w="3394"/>
            <w:shd w:val="clear" w:fill="F4F7FA"/>
          </w:tcPr>
          <w:p>
            <w:pPr>
              <w:spacing w:before="20" w:after="20"/>
              <w:jc w:val="right"/>
            </w:pPr>
            <w:r>
              <w:rPr>
                <w:rFonts w:ascii="Georgia" w:hAnsi="Georgia"/>
                <w:sz w:val="14"/>
              </w:rPr>
            </w:r>
            <w:r>
              <w:rPr>
                <w:rFonts w:ascii="Georgia" w:hAnsi="Georgia"/>
                <w:sz w:val="14"/>
              </w:rPr>
              <w:t>c.8–12%</w:t>
            </w:r>
          </w:p>
        </w:tc>
        <w:tc>
          <w:tcPr>
            <w:tcW w:type="dxa" w:w="3394"/>
            <w:shd w:val="clear" w:fill="F4F7FA"/>
          </w:tcPr>
          <w:p>
            <w:pPr>
              <w:spacing w:before="20" w:after="20"/>
            </w:pPr>
            <w:r>
              <w:rPr>
                <w:rFonts w:ascii="Georgia" w:hAnsi="Georgia"/>
                <w:sz w:val="14"/>
              </w:rPr>
            </w:r>
            <w:r>
              <w:rPr>
                <w:rFonts w:ascii="Georgia" w:hAnsi="Georgia"/>
                <w:sz w:val="14"/>
              </w:rPr>
              <w:t>Revenue recognised on a proportional-performance basis; paid in instalments at pre-agreed intervals. EPAM bears overrun risk but captures productivity gains. Management cited "improved fixed-fee profitability" in Q2 2026 — consistent with AI tooling raising output per engineer.</w:t>
            </w:r>
          </w:p>
        </w:tc>
      </w:tr>
      <w:tr>
        <w:tc>
          <w:tcPr>
            <w:tcW w:type="dxa" w:w="3394"/>
          </w:tcPr>
          <w:p>
            <w:pPr>
              <w:spacing w:before="20" w:after="20"/>
            </w:pPr>
            <w:r>
              <w:rPr>
                <w:rFonts w:ascii="Georgia" w:hAnsi="Georgia"/>
                <w:sz w:val="14"/>
              </w:rPr>
            </w:r>
            <w:r>
              <w:rPr>
                <w:rFonts w:ascii="Georgia" w:hAnsi="Georgia"/>
                <w:sz w:val="14"/>
              </w:rPr>
              <w:t>Fixed-price (maintenance/support) and managed services</w:t>
            </w:r>
          </w:p>
        </w:tc>
        <w:tc>
          <w:tcPr>
            <w:tcW w:type="dxa" w:w="3394"/>
          </w:tcPr>
          <w:p>
            <w:pPr>
              <w:spacing w:before="20" w:after="20"/>
              <w:jc w:val="right"/>
            </w:pPr>
            <w:r>
              <w:rPr>
                <w:rFonts w:ascii="Georgia" w:hAnsi="Georgia"/>
                <w:sz w:val="14"/>
              </w:rPr>
            </w:r>
            <w:r>
              <w:rPr>
                <w:rFonts w:ascii="Georgia" w:hAnsi="Georgia"/>
                <w:sz w:val="14"/>
              </w:rPr>
              <w:t>Small but growing</w:t>
            </w:r>
          </w:p>
        </w:tc>
        <w:tc>
          <w:tcPr>
            <w:tcW w:type="dxa" w:w="3394"/>
          </w:tcPr>
          <w:p>
            <w:pPr>
              <w:spacing w:before="20" w:after="20"/>
            </w:pPr>
            <w:r>
              <w:rPr>
                <w:rFonts w:ascii="Georgia" w:hAnsi="Georgia"/>
                <w:sz w:val="14"/>
              </w:rPr>
            </w:r>
            <w:r>
              <w:rPr>
                <w:rFonts w:ascii="Georgia" w:hAnsi="Georgia"/>
                <w:sz w:val="14"/>
              </w:rPr>
              <w:t>Recognised ratably over the service period. The most annuity-like revenue EPAM has, and strategically the direction of travel.</w:t>
            </w:r>
          </w:p>
        </w:tc>
      </w:tr>
    </w:tbl>
    <w:p>
      <w:pPr>
        <w:spacing w:after="60"/>
      </w:pPr>
    </w:p>
    <w:p>
      <w:pPr>
        <w:spacing w:before="0" w:after="120"/>
        <w:jc w:val="both"/>
      </w:pPr>
      <w:r>
        <w:rPr>
          <w:i/>
          <w:color w:val="555555"/>
          <w:sz w:val="15"/>
        </w:rPr>
        <w:t>Contract-mix percentages are based on the most recent disclosures located (88.2% time-and-materials in 2016, 85.8% in 2015, 84.7% in 2014; fixed-price 8.3% in 2017). Current-year splits were not obtainable in this environment and the ranges above are the author's estimates carried forward from disclosed trends.</w:t>
      </w:r>
    </w:p>
    <w:p>
      <w:pPr>
        <w:spacing w:before="0" w:after="80"/>
        <w:jc w:val="both"/>
      </w:pPr>
      <w:r>
        <w:rPr/>
        <w:t xml:space="preserve">Contracts are typically </w:t>
      </w:r>
      <w:r>
        <w:rPr>
          <w:b/>
        </w:rPr>
        <w:t>terminable on 30 to 90 days' notice</w:t>
      </w:r>
      <w:r>
        <w:rPr/>
        <w:t xml:space="preserve"> without significant penalty, and are generally master services agreements with individual statements of work rather than committed-volume contracts. Payment terms are typically 30–60 days. </w:t>
      </w:r>
      <w:r>
        <w:rPr>
          <w:b/>
        </w:rPr>
        <w:t>EPAM therefore has essentially no contracted backlog in the sense an engineering or defence contractor would recognise</w:t>
      </w:r>
      <w:r>
        <w:rPr/>
        <w:t xml:space="preserve"> — a point developed in Section 8.</w:t>
      </w:r>
    </w:p>
    <w:p>
      <w:pPr>
        <w:keepNext/>
        <w:spacing w:before="320" w:after="120"/>
        <w:pBdr>
          <w:bottom w:val="single" w:sz="12" w:space="2" w:color="0B2545"/>
        </w:pBdr>
      </w:pPr>
      <w:r>
        <w:rPr>
          <w:rFonts w:ascii="Georgia" w:hAnsi="Georgia"/>
          <w:b/>
          <w:color w:val="0B2545"/>
          <w:sz w:val="26"/>
        </w:rPr>
        <w:t>5. Macro and Micro Factors: Tailwinds and Headwinds</w:t>
      </w:r>
    </w:p>
    <w:p>
      <w:pPr>
        <w:keepNext/>
        <w:spacing w:before="200" w:after="80"/>
      </w:pPr>
      <w:r>
        <w:rPr>
          <w:rFonts w:ascii="Georgia" w:hAnsi="Georgia"/>
          <w:b/>
          <w:color w:val="14487F"/>
          <w:sz w:val="21"/>
        </w:rPr>
        <w:t>Macro factors</w:t>
      </w:r>
    </w:p>
    <w:p>
      <w:pPr>
        <w:pStyle w:val="ListBullet"/>
        <w:spacing w:after="50"/>
        <w:ind w:left="403"/>
        <w:jc w:val="both"/>
      </w:pPr>
      <w:r>
        <w:rPr>
          <w:rFonts w:ascii="Georgia" w:hAnsi="Georgia"/>
          <w:b/>
          <w:sz w:val="17"/>
        </w:rPr>
        <w:t>Enterprise IT budget cycles.</w:t>
      </w:r>
      <w:r>
        <w:rPr>
          <w:rFonts w:ascii="Georgia" w:hAnsi="Georgia"/>
          <w:sz w:val="17"/>
        </w:rPr>
        <w:t xml:space="preserve"> Discretionary transformation spend is the first line cut when CFOs turn cautious. EPAM sits almost entirely in discretionary spend, unlike run-the-bank outsourcers whose revenue is contractually locked.</w:t>
      </w:r>
    </w:p>
    <w:p>
      <w:pPr>
        <w:pStyle w:val="ListBullet"/>
        <w:spacing w:after="50"/>
        <w:ind w:left="403"/>
        <w:jc w:val="both"/>
      </w:pPr>
      <w:r>
        <w:rPr>
          <w:rFonts w:ascii="Georgia" w:hAnsi="Georgia"/>
          <w:b/>
          <w:sz w:val="17"/>
        </w:rPr>
        <w:t>Interest rates and cost of capital.</w:t>
      </w:r>
      <w:r>
        <w:rPr>
          <w:rFonts w:ascii="Georgia" w:hAnsi="Georgia"/>
          <w:sz w:val="17"/>
        </w:rPr>
        <w:t xml:space="preserve"> Higher rates lengthen client payback requirements and slow project approvals. They also compress the multiple applied to a long-duration growth asset — a large part of the 2022–26 de-rating.</w:t>
      </w:r>
    </w:p>
    <w:p>
      <w:pPr>
        <w:pStyle w:val="ListBullet"/>
        <w:spacing w:after="50"/>
        <w:ind w:left="403"/>
        <w:jc w:val="both"/>
      </w:pPr>
      <w:r>
        <w:rPr>
          <w:rFonts w:ascii="Georgia" w:hAnsi="Georgia"/>
          <w:b/>
          <w:sz w:val="17"/>
        </w:rPr>
        <w:t>Currency.</w:t>
      </w:r>
      <w:r>
        <w:rPr>
          <w:rFonts w:ascii="Georgia" w:hAnsi="Georgia"/>
          <w:sz w:val="17"/>
        </w:rPr>
        <w:t xml:space="preserve"> Revenue in USD/EUR/GBP against costs in PLN, INR, HUF, GEL and MXN. Currently a tailwind of roughly 1.5pp to 2026 growth; a reversal would hit both revenue and margin.</w:t>
      </w:r>
    </w:p>
    <w:p>
      <w:pPr>
        <w:pStyle w:val="ListBullet"/>
        <w:spacing w:after="50"/>
        <w:ind w:left="403"/>
        <w:jc w:val="both"/>
      </w:pPr>
      <w:r>
        <w:rPr>
          <w:rFonts w:ascii="Georgia" w:hAnsi="Georgia"/>
          <w:b/>
          <w:sz w:val="17"/>
        </w:rPr>
        <w:t>Geopolitics.</w:t>
      </w:r>
      <w:r>
        <w:rPr>
          <w:rFonts w:ascii="Georgia" w:hAnsi="Georgia"/>
          <w:sz w:val="17"/>
        </w:rPr>
        <w:t xml:space="preserve"> The 2022 shock is the template. Residual exposure remains through Ukrainian operations, and any escalation affecting Central Europe, India or the Caucasus would be material.</w:t>
      </w:r>
    </w:p>
    <w:p>
      <w:pPr>
        <w:pStyle w:val="ListBullet"/>
        <w:spacing w:after="50"/>
        <w:ind w:left="403"/>
        <w:jc w:val="both"/>
      </w:pPr>
      <w:r>
        <w:rPr>
          <w:rFonts w:ascii="Georgia" w:hAnsi="Georgia"/>
          <w:b/>
          <w:sz w:val="17"/>
        </w:rPr>
        <w:t>Immigration and visa policy.</w:t>
      </w:r>
      <w:r>
        <w:rPr>
          <w:rFonts w:ascii="Georgia" w:hAnsi="Georgia"/>
          <w:sz w:val="17"/>
        </w:rPr>
        <w:t xml:space="preserve"> Onshore-offshore blending depends on the ability to move engineers. US and UK visa tightening raises delivery cost.</w:t>
      </w:r>
    </w:p>
    <w:p>
      <w:pPr>
        <w:pStyle w:val="ListBullet"/>
        <w:spacing w:after="50"/>
        <w:ind w:left="403"/>
        <w:jc w:val="both"/>
      </w:pPr>
      <w:r>
        <w:rPr>
          <w:rFonts w:ascii="Georgia" w:hAnsi="Georgia"/>
          <w:b/>
          <w:sz w:val="17"/>
        </w:rPr>
        <w:t>Data sovereignty and AI regulation.</w:t>
      </w:r>
      <w:r>
        <w:rPr>
          <w:rFonts w:ascii="Georgia" w:hAnsi="Georgia"/>
          <w:sz w:val="17"/>
        </w:rPr>
        <w:t xml:space="preserve"> The EU AI Act and similar regimes create genuine demand — someone must build compliant systems — and simultaneously constrain where data and models can sit. Net positive for EPAM's European franchise.</w:t>
      </w:r>
    </w:p>
    <w:p>
      <w:pPr>
        <w:keepNext/>
        <w:spacing w:before="200" w:after="80"/>
      </w:pPr>
      <w:r>
        <w:rPr>
          <w:rFonts w:ascii="Georgia" w:hAnsi="Georgia"/>
          <w:b/>
          <w:color w:val="14487F"/>
          <w:sz w:val="21"/>
        </w:rPr>
        <w:t>Micro factors</w:t>
      </w:r>
    </w:p>
    <w:p>
      <w:pPr>
        <w:pStyle w:val="ListBullet"/>
        <w:spacing w:after="50"/>
        <w:ind w:left="403"/>
        <w:jc w:val="both"/>
      </w:pPr>
      <w:r>
        <w:rPr>
          <w:rFonts w:ascii="Georgia" w:hAnsi="Georgia"/>
          <w:b/>
          <w:sz w:val="17"/>
        </w:rPr>
        <w:t>AI-driven productivity deflation.</w:t>
      </w:r>
      <w:r>
        <w:rPr>
          <w:rFonts w:ascii="Georgia" w:hAnsi="Georgia"/>
          <w:sz w:val="17"/>
        </w:rPr>
        <w:t xml:space="preserve"> The central issue. Code assistants and agentic development reduce hours per deliverable. In a time-and-materials model, fewer hours means less revenue unless rates rise or scope expands.</w:t>
      </w:r>
    </w:p>
    <w:p>
      <w:pPr>
        <w:pStyle w:val="ListBullet"/>
        <w:spacing w:after="50"/>
        <w:ind w:left="403"/>
        <w:jc w:val="both"/>
      </w:pPr>
      <w:r>
        <w:rPr>
          <w:rFonts w:ascii="Georgia" w:hAnsi="Georgia"/>
          <w:b/>
          <w:sz w:val="17"/>
        </w:rPr>
        <w:t>Client insourcing.</w:t>
      </w:r>
      <w:r>
        <w:rPr>
          <w:rFonts w:ascii="Georgia" w:hAnsi="Georgia"/>
          <w:sz w:val="17"/>
        </w:rPr>
        <w:t xml:space="preserve"> AI tools make small internal teams more capable, weakening the case for outsourced capacity at the margin. Most acute in Software &amp; Hi-Tech and Business Information &amp; Media — precisely the two verticals now shrinking.</w:t>
      </w:r>
    </w:p>
    <w:p>
      <w:pPr>
        <w:pStyle w:val="ListBullet"/>
        <w:spacing w:after="50"/>
        <w:ind w:left="403"/>
        <w:jc w:val="both"/>
      </w:pPr>
      <w:r>
        <w:rPr>
          <w:rFonts w:ascii="Georgia" w:hAnsi="Georgia"/>
          <w:b/>
          <w:sz w:val="17"/>
        </w:rPr>
        <w:t>Wage inflation in delivery geographies.</w:t>
      </w:r>
      <w:r>
        <w:rPr>
          <w:rFonts w:ascii="Georgia" w:hAnsi="Georgia"/>
          <w:sz w:val="17"/>
        </w:rPr>
        <w:t xml:space="preserve"> Indian and Central European engineering wages continue to rise; the arbitrage spread narrows structurally over time.</w:t>
      </w:r>
    </w:p>
    <w:p>
      <w:pPr>
        <w:pStyle w:val="ListBullet"/>
        <w:spacing w:after="50"/>
        <w:ind w:left="403"/>
        <w:jc w:val="both"/>
      </w:pPr>
      <w:r>
        <w:rPr>
          <w:rFonts w:ascii="Georgia" w:hAnsi="Georgia"/>
          <w:b/>
          <w:sz w:val="17"/>
        </w:rPr>
        <w:t>Attrition and talent competition.</w:t>
      </w:r>
      <w:r>
        <w:rPr>
          <w:rFonts w:ascii="Georgia" w:hAnsi="Georgia"/>
          <w:sz w:val="17"/>
        </w:rPr>
        <w:t xml:space="preserve"> Voluntary attrition of 8.5% in FY2025 is historically low and a genuine operational positive, though partly a function of a weak hiring market rather than superior retention.</w:t>
      </w:r>
    </w:p>
    <w:p>
      <w:pPr>
        <w:pStyle w:val="ListBullet"/>
        <w:spacing w:after="50"/>
        <w:ind w:left="403"/>
        <w:jc w:val="both"/>
      </w:pPr>
      <w:r>
        <w:rPr>
          <w:rFonts w:ascii="Georgia" w:hAnsi="Georgia"/>
          <w:b/>
          <w:sz w:val="17"/>
        </w:rPr>
        <w:t>Integration risk.</w:t>
      </w:r>
      <w:r>
        <w:rPr>
          <w:rFonts w:ascii="Georgia" w:hAnsi="Georgia"/>
          <w:sz w:val="17"/>
        </w:rPr>
        <w:t xml:space="preserve"> NEORIS and First Derivative are the largest acquisitions in EPAM's history and were bought at the top of the cycle. Their revenue synergies are now being tested in a downturn.</w:t>
      </w:r>
    </w:p>
    <w:p>
      <w:pPr>
        <w:keepNext/>
        <w:spacing w:before="200" w:after="80"/>
      </w:pPr>
      <w:r>
        <w:rPr>
          <w:rFonts w:ascii="Georgia" w:hAnsi="Georgia"/>
          <w:b/>
          <w:color w:val="14487F"/>
          <w:sz w:val="21"/>
        </w:rPr>
        <w:t>Summary: tailwinds versus headwinds</w:t>
      </w:r>
    </w:p>
    <w:tbl>
      <w:tblPr>
        <w:tblStyle w:val="TableGrid"/>
        <w:tblW w:type="auto" w:w="0"/>
        <w:jc w:val="center"/>
        <w:tblLayout w:type="autofit"/>
        <w:tblLook w:firstColumn="1" w:firstRow="1" w:lastColumn="0" w:lastRow="0" w:noHBand="0" w:noVBand="1" w:val="04A0"/>
      </w:tblPr>
      <w:tblGrid>
        <w:gridCol w:w="5090"/>
        <w:gridCol w:w="5090"/>
      </w:tblGrid>
      <w:tr>
        <w:tc>
          <w:tcPr>
            <w:tcW w:type="dxa" w:w="5090"/>
            <w:shd w:val="clear" w:fill="0B2545"/>
          </w:tcPr>
          <w:p>
            <w:pPr>
              <w:spacing w:before="20" w:after="20"/>
            </w:pPr>
            <w:r>
              <w:rPr>
                <w:rFonts w:ascii="Georgia" w:hAnsi="Georgia"/>
                <w:b/>
                <w:color w:val="FFFFFF"/>
                <w:sz w:val="14"/>
              </w:rPr>
            </w:r>
            <w:r>
              <w:rPr>
                <w:rFonts w:ascii="Georgia" w:hAnsi="Georgia"/>
                <w:b/>
                <w:color w:val="FFFFFF"/>
                <w:sz w:val="14"/>
              </w:rPr>
              <w:t>Tailwinds</w:t>
            </w:r>
          </w:p>
        </w:tc>
        <w:tc>
          <w:tcPr>
            <w:tcW w:type="dxa" w:w="5090"/>
            <w:shd w:val="clear" w:fill="0B2545"/>
          </w:tcPr>
          <w:p>
            <w:pPr>
              <w:spacing w:before="20" w:after="20"/>
            </w:pPr>
            <w:r>
              <w:rPr>
                <w:rFonts w:ascii="Georgia" w:hAnsi="Georgia"/>
                <w:b/>
                <w:color w:val="FFFFFF"/>
                <w:sz w:val="14"/>
              </w:rPr>
            </w:r>
            <w:r>
              <w:rPr>
                <w:rFonts w:ascii="Georgia" w:hAnsi="Georgia"/>
                <w:b/>
                <w:color w:val="FFFFFF"/>
                <w:sz w:val="14"/>
              </w:rPr>
              <w:t>Headwinds</w:t>
            </w:r>
          </w:p>
        </w:tc>
      </w:tr>
      <w:tr>
        <w:tc>
          <w:tcPr>
            <w:tcW w:type="dxa" w:w="5090"/>
          </w:tcPr>
          <w:p>
            <w:pPr>
              <w:spacing w:before="20" w:after="20"/>
            </w:pPr>
            <w:r>
              <w:rPr>
                <w:rFonts w:ascii="Georgia" w:hAnsi="Georgia"/>
                <w:sz w:val="14"/>
              </w:rPr>
            </w:r>
            <w:r>
              <w:rPr>
                <w:rFonts w:ascii="Georgia" w:hAnsi="Georgia"/>
                <w:sz w:val="14"/>
              </w:rPr>
              <w:t>AI-native revenue compounding at double-digit sequential rates for six consecutive quarters; &gt;$160m in Q2 2026, on track for $600m in FY2026</w:t>
            </w:r>
            <w:r>
              <w:rPr>
                <w:rFonts w:ascii="Georgia" w:hAnsi="Georgia"/>
                <w:sz w:val="14"/>
              </w:rPr>
              <w:t xml:space="preserve">Gross margin expanding (32.0% non-GAAP in Q2 2026, +190bp y/y) on </w:t>
            </w:r>
            <w:r>
              <w:rPr>
                <w:rFonts w:ascii="Georgia" w:hAnsi="Georgia"/>
                <w:i/>
                <w:sz w:val="14"/>
              </w:rPr>
              <w:t>price increases</w:t>
            </w:r>
            <w:r>
              <w:rPr>
                <w:rFonts w:ascii="Georgia" w:hAnsi="Georgia"/>
                <w:sz w:val="14"/>
              </w:rPr>
              <w:t xml:space="preserve"> — the opposite of commoditisation</w:t>
            </w:r>
            <w:r>
              <w:rPr>
                <w:rFonts w:ascii="Georgia" w:hAnsi="Georgia"/>
                <w:sz w:val="14"/>
              </w:rPr>
              <w:t>Financial Services re-accelerating (+11.5% in Q2 2026) on mainframe and core-banking modernisation, a decade-long structural programme</w:t>
            </w:r>
            <w:r>
              <w:rPr>
                <w:rFonts w:ascii="Georgia" w:hAnsi="Georgia"/>
                <w:sz w:val="14"/>
              </w:rPr>
              <w:t>EMEA growing +10.9%, offsetting a stalled Americas</w:t>
            </w:r>
            <w:r>
              <w:rPr>
                <w:rFonts w:ascii="Georgia" w:hAnsi="Georgia"/>
                <w:sz w:val="14"/>
              </w:rPr>
              <w:t>Net cash of roughly $0.77bn and a $700m undrawn revolver — capacity to buy back stock aggressively at 8.7x earnings</w:t>
            </w:r>
            <w:r>
              <w:rPr>
                <w:rFonts w:ascii="Georgia" w:hAnsi="Georgia"/>
                <w:sz w:val="14"/>
              </w:rPr>
              <w:t>Attrition at 8.5%, near historic lows, reducing replacement cost and protecting delivery quality</w:t>
            </w:r>
            <w:r>
              <w:rPr>
                <w:rFonts w:ascii="Georgia" w:hAnsi="Georgia"/>
                <w:sz w:val="14"/>
              </w:rPr>
              <w:t>Data modernisation is a genuine prerequisite for enterprise AI — and it is exactly what EPAM does</w:t>
            </w:r>
            <w:r>
              <w:rPr>
                <w:rFonts w:ascii="Georgia" w:hAnsi="Georgia"/>
                <w:sz w:val="14"/>
              </w:rPr>
              <w:t>Valuation at 5.5x EV/EBITDA leaves substantial room for multiple recovery on any stabilisation</w:t>
            </w:r>
          </w:p>
        </w:tc>
        <w:tc>
          <w:tcPr>
            <w:tcW w:type="dxa" w:w="5090"/>
          </w:tcPr>
          <w:p>
            <w:pPr>
              <w:spacing w:before="20" w:after="20"/>
            </w:pPr>
            <w:r>
              <w:rPr>
                <w:rFonts w:ascii="Georgia" w:hAnsi="Georgia"/>
                <w:sz w:val="14"/>
              </w:rPr>
            </w:r>
            <w:r>
              <w:rPr>
                <w:rFonts w:ascii="Georgia" w:hAnsi="Georgia"/>
                <w:sz w:val="14"/>
              </w:rPr>
              <w:t>Task-based services eroding faster than management expected — their own words, August 2026</w:t>
            </w:r>
            <w:r>
              <w:rPr>
                <w:rFonts w:ascii="Georgia" w:hAnsi="Georgia"/>
                <w:sz w:val="14"/>
              </w:rPr>
              <w:t>Americas, 58% of revenue, growing +0.5% and decelerating</w:t>
            </w:r>
            <w:r>
              <w:rPr>
                <w:rFonts w:ascii="Georgia" w:hAnsi="Georgia"/>
                <w:sz w:val="14"/>
              </w:rPr>
              <w:t>Software &amp; Hi-Tech (−1.3%) and Business Information &amp; Media (−2.1%) now in outright decline</w:t>
            </w:r>
            <w:r>
              <w:rPr>
                <w:rFonts w:ascii="Georgia" w:hAnsi="Georgia"/>
                <w:sz w:val="14"/>
              </w:rPr>
              <w:t>Delivery headcount up only 1.5% y/y — the growth engine has stalled</w:t>
            </w:r>
            <w:r>
              <w:rPr>
                <w:rFonts w:ascii="Georgia" w:hAnsi="Georgia"/>
                <w:sz w:val="14"/>
              </w:rPr>
              <w:t>Large multi-year AI deals slipped from late 2026 to H1 2027; execution risk on the entire re-acceleration thesis</w:t>
            </w:r>
            <w:r>
              <w:rPr>
                <w:rFonts w:ascii="Georgia" w:hAnsi="Georgia"/>
                <w:sz w:val="14"/>
              </w:rPr>
              <w:t>Three consecutive years of guidance cuts have destroyed management's forecasting credibility with the market</w:t>
            </w:r>
            <w:r>
              <w:rPr>
                <w:rFonts w:ascii="Georgia" w:hAnsi="Georgia"/>
                <w:sz w:val="14"/>
              </w:rPr>
              <w:t xml:space="preserve">Q2 2026 operating cash flow was </w:t>
            </w:r>
            <w:r>
              <w:rPr>
                <w:rFonts w:ascii="Georgia" w:hAnsi="Georgia"/>
                <w:i/>
                <w:sz w:val="14"/>
              </w:rPr>
              <w:t>negative</w:t>
            </w:r>
            <w:r>
              <w:rPr>
                <w:rFonts w:ascii="Georgia" w:hAnsi="Georgia"/>
                <w:sz w:val="14"/>
              </w:rPr>
              <w:t xml:space="preserve"> $2m and FCF negative $18m — requires explanation and monitoring</w:t>
            </w:r>
            <w:r>
              <w:rPr>
                <w:rFonts w:ascii="Georgia" w:hAnsi="Georgia"/>
                <w:sz w:val="14"/>
              </w:rPr>
              <w:t>Short interest of roughly 15.8% of shares outstanding signals a large, well-capitalised bear constituency</w:t>
            </w:r>
            <w:r>
              <w:rPr>
                <w:rFonts w:ascii="Georgia" w:hAnsi="Georgia"/>
                <w:sz w:val="14"/>
              </w:rPr>
              <w:t>No contracted backlog; contracts terminable on 30–90 days' notice</w:t>
            </w:r>
            <w:r>
              <w:rPr>
                <w:rFonts w:ascii="Georgia" w:hAnsi="Georgia"/>
                <w:sz w:val="14"/>
              </w:rPr>
              <w:t>Wage inflation narrowing the labour-arbitrage spread structurally</w:t>
            </w:r>
          </w:p>
        </w:tc>
      </w:tr>
    </w:tbl>
    <w:p>
      <w:pPr>
        <w:spacing w:after="60"/>
      </w:pPr>
    </w:p>
    <w:p>
      <w:r>
        <w:br w:type="page"/>
      </w:r>
    </w:p>
    <w:p>
      <w:pPr>
        <w:keepNext/>
        <w:spacing w:before="320" w:after="120"/>
        <w:pBdr>
          <w:bottom w:val="single" w:sz="12" w:space="2" w:color="0B2545"/>
        </w:pBdr>
      </w:pPr>
      <w:r>
        <w:rPr>
          <w:rFonts w:ascii="Georgia" w:hAnsi="Georgia"/>
          <w:b/>
          <w:color w:val="0B2545"/>
          <w:sz w:val="26"/>
        </w:rPr>
        <w:t>6. Competitive Position, Perceived Value and Economic Moats</w:t>
      </w:r>
    </w:p>
    <w:p>
      <w:pPr>
        <w:keepNext/>
        <w:spacing w:before="200" w:after="80"/>
      </w:pPr>
      <w:r>
        <w:rPr>
          <w:rFonts w:ascii="Georgia" w:hAnsi="Georgia"/>
          <w:b/>
          <w:color w:val="14487F"/>
          <w:sz w:val="21"/>
        </w:rPr>
        <w:t>How EPAM compares with competitors</w:t>
      </w:r>
    </w:p>
    <w:p>
      <w:pPr>
        <w:spacing w:before="0" w:after="80"/>
        <w:jc w:val="both"/>
      </w:pPr>
      <w:r>
        <w:rPr/>
        <w:t xml:space="preserve">EPAM's brand proposition is narrow and, within its niche, strong: </w:t>
      </w:r>
      <w:r>
        <w:rPr>
          <w:b/>
        </w:rPr>
        <w:t>the firm you hire when the engineering is genuinely difficult</w:t>
      </w:r>
      <w:r>
        <w:rPr/>
        <w:t>. It is not a strategy brand and it is not a low-cost brand. In competitive terms this places it between three groups.</w:t>
      </w:r>
    </w:p>
    <w:p>
      <w:pPr>
        <w:pStyle w:val="ListBullet"/>
        <w:spacing w:after="50"/>
        <w:ind w:left="403"/>
        <w:jc w:val="both"/>
      </w:pPr>
      <w:r>
        <w:rPr>
          <w:rFonts w:ascii="Georgia" w:hAnsi="Georgia"/>
          <w:b/>
          <w:sz w:val="17"/>
        </w:rPr>
        <w:t>The global integrators</w:t>
      </w:r>
      <w:r>
        <w:rPr>
          <w:rFonts w:ascii="Georgia" w:hAnsi="Georgia"/>
          <w:sz w:val="17"/>
        </w:rPr>
        <w:t xml:space="preserve"> (Accenture, Deloitte Digital, Capgemini, IBM Consulting). They win the C-suite relationship, the transformation mandate and the enterprise-wide budget. Accenture's roughly $65bn of revenue is more than eleven times EPAM's. EPAM competes not on breadth but on execution depth, often as a subcontractor or specialist alongside them, and typically wins on project-level rather than enterprise-level budgets.</w:t>
      </w:r>
    </w:p>
    <w:p>
      <w:pPr>
        <w:pStyle w:val="ListBullet"/>
        <w:spacing w:after="50"/>
        <w:ind w:left="403"/>
        <w:jc w:val="both"/>
      </w:pPr>
      <w:r>
        <w:rPr>
          <w:rFonts w:ascii="Georgia" w:hAnsi="Georgia"/>
          <w:b/>
          <w:sz w:val="17"/>
        </w:rPr>
        <w:t>The Indian heritage majors</w:t>
      </w:r>
      <w:r>
        <w:rPr>
          <w:rFonts w:ascii="Georgia" w:hAnsi="Georgia"/>
          <w:sz w:val="17"/>
        </w:rPr>
        <w:t xml:space="preserve"> (TCS, Infosys, Wipro, HCLTech, Cognizant, Tech Mahindra). They compete on scale, price and run-the-business managed services. EPAM has historically commanded a premium bill rate on the basis of engineering quality. That premium is the entire investment case, and it is exactly what AI threatens to arbitrage away.</w:t>
      </w:r>
    </w:p>
    <w:p>
      <w:pPr>
        <w:pStyle w:val="ListBullet"/>
        <w:spacing w:after="50"/>
        <w:ind w:left="403"/>
        <w:jc w:val="both"/>
      </w:pPr>
      <w:r>
        <w:rPr>
          <w:rFonts w:ascii="Georgia" w:hAnsi="Georgia"/>
          <w:b/>
          <w:sz w:val="17"/>
        </w:rPr>
        <w:t>The digital-engineering pure plays</w:t>
      </w:r>
      <w:r>
        <w:rPr>
          <w:rFonts w:ascii="Georgia" w:hAnsi="Georgia"/>
          <w:sz w:val="17"/>
        </w:rPr>
        <w:t xml:space="preserve"> (Globant, Endava, Grid Dynamics, Thoughtworks, GlobalLogic under Hitachi, Luxoft under DXC). Closest true peers. EPAM is the largest and, on current evidence, the best-performing: Endava is guiding to a 5–6% constant-currency </w:t>
      </w:r>
      <w:r>
        <w:rPr>
          <w:rFonts w:ascii="Georgia" w:hAnsi="Georgia"/>
          <w:i/>
          <w:sz w:val="17"/>
        </w:rPr>
        <w:t>decline</w:t>
      </w:r>
      <w:r>
        <w:rPr>
          <w:rFonts w:ascii="Georgia" w:hAnsi="Georgia"/>
          <w:sz w:val="17"/>
        </w:rPr>
        <w:t xml:space="preserve"> for FY2026 and took a £364.6m goodwill impairment; Globant's Q2 2026 revenue was flat year-on-year with a 0.3% net margin. </w:t>
      </w:r>
      <w:r>
        <w:rPr>
          <w:rFonts w:ascii="Georgia" w:hAnsi="Georgia"/>
          <w:b/>
          <w:sz w:val="17"/>
        </w:rPr>
        <w:t>Against this cohort EPAM's +4.5% growth and 16.4% margin look strong, not weak.</w:t>
      </w:r>
    </w:p>
    <w:p>
      <w:pPr>
        <w:spacing w:before="0" w:after="80"/>
        <w:jc w:val="both"/>
      </w:pPr>
      <w:r>
        <w:rPr/>
        <w:t>On branding and marketing, EPAM is deliberately understated — it markets to engineering and technology leadership rather than through mass brand campaigns, and it invests in developer-community credibility, open-source contribution and technical publishing. Its perceived value among CTOs is high; its name recognition among CEOs and CFOs is materially lower than Accenture's. In a downturn, when budget authority moves up the organisation, that asymmetry hurts.</w:t>
      </w:r>
    </w:p>
    <w:p>
      <w:pPr>
        <w:keepNext/>
        <w:spacing w:before="200" w:after="80"/>
      </w:pPr>
      <w:r>
        <w:rPr>
          <w:rFonts w:ascii="Georgia" w:hAnsi="Georgia"/>
          <w:b/>
          <w:color w:val="14487F"/>
          <w:sz w:val="21"/>
        </w:rPr>
        <w:t>Economic moat assessment</w:t>
      </w:r>
    </w:p>
    <w:tbl>
      <w:tblPr>
        <w:tblStyle w:val="TableGrid"/>
        <w:tblW w:type="auto" w:w="0"/>
        <w:jc w:val="center"/>
        <w:tblLayout w:type="autofit"/>
        <w:tblLook w:firstColumn="1" w:firstRow="1" w:lastColumn="0" w:lastRow="0" w:noHBand="0" w:noVBand="1" w:val="04A0"/>
      </w:tblPr>
      <w:tblGrid>
        <w:gridCol w:w="3394"/>
        <w:gridCol w:w="3394"/>
        <w:gridCol w:w="3394"/>
      </w:tblGrid>
      <w:tr>
        <w:tc>
          <w:tcPr>
            <w:tcW w:type="dxa" w:w="3394"/>
            <w:shd w:val="clear" w:fill="0B2545"/>
          </w:tcPr>
          <w:p>
            <w:pPr>
              <w:spacing w:before="20" w:after="20"/>
            </w:pPr>
            <w:r>
              <w:rPr>
                <w:rFonts w:ascii="Georgia" w:hAnsi="Georgia"/>
                <w:b/>
                <w:color w:val="FFFFFF"/>
                <w:sz w:val="14"/>
              </w:rPr>
            </w:r>
            <w:r>
              <w:rPr>
                <w:rFonts w:ascii="Georgia" w:hAnsi="Georgia"/>
                <w:b/>
                <w:color w:val="FFFFFF"/>
                <w:sz w:val="14"/>
              </w:rPr>
              <w:t>Moat category</w:t>
            </w:r>
          </w:p>
        </w:tc>
        <w:tc>
          <w:tcPr>
            <w:tcW w:type="dxa" w:w="3394"/>
            <w:shd w:val="clear" w:fill="0B2545"/>
          </w:tcPr>
          <w:p>
            <w:pPr>
              <w:spacing w:before="20" w:after="20"/>
            </w:pPr>
            <w:r>
              <w:rPr>
                <w:rFonts w:ascii="Georgia" w:hAnsi="Georgia"/>
                <w:b/>
                <w:color w:val="FFFFFF"/>
                <w:sz w:val="14"/>
              </w:rPr>
            </w:r>
            <w:r>
              <w:rPr>
                <w:rFonts w:ascii="Georgia" w:hAnsi="Georgia"/>
                <w:b/>
                <w:color w:val="FFFFFF"/>
                <w:sz w:val="14"/>
              </w:rPr>
              <w:t>Strength</w:t>
            </w:r>
          </w:p>
        </w:tc>
        <w:tc>
          <w:tcPr>
            <w:tcW w:type="dxa" w:w="3394"/>
            <w:shd w:val="clear" w:fill="0B2545"/>
          </w:tcPr>
          <w:p>
            <w:pPr>
              <w:spacing w:before="20" w:after="20"/>
            </w:pPr>
            <w:r>
              <w:rPr>
                <w:rFonts w:ascii="Georgia" w:hAnsi="Georgia"/>
                <w:b/>
                <w:color w:val="FFFFFF"/>
                <w:sz w:val="14"/>
              </w:rPr>
            </w:r>
            <w:r>
              <w:rPr>
                <w:rFonts w:ascii="Georgia" w:hAnsi="Georgia"/>
                <w:b/>
                <w:color w:val="FFFFFF"/>
                <w:sz w:val="14"/>
              </w:rPr>
              <w:t>Assessment</w:t>
            </w:r>
          </w:p>
        </w:tc>
      </w:tr>
      <w:tr>
        <w:tc>
          <w:tcPr>
            <w:tcW w:type="dxa" w:w="3394"/>
          </w:tcPr>
          <w:p>
            <w:pPr>
              <w:spacing w:before="20" w:after="20"/>
            </w:pPr>
            <w:r>
              <w:rPr>
                <w:rFonts w:ascii="Georgia" w:hAnsi="Georgia"/>
                <w:sz w:val="14"/>
              </w:rPr>
            </w:r>
            <w:r>
              <w:rPr>
                <w:rFonts w:ascii="Georgia" w:hAnsi="Georgia"/>
                <w:b/>
                <w:sz w:val="14"/>
              </w:rPr>
              <w:t>Brand</w:t>
            </w:r>
          </w:p>
        </w:tc>
        <w:tc>
          <w:tcPr>
            <w:tcW w:type="dxa" w:w="3394"/>
          </w:tcPr>
          <w:p>
            <w:pPr>
              <w:spacing w:before="20" w:after="20"/>
            </w:pPr>
            <w:r>
              <w:rPr>
                <w:rFonts w:ascii="Georgia" w:hAnsi="Georgia"/>
                <w:sz w:val="14"/>
              </w:rPr>
            </w:r>
            <w:r>
              <w:rPr>
                <w:rFonts w:ascii="Georgia" w:hAnsi="Georgia"/>
                <w:b/>
                <w:sz w:val="14"/>
              </w:rPr>
              <w:t>Moderate</w:t>
            </w:r>
          </w:p>
        </w:tc>
        <w:tc>
          <w:tcPr>
            <w:tcW w:type="dxa" w:w="3394"/>
          </w:tcPr>
          <w:p>
            <w:pPr>
              <w:spacing w:before="20" w:after="20"/>
            </w:pPr>
            <w:r>
              <w:rPr>
                <w:rFonts w:ascii="Georgia" w:hAnsi="Georgia"/>
                <w:sz w:val="14"/>
              </w:rPr>
            </w:r>
            <w:r>
              <w:rPr>
                <w:rFonts w:ascii="Georgia" w:hAnsi="Georgia"/>
                <w:sz w:val="14"/>
              </w:rPr>
              <w:t>Genuine premium reputation for engineering quality among technical buyers; recognised leader in Gartner and Forrester evaluations for custom software development. But the brand is narrow, sits below the C-suite, and does not command Accenture-level pricing power in board-level transformation mandates.</w:t>
            </w:r>
          </w:p>
        </w:tc>
      </w:tr>
      <w:tr>
        <w:tc>
          <w:tcPr>
            <w:tcW w:type="dxa" w:w="3394"/>
            <w:shd w:val="clear" w:fill="F4F7FA"/>
          </w:tcPr>
          <w:p>
            <w:pPr>
              <w:spacing w:before="20" w:after="20"/>
            </w:pPr>
            <w:r>
              <w:rPr>
                <w:rFonts w:ascii="Georgia" w:hAnsi="Georgia"/>
                <w:sz w:val="14"/>
              </w:rPr>
            </w:r>
            <w:r>
              <w:rPr>
                <w:rFonts w:ascii="Georgia" w:hAnsi="Georgia"/>
                <w:b/>
                <w:sz w:val="14"/>
              </w:rPr>
              <w:t>Hard assets</w:t>
            </w:r>
          </w:p>
        </w:tc>
        <w:tc>
          <w:tcPr>
            <w:tcW w:type="dxa" w:w="3394"/>
            <w:shd w:val="clear" w:fill="F4F7FA"/>
          </w:tcPr>
          <w:p>
            <w:pPr>
              <w:spacing w:before="20" w:after="20"/>
            </w:pPr>
            <w:r>
              <w:rPr>
                <w:rFonts w:ascii="Georgia" w:hAnsi="Georgia"/>
                <w:sz w:val="14"/>
              </w:rPr>
            </w:r>
            <w:r>
              <w:rPr>
                <w:rFonts w:ascii="Georgia" w:hAnsi="Georgia"/>
                <w:b/>
                <w:sz w:val="14"/>
              </w:rPr>
              <w:t>None</w:t>
            </w:r>
          </w:p>
        </w:tc>
        <w:tc>
          <w:tcPr>
            <w:tcW w:type="dxa" w:w="3394"/>
            <w:shd w:val="clear" w:fill="F4F7FA"/>
          </w:tcPr>
          <w:p>
            <w:pPr>
              <w:spacing w:before="20" w:after="20"/>
            </w:pPr>
            <w:r>
              <w:rPr>
                <w:rFonts w:ascii="Georgia" w:hAnsi="Georgia"/>
                <w:sz w:val="14"/>
              </w:rPr>
            </w:r>
            <w:r>
              <w:rPr>
                <w:rFonts w:ascii="Georgia" w:hAnsi="Georgia"/>
                <w:sz w:val="14"/>
              </w:rPr>
              <w:t>Deliberately asset-light. Leased delivery centres, capex around 1% of revenue. This is a strength for returns on capital and cash conversion, and a total absence of moat — there is nothing a competitor must replicate at cost.</w:t>
            </w:r>
          </w:p>
        </w:tc>
      </w:tr>
      <w:tr>
        <w:tc>
          <w:tcPr>
            <w:tcW w:type="dxa" w:w="3394"/>
          </w:tcPr>
          <w:p>
            <w:pPr>
              <w:spacing w:before="20" w:after="20"/>
            </w:pPr>
            <w:r>
              <w:rPr>
                <w:rFonts w:ascii="Georgia" w:hAnsi="Georgia"/>
                <w:sz w:val="14"/>
              </w:rPr>
            </w:r>
            <w:r>
              <w:rPr>
                <w:rFonts w:ascii="Georgia" w:hAnsi="Georgia"/>
                <w:b/>
                <w:sz w:val="14"/>
              </w:rPr>
              <w:t>Long-term contracts</w:t>
            </w:r>
          </w:p>
        </w:tc>
        <w:tc>
          <w:tcPr>
            <w:tcW w:type="dxa" w:w="3394"/>
          </w:tcPr>
          <w:p>
            <w:pPr>
              <w:spacing w:before="20" w:after="20"/>
            </w:pPr>
            <w:r>
              <w:rPr>
                <w:rFonts w:ascii="Georgia" w:hAnsi="Georgia"/>
                <w:sz w:val="14"/>
              </w:rPr>
            </w:r>
            <w:r>
              <w:rPr>
                <w:rFonts w:ascii="Georgia" w:hAnsi="Georgia"/>
                <w:b/>
                <w:sz w:val="14"/>
              </w:rPr>
              <w:t>Weak</w:t>
            </w:r>
          </w:p>
        </w:tc>
        <w:tc>
          <w:tcPr>
            <w:tcW w:type="dxa" w:w="3394"/>
          </w:tcPr>
          <w:p>
            <w:pPr>
              <w:spacing w:before="20" w:after="20"/>
            </w:pPr>
            <w:r>
              <w:rPr>
                <w:rFonts w:ascii="Georgia" w:hAnsi="Georgia"/>
                <w:sz w:val="14"/>
              </w:rPr>
            </w:r>
            <w:r>
              <w:rPr>
                <w:rFonts w:ascii="Georgia" w:hAnsi="Georgia"/>
                <w:sz w:val="14"/>
              </w:rPr>
              <w:t>The single greatest structural weakness. Roughly 85–90% of revenue is time-and-materials under master agreements terminable on 30–90 days' notice, with no committed volumes. There is no backlog in any meaningful sense. Revenue can evaporate within a quarter, as 2022 demonstrated.</w:t>
            </w:r>
          </w:p>
        </w:tc>
      </w:tr>
      <w:tr>
        <w:tc>
          <w:tcPr>
            <w:tcW w:type="dxa" w:w="3394"/>
            <w:shd w:val="clear" w:fill="F4F7FA"/>
          </w:tcPr>
          <w:p>
            <w:pPr>
              <w:spacing w:before="20" w:after="20"/>
            </w:pPr>
            <w:r>
              <w:rPr>
                <w:rFonts w:ascii="Georgia" w:hAnsi="Georgia"/>
                <w:sz w:val="14"/>
              </w:rPr>
            </w:r>
            <w:r>
              <w:rPr>
                <w:rFonts w:ascii="Georgia" w:hAnsi="Georgia"/>
                <w:b/>
                <w:sz w:val="14"/>
              </w:rPr>
              <w:t>Network effect</w:t>
            </w:r>
          </w:p>
        </w:tc>
        <w:tc>
          <w:tcPr>
            <w:tcW w:type="dxa" w:w="3394"/>
            <w:shd w:val="clear" w:fill="F4F7FA"/>
          </w:tcPr>
          <w:p>
            <w:pPr>
              <w:spacing w:before="20" w:after="20"/>
            </w:pPr>
            <w:r>
              <w:rPr>
                <w:rFonts w:ascii="Georgia" w:hAnsi="Georgia"/>
                <w:sz w:val="14"/>
              </w:rPr>
            </w:r>
            <w:r>
              <w:rPr>
                <w:rFonts w:ascii="Georgia" w:hAnsi="Georgia"/>
                <w:b/>
                <w:sz w:val="14"/>
              </w:rPr>
              <w:t>Weak</w:t>
            </w:r>
          </w:p>
        </w:tc>
        <w:tc>
          <w:tcPr>
            <w:tcW w:type="dxa" w:w="3394"/>
            <w:shd w:val="clear" w:fill="F4F7FA"/>
          </w:tcPr>
          <w:p>
            <w:pPr>
              <w:spacing w:before="20" w:after="20"/>
            </w:pPr>
            <w:r>
              <w:rPr>
                <w:rFonts w:ascii="Georgia" w:hAnsi="Georgia"/>
                <w:sz w:val="14"/>
              </w:rPr>
            </w:r>
            <w:r>
              <w:rPr>
                <w:rFonts w:ascii="Georgia" w:hAnsi="Georgia"/>
                <w:sz w:val="14"/>
              </w:rPr>
              <w:t>Effectively absent in the core services business. A modest emerging effect exists in the AI platforms — DIAL and AI/RUN improve as more client deployments feed reusable agentic components and blueprints back into the playbook — but this is a knowledge-accumulation effect, not a true network effect, and it is not yet monetised distinctly.</w:t>
            </w:r>
          </w:p>
        </w:tc>
      </w:tr>
      <w:tr>
        <w:tc>
          <w:tcPr>
            <w:tcW w:type="dxa" w:w="3394"/>
          </w:tcPr>
          <w:p>
            <w:pPr>
              <w:spacing w:before="20" w:after="20"/>
            </w:pPr>
            <w:r>
              <w:rPr>
                <w:rFonts w:ascii="Georgia" w:hAnsi="Georgia"/>
                <w:sz w:val="14"/>
              </w:rPr>
            </w:r>
            <w:r>
              <w:rPr>
                <w:rFonts w:ascii="Georgia" w:hAnsi="Georgia"/>
                <w:b/>
                <w:sz w:val="14"/>
              </w:rPr>
              <w:t>Switching costs</w:t>
            </w:r>
          </w:p>
        </w:tc>
        <w:tc>
          <w:tcPr>
            <w:tcW w:type="dxa" w:w="3394"/>
          </w:tcPr>
          <w:p>
            <w:pPr>
              <w:spacing w:before="20" w:after="20"/>
            </w:pPr>
            <w:r>
              <w:rPr>
                <w:rFonts w:ascii="Georgia" w:hAnsi="Georgia"/>
                <w:sz w:val="14"/>
              </w:rPr>
            </w:r>
            <w:r>
              <w:rPr>
                <w:rFonts w:ascii="Georgia" w:hAnsi="Georgia"/>
                <w:b/>
                <w:sz w:val="14"/>
              </w:rPr>
              <w:t>Moderate</w:t>
            </w:r>
          </w:p>
        </w:tc>
        <w:tc>
          <w:tcPr>
            <w:tcW w:type="dxa" w:w="3394"/>
          </w:tcPr>
          <w:p>
            <w:pPr>
              <w:spacing w:before="20" w:after="20"/>
            </w:pPr>
            <w:r>
              <w:rPr>
                <w:rFonts w:ascii="Georgia" w:hAnsi="Georgia"/>
                <w:sz w:val="14"/>
              </w:rPr>
            </w:r>
            <w:r>
              <w:rPr>
                <w:rFonts w:ascii="Georgia" w:hAnsi="Georgia"/>
                <w:sz w:val="14"/>
              </w:rPr>
              <w:t xml:space="preserve">Real but overstated by bulls. Embedded teams accumulate deep, undocumented domain knowledge of client systems, and replacing a 200-engineer team mid-programme is genuinely painful and risky. However, switching costs protect the </w:t>
            </w:r>
            <w:r>
              <w:rPr>
                <w:rFonts w:ascii="Georgia" w:hAnsi="Georgia"/>
                <w:i/>
                <w:sz w:val="14"/>
              </w:rPr>
              <w:t>incumbent team</w:t>
            </w:r>
            <w:r>
              <w:rPr>
                <w:rFonts w:ascii="Georgia" w:hAnsi="Georgia"/>
                <w:sz w:val="14"/>
              </w:rPr>
              <w:t xml:space="preserve">, not the </w:t>
            </w:r>
            <w:r>
              <w:rPr>
                <w:rFonts w:ascii="Georgia" w:hAnsi="Georgia"/>
                <w:i/>
                <w:sz w:val="14"/>
              </w:rPr>
              <w:t>rate</w:t>
            </w:r>
            <w:r>
              <w:rPr>
                <w:rFonts w:ascii="Georgia" w:hAnsi="Georgia"/>
                <w:sz w:val="14"/>
              </w:rPr>
              <w:t>: clients renegotiate pricing at renewal without changing supplier, and AI tooling reduces the knowledge-transfer cost of switching.</w:t>
            </w:r>
          </w:p>
        </w:tc>
      </w:tr>
      <w:tr>
        <w:tc>
          <w:tcPr>
            <w:tcW w:type="dxa" w:w="3394"/>
            <w:shd w:val="clear" w:fill="F4F7FA"/>
          </w:tcPr>
          <w:p>
            <w:pPr>
              <w:spacing w:before="20" w:after="20"/>
            </w:pPr>
            <w:r>
              <w:rPr>
                <w:rFonts w:ascii="Georgia" w:hAnsi="Georgia"/>
                <w:sz w:val="14"/>
              </w:rPr>
            </w:r>
            <w:r>
              <w:rPr>
                <w:rFonts w:ascii="Georgia" w:hAnsi="Georgia"/>
                <w:b/>
                <w:sz w:val="14"/>
              </w:rPr>
              <w:t>Regulatory barriers</w:t>
            </w:r>
          </w:p>
        </w:tc>
        <w:tc>
          <w:tcPr>
            <w:tcW w:type="dxa" w:w="3394"/>
            <w:shd w:val="clear" w:fill="F4F7FA"/>
          </w:tcPr>
          <w:p>
            <w:pPr>
              <w:spacing w:before="20" w:after="20"/>
            </w:pPr>
            <w:r>
              <w:rPr>
                <w:rFonts w:ascii="Georgia" w:hAnsi="Georgia"/>
                <w:sz w:val="14"/>
              </w:rPr>
            </w:r>
            <w:r>
              <w:rPr>
                <w:rFonts w:ascii="Georgia" w:hAnsi="Georgia"/>
                <w:b/>
                <w:sz w:val="14"/>
              </w:rPr>
              <w:t>None</w:t>
            </w:r>
          </w:p>
        </w:tc>
        <w:tc>
          <w:tcPr>
            <w:tcW w:type="dxa" w:w="3394"/>
            <w:shd w:val="clear" w:fill="F4F7FA"/>
          </w:tcPr>
          <w:p>
            <w:pPr>
              <w:spacing w:before="20" w:after="20"/>
            </w:pPr>
            <w:r>
              <w:rPr>
                <w:rFonts w:ascii="Georgia" w:hAnsi="Georgia"/>
                <w:sz w:val="14"/>
              </w:rPr>
            </w:r>
            <w:r>
              <w:rPr>
                <w:rFonts w:ascii="Georgia" w:hAnsi="Georgia"/>
                <w:sz w:val="14"/>
              </w:rPr>
              <w:t>No licensing regime, no regulatory capital, no approval process. Anyone can enter. Client-side regulation (SOC 2, HIPAA, GxP, DORA, EU AI Act) creates some vendor-qualification friction in financial services and life sciences, which modestly favours incumbents — but this is a hurdle, not a barrier.</w:t>
            </w:r>
          </w:p>
        </w:tc>
      </w:tr>
      <w:tr>
        <w:tc>
          <w:tcPr>
            <w:tcW w:type="dxa" w:w="3394"/>
          </w:tcPr>
          <w:p>
            <w:pPr>
              <w:spacing w:before="20" w:after="20"/>
            </w:pPr>
            <w:r>
              <w:rPr>
                <w:rFonts w:ascii="Georgia" w:hAnsi="Georgia"/>
                <w:sz w:val="14"/>
              </w:rPr>
            </w:r>
            <w:r>
              <w:rPr>
                <w:rFonts w:ascii="Georgia" w:hAnsi="Georgia"/>
                <w:b/>
                <w:sz w:val="14"/>
              </w:rPr>
              <w:t>Oligopoly / monopoly structure</w:t>
            </w:r>
          </w:p>
        </w:tc>
        <w:tc>
          <w:tcPr>
            <w:tcW w:type="dxa" w:w="3394"/>
          </w:tcPr>
          <w:p>
            <w:pPr>
              <w:spacing w:before="20" w:after="20"/>
            </w:pPr>
            <w:r>
              <w:rPr>
                <w:rFonts w:ascii="Georgia" w:hAnsi="Georgia"/>
                <w:sz w:val="14"/>
              </w:rPr>
            </w:r>
            <w:r>
              <w:rPr>
                <w:rFonts w:ascii="Georgia" w:hAnsi="Georgia"/>
                <w:b/>
                <w:sz w:val="14"/>
              </w:rPr>
              <w:t>None</w:t>
            </w:r>
          </w:p>
        </w:tc>
        <w:tc>
          <w:tcPr>
            <w:tcW w:type="dxa" w:w="3394"/>
          </w:tcPr>
          <w:p>
            <w:pPr>
              <w:spacing w:before="20" w:after="20"/>
            </w:pPr>
            <w:r>
              <w:rPr>
                <w:rFonts w:ascii="Georgia" w:hAnsi="Georgia"/>
                <w:sz w:val="14"/>
              </w:rPr>
            </w:r>
            <w:r>
              <w:rPr>
                <w:rFonts w:ascii="Georgia" w:hAnsi="Georgia"/>
                <w:sz w:val="14"/>
              </w:rPr>
              <w:t>Highly fragmented and intensely competitive. EPAM holds roughly 1% of a global IT services market worth well over $1trn. Named competitors include Accenture, Atos, Capgemini, Cognizant, Deloitte Digital, DXC, Endava, Genpact, GlobalLogic, Globant, Grid Dynamics, HCLTech, Infosys, TCS and Wipro. Pricing is set by competitive bidding.</w:t>
            </w:r>
          </w:p>
        </w:tc>
      </w:tr>
      <w:tr>
        <w:tc>
          <w:tcPr>
            <w:tcW w:type="dxa" w:w="3394"/>
            <w:shd w:val="clear" w:fill="F4F7FA"/>
          </w:tcPr>
          <w:p>
            <w:pPr>
              <w:spacing w:before="20" w:after="20"/>
            </w:pPr>
            <w:r>
              <w:rPr>
                <w:rFonts w:ascii="Georgia" w:hAnsi="Georgia"/>
                <w:sz w:val="14"/>
              </w:rPr>
            </w:r>
            <w:r>
              <w:rPr>
                <w:rFonts w:ascii="Georgia" w:hAnsi="Georgia"/>
                <w:b/>
                <w:sz w:val="14"/>
              </w:rPr>
              <w:t>Cashflow predictability</w:t>
            </w:r>
          </w:p>
        </w:tc>
        <w:tc>
          <w:tcPr>
            <w:tcW w:type="dxa" w:w="3394"/>
            <w:shd w:val="clear" w:fill="F4F7FA"/>
          </w:tcPr>
          <w:p>
            <w:pPr>
              <w:spacing w:before="20" w:after="20"/>
            </w:pPr>
            <w:r>
              <w:rPr>
                <w:rFonts w:ascii="Georgia" w:hAnsi="Georgia"/>
                <w:sz w:val="14"/>
              </w:rPr>
            </w:r>
            <w:r>
              <w:rPr>
                <w:rFonts w:ascii="Georgia" w:hAnsi="Georgia"/>
                <w:b/>
                <w:sz w:val="14"/>
              </w:rPr>
              <w:t>Moderate</w:t>
            </w:r>
          </w:p>
        </w:tc>
        <w:tc>
          <w:tcPr>
            <w:tcW w:type="dxa" w:w="3394"/>
            <w:shd w:val="clear" w:fill="F4F7FA"/>
          </w:tcPr>
          <w:p>
            <w:pPr>
              <w:spacing w:before="20" w:after="20"/>
            </w:pPr>
            <w:r>
              <w:rPr>
                <w:rFonts w:ascii="Georgia" w:hAnsi="Georgia"/>
                <w:sz w:val="14"/>
              </w:rPr>
            </w:r>
            <w:r>
              <w:rPr>
                <w:rFonts w:ascii="Georgia" w:hAnsi="Georgia"/>
                <w:sz w:val="14"/>
              </w:rPr>
              <w:t xml:space="preserve">Good conversion — FY2025 free cash flow of $612.7m on $654.9m of operating cash flow, capex around 1% of revenue, negligible working-capital intensity. But predictability is undermined by the absence of contracted backlog and by three consecutive years of guidance revisions. Q2 2026 operating cash flow of </w:t>
            </w:r>
            <w:r>
              <w:rPr>
                <w:rFonts w:ascii="Georgia" w:hAnsi="Georgia"/>
                <w:i/>
                <w:sz w:val="14"/>
              </w:rPr>
              <w:t>negative</w:t>
            </w:r>
            <w:r>
              <w:rPr>
                <w:rFonts w:ascii="Georgia" w:hAnsi="Georgia"/>
                <w:sz w:val="14"/>
              </w:rPr>
              <w:t xml:space="preserve"> $2m is a live concern.</w:t>
            </w:r>
          </w:p>
        </w:tc>
      </w:tr>
      <w:tr>
        <w:tc>
          <w:tcPr>
            <w:tcW w:type="dxa" w:w="3394"/>
          </w:tcPr>
          <w:p>
            <w:pPr>
              <w:spacing w:before="20" w:after="20"/>
            </w:pPr>
            <w:r>
              <w:rPr>
                <w:rFonts w:ascii="Georgia" w:hAnsi="Georgia"/>
                <w:sz w:val="14"/>
              </w:rPr>
            </w:r>
            <w:r>
              <w:rPr>
                <w:rFonts w:ascii="Georgia" w:hAnsi="Georgia"/>
                <w:b/>
                <w:sz w:val="14"/>
              </w:rPr>
              <w:t>Scalability</w:t>
            </w:r>
          </w:p>
        </w:tc>
        <w:tc>
          <w:tcPr>
            <w:tcW w:type="dxa" w:w="3394"/>
          </w:tcPr>
          <w:p>
            <w:pPr>
              <w:spacing w:before="20" w:after="20"/>
            </w:pPr>
            <w:r>
              <w:rPr>
                <w:rFonts w:ascii="Georgia" w:hAnsi="Georgia"/>
                <w:sz w:val="14"/>
              </w:rPr>
            </w:r>
            <w:r>
              <w:rPr>
                <w:rFonts w:ascii="Georgia" w:hAnsi="Georgia"/>
                <w:b/>
                <w:sz w:val="14"/>
              </w:rPr>
              <w:t>Moderate, and changing</w:t>
            </w:r>
          </w:p>
        </w:tc>
        <w:tc>
          <w:tcPr>
            <w:tcW w:type="dxa" w:w="3394"/>
          </w:tcPr>
          <w:p>
            <w:pPr>
              <w:spacing w:before="20" w:after="20"/>
            </w:pPr>
            <w:r>
              <w:rPr>
                <w:rFonts w:ascii="Georgia" w:hAnsi="Georgia"/>
                <w:sz w:val="14"/>
              </w:rPr>
            </w:r>
            <w:r>
              <w:rPr>
                <w:rFonts w:ascii="Georgia" w:hAnsi="Georgia"/>
                <w:sz w:val="14"/>
              </w:rPr>
              <w:t xml:space="preserve">Historically poor: growth required linear headcount addition, so operating leverage was minimal and margins were structurally capped near 16–17%. </w:t>
            </w:r>
            <w:r>
              <w:rPr>
                <w:rFonts w:ascii="Georgia" w:hAnsi="Georgia"/>
                <w:b/>
                <w:sz w:val="14"/>
              </w:rPr>
              <w:t>AI genuinely changes this.</w:t>
            </w:r>
            <w:r>
              <w:rPr>
                <w:rFonts w:ascii="Georgia" w:hAnsi="Georgia"/>
                <w:sz w:val="14"/>
              </w:rPr>
              <w:t xml:space="preserve"> If EPAM decouples revenue from headcount — as the Q2 2026 combination of +4.5% revenue on +1.5% headcount and +190bp gross margin hints — scalability improves materially. This is the most important variable in the entire thesis.</w:t>
            </w:r>
          </w:p>
        </w:tc>
      </w:tr>
      <w:tr>
        <w:tc>
          <w:tcPr>
            <w:tcW w:type="dxa" w:w="3394"/>
            <w:shd w:val="clear" w:fill="F4F7FA"/>
          </w:tcPr>
          <w:p>
            <w:pPr>
              <w:spacing w:before="20" w:after="20"/>
            </w:pPr>
            <w:r>
              <w:rPr>
                <w:rFonts w:ascii="Georgia" w:hAnsi="Georgia"/>
                <w:sz w:val="14"/>
              </w:rPr>
            </w:r>
            <w:r>
              <w:rPr>
                <w:rFonts w:ascii="Georgia" w:hAnsi="Georgia"/>
                <w:b/>
                <w:sz w:val="14"/>
              </w:rPr>
              <w:t>Government interference risk</w:t>
            </w:r>
          </w:p>
        </w:tc>
        <w:tc>
          <w:tcPr>
            <w:tcW w:type="dxa" w:w="3394"/>
            <w:shd w:val="clear" w:fill="F4F7FA"/>
          </w:tcPr>
          <w:p>
            <w:pPr>
              <w:spacing w:before="20" w:after="20"/>
            </w:pPr>
            <w:r>
              <w:rPr>
                <w:rFonts w:ascii="Georgia" w:hAnsi="Georgia"/>
                <w:sz w:val="14"/>
              </w:rPr>
            </w:r>
            <w:r>
              <w:rPr>
                <w:rFonts w:ascii="Georgia" w:hAnsi="Georgia"/>
                <w:b/>
                <w:sz w:val="14"/>
              </w:rPr>
              <w:t>Elevated</w:t>
            </w:r>
          </w:p>
        </w:tc>
        <w:tc>
          <w:tcPr>
            <w:tcW w:type="dxa" w:w="3394"/>
            <w:shd w:val="clear" w:fill="F4F7FA"/>
          </w:tcPr>
          <w:p>
            <w:pPr>
              <w:spacing w:before="20" w:after="20"/>
            </w:pPr>
            <w:r>
              <w:rPr>
                <w:rFonts w:ascii="Georgia" w:hAnsi="Georgia"/>
                <w:sz w:val="14"/>
              </w:rPr>
            </w:r>
            <w:r>
              <w:rPr>
                <w:rFonts w:ascii="Georgia" w:hAnsi="Georgia"/>
                <w:sz w:val="14"/>
              </w:rPr>
              <w:t>EPAM has already suffered the most severe geopolitical shock of any US-listed IT services firm: forced exit from Russia, drastic reduction in Belarus, and relocation of thousands of staff from Ukraine in 2022. Residual Ukrainian exposure remains. Ongoing risk from sanctions regimes, visa policy, data-localisation rules and AI regulation. This is a real and demonstrated risk, not a theoretical one.</w:t>
            </w:r>
          </w:p>
        </w:tc>
      </w:tr>
      <w:tr>
        <w:tc>
          <w:tcPr>
            <w:tcW w:type="dxa" w:w="3394"/>
          </w:tcPr>
          <w:p>
            <w:pPr>
              <w:spacing w:before="20" w:after="20"/>
            </w:pPr>
            <w:r>
              <w:rPr>
                <w:rFonts w:ascii="Georgia" w:hAnsi="Georgia"/>
                <w:sz w:val="14"/>
              </w:rPr>
            </w:r>
            <w:r>
              <w:rPr>
                <w:rFonts w:ascii="Georgia" w:hAnsi="Georgia"/>
                <w:b/>
                <w:sz w:val="14"/>
              </w:rPr>
              <w:t>Bargaining power over stakeholders</w:t>
            </w:r>
          </w:p>
        </w:tc>
        <w:tc>
          <w:tcPr>
            <w:tcW w:type="dxa" w:w="3394"/>
          </w:tcPr>
          <w:p>
            <w:pPr>
              <w:spacing w:before="20" w:after="20"/>
            </w:pPr>
            <w:r>
              <w:rPr>
                <w:rFonts w:ascii="Georgia" w:hAnsi="Georgia"/>
                <w:sz w:val="14"/>
              </w:rPr>
            </w:r>
            <w:r>
              <w:rPr>
                <w:rFonts w:ascii="Georgia" w:hAnsi="Georgia"/>
                <w:b/>
                <w:sz w:val="14"/>
              </w:rPr>
              <w:t>Weak to moderate</w:t>
            </w:r>
          </w:p>
        </w:tc>
        <w:tc>
          <w:tcPr>
            <w:tcW w:type="dxa" w:w="3394"/>
          </w:tcPr>
          <w:p>
            <w:pPr>
              <w:spacing w:before="20" w:after="20"/>
            </w:pPr>
            <w:r>
              <w:rPr>
                <w:rFonts w:ascii="Georgia" w:hAnsi="Georgia"/>
                <w:sz w:val="14"/>
              </w:rPr>
            </w:r>
            <w:r>
              <w:rPr>
                <w:rFonts w:ascii="Georgia" w:hAnsi="Georgia"/>
                <w:i/>
                <w:sz w:val="14"/>
              </w:rPr>
              <w:t>Over clients:</w:t>
            </w:r>
            <w:r>
              <w:rPr>
                <w:rFonts w:ascii="Georgia" w:hAnsi="Georgia"/>
                <w:sz w:val="14"/>
              </w:rPr>
              <w:t xml:space="preserve"> weak — large enterprises run competitive panels and squeeze rates; top-10 concentration of only 21.6% means EPAM has little individual leverage. </w:t>
            </w:r>
            <w:r>
              <w:rPr>
                <w:rFonts w:ascii="Georgia" w:hAnsi="Georgia"/>
                <w:i/>
                <w:sz w:val="14"/>
              </w:rPr>
              <w:t>Over employees:</w:t>
            </w:r>
            <w:r>
              <w:rPr>
                <w:rFonts w:ascii="Georgia" w:hAnsi="Georgia"/>
                <w:sz w:val="14"/>
              </w:rPr>
              <w:t xml:space="preserve"> improved — 8.5% attrition and a soft tech labour market have shifted power toward the employer. </w:t>
            </w:r>
            <w:r>
              <w:rPr>
                <w:rFonts w:ascii="Georgia" w:hAnsi="Georgia"/>
                <w:i/>
                <w:sz w:val="14"/>
              </w:rPr>
              <w:t>Over suppliers:</w:t>
            </w:r>
            <w:r>
              <w:rPr>
                <w:rFonts w:ascii="Georgia" w:hAnsi="Georgia"/>
                <w:sz w:val="14"/>
              </w:rPr>
              <w:t xml:space="preserve"> limited — EPAM is a mid-sized partner to Microsoft, AWS and Google, not a price-setter, and is now a price-taker on LLM inference costs.</w:t>
            </w:r>
          </w:p>
        </w:tc>
      </w:tr>
    </w:tbl>
    <w:p>
      <w:pPr>
        <w:spacing w:after="60"/>
      </w:pPr>
    </w:p>
    <w:p>
      <w:pPr>
        <w:spacing w:before="40" w:after="60"/>
        <w:ind w:left="173" w:right="115"/>
        <w:jc w:val="both"/>
        <w:pBdr>
          <w:left w:val="single" w:sz="18" w:space="6" w:color="0B2545"/>
        </w:pBdr>
        <w:shd w:val="clear" w:fill="F4F7FA"/>
      </w:pPr>
      <w:r>
        <w:rPr>
          <w:b/>
          <w:sz w:val="17"/>
        </w:rPr>
        <w:t>Moat verdict.</w:t>
      </w:r>
      <w:r>
        <w:rPr>
          <w:sz w:val="17"/>
        </w:rPr>
        <w:t xml:space="preserve"> EPAM's moat is </w:t>
      </w:r>
      <w:r>
        <w:rPr>
          <w:b/>
          <w:sz w:val="17"/>
        </w:rPr>
        <w:t>narrow and eroding at the edges</w:t>
      </w:r>
      <w:r>
        <w:rPr>
          <w:sz w:val="17"/>
        </w:rPr>
        <w:t xml:space="preserve">. It rests on two things only: reputation for engineering quality, and the embedded knowledge of long-tenured delivery teams. It does not rest on contracts, assets, regulation, network effects or industry structure — all of which score weak or absent. The bull case is not that EPAM has a wide moat; it is that EPAM is building a </w:t>
      </w:r>
      <w:r>
        <w:rPr>
          <w:i/>
          <w:sz w:val="17"/>
        </w:rPr>
        <w:t>new</w:t>
      </w:r>
      <w:r>
        <w:rPr>
          <w:sz w:val="17"/>
        </w:rPr>
        <w:t xml:space="preserve"> moat — proprietary AI delivery IP in AI/RUN and DIAL, plus accumulated agentic components — before the old one fully erodes. That is a race, and the outcome is genuinely uncertain.</w:t>
      </w:r>
    </w:p>
    <w:p>
      <w:pPr>
        <w:keepNext/>
        <w:spacing w:before="320" w:after="120"/>
        <w:pBdr>
          <w:bottom w:val="single" w:sz="12" w:space="2" w:color="0B2545"/>
        </w:pBdr>
      </w:pPr>
      <w:r>
        <w:rPr>
          <w:rFonts w:ascii="Georgia" w:hAnsi="Georgia"/>
          <w:b/>
          <w:color w:val="0B2545"/>
          <w:sz w:val="26"/>
        </w:rPr>
        <w:t>7. Supply Chain Map: Upstream Inputs to End Customer</w:t>
      </w:r>
    </w:p>
    <w:p>
      <w:pPr>
        <w:spacing w:before="0" w:after="80"/>
        <w:jc w:val="both"/>
      </w:pPr>
      <w:r>
        <w:rPr/>
        <w:t>EPAM sits in the middle of a value chain that converts human capital and cloud infrastructure into working enterprise software. The map below traces it end to end.</w:t>
      </w:r>
    </w:p>
    <w:p>
      <w:pPr>
        <w:keepNext/>
        <w:spacing w:before="200" w:after="80"/>
      </w:pPr>
      <w:r>
        <w:rPr>
          <w:rFonts w:ascii="Georgia" w:hAnsi="Georgia"/>
          <w:b/>
          <w:color w:val="14487F"/>
          <w:sz w:val="21"/>
        </w:rPr>
        <w:t>Tier 1 — Upstream talent inputs</w:t>
      </w:r>
    </w:p>
    <w:p>
      <w:pPr>
        <w:pStyle w:val="ListBullet"/>
        <w:spacing w:after="50"/>
        <w:ind w:left="403"/>
        <w:jc w:val="both"/>
      </w:pPr>
      <w:r>
        <w:rPr>
          <w:rFonts w:ascii="Georgia" w:hAnsi="Georgia"/>
          <w:b/>
          <w:sz w:val="17"/>
        </w:rPr>
        <w:t>Universities and technical institutes</w:t>
      </w:r>
      <w:r>
        <w:rPr>
          <w:rFonts w:ascii="Georgia" w:hAnsi="Georgia"/>
          <w:sz w:val="17"/>
        </w:rPr>
        <w:t xml:space="preserve"> in India, Poland, Hungary, Romania, Ukraine, Georgia, Armenia, Uzbekistan, Mexico, Colombia, Argentina and Brazil.</w:t>
      </w:r>
    </w:p>
    <w:p>
      <w:pPr>
        <w:pStyle w:val="ListBullet"/>
        <w:spacing w:after="50"/>
        <w:ind w:left="403"/>
        <w:jc w:val="both"/>
      </w:pPr>
      <w:r>
        <w:rPr>
          <w:rFonts w:ascii="Georgia" w:hAnsi="Georgia"/>
          <w:b/>
          <w:sz w:val="17"/>
        </w:rPr>
        <w:t>EPAM's own training infrastructure</w:t>
      </w:r>
      <w:r>
        <w:rPr>
          <w:rFonts w:ascii="Georgia" w:hAnsi="Georgia"/>
          <w:sz w:val="17"/>
        </w:rPr>
        <w:t xml:space="preserve"> — EPAM University, RD Lab programmes and one of the largest private technical training networks in Central and Eastern Europe. Historically a genuine competitive input, converting junior talent into billable engineers at low cost.</w:t>
      </w:r>
    </w:p>
    <w:p>
      <w:pPr>
        <w:pStyle w:val="ListBullet"/>
        <w:spacing w:after="50"/>
        <w:ind w:left="403"/>
        <w:jc w:val="both"/>
      </w:pPr>
      <w:r>
        <w:rPr>
          <w:rFonts w:ascii="Georgia" w:hAnsi="Georgia"/>
          <w:b/>
          <w:sz w:val="17"/>
        </w:rPr>
        <w:t>Contingent labour and subcontractors</w:t>
      </w:r>
      <w:r>
        <w:rPr>
          <w:rFonts w:ascii="Georgia" w:hAnsi="Georgia"/>
          <w:sz w:val="17"/>
        </w:rPr>
        <w:t xml:space="preserve"> — used to flex capacity above the permanent base.</w:t>
      </w:r>
    </w:p>
    <w:p>
      <w:pPr>
        <w:pStyle w:val="ListBullet"/>
        <w:spacing w:after="50"/>
        <w:ind w:left="403"/>
        <w:jc w:val="both"/>
      </w:pPr>
      <w:r>
        <w:rPr>
          <w:rFonts w:ascii="Georgia" w:hAnsi="Georgia"/>
          <w:b/>
          <w:sz w:val="17"/>
        </w:rPr>
        <w:t>Recruitment channels</w:t>
      </w:r>
      <w:r>
        <w:rPr>
          <w:rFonts w:ascii="Georgia" w:hAnsi="Georgia"/>
          <w:sz w:val="17"/>
        </w:rPr>
        <w:t xml:space="preserve"> — LinkedIn (Microsoft), local job boards, campus programmes.</w:t>
      </w:r>
    </w:p>
    <w:p>
      <w:pPr>
        <w:keepNext/>
        <w:spacing w:before="200" w:after="80"/>
      </w:pPr>
      <w:r>
        <w:rPr>
          <w:rFonts w:ascii="Georgia" w:hAnsi="Georgia"/>
          <w:b/>
          <w:color w:val="14487F"/>
          <w:sz w:val="21"/>
        </w:rPr>
        <w:t>Tier 2 — Technology and infrastructure inputs</w:t>
      </w:r>
    </w:p>
    <w:p>
      <w:pPr>
        <w:pStyle w:val="ListBullet"/>
        <w:spacing w:after="50"/>
        <w:ind w:left="403"/>
        <w:jc w:val="both"/>
      </w:pPr>
      <w:r>
        <w:rPr>
          <w:rFonts w:ascii="Georgia" w:hAnsi="Georgia"/>
          <w:b/>
          <w:sz w:val="17"/>
        </w:rPr>
        <w:t>Hyperscale cloud</w:t>
      </w:r>
      <w:r>
        <w:rPr>
          <w:rFonts w:ascii="Georgia" w:hAnsi="Georgia"/>
          <w:sz w:val="17"/>
        </w:rPr>
        <w:t>: Microsoft Azure, Amazon Web Services, Google Cloud Platform. EPAM holds elite partner status with each and delivers on their platforms.</w:t>
      </w:r>
    </w:p>
    <w:p>
      <w:pPr>
        <w:pStyle w:val="ListBullet"/>
        <w:spacing w:after="50"/>
        <w:ind w:left="403"/>
        <w:jc w:val="both"/>
      </w:pPr>
      <w:r>
        <w:rPr>
          <w:rFonts w:ascii="Georgia" w:hAnsi="Georgia"/>
          <w:b/>
          <w:sz w:val="17"/>
        </w:rPr>
        <w:t>Foundation model providers</w:t>
      </w:r>
      <w:r>
        <w:rPr>
          <w:rFonts w:ascii="Georgia" w:hAnsi="Georgia"/>
          <w:sz w:val="17"/>
        </w:rPr>
        <w:t>: OpenAI, Anthropic, Google, Meta (open weights), Mistral. A new and growing cost input; EPAM's "token cost engineering" discipline exists because inference cost now materially affects project economics.</w:t>
      </w:r>
    </w:p>
    <w:p>
      <w:pPr>
        <w:pStyle w:val="ListBullet"/>
        <w:spacing w:after="50"/>
        <w:ind w:left="403"/>
        <w:jc w:val="both"/>
      </w:pPr>
      <w:r>
        <w:rPr>
          <w:rFonts w:ascii="Georgia" w:hAnsi="Georgia"/>
          <w:b/>
          <w:sz w:val="17"/>
        </w:rPr>
        <w:t>Enterprise software vendors whose products EPAM implements</w:t>
      </w:r>
      <w:r>
        <w:rPr>
          <w:rFonts w:ascii="Georgia" w:hAnsi="Georgia"/>
          <w:sz w:val="17"/>
        </w:rPr>
        <w:t>: Salesforce, SAP, Adobe, ServiceNow, Databricks, Snowflake, MongoDB, Guidewire, Temenos, Pegasystems, Sitecore, commercetools.</w:t>
      </w:r>
    </w:p>
    <w:p>
      <w:pPr>
        <w:pStyle w:val="ListBullet"/>
        <w:spacing w:after="50"/>
        <w:ind w:left="403"/>
        <w:jc w:val="both"/>
      </w:pPr>
      <w:r>
        <w:rPr>
          <w:rFonts w:ascii="Georgia" w:hAnsi="Georgia"/>
          <w:b/>
          <w:sz w:val="17"/>
        </w:rPr>
        <w:t>Developer tooling</w:t>
      </w:r>
      <w:r>
        <w:rPr>
          <w:rFonts w:ascii="Georgia" w:hAnsi="Georgia"/>
          <w:sz w:val="17"/>
        </w:rPr>
        <w:t>: GitHub/GitHub Copilot (Microsoft), Atlassian, JetBrains, HashiCorp (IBM), Docker, Kubernetes ecosystem.</w:t>
      </w:r>
    </w:p>
    <w:p>
      <w:pPr>
        <w:pStyle w:val="ListBullet"/>
        <w:spacing w:after="50"/>
        <w:ind w:left="403"/>
        <w:jc w:val="both"/>
      </w:pPr>
      <w:r>
        <w:rPr>
          <w:rFonts w:ascii="Georgia" w:hAnsi="Georgia"/>
          <w:b/>
          <w:sz w:val="17"/>
        </w:rPr>
        <w:t>Corporate infrastructure</w:t>
      </w:r>
      <w:r>
        <w:rPr>
          <w:rFonts w:ascii="Georgia" w:hAnsi="Georgia"/>
          <w:sz w:val="17"/>
        </w:rPr>
        <w:t>: leased offices across roughly 55 countries, telecoms, hardware (Dell, Lenovo, Apple), cybersecurity vendors.</w:t>
      </w:r>
    </w:p>
    <w:p>
      <w:pPr>
        <w:keepNext/>
        <w:spacing w:before="200" w:after="80"/>
      </w:pPr>
      <w:r>
        <w:rPr>
          <w:rFonts w:ascii="Georgia" w:hAnsi="Georgia"/>
          <w:b/>
          <w:color w:val="14487F"/>
          <w:sz w:val="21"/>
        </w:rPr>
        <w:t>Tier 3 — EPAM's own value-add (where the margin is created)</w:t>
      </w:r>
    </w:p>
    <w:p>
      <w:pPr>
        <w:spacing w:before="0" w:after="80"/>
        <w:jc w:val="both"/>
      </w:pPr>
      <w:r>
        <w:rPr/>
        <w:t>EPAM takes trained engineers plus cloud and model infrastructure and applies: solution architecture and technical design; agile delivery management; proprietary accelerators and IP (</w:t>
      </w:r>
      <w:r>
        <w:rPr>
          <w:b/>
        </w:rPr>
        <w:t>AI/RUN</w:t>
      </w:r>
      <w:r>
        <w:rPr/>
        <w:t xml:space="preserve"> playbook, </w:t>
      </w:r>
      <w:r>
        <w:rPr>
          <w:b/>
        </w:rPr>
        <w:t>DIAL</w:t>
      </w:r>
      <w:r>
        <w:rPr/>
        <w:t xml:space="preserve"> orchestration layer, </w:t>
      </w:r>
      <w:r>
        <w:rPr>
          <w:b/>
        </w:rPr>
        <w:t>MF Lens</w:t>
      </w:r>
      <w:r>
        <w:rPr/>
        <w:t xml:space="preserve"> mainframe analysis); domain expertise by vertical; and quality assurance, security and compliance. The output is production software, modernised platforms and running managed services. The gross margin of roughly 30–32% is the price of this transformation; the operating margin of 15–16% is what survives after go-to-market and corporate cost.</w:t>
      </w:r>
    </w:p>
    <w:p>
      <w:pPr>
        <w:keepNext/>
        <w:spacing w:before="200" w:after="80"/>
      </w:pPr>
      <w:r>
        <w:rPr>
          <w:rFonts w:ascii="Georgia" w:hAnsi="Georgia"/>
          <w:b/>
          <w:color w:val="14487F"/>
          <w:sz w:val="21"/>
        </w:rPr>
        <w:t>Tier 4 — Channel, partners and competitors-as-collaborators</w:t>
      </w:r>
    </w:p>
    <w:p>
      <w:pPr>
        <w:pStyle w:val="ListBullet"/>
        <w:spacing w:after="50"/>
        <w:ind w:left="403"/>
        <w:jc w:val="both"/>
      </w:pPr>
      <w:r>
        <w:rPr>
          <w:rFonts w:ascii="Georgia" w:hAnsi="Georgia"/>
          <w:b/>
          <w:sz w:val="17"/>
        </w:rPr>
        <w:t>Alliance partners</w:t>
      </w:r>
      <w:r>
        <w:rPr>
          <w:rFonts w:ascii="Georgia" w:hAnsi="Georgia"/>
          <w:sz w:val="17"/>
        </w:rPr>
        <w:t xml:space="preserve"> who bring EPAM into deals: Microsoft, AWS, Google, Salesforce, Adobe, Databricks, Snowflake, SAP.</w:t>
      </w:r>
    </w:p>
    <w:p>
      <w:pPr>
        <w:pStyle w:val="ListBullet"/>
        <w:spacing w:after="50"/>
        <w:ind w:left="403"/>
        <w:jc w:val="both"/>
      </w:pPr>
      <w:r>
        <w:rPr>
          <w:rFonts w:ascii="Georgia" w:hAnsi="Georgia"/>
          <w:b/>
          <w:sz w:val="17"/>
        </w:rPr>
        <w:t>Co-opetition</w:t>
      </w:r>
      <w:r>
        <w:rPr>
          <w:rFonts w:ascii="Georgia" w:hAnsi="Georgia"/>
          <w:sz w:val="17"/>
        </w:rPr>
        <w:t>: EPAM frequently subcontracts to or partners with Accenture, Deloitte, McKinsey Digital and Capgemini on large programmes where they hold the client relationship and EPAM supplies engineering capacity.</w:t>
      </w:r>
    </w:p>
    <w:p>
      <w:pPr>
        <w:pStyle w:val="ListBullet"/>
        <w:spacing w:after="50"/>
        <w:ind w:left="403"/>
        <w:jc w:val="both"/>
      </w:pPr>
      <w:r>
        <w:rPr>
          <w:rFonts w:ascii="Georgia" w:hAnsi="Georgia"/>
          <w:b/>
          <w:sz w:val="17"/>
        </w:rPr>
        <w:t>Acquired brands operating in-channel</w:t>
      </w:r>
      <w:r>
        <w:rPr>
          <w:rFonts w:ascii="Georgia" w:hAnsi="Georgia"/>
          <w:sz w:val="17"/>
        </w:rPr>
        <w:t>: NEORIS (Latin America and Spain, formerly CEMEX-affiliated), First Derivative (capital markets), Emakina (European digital marketing), Optiva Media (media/telecoms), Vates (Argentina/Latin America), Odysseus Data Services (life-sciences data), Continuum (design consultancy).</w:t>
      </w:r>
    </w:p>
    <w:p>
      <w:pPr>
        <w:keepNext/>
        <w:spacing w:before="200" w:after="80"/>
      </w:pPr>
      <w:r>
        <w:rPr>
          <w:rFonts w:ascii="Georgia" w:hAnsi="Georgia"/>
          <w:b/>
          <w:color w:val="14487F"/>
          <w:sz w:val="21"/>
        </w:rPr>
        <w:t>Tier 5 — End customers and their customers</w:t>
      </w:r>
    </w:p>
    <w:p>
      <w:pPr>
        <w:pStyle w:val="ListBullet"/>
        <w:spacing w:after="50"/>
        <w:ind w:left="403"/>
        <w:jc w:val="both"/>
      </w:pPr>
      <w:r>
        <w:rPr>
          <w:rFonts w:ascii="Georgia" w:hAnsi="Georgia"/>
          <w:b/>
          <w:sz w:val="17"/>
        </w:rPr>
        <w:t>Direct clients</w:t>
      </w:r>
      <w:r>
        <w:rPr>
          <w:rFonts w:ascii="Georgia" w:hAnsi="Georgia"/>
          <w:sz w:val="17"/>
        </w:rPr>
        <w:t>: Fortune 500 / FTSE 100 enterprises across the six verticals — global banks and insurers, pharmaceutical and biotech groups, software and platform companies, retailers and consumer-goods manufacturers, travel operators, media and information-services businesses, energy and industrial firms.</w:t>
      </w:r>
    </w:p>
    <w:p>
      <w:pPr>
        <w:pStyle w:val="ListBullet"/>
        <w:spacing w:after="50"/>
        <w:ind w:left="403"/>
        <w:jc w:val="both"/>
      </w:pPr>
      <w:r>
        <w:rPr>
          <w:rFonts w:ascii="Georgia" w:hAnsi="Georgia"/>
          <w:b/>
          <w:sz w:val="17"/>
        </w:rPr>
        <w:t>Client procurement and vendor-management organisations</w:t>
      </w:r>
      <w:r>
        <w:rPr>
          <w:rFonts w:ascii="Georgia" w:hAnsi="Georgia"/>
          <w:sz w:val="17"/>
        </w:rPr>
        <w:t xml:space="preserve"> — the true gatekeepers, who run competitive panels, set rate cards and increasingly benchmark AI-driven productivity gains. Their growing sophistication is a direct headwind to pricing.</w:t>
      </w:r>
    </w:p>
    <w:p>
      <w:pPr>
        <w:pStyle w:val="ListBullet"/>
        <w:spacing w:after="50"/>
        <w:ind w:left="403"/>
        <w:jc w:val="both"/>
      </w:pPr>
      <w:r>
        <w:rPr>
          <w:rFonts w:ascii="Georgia" w:hAnsi="Georgia"/>
          <w:b/>
          <w:sz w:val="17"/>
        </w:rPr>
        <w:t>The end consumer</w:t>
      </w:r>
      <w:r>
        <w:rPr>
          <w:rFonts w:ascii="Georgia" w:hAnsi="Georgia"/>
          <w:sz w:val="17"/>
        </w:rPr>
        <w:t xml:space="preserve"> — the retail banking customer, the patient, the shopper, the traveller — who uses the software EPAM built without ever knowing EPAM exists.</w:t>
      </w:r>
    </w:p>
    <w:p>
      <w:pPr>
        <w:spacing w:before="40" w:after="60"/>
        <w:ind w:left="173" w:right="115"/>
        <w:jc w:val="both"/>
        <w:pBdr>
          <w:left w:val="single" w:sz="18" w:space="6" w:color="0B2545"/>
        </w:pBdr>
        <w:shd w:val="clear" w:fill="F4F7FA"/>
      </w:pPr>
      <w:r>
        <w:rPr>
          <w:b/>
          <w:sz w:val="17"/>
        </w:rPr>
        <w:t>Where the power sits.</w:t>
      </w:r>
      <w:r>
        <w:rPr>
          <w:sz w:val="17"/>
        </w:rPr>
        <w:t xml:space="preserve"> EPAM is squeezed from both ends. Upstream, it is a price-taker on engineering wages and now on LLM inference. Downstream, it faces professional procurement functions at large enterprises with no contractual volume commitments to protect it. Its only defensible position is the middle — the transformation itself. That is precisely why the AI/RUN and DIAL IP matters strategically: proprietary IP is the only part of this chain EPAM can own rather than rent.</w:t>
      </w:r>
    </w:p>
    <w:p>
      <w:pPr>
        <w:keepNext/>
        <w:spacing w:before="320" w:after="120"/>
        <w:pBdr>
          <w:bottom w:val="single" w:sz="12" w:space="2" w:color="0B2545"/>
        </w:pBdr>
      </w:pPr>
      <w:r>
        <w:rPr>
          <w:rFonts w:ascii="Georgia" w:hAnsi="Georgia"/>
          <w:b/>
          <w:color w:val="0B2545"/>
          <w:sz w:val="26"/>
        </w:rPr>
        <w:t>8. Segment Financials and Operational KPIs</w:t>
      </w:r>
    </w:p>
    <w:p>
      <w:pPr>
        <w:keepNext/>
        <w:spacing w:before="200" w:after="80"/>
      </w:pPr>
      <w:r>
        <w:rPr>
          <w:rFonts w:ascii="Georgia" w:hAnsi="Georgia"/>
          <w:b/>
          <w:color w:val="14487F"/>
          <w:sz w:val="21"/>
        </w:rPr>
        <w:t>Revenue, profitability and cash by year</w:t>
      </w:r>
    </w:p>
    <w:tbl>
      <w:tblPr>
        <w:tblStyle w:val="TableGrid"/>
        <w:tblW w:type="auto" w:w="0"/>
        <w:jc w:val="center"/>
        <w:tblLayout w:type="autofit"/>
        <w:tblLook w:firstColumn="1" w:firstRow="1" w:lastColumn="0" w:lastRow="0" w:noHBand="0" w:noVBand="1" w:val="04A0"/>
      </w:tblPr>
      <w:tblGrid>
        <w:gridCol w:w="1273"/>
        <w:gridCol w:w="1273"/>
        <w:gridCol w:w="1273"/>
        <w:gridCol w:w="1273"/>
        <w:gridCol w:w="1273"/>
        <w:gridCol w:w="1273"/>
        <w:gridCol w:w="1273"/>
        <w:gridCol w:w="1273"/>
      </w:tblGrid>
      <w:tr>
        <w:tc>
          <w:tcPr>
            <w:tcW w:type="dxa" w:w="1273"/>
            <w:shd w:val="clear" w:fill="0B2545"/>
          </w:tcPr>
          <w:p>
            <w:pPr>
              <w:spacing w:before="20" w:after="20"/>
            </w:pPr>
            <w:r>
              <w:rPr>
                <w:rFonts w:ascii="Georgia" w:hAnsi="Georgia"/>
                <w:b/>
                <w:color w:val="FFFFFF"/>
                <w:sz w:val="14"/>
              </w:rPr>
            </w:r>
            <w:r>
              <w:rPr>
                <w:rFonts w:ascii="Georgia" w:hAnsi="Georgia"/>
                <w:b/>
                <w:color w:val="FFFFFF"/>
                <w:sz w:val="14"/>
              </w:rPr>
              <w:t>$m unless stated</w:t>
            </w:r>
          </w:p>
        </w:tc>
        <w:tc>
          <w:tcPr>
            <w:tcW w:type="dxa" w:w="1273"/>
            <w:shd w:val="clear" w:fill="0B2545"/>
          </w:tcPr>
          <w:p>
            <w:pPr>
              <w:spacing w:before="20" w:after="20"/>
              <w:jc w:val="right"/>
            </w:pPr>
            <w:r>
              <w:rPr>
                <w:rFonts w:ascii="Georgia" w:hAnsi="Georgia"/>
                <w:b/>
                <w:color w:val="FFFFFF"/>
                <w:sz w:val="14"/>
              </w:rPr>
            </w:r>
            <w:r>
              <w:rPr>
                <w:rFonts w:ascii="Georgia" w:hAnsi="Georgia"/>
                <w:b/>
                <w:color w:val="FFFFFF"/>
                <w:sz w:val="14"/>
              </w:rPr>
              <w:t>FY2019</w:t>
            </w:r>
          </w:p>
        </w:tc>
        <w:tc>
          <w:tcPr>
            <w:tcW w:type="dxa" w:w="1273"/>
            <w:shd w:val="clear" w:fill="0B2545"/>
          </w:tcPr>
          <w:p>
            <w:pPr>
              <w:spacing w:before="20" w:after="20"/>
              <w:jc w:val="right"/>
            </w:pPr>
            <w:r>
              <w:rPr>
                <w:rFonts w:ascii="Georgia" w:hAnsi="Georgia"/>
                <w:b/>
                <w:color w:val="FFFFFF"/>
                <w:sz w:val="14"/>
              </w:rPr>
            </w:r>
            <w:r>
              <w:rPr>
                <w:rFonts w:ascii="Georgia" w:hAnsi="Georgia"/>
                <w:b/>
                <w:color w:val="FFFFFF"/>
                <w:sz w:val="14"/>
              </w:rPr>
              <w:t>FY2020</w:t>
            </w:r>
          </w:p>
        </w:tc>
        <w:tc>
          <w:tcPr>
            <w:tcW w:type="dxa" w:w="1273"/>
            <w:shd w:val="clear" w:fill="0B2545"/>
          </w:tcPr>
          <w:p>
            <w:pPr>
              <w:spacing w:before="20" w:after="20"/>
              <w:jc w:val="right"/>
            </w:pPr>
            <w:r>
              <w:rPr>
                <w:rFonts w:ascii="Georgia" w:hAnsi="Georgia"/>
                <w:b/>
                <w:color w:val="FFFFFF"/>
                <w:sz w:val="14"/>
              </w:rPr>
            </w:r>
            <w:r>
              <w:rPr>
                <w:rFonts w:ascii="Georgia" w:hAnsi="Georgia"/>
                <w:b/>
                <w:color w:val="FFFFFF"/>
                <w:sz w:val="14"/>
              </w:rPr>
              <w:t>FY2021</w:t>
            </w:r>
          </w:p>
        </w:tc>
        <w:tc>
          <w:tcPr>
            <w:tcW w:type="dxa" w:w="1273"/>
            <w:shd w:val="clear" w:fill="0B2545"/>
          </w:tcPr>
          <w:p>
            <w:pPr>
              <w:spacing w:before="20" w:after="20"/>
              <w:jc w:val="right"/>
            </w:pPr>
            <w:r>
              <w:rPr>
                <w:rFonts w:ascii="Georgia" w:hAnsi="Georgia"/>
                <w:b/>
                <w:color w:val="FFFFFF"/>
                <w:sz w:val="14"/>
              </w:rPr>
            </w:r>
            <w:r>
              <w:rPr>
                <w:rFonts w:ascii="Georgia" w:hAnsi="Georgia"/>
                <w:b/>
                <w:color w:val="FFFFFF"/>
                <w:sz w:val="14"/>
              </w:rPr>
              <w:t>FY2022</w:t>
            </w:r>
          </w:p>
        </w:tc>
        <w:tc>
          <w:tcPr>
            <w:tcW w:type="dxa" w:w="1273"/>
            <w:shd w:val="clear" w:fill="0B2545"/>
          </w:tcPr>
          <w:p>
            <w:pPr>
              <w:spacing w:before="20" w:after="20"/>
              <w:jc w:val="right"/>
            </w:pPr>
            <w:r>
              <w:rPr>
                <w:rFonts w:ascii="Georgia" w:hAnsi="Georgia"/>
                <w:b/>
                <w:color w:val="FFFFFF"/>
                <w:sz w:val="14"/>
              </w:rPr>
            </w:r>
            <w:r>
              <w:rPr>
                <w:rFonts w:ascii="Georgia" w:hAnsi="Georgia"/>
                <w:b/>
                <w:color w:val="FFFFFF"/>
                <w:sz w:val="14"/>
              </w:rPr>
              <w:t>FY2023</w:t>
            </w:r>
          </w:p>
        </w:tc>
        <w:tc>
          <w:tcPr>
            <w:tcW w:type="dxa" w:w="1273"/>
            <w:shd w:val="clear" w:fill="0B2545"/>
          </w:tcPr>
          <w:p>
            <w:pPr>
              <w:spacing w:before="20" w:after="20"/>
              <w:jc w:val="right"/>
            </w:pPr>
            <w:r>
              <w:rPr>
                <w:rFonts w:ascii="Georgia" w:hAnsi="Georgia"/>
                <w:b/>
                <w:color w:val="FFFFFF"/>
                <w:sz w:val="14"/>
              </w:rPr>
            </w:r>
            <w:r>
              <w:rPr>
                <w:rFonts w:ascii="Georgia" w:hAnsi="Georgia"/>
                <w:b/>
                <w:color w:val="FFFFFF"/>
                <w:sz w:val="14"/>
              </w:rPr>
              <w:t>FY2024</w:t>
            </w:r>
          </w:p>
        </w:tc>
        <w:tc>
          <w:tcPr>
            <w:tcW w:type="dxa" w:w="1273"/>
            <w:shd w:val="clear" w:fill="0B2545"/>
          </w:tcPr>
          <w:p>
            <w:pPr>
              <w:spacing w:before="20" w:after="20"/>
              <w:jc w:val="right"/>
            </w:pPr>
            <w:r>
              <w:rPr>
                <w:rFonts w:ascii="Georgia" w:hAnsi="Georgia"/>
                <w:b/>
                <w:color w:val="FFFFFF"/>
                <w:sz w:val="14"/>
              </w:rPr>
            </w:r>
            <w:r>
              <w:rPr>
                <w:rFonts w:ascii="Georgia" w:hAnsi="Georgia"/>
                <w:b/>
                <w:color w:val="FFFFFF"/>
                <w:sz w:val="14"/>
              </w:rPr>
              <w:t>FY2025</w:t>
            </w:r>
          </w:p>
        </w:tc>
      </w:tr>
      <w:tr>
        <w:tc>
          <w:tcPr>
            <w:tcW w:type="dxa" w:w="1273"/>
          </w:tcPr>
          <w:p>
            <w:pPr>
              <w:spacing w:before="20" w:after="20"/>
            </w:pPr>
            <w:r>
              <w:rPr>
                <w:rFonts w:ascii="Georgia" w:hAnsi="Georgia"/>
                <w:sz w:val="14"/>
              </w:rPr>
            </w:r>
            <w:r>
              <w:rPr>
                <w:rFonts w:ascii="Georgia" w:hAnsi="Georgia"/>
                <w:sz w:val="14"/>
              </w:rPr>
              <w:t>Revenue</w:t>
            </w:r>
          </w:p>
        </w:tc>
        <w:tc>
          <w:tcPr>
            <w:tcW w:type="dxa" w:w="1273"/>
          </w:tcPr>
          <w:p>
            <w:pPr>
              <w:spacing w:before="20" w:after="20"/>
              <w:jc w:val="right"/>
            </w:pPr>
            <w:r>
              <w:rPr>
                <w:rFonts w:ascii="Georgia" w:hAnsi="Georgia"/>
                <w:sz w:val="14"/>
              </w:rPr>
            </w:r>
            <w:r>
              <w:rPr>
                <w:rFonts w:ascii="Georgia" w:hAnsi="Georgia"/>
                <w:sz w:val="14"/>
              </w:rPr>
              <w:t>2,294</w:t>
            </w:r>
          </w:p>
        </w:tc>
        <w:tc>
          <w:tcPr>
            <w:tcW w:type="dxa" w:w="1273"/>
          </w:tcPr>
          <w:p>
            <w:pPr>
              <w:spacing w:before="20" w:after="20"/>
              <w:jc w:val="right"/>
            </w:pPr>
            <w:r>
              <w:rPr>
                <w:rFonts w:ascii="Georgia" w:hAnsi="Georgia"/>
                <w:sz w:val="14"/>
              </w:rPr>
            </w:r>
            <w:r>
              <w:rPr>
                <w:rFonts w:ascii="Georgia" w:hAnsi="Georgia"/>
                <w:sz w:val="14"/>
              </w:rPr>
              <w:t>2,659</w:t>
            </w:r>
          </w:p>
        </w:tc>
        <w:tc>
          <w:tcPr>
            <w:tcW w:type="dxa" w:w="1273"/>
          </w:tcPr>
          <w:p>
            <w:pPr>
              <w:spacing w:before="20" w:after="20"/>
              <w:jc w:val="right"/>
            </w:pPr>
            <w:r>
              <w:rPr>
                <w:rFonts w:ascii="Georgia" w:hAnsi="Georgia"/>
                <w:sz w:val="14"/>
              </w:rPr>
            </w:r>
            <w:r>
              <w:rPr>
                <w:rFonts w:ascii="Georgia" w:hAnsi="Georgia"/>
                <w:sz w:val="14"/>
              </w:rPr>
              <w:t>3,758</w:t>
            </w:r>
          </w:p>
        </w:tc>
        <w:tc>
          <w:tcPr>
            <w:tcW w:type="dxa" w:w="1273"/>
          </w:tcPr>
          <w:p>
            <w:pPr>
              <w:spacing w:before="20" w:after="20"/>
              <w:jc w:val="right"/>
            </w:pPr>
            <w:r>
              <w:rPr>
                <w:rFonts w:ascii="Georgia" w:hAnsi="Georgia"/>
                <w:sz w:val="14"/>
              </w:rPr>
            </w:r>
            <w:r>
              <w:rPr>
                <w:rFonts w:ascii="Georgia" w:hAnsi="Georgia"/>
                <w:sz w:val="14"/>
              </w:rPr>
              <w:t>4,825</w:t>
            </w:r>
          </w:p>
        </w:tc>
        <w:tc>
          <w:tcPr>
            <w:tcW w:type="dxa" w:w="1273"/>
          </w:tcPr>
          <w:p>
            <w:pPr>
              <w:spacing w:before="20" w:after="20"/>
              <w:jc w:val="right"/>
            </w:pPr>
            <w:r>
              <w:rPr>
                <w:rFonts w:ascii="Georgia" w:hAnsi="Georgia"/>
                <w:sz w:val="14"/>
              </w:rPr>
            </w:r>
            <w:r>
              <w:rPr>
                <w:rFonts w:ascii="Georgia" w:hAnsi="Georgia"/>
                <w:sz w:val="14"/>
              </w:rPr>
              <w:t>4,691</w:t>
            </w:r>
          </w:p>
        </w:tc>
        <w:tc>
          <w:tcPr>
            <w:tcW w:type="dxa" w:w="1273"/>
          </w:tcPr>
          <w:p>
            <w:pPr>
              <w:spacing w:before="20" w:after="20"/>
              <w:jc w:val="right"/>
            </w:pPr>
            <w:r>
              <w:rPr>
                <w:rFonts w:ascii="Georgia" w:hAnsi="Georgia"/>
                <w:sz w:val="14"/>
              </w:rPr>
            </w:r>
            <w:r>
              <w:rPr>
                <w:rFonts w:ascii="Georgia" w:hAnsi="Georgia"/>
                <w:sz w:val="14"/>
              </w:rPr>
              <w:t>4,728</w:t>
            </w:r>
          </w:p>
        </w:tc>
        <w:tc>
          <w:tcPr>
            <w:tcW w:type="dxa" w:w="1273"/>
          </w:tcPr>
          <w:p>
            <w:pPr>
              <w:spacing w:before="20" w:after="20"/>
              <w:jc w:val="right"/>
            </w:pPr>
            <w:r>
              <w:rPr>
                <w:rFonts w:ascii="Georgia" w:hAnsi="Georgia"/>
                <w:sz w:val="14"/>
              </w:rPr>
            </w:r>
            <w:r>
              <w:rPr>
                <w:rFonts w:ascii="Georgia" w:hAnsi="Georgia"/>
                <w:sz w:val="14"/>
              </w:rPr>
              <w:t>5,457</w:t>
            </w:r>
          </w:p>
        </w:tc>
      </w:tr>
      <w:tr>
        <w:tc>
          <w:tcPr>
            <w:tcW w:type="dxa" w:w="1273"/>
            <w:shd w:val="clear" w:fill="F4F7FA"/>
          </w:tcPr>
          <w:p>
            <w:pPr>
              <w:spacing w:before="20" w:after="20"/>
            </w:pPr>
            <w:r>
              <w:rPr>
                <w:rFonts w:ascii="Georgia" w:hAnsi="Georgia"/>
                <w:sz w:val="14"/>
              </w:rPr>
            </w:r>
            <w:r>
              <w:rPr>
                <w:rFonts w:ascii="Georgia" w:hAnsi="Georgia"/>
                <w:sz w:val="14"/>
              </w:rPr>
              <w:t>Growth y/y</w:t>
            </w:r>
          </w:p>
        </w:tc>
        <w:tc>
          <w:tcPr>
            <w:tcW w:type="dxa" w:w="1273"/>
            <w:shd w:val="clear" w:fill="F4F7FA"/>
          </w:tcPr>
          <w:p>
            <w:pPr>
              <w:spacing w:before="20" w:after="20"/>
              <w:jc w:val="right"/>
            </w:pPr>
            <w:r>
              <w:rPr>
                <w:rFonts w:ascii="Georgia" w:hAnsi="Georgia"/>
                <w:sz w:val="14"/>
              </w:rPr>
            </w:r>
            <w:r>
              <w:rPr>
                <w:rFonts w:ascii="Georgia" w:hAnsi="Georgia"/>
                <w:sz w:val="14"/>
              </w:rPr>
              <w:t>+24.5%</w:t>
            </w:r>
          </w:p>
        </w:tc>
        <w:tc>
          <w:tcPr>
            <w:tcW w:type="dxa" w:w="1273"/>
            <w:shd w:val="clear" w:fill="F4F7FA"/>
          </w:tcPr>
          <w:p>
            <w:pPr>
              <w:spacing w:before="20" w:after="20"/>
              <w:jc w:val="right"/>
            </w:pPr>
            <w:r>
              <w:rPr>
                <w:rFonts w:ascii="Georgia" w:hAnsi="Georgia"/>
                <w:sz w:val="14"/>
              </w:rPr>
            </w:r>
            <w:r>
              <w:rPr>
                <w:rFonts w:ascii="Georgia" w:hAnsi="Georgia"/>
                <w:sz w:val="14"/>
              </w:rPr>
              <w:t>+15.9%</w:t>
            </w:r>
          </w:p>
        </w:tc>
        <w:tc>
          <w:tcPr>
            <w:tcW w:type="dxa" w:w="1273"/>
            <w:shd w:val="clear" w:fill="F4F7FA"/>
          </w:tcPr>
          <w:p>
            <w:pPr>
              <w:spacing w:before="20" w:after="20"/>
              <w:jc w:val="right"/>
            </w:pPr>
            <w:r>
              <w:rPr>
                <w:rFonts w:ascii="Georgia" w:hAnsi="Georgia"/>
                <w:sz w:val="14"/>
              </w:rPr>
            </w:r>
            <w:r>
              <w:rPr>
                <w:rFonts w:ascii="Georgia" w:hAnsi="Georgia"/>
                <w:sz w:val="14"/>
              </w:rPr>
              <w:t>+41.3%</w:t>
            </w:r>
          </w:p>
        </w:tc>
        <w:tc>
          <w:tcPr>
            <w:tcW w:type="dxa" w:w="1273"/>
            <w:shd w:val="clear" w:fill="F4F7FA"/>
          </w:tcPr>
          <w:p>
            <w:pPr>
              <w:spacing w:before="20" w:after="20"/>
              <w:jc w:val="right"/>
            </w:pPr>
            <w:r>
              <w:rPr>
                <w:rFonts w:ascii="Georgia" w:hAnsi="Georgia"/>
                <w:sz w:val="14"/>
              </w:rPr>
            </w:r>
            <w:r>
              <w:rPr>
                <w:rFonts w:ascii="Georgia" w:hAnsi="Georgia"/>
                <w:sz w:val="14"/>
              </w:rPr>
              <w:t>+28.4%</w:t>
            </w:r>
          </w:p>
        </w:tc>
        <w:tc>
          <w:tcPr>
            <w:tcW w:type="dxa" w:w="1273"/>
            <w:shd w:val="clear" w:fill="F4F7FA"/>
          </w:tcPr>
          <w:p>
            <w:pPr>
              <w:spacing w:before="20" w:after="20"/>
              <w:jc w:val="right"/>
            </w:pPr>
            <w:r>
              <w:rPr>
                <w:rFonts w:ascii="Georgia" w:hAnsi="Georgia"/>
                <w:sz w:val="14"/>
              </w:rPr>
            </w:r>
            <w:r>
              <w:rPr>
                <w:rFonts w:ascii="Georgia" w:hAnsi="Georgia"/>
                <w:sz w:val="14"/>
              </w:rPr>
              <w:t>−2.8%</w:t>
            </w:r>
          </w:p>
        </w:tc>
        <w:tc>
          <w:tcPr>
            <w:tcW w:type="dxa" w:w="1273"/>
            <w:shd w:val="clear" w:fill="F4F7FA"/>
          </w:tcPr>
          <w:p>
            <w:pPr>
              <w:spacing w:before="20" w:after="20"/>
              <w:jc w:val="right"/>
            </w:pPr>
            <w:r>
              <w:rPr>
                <w:rFonts w:ascii="Georgia" w:hAnsi="Georgia"/>
                <w:sz w:val="14"/>
              </w:rPr>
            </w:r>
            <w:r>
              <w:rPr>
                <w:rFonts w:ascii="Georgia" w:hAnsi="Georgia"/>
                <w:sz w:val="14"/>
              </w:rPr>
              <w:t>+0.8%</w:t>
            </w:r>
          </w:p>
        </w:tc>
        <w:tc>
          <w:tcPr>
            <w:tcW w:type="dxa" w:w="1273"/>
            <w:shd w:val="clear" w:fill="F4F7FA"/>
          </w:tcPr>
          <w:p>
            <w:pPr>
              <w:spacing w:before="20" w:after="20"/>
              <w:jc w:val="right"/>
            </w:pPr>
            <w:r>
              <w:rPr>
                <w:rFonts w:ascii="Georgia" w:hAnsi="Georgia"/>
                <w:sz w:val="14"/>
              </w:rPr>
            </w:r>
            <w:r>
              <w:rPr>
                <w:rFonts w:ascii="Georgia" w:hAnsi="Georgia"/>
                <w:sz w:val="14"/>
              </w:rPr>
              <w:t>+15.4%</w:t>
            </w:r>
          </w:p>
        </w:tc>
      </w:tr>
      <w:tr>
        <w:tc>
          <w:tcPr>
            <w:tcW w:type="dxa" w:w="1273"/>
          </w:tcPr>
          <w:p>
            <w:pPr>
              <w:spacing w:before="20" w:after="20"/>
            </w:pPr>
            <w:r>
              <w:rPr>
                <w:rFonts w:ascii="Georgia" w:hAnsi="Georgia"/>
                <w:sz w:val="14"/>
              </w:rPr>
            </w:r>
            <w:r>
              <w:rPr>
                <w:rFonts w:ascii="Georgia" w:hAnsi="Georgia"/>
                <w:sz w:val="14"/>
              </w:rPr>
              <w:t>GAAP operating income</w:t>
            </w:r>
          </w:p>
        </w:tc>
        <w:tc>
          <w:tcPr>
            <w:tcW w:type="dxa" w:w="1273"/>
          </w:tcPr>
          <w:p>
            <w:pPr>
              <w:spacing w:before="20" w:after="20"/>
              <w:jc w:val="right"/>
            </w:pPr>
            <w:r>
              <w:rPr>
                <w:rFonts w:ascii="Georgia" w:hAnsi="Georgia"/>
                <w:sz w:val="14"/>
              </w:rPr>
            </w:r>
            <w:r>
              <w:rPr>
                <w:rFonts w:ascii="Georgia" w:hAnsi="Georgia"/>
                <w:sz w:val="14"/>
              </w:rPr>
              <w:t>c.246</w:t>
            </w:r>
          </w:p>
        </w:tc>
        <w:tc>
          <w:tcPr>
            <w:tcW w:type="dxa" w:w="1273"/>
          </w:tcPr>
          <w:p>
            <w:pPr>
              <w:spacing w:before="20" w:after="20"/>
              <w:jc w:val="right"/>
            </w:pPr>
            <w:r>
              <w:rPr>
                <w:rFonts w:ascii="Georgia" w:hAnsi="Georgia"/>
                <w:sz w:val="14"/>
              </w:rPr>
            </w:r>
            <w:r>
              <w:rPr>
                <w:rFonts w:ascii="Georgia" w:hAnsi="Georgia"/>
                <w:sz w:val="14"/>
              </w:rPr>
              <w:t>c.300</w:t>
            </w:r>
          </w:p>
        </w:tc>
        <w:tc>
          <w:tcPr>
            <w:tcW w:type="dxa" w:w="1273"/>
          </w:tcPr>
          <w:p>
            <w:pPr>
              <w:spacing w:before="20" w:after="20"/>
              <w:jc w:val="right"/>
            </w:pPr>
            <w:r>
              <w:rPr>
                <w:rFonts w:ascii="Georgia" w:hAnsi="Georgia"/>
                <w:sz w:val="14"/>
              </w:rPr>
            </w:r>
            <w:r>
              <w:rPr>
                <w:rFonts w:ascii="Georgia" w:hAnsi="Georgia"/>
                <w:sz w:val="14"/>
              </w:rPr>
              <w:t>c.414</w:t>
            </w:r>
          </w:p>
        </w:tc>
        <w:tc>
          <w:tcPr>
            <w:tcW w:type="dxa" w:w="1273"/>
          </w:tcPr>
          <w:p>
            <w:pPr>
              <w:spacing w:before="20" w:after="20"/>
              <w:jc w:val="right"/>
            </w:pPr>
            <w:r>
              <w:rPr>
                <w:rFonts w:ascii="Georgia" w:hAnsi="Georgia"/>
                <w:sz w:val="14"/>
              </w:rPr>
            </w:r>
            <w:r>
              <w:rPr>
                <w:rFonts w:ascii="Georgia" w:hAnsi="Georgia"/>
                <w:sz w:val="14"/>
              </w:rPr>
              <w:t>c.418</w:t>
            </w:r>
          </w:p>
        </w:tc>
        <w:tc>
          <w:tcPr>
            <w:tcW w:type="dxa" w:w="1273"/>
          </w:tcPr>
          <w:p>
            <w:pPr>
              <w:spacing w:before="20" w:after="20"/>
              <w:jc w:val="right"/>
            </w:pPr>
            <w:r>
              <w:rPr>
                <w:rFonts w:ascii="Georgia" w:hAnsi="Georgia"/>
                <w:sz w:val="14"/>
              </w:rPr>
            </w:r>
            <w:r>
              <w:rPr>
                <w:rFonts w:ascii="Georgia" w:hAnsi="Georgia"/>
                <w:sz w:val="14"/>
              </w:rPr>
              <w:t>c.480</w:t>
            </w:r>
          </w:p>
        </w:tc>
        <w:tc>
          <w:tcPr>
            <w:tcW w:type="dxa" w:w="1273"/>
          </w:tcPr>
          <w:p>
            <w:pPr>
              <w:spacing w:before="20" w:after="20"/>
              <w:jc w:val="right"/>
            </w:pPr>
            <w:r>
              <w:rPr>
                <w:rFonts w:ascii="Georgia" w:hAnsi="Georgia"/>
                <w:sz w:val="14"/>
              </w:rPr>
            </w:r>
            <w:r>
              <w:rPr>
                <w:rFonts w:ascii="Georgia" w:hAnsi="Georgia"/>
                <w:sz w:val="14"/>
              </w:rPr>
              <w:t>545</w:t>
            </w:r>
          </w:p>
        </w:tc>
        <w:tc>
          <w:tcPr>
            <w:tcW w:type="dxa" w:w="1273"/>
          </w:tcPr>
          <w:p>
            <w:pPr>
              <w:spacing w:before="20" w:after="20"/>
              <w:jc w:val="right"/>
            </w:pPr>
            <w:r>
              <w:rPr>
                <w:rFonts w:ascii="Georgia" w:hAnsi="Georgia"/>
                <w:sz w:val="14"/>
              </w:rPr>
            </w:r>
            <w:r>
              <w:rPr>
                <w:rFonts w:ascii="Georgia" w:hAnsi="Georgia"/>
                <w:sz w:val="14"/>
              </w:rPr>
              <w:t>520</w:t>
            </w:r>
          </w:p>
        </w:tc>
      </w:tr>
      <w:tr>
        <w:tc>
          <w:tcPr>
            <w:tcW w:type="dxa" w:w="1273"/>
            <w:shd w:val="clear" w:fill="F4F7FA"/>
          </w:tcPr>
          <w:p>
            <w:pPr>
              <w:spacing w:before="20" w:after="20"/>
            </w:pPr>
            <w:r>
              <w:rPr>
                <w:rFonts w:ascii="Georgia" w:hAnsi="Georgia"/>
                <w:sz w:val="14"/>
              </w:rPr>
            </w:r>
            <w:r>
              <w:rPr>
                <w:rFonts w:ascii="Georgia" w:hAnsi="Georgia"/>
                <w:sz w:val="14"/>
              </w:rPr>
              <w:t>GAAP operating margin</w:t>
            </w:r>
          </w:p>
        </w:tc>
        <w:tc>
          <w:tcPr>
            <w:tcW w:type="dxa" w:w="1273"/>
            <w:shd w:val="clear" w:fill="F4F7FA"/>
          </w:tcPr>
          <w:p>
            <w:pPr>
              <w:spacing w:before="20" w:after="20"/>
              <w:jc w:val="right"/>
            </w:pPr>
            <w:r>
              <w:rPr>
                <w:rFonts w:ascii="Georgia" w:hAnsi="Georgia"/>
                <w:sz w:val="14"/>
              </w:rPr>
            </w:r>
            <w:r>
              <w:rPr>
                <w:rFonts w:ascii="Georgia" w:hAnsi="Georgia"/>
                <w:sz w:val="14"/>
              </w:rPr>
              <w:t>c.10.7%</w:t>
            </w:r>
          </w:p>
        </w:tc>
        <w:tc>
          <w:tcPr>
            <w:tcW w:type="dxa" w:w="1273"/>
            <w:shd w:val="clear" w:fill="F4F7FA"/>
          </w:tcPr>
          <w:p>
            <w:pPr>
              <w:spacing w:before="20" w:after="20"/>
              <w:jc w:val="right"/>
            </w:pPr>
            <w:r>
              <w:rPr>
                <w:rFonts w:ascii="Georgia" w:hAnsi="Georgia"/>
                <w:sz w:val="14"/>
              </w:rPr>
            </w:r>
            <w:r>
              <w:rPr>
                <w:rFonts w:ascii="Georgia" w:hAnsi="Georgia"/>
                <w:sz w:val="14"/>
              </w:rPr>
              <w:t>c.11.3%</w:t>
            </w:r>
          </w:p>
        </w:tc>
        <w:tc>
          <w:tcPr>
            <w:tcW w:type="dxa" w:w="1273"/>
            <w:shd w:val="clear" w:fill="F4F7FA"/>
          </w:tcPr>
          <w:p>
            <w:pPr>
              <w:spacing w:before="20" w:after="20"/>
              <w:jc w:val="right"/>
            </w:pPr>
            <w:r>
              <w:rPr>
                <w:rFonts w:ascii="Georgia" w:hAnsi="Georgia"/>
                <w:sz w:val="14"/>
              </w:rPr>
            </w:r>
            <w:r>
              <w:rPr>
                <w:rFonts w:ascii="Georgia" w:hAnsi="Georgia"/>
                <w:sz w:val="14"/>
              </w:rPr>
              <w:t>c.11.0%</w:t>
            </w:r>
          </w:p>
        </w:tc>
        <w:tc>
          <w:tcPr>
            <w:tcW w:type="dxa" w:w="1273"/>
            <w:shd w:val="clear" w:fill="F4F7FA"/>
          </w:tcPr>
          <w:p>
            <w:pPr>
              <w:spacing w:before="20" w:after="20"/>
              <w:jc w:val="right"/>
            </w:pPr>
            <w:r>
              <w:rPr>
                <w:rFonts w:ascii="Georgia" w:hAnsi="Georgia"/>
                <w:sz w:val="14"/>
              </w:rPr>
            </w:r>
            <w:r>
              <w:rPr>
                <w:rFonts w:ascii="Georgia" w:hAnsi="Georgia"/>
                <w:sz w:val="14"/>
              </w:rPr>
              <w:t>c.8.7%</w:t>
            </w:r>
          </w:p>
        </w:tc>
        <w:tc>
          <w:tcPr>
            <w:tcW w:type="dxa" w:w="1273"/>
            <w:shd w:val="clear" w:fill="F4F7FA"/>
          </w:tcPr>
          <w:p>
            <w:pPr>
              <w:spacing w:before="20" w:after="20"/>
              <w:jc w:val="right"/>
            </w:pPr>
            <w:r>
              <w:rPr>
                <w:rFonts w:ascii="Georgia" w:hAnsi="Georgia"/>
                <w:sz w:val="14"/>
              </w:rPr>
            </w:r>
            <w:r>
              <w:rPr>
                <w:rFonts w:ascii="Georgia" w:hAnsi="Georgia"/>
                <w:sz w:val="14"/>
              </w:rPr>
              <w:t>c.10.2%</w:t>
            </w:r>
          </w:p>
        </w:tc>
        <w:tc>
          <w:tcPr>
            <w:tcW w:type="dxa" w:w="1273"/>
            <w:shd w:val="clear" w:fill="F4F7FA"/>
          </w:tcPr>
          <w:p>
            <w:pPr>
              <w:spacing w:before="20" w:after="20"/>
              <w:jc w:val="right"/>
            </w:pPr>
            <w:r>
              <w:rPr>
                <w:rFonts w:ascii="Georgia" w:hAnsi="Georgia"/>
                <w:sz w:val="14"/>
              </w:rPr>
            </w:r>
            <w:r>
              <w:rPr>
                <w:rFonts w:ascii="Georgia" w:hAnsi="Georgia"/>
                <w:sz w:val="14"/>
              </w:rPr>
              <w:t>11.5%</w:t>
            </w:r>
          </w:p>
        </w:tc>
        <w:tc>
          <w:tcPr>
            <w:tcW w:type="dxa" w:w="1273"/>
            <w:shd w:val="clear" w:fill="F4F7FA"/>
          </w:tcPr>
          <w:p>
            <w:pPr>
              <w:spacing w:before="20" w:after="20"/>
              <w:jc w:val="right"/>
            </w:pPr>
            <w:r>
              <w:rPr>
                <w:rFonts w:ascii="Georgia" w:hAnsi="Georgia"/>
                <w:sz w:val="14"/>
              </w:rPr>
            </w:r>
            <w:r>
              <w:rPr>
                <w:rFonts w:ascii="Georgia" w:hAnsi="Georgia"/>
                <w:sz w:val="14"/>
              </w:rPr>
              <w:t>9.5%</w:t>
            </w:r>
          </w:p>
        </w:tc>
      </w:tr>
      <w:tr>
        <w:tc>
          <w:tcPr>
            <w:tcW w:type="dxa" w:w="1273"/>
          </w:tcPr>
          <w:p>
            <w:pPr>
              <w:spacing w:before="20" w:after="20"/>
            </w:pPr>
            <w:r>
              <w:rPr>
                <w:rFonts w:ascii="Georgia" w:hAnsi="Georgia"/>
                <w:sz w:val="14"/>
              </w:rPr>
            </w:r>
            <w:r>
              <w:rPr>
                <w:rFonts w:ascii="Georgia" w:hAnsi="Georgia"/>
                <w:sz w:val="14"/>
              </w:rPr>
              <w:t>Non-GAAP operating income</w:t>
            </w:r>
          </w:p>
        </w:tc>
        <w:tc>
          <w:tcPr>
            <w:tcW w:type="dxa" w:w="1273"/>
          </w:tcPr>
          <w:p>
            <w:pPr>
              <w:spacing w:before="20" w:after="20"/>
              <w:jc w:val="right"/>
            </w:pPr>
            <w:r>
              <w:rPr>
                <w:rFonts w:ascii="Georgia" w:hAnsi="Georgia"/>
                <w:sz w:val="14"/>
              </w:rPr>
            </w:r>
            <w:r>
              <w:rPr>
                <w:rFonts w:ascii="Georgia" w:hAnsi="Georgia"/>
                <w:sz w:val="14"/>
              </w:rPr>
              <w:t>c.381</w:t>
            </w:r>
          </w:p>
        </w:tc>
        <w:tc>
          <w:tcPr>
            <w:tcW w:type="dxa" w:w="1273"/>
          </w:tcPr>
          <w:p>
            <w:pPr>
              <w:spacing w:before="20" w:after="20"/>
              <w:jc w:val="right"/>
            </w:pPr>
            <w:r>
              <w:rPr>
                <w:rFonts w:ascii="Georgia" w:hAnsi="Georgia"/>
                <w:sz w:val="14"/>
              </w:rPr>
            </w:r>
            <w:r>
              <w:rPr>
                <w:rFonts w:ascii="Georgia" w:hAnsi="Georgia"/>
                <w:sz w:val="14"/>
              </w:rPr>
              <w:t>c.431</w:t>
            </w:r>
          </w:p>
        </w:tc>
        <w:tc>
          <w:tcPr>
            <w:tcW w:type="dxa" w:w="1273"/>
          </w:tcPr>
          <w:p>
            <w:pPr>
              <w:spacing w:before="20" w:after="20"/>
              <w:jc w:val="right"/>
            </w:pPr>
            <w:r>
              <w:rPr>
                <w:rFonts w:ascii="Georgia" w:hAnsi="Georgia"/>
                <w:sz w:val="14"/>
              </w:rPr>
            </w:r>
            <w:r>
              <w:rPr>
                <w:rFonts w:ascii="Georgia" w:hAnsi="Georgia"/>
                <w:sz w:val="14"/>
              </w:rPr>
              <w:t>c.605</w:t>
            </w:r>
          </w:p>
        </w:tc>
        <w:tc>
          <w:tcPr>
            <w:tcW w:type="dxa" w:w="1273"/>
          </w:tcPr>
          <w:p>
            <w:pPr>
              <w:spacing w:before="20" w:after="20"/>
              <w:jc w:val="right"/>
            </w:pPr>
            <w:r>
              <w:rPr>
                <w:rFonts w:ascii="Georgia" w:hAnsi="Georgia"/>
                <w:sz w:val="14"/>
              </w:rPr>
            </w:r>
            <w:r>
              <w:rPr>
                <w:rFonts w:ascii="Georgia" w:hAnsi="Georgia"/>
                <w:sz w:val="14"/>
              </w:rPr>
              <w:t>c.690</w:t>
            </w:r>
          </w:p>
        </w:tc>
        <w:tc>
          <w:tcPr>
            <w:tcW w:type="dxa" w:w="1273"/>
          </w:tcPr>
          <w:p>
            <w:pPr>
              <w:spacing w:before="20" w:after="20"/>
              <w:jc w:val="right"/>
            </w:pPr>
            <w:r>
              <w:rPr>
                <w:rFonts w:ascii="Georgia" w:hAnsi="Georgia"/>
                <w:sz w:val="14"/>
              </w:rPr>
            </w:r>
            <w:r>
              <w:rPr>
                <w:rFonts w:ascii="Georgia" w:hAnsi="Georgia"/>
                <w:sz w:val="14"/>
              </w:rPr>
              <w:t>c.727</w:t>
            </w:r>
          </w:p>
        </w:tc>
        <w:tc>
          <w:tcPr>
            <w:tcW w:type="dxa" w:w="1273"/>
          </w:tcPr>
          <w:p>
            <w:pPr>
              <w:spacing w:before="20" w:after="20"/>
              <w:jc w:val="right"/>
            </w:pPr>
            <w:r>
              <w:rPr>
                <w:rFonts w:ascii="Georgia" w:hAnsi="Georgia"/>
                <w:sz w:val="14"/>
              </w:rPr>
            </w:r>
            <w:r>
              <w:rPr>
                <w:rFonts w:ascii="Georgia" w:hAnsi="Georgia"/>
                <w:sz w:val="14"/>
              </w:rPr>
              <w:t>779</w:t>
            </w:r>
          </w:p>
        </w:tc>
        <w:tc>
          <w:tcPr>
            <w:tcW w:type="dxa" w:w="1273"/>
          </w:tcPr>
          <w:p>
            <w:pPr>
              <w:spacing w:before="20" w:after="20"/>
              <w:jc w:val="right"/>
            </w:pPr>
            <w:r>
              <w:rPr>
                <w:rFonts w:ascii="Georgia" w:hAnsi="Georgia"/>
                <w:sz w:val="14"/>
              </w:rPr>
            </w:r>
            <w:r>
              <w:rPr>
                <w:rFonts w:ascii="Georgia" w:hAnsi="Georgia"/>
                <w:sz w:val="14"/>
              </w:rPr>
              <w:t>832</w:t>
            </w:r>
          </w:p>
        </w:tc>
      </w:tr>
      <w:tr>
        <w:tc>
          <w:tcPr>
            <w:tcW w:type="dxa" w:w="1273"/>
            <w:shd w:val="clear" w:fill="F4F7FA"/>
          </w:tcPr>
          <w:p>
            <w:pPr>
              <w:spacing w:before="20" w:after="20"/>
            </w:pPr>
            <w:r>
              <w:rPr>
                <w:rFonts w:ascii="Georgia" w:hAnsi="Georgia"/>
                <w:sz w:val="14"/>
              </w:rPr>
            </w:r>
            <w:r>
              <w:rPr>
                <w:rFonts w:ascii="Georgia" w:hAnsi="Georgia"/>
                <w:sz w:val="14"/>
              </w:rPr>
              <w:t>Non-GAAP operating margin</w:t>
            </w:r>
          </w:p>
        </w:tc>
        <w:tc>
          <w:tcPr>
            <w:tcW w:type="dxa" w:w="1273"/>
            <w:shd w:val="clear" w:fill="F4F7FA"/>
          </w:tcPr>
          <w:p>
            <w:pPr>
              <w:spacing w:before="20" w:after="20"/>
              <w:jc w:val="right"/>
            </w:pPr>
            <w:r>
              <w:rPr>
                <w:rFonts w:ascii="Georgia" w:hAnsi="Georgia"/>
                <w:sz w:val="14"/>
              </w:rPr>
            </w:r>
            <w:r>
              <w:rPr>
                <w:rFonts w:ascii="Georgia" w:hAnsi="Georgia"/>
                <w:sz w:val="14"/>
              </w:rPr>
              <w:t>c.16.6%</w:t>
            </w:r>
          </w:p>
        </w:tc>
        <w:tc>
          <w:tcPr>
            <w:tcW w:type="dxa" w:w="1273"/>
            <w:shd w:val="clear" w:fill="F4F7FA"/>
          </w:tcPr>
          <w:p>
            <w:pPr>
              <w:spacing w:before="20" w:after="20"/>
              <w:jc w:val="right"/>
            </w:pPr>
            <w:r>
              <w:rPr>
                <w:rFonts w:ascii="Georgia" w:hAnsi="Georgia"/>
                <w:sz w:val="14"/>
              </w:rPr>
            </w:r>
            <w:r>
              <w:rPr>
                <w:rFonts w:ascii="Georgia" w:hAnsi="Georgia"/>
                <w:sz w:val="14"/>
              </w:rPr>
              <w:t>c.16.2%</w:t>
            </w:r>
          </w:p>
        </w:tc>
        <w:tc>
          <w:tcPr>
            <w:tcW w:type="dxa" w:w="1273"/>
            <w:shd w:val="clear" w:fill="F4F7FA"/>
          </w:tcPr>
          <w:p>
            <w:pPr>
              <w:spacing w:before="20" w:after="20"/>
              <w:jc w:val="right"/>
            </w:pPr>
            <w:r>
              <w:rPr>
                <w:rFonts w:ascii="Georgia" w:hAnsi="Georgia"/>
                <w:sz w:val="14"/>
              </w:rPr>
            </w:r>
            <w:r>
              <w:rPr>
                <w:rFonts w:ascii="Georgia" w:hAnsi="Georgia"/>
                <w:sz w:val="14"/>
              </w:rPr>
              <w:t>c.16.1%</w:t>
            </w:r>
          </w:p>
        </w:tc>
        <w:tc>
          <w:tcPr>
            <w:tcW w:type="dxa" w:w="1273"/>
            <w:shd w:val="clear" w:fill="F4F7FA"/>
          </w:tcPr>
          <w:p>
            <w:pPr>
              <w:spacing w:before="20" w:after="20"/>
              <w:jc w:val="right"/>
            </w:pPr>
            <w:r>
              <w:rPr>
                <w:rFonts w:ascii="Georgia" w:hAnsi="Georgia"/>
                <w:sz w:val="14"/>
              </w:rPr>
            </w:r>
            <w:r>
              <w:rPr>
                <w:rFonts w:ascii="Georgia" w:hAnsi="Georgia"/>
                <w:sz w:val="14"/>
              </w:rPr>
              <w:t>c.14.3%</w:t>
            </w:r>
          </w:p>
        </w:tc>
        <w:tc>
          <w:tcPr>
            <w:tcW w:type="dxa" w:w="1273"/>
            <w:shd w:val="clear" w:fill="F4F7FA"/>
          </w:tcPr>
          <w:p>
            <w:pPr>
              <w:spacing w:before="20" w:after="20"/>
              <w:jc w:val="right"/>
            </w:pPr>
            <w:r>
              <w:rPr>
                <w:rFonts w:ascii="Georgia" w:hAnsi="Georgia"/>
                <w:sz w:val="14"/>
              </w:rPr>
            </w:r>
            <w:r>
              <w:rPr>
                <w:rFonts w:ascii="Georgia" w:hAnsi="Georgia"/>
                <w:sz w:val="14"/>
              </w:rPr>
              <w:t>c.15.5%</w:t>
            </w:r>
          </w:p>
        </w:tc>
        <w:tc>
          <w:tcPr>
            <w:tcW w:type="dxa" w:w="1273"/>
            <w:shd w:val="clear" w:fill="F4F7FA"/>
          </w:tcPr>
          <w:p>
            <w:pPr>
              <w:spacing w:before="20" w:after="20"/>
              <w:jc w:val="right"/>
            </w:pPr>
            <w:r>
              <w:rPr>
                <w:rFonts w:ascii="Georgia" w:hAnsi="Georgia"/>
                <w:sz w:val="14"/>
              </w:rPr>
            </w:r>
            <w:r>
              <w:rPr>
                <w:rFonts w:ascii="Georgia" w:hAnsi="Georgia"/>
                <w:sz w:val="14"/>
              </w:rPr>
              <w:t>c.16.5%</w:t>
            </w:r>
          </w:p>
        </w:tc>
        <w:tc>
          <w:tcPr>
            <w:tcW w:type="dxa" w:w="1273"/>
            <w:shd w:val="clear" w:fill="F4F7FA"/>
          </w:tcPr>
          <w:p>
            <w:pPr>
              <w:spacing w:before="20" w:after="20"/>
              <w:jc w:val="right"/>
            </w:pPr>
            <w:r>
              <w:rPr>
                <w:rFonts w:ascii="Georgia" w:hAnsi="Georgia"/>
                <w:sz w:val="14"/>
              </w:rPr>
            </w:r>
            <w:r>
              <w:rPr>
                <w:rFonts w:ascii="Georgia" w:hAnsi="Georgia"/>
                <w:sz w:val="14"/>
              </w:rPr>
              <w:t>15.2%</w:t>
            </w:r>
          </w:p>
        </w:tc>
      </w:tr>
      <w:tr>
        <w:tc>
          <w:tcPr>
            <w:tcW w:type="dxa" w:w="1273"/>
          </w:tcPr>
          <w:p>
            <w:pPr>
              <w:spacing w:before="20" w:after="20"/>
            </w:pPr>
            <w:r>
              <w:rPr>
                <w:rFonts w:ascii="Georgia" w:hAnsi="Georgia"/>
                <w:sz w:val="14"/>
              </w:rPr>
            </w:r>
            <w:r>
              <w:rPr>
                <w:rFonts w:ascii="Georgia" w:hAnsi="Georgia"/>
                <w:sz w:val="14"/>
              </w:rPr>
              <w:t>GAAP diluted EPS ($)</w:t>
            </w:r>
          </w:p>
        </w:tc>
        <w:tc>
          <w:tcPr>
            <w:tcW w:type="dxa" w:w="1273"/>
          </w:tcPr>
          <w:p>
            <w:pPr>
              <w:spacing w:before="20" w:after="20"/>
              <w:jc w:val="right"/>
            </w:pPr>
            <w:r>
              <w:rPr>
                <w:rFonts w:ascii="Georgia" w:hAnsi="Georgia"/>
                <w:sz w:val="14"/>
              </w:rPr>
            </w:r>
            <w:r>
              <w:rPr>
                <w:rFonts w:ascii="Georgia" w:hAnsi="Georgia"/>
                <w:sz w:val="14"/>
              </w:rPr>
              <w:t>4.10</w:t>
            </w:r>
          </w:p>
        </w:tc>
        <w:tc>
          <w:tcPr>
            <w:tcW w:type="dxa" w:w="1273"/>
          </w:tcPr>
          <w:p>
            <w:pPr>
              <w:spacing w:before="20" w:after="20"/>
              <w:jc w:val="right"/>
            </w:pPr>
            <w:r>
              <w:rPr>
                <w:rFonts w:ascii="Georgia" w:hAnsi="Georgia"/>
                <w:sz w:val="14"/>
              </w:rPr>
            </w:r>
            <w:r>
              <w:rPr>
                <w:rFonts w:ascii="Georgia" w:hAnsi="Georgia"/>
                <w:sz w:val="14"/>
              </w:rPr>
              <w:t>5.60</w:t>
            </w:r>
          </w:p>
        </w:tc>
        <w:tc>
          <w:tcPr>
            <w:tcW w:type="dxa" w:w="1273"/>
          </w:tcPr>
          <w:p>
            <w:pPr>
              <w:spacing w:before="20" w:after="20"/>
              <w:jc w:val="right"/>
            </w:pPr>
            <w:r>
              <w:rPr>
                <w:rFonts w:ascii="Georgia" w:hAnsi="Georgia"/>
                <w:sz w:val="14"/>
              </w:rPr>
            </w:r>
            <w:r>
              <w:rPr>
                <w:rFonts w:ascii="Georgia" w:hAnsi="Georgia"/>
                <w:sz w:val="14"/>
              </w:rPr>
              <w:t>8.15</w:t>
            </w:r>
          </w:p>
        </w:tc>
        <w:tc>
          <w:tcPr>
            <w:tcW w:type="dxa" w:w="1273"/>
          </w:tcPr>
          <w:p>
            <w:pPr>
              <w:spacing w:before="20" w:after="20"/>
              <w:jc w:val="right"/>
            </w:pPr>
            <w:r>
              <w:rPr>
                <w:rFonts w:ascii="Georgia" w:hAnsi="Georgia"/>
                <w:sz w:val="14"/>
              </w:rPr>
            </w:r>
            <w:r>
              <w:rPr>
                <w:rFonts w:ascii="Georgia" w:hAnsi="Georgia"/>
                <w:sz w:val="14"/>
              </w:rPr>
              <w:t>7.09</w:t>
            </w:r>
          </w:p>
        </w:tc>
        <w:tc>
          <w:tcPr>
            <w:tcW w:type="dxa" w:w="1273"/>
          </w:tcPr>
          <w:p>
            <w:pPr>
              <w:spacing w:before="20" w:after="20"/>
              <w:jc w:val="right"/>
            </w:pPr>
            <w:r>
              <w:rPr>
                <w:rFonts w:ascii="Georgia" w:hAnsi="Georgia"/>
                <w:sz w:val="14"/>
              </w:rPr>
            </w:r>
            <w:r>
              <w:rPr>
                <w:rFonts w:ascii="Georgia" w:hAnsi="Georgia"/>
                <w:sz w:val="14"/>
              </w:rPr>
              <w:t>7.06</w:t>
            </w:r>
          </w:p>
        </w:tc>
        <w:tc>
          <w:tcPr>
            <w:tcW w:type="dxa" w:w="1273"/>
          </w:tcPr>
          <w:p>
            <w:pPr>
              <w:spacing w:before="20" w:after="20"/>
              <w:jc w:val="right"/>
            </w:pPr>
            <w:r>
              <w:rPr>
                <w:rFonts w:ascii="Georgia" w:hAnsi="Georgia"/>
                <w:sz w:val="14"/>
              </w:rPr>
            </w:r>
            <w:r>
              <w:rPr>
                <w:rFonts w:ascii="Georgia" w:hAnsi="Georgia"/>
                <w:sz w:val="14"/>
              </w:rPr>
              <w:t>7.93</w:t>
            </w:r>
          </w:p>
        </w:tc>
        <w:tc>
          <w:tcPr>
            <w:tcW w:type="dxa" w:w="1273"/>
          </w:tcPr>
          <w:p>
            <w:pPr>
              <w:spacing w:before="20" w:after="20"/>
              <w:jc w:val="right"/>
            </w:pPr>
            <w:r>
              <w:rPr>
                <w:rFonts w:ascii="Georgia" w:hAnsi="Georgia"/>
                <w:sz w:val="14"/>
              </w:rPr>
            </w:r>
            <w:r>
              <w:rPr>
                <w:rFonts w:ascii="Georgia" w:hAnsi="Georgia"/>
                <w:sz w:val="14"/>
              </w:rPr>
              <w:t>6.72</w:t>
            </w:r>
          </w:p>
        </w:tc>
      </w:tr>
      <w:tr>
        <w:tc>
          <w:tcPr>
            <w:tcW w:type="dxa" w:w="1273"/>
            <w:shd w:val="clear" w:fill="F4F7FA"/>
          </w:tcPr>
          <w:p>
            <w:pPr>
              <w:spacing w:before="20" w:after="20"/>
            </w:pPr>
            <w:r>
              <w:rPr>
                <w:rFonts w:ascii="Georgia" w:hAnsi="Georgia"/>
                <w:sz w:val="14"/>
              </w:rPr>
            </w:r>
            <w:r>
              <w:rPr>
                <w:rFonts w:ascii="Georgia" w:hAnsi="Georgia"/>
                <w:sz w:val="14"/>
              </w:rPr>
              <w:t>Non-GAAP diluted EPS ($)</w:t>
            </w:r>
          </w:p>
        </w:tc>
        <w:tc>
          <w:tcPr>
            <w:tcW w:type="dxa" w:w="1273"/>
            <w:shd w:val="clear" w:fill="F4F7FA"/>
          </w:tcPr>
          <w:p>
            <w:pPr>
              <w:spacing w:before="20" w:after="20"/>
              <w:jc w:val="right"/>
            </w:pPr>
            <w:r>
              <w:rPr>
                <w:rFonts w:ascii="Georgia" w:hAnsi="Georgia"/>
                <w:sz w:val="14"/>
              </w:rPr>
            </w:r>
            <w:r>
              <w:rPr>
                <w:rFonts w:ascii="Georgia" w:hAnsi="Georgia"/>
                <w:sz w:val="14"/>
              </w:rPr>
              <w:t>c.4.94</w:t>
            </w:r>
          </w:p>
        </w:tc>
        <w:tc>
          <w:tcPr>
            <w:tcW w:type="dxa" w:w="1273"/>
            <w:shd w:val="clear" w:fill="F4F7FA"/>
          </w:tcPr>
          <w:p>
            <w:pPr>
              <w:spacing w:before="20" w:after="20"/>
              <w:jc w:val="right"/>
            </w:pPr>
            <w:r>
              <w:rPr>
                <w:rFonts w:ascii="Georgia" w:hAnsi="Georgia"/>
                <w:sz w:val="14"/>
              </w:rPr>
            </w:r>
            <w:r>
              <w:rPr>
                <w:rFonts w:ascii="Georgia" w:hAnsi="Georgia"/>
                <w:sz w:val="14"/>
              </w:rPr>
              <w:t>c.6.32</w:t>
            </w:r>
          </w:p>
        </w:tc>
        <w:tc>
          <w:tcPr>
            <w:tcW w:type="dxa" w:w="1273"/>
            <w:shd w:val="clear" w:fill="F4F7FA"/>
          </w:tcPr>
          <w:p>
            <w:pPr>
              <w:spacing w:before="20" w:after="20"/>
              <w:jc w:val="right"/>
            </w:pPr>
            <w:r>
              <w:rPr>
                <w:rFonts w:ascii="Georgia" w:hAnsi="Georgia"/>
                <w:sz w:val="14"/>
              </w:rPr>
            </w:r>
            <w:r>
              <w:rPr>
                <w:rFonts w:ascii="Georgia" w:hAnsi="Georgia"/>
                <w:sz w:val="14"/>
              </w:rPr>
              <w:t>c.8.80</w:t>
            </w:r>
          </w:p>
        </w:tc>
        <w:tc>
          <w:tcPr>
            <w:tcW w:type="dxa" w:w="1273"/>
            <w:shd w:val="clear" w:fill="F4F7FA"/>
          </w:tcPr>
          <w:p>
            <w:pPr>
              <w:spacing w:before="20" w:after="20"/>
              <w:jc w:val="right"/>
            </w:pPr>
            <w:r>
              <w:rPr>
                <w:rFonts w:ascii="Georgia" w:hAnsi="Georgia"/>
                <w:sz w:val="14"/>
              </w:rPr>
            </w:r>
            <w:r>
              <w:rPr>
                <w:rFonts w:ascii="Georgia" w:hAnsi="Georgia"/>
                <w:sz w:val="14"/>
              </w:rPr>
              <w:t>c.10.15</w:t>
            </w:r>
          </w:p>
        </w:tc>
        <w:tc>
          <w:tcPr>
            <w:tcW w:type="dxa" w:w="1273"/>
            <w:shd w:val="clear" w:fill="F4F7FA"/>
          </w:tcPr>
          <w:p>
            <w:pPr>
              <w:spacing w:before="20" w:after="20"/>
              <w:jc w:val="right"/>
            </w:pPr>
            <w:r>
              <w:rPr>
                <w:rFonts w:ascii="Georgia" w:hAnsi="Georgia"/>
                <w:sz w:val="14"/>
              </w:rPr>
            </w:r>
            <w:r>
              <w:rPr>
                <w:rFonts w:ascii="Georgia" w:hAnsi="Georgia"/>
                <w:sz w:val="14"/>
              </w:rPr>
              <w:t>c.10.35</w:t>
            </w:r>
          </w:p>
        </w:tc>
        <w:tc>
          <w:tcPr>
            <w:tcW w:type="dxa" w:w="1273"/>
            <w:shd w:val="clear" w:fill="F4F7FA"/>
          </w:tcPr>
          <w:p>
            <w:pPr>
              <w:spacing w:before="20" w:after="20"/>
              <w:jc w:val="right"/>
            </w:pPr>
            <w:r>
              <w:rPr>
                <w:rFonts w:ascii="Georgia" w:hAnsi="Georgia"/>
                <w:sz w:val="14"/>
              </w:rPr>
            </w:r>
            <w:r>
              <w:rPr>
                <w:rFonts w:ascii="Georgia" w:hAnsi="Georgia"/>
                <w:sz w:val="14"/>
              </w:rPr>
              <w:t>10.86</w:t>
            </w:r>
          </w:p>
        </w:tc>
        <w:tc>
          <w:tcPr>
            <w:tcW w:type="dxa" w:w="1273"/>
            <w:shd w:val="clear" w:fill="F4F7FA"/>
          </w:tcPr>
          <w:p>
            <w:pPr>
              <w:spacing w:before="20" w:after="20"/>
              <w:jc w:val="right"/>
            </w:pPr>
            <w:r>
              <w:rPr>
                <w:rFonts w:ascii="Georgia" w:hAnsi="Georgia"/>
                <w:sz w:val="14"/>
              </w:rPr>
            </w:r>
            <w:r>
              <w:rPr>
                <w:rFonts w:ascii="Georgia" w:hAnsi="Georgia"/>
                <w:sz w:val="14"/>
              </w:rPr>
              <w:t>11.50</w:t>
            </w:r>
          </w:p>
        </w:tc>
      </w:tr>
      <w:tr>
        <w:tc>
          <w:tcPr>
            <w:tcW w:type="dxa" w:w="1273"/>
          </w:tcPr>
          <w:p>
            <w:pPr>
              <w:spacing w:before="20" w:after="20"/>
            </w:pPr>
            <w:r>
              <w:rPr>
                <w:rFonts w:ascii="Georgia" w:hAnsi="Georgia"/>
                <w:sz w:val="14"/>
              </w:rPr>
            </w:r>
            <w:r>
              <w:rPr>
                <w:rFonts w:ascii="Georgia" w:hAnsi="Georgia"/>
                <w:sz w:val="14"/>
              </w:rPr>
              <w:t>Operating cash flow</w:t>
            </w:r>
          </w:p>
        </w:tc>
        <w:tc>
          <w:tcPr>
            <w:tcW w:type="dxa" w:w="1273"/>
          </w:tcPr>
          <w:p>
            <w:pPr>
              <w:spacing w:before="20" w:after="20"/>
              <w:jc w:val="right"/>
            </w:pPr>
            <w:r>
              <w:rPr>
                <w:rFonts w:ascii="Georgia" w:hAnsi="Georgia"/>
                <w:sz w:val="14"/>
              </w:rPr>
            </w:r>
            <w:r>
              <w:rPr>
                <w:rFonts w:ascii="Georgia" w:hAnsi="Georgia"/>
                <w:sz w:val="14"/>
              </w:rPr>
              <w:t>c.290</w:t>
            </w:r>
          </w:p>
        </w:tc>
        <w:tc>
          <w:tcPr>
            <w:tcW w:type="dxa" w:w="1273"/>
          </w:tcPr>
          <w:p>
            <w:pPr>
              <w:spacing w:before="20" w:after="20"/>
              <w:jc w:val="right"/>
            </w:pPr>
            <w:r>
              <w:rPr>
                <w:rFonts w:ascii="Georgia" w:hAnsi="Georgia"/>
                <w:sz w:val="14"/>
              </w:rPr>
            </w:r>
            <w:r>
              <w:rPr>
                <w:rFonts w:ascii="Georgia" w:hAnsi="Georgia"/>
                <w:sz w:val="14"/>
              </w:rPr>
              <w:t>c.428</w:t>
            </w:r>
          </w:p>
        </w:tc>
        <w:tc>
          <w:tcPr>
            <w:tcW w:type="dxa" w:w="1273"/>
          </w:tcPr>
          <w:p>
            <w:pPr>
              <w:spacing w:before="20" w:after="20"/>
              <w:jc w:val="right"/>
            </w:pPr>
            <w:r>
              <w:rPr>
                <w:rFonts w:ascii="Georgia" w:hAnsi="Georgia"/>
                <w:sz w:val="14"/>
              </w:rPr>
            </w:r>
            <w:r>
              <w:rPr>
                <w:rFonts w:ascii="Georgia" w:hAnsi="Georgia"/>
                <w:sz w:val="14"/>
              </w:rPr>
              <w:t>c.412</w:t>
            </w:r>
          </w:p>
        </w:tc>
        <w:tc>
          <w:tcPr>
            <w:tcW w:type="dxa" w:w="1273"/>
          </w:tcPr>
          <w:p>
            <w:pPr>
              <w:spacing w:before="20" w:after="20"/>
              <w:jc w:val="right"/>
            </w:pPr>
            <w:r>
              <w:rPr>
                <w:rFonts w:ascii="Georgia" w:hAnsi="Georgia"/>
                <w:sz w:val="14"/>
              </w:rPr>
            </w:r>
            <w:r>
              <w:rPr>
                <w:rFonts w:ascii="Georgia" w:hAnsi="Georgia"/>
                <w:sz w:val="14"/>
              </w:rPr>
              <w:t>c.416</w:t>
            </w:r>
          </w:p>
        </w:tc>
        <w:tc>
          <w:tcPr>
            <w:tcW w:type="dxa" w:w="1273"/>
          </w:tcPr>
          <w:p>
            <w:pPr>
              <w:spacing w:before="20" w:after="20"/>
              <w:jc w:val="right"/>
            </w:pPr>
            <w:r>
              <w:rPr>
                <w:rFonts w:ascii="Georgia" w:hAnsi="Georgia"/>
                <w:sz w:val="14"/>
              </w:rPr>
            </w:r>
            <w:r>
              <w:rPr>
                <w:rFonts w:ascii="Georgia" w:hAnsi="Georgia"/>
                <w:sz w:val="14"/>
              </w:rPr>
              <w:t>c.685</w:t>
            </w:r>
          </w:p>
        </w:tc>
        <w:tc>
          <w:tcPr>
            <w:tcW w:type="dxa" w:w="1273"/>
          </w:tcPr>
          <w:p>
            <w:pPr>
              <w:spacing w:before="20" w:after="20"/>
              <w:jc w:val="right"/>
            </w:pPr>
            <w:r>
              <w:rPr>
                <w:rFonts w:ascii="Georgia" w:hAnsi="Georgia"/>
                <w:sz w:val="14"/>
              </w:rPr>
            </w:r>
            <w:r>
              <w:rPr>
                <w:rFonts w:ascii="Georgia" w:hAnsi="Georgia"/>
                <w:sz w:val="14"/>
              </w:rPr>
              <w:t>c.600</w:t>
            </w:r>
          </w:p>
        </w:tc>
        <w:tc>
          <w:tcPr>
            <w:tcW w:type="dxa" w:w="1273"/>
          </w:tcPr>
          <w:p>
            <w:pPr>
              <w:spacing w:before="20" w:after="20"/>
              <w:jc w:val="right"/>
            </w:pPr>
            <w:r>
              <w:rPr>
                <w:rFonts w:ascii="Georgia" w:hAnsi="Georgia"/>
                <w:sz w:val="14"/>
              </w:rPr>
            </w:r>
            <w:r>
              <w:rPr>
                <w:rFonts w:ascii="Georgia" w:hAnsi="Georgia"/>
                <w:sz w:val="14"/>
              </w:rPr>
              <w:t>655</w:t>
            </w:r>
          </w:p>
        </w:tc>
      </w:tr>
      <w:tr>
        <w:tc>
          <w:tcPr>
            <w:tcW w:type="dxa" w:w="1273"/>
            <w:shd w:val="clear" w:fill="F4F7FA"/>
          </w:tcPr>
          <w:p>
            <w:pPr>
              <w:spacing w:before="20" w:after="20"/>
            </w:pPr>
            <w:r>
              <w:rPr>
                <w:rFonts w:ascii="Georgia" w:hAnsi="Georgia"/>
                <w:sz w:val="14"/>
              </w:rPr>
            </w:r>
            <w:r>
              <w:rPr>
                <w:rFonts w:ascii="Georgia" w:hAnsi="Georgia"/>
                <w:sz w:val="14"/>
              </w:rPr>
              <w:t>Free cash flow</w:t>
            </w:r>
          </w:p>
        </w:tc>
        <w:tc>
          <w:tcPr>
            <w:tcW w:type="dxa" w:w="1273"/>
            <w:shd w:val="clear" w:fill="F4F7FA"/>
          </w:tcPr>
          <w:p>
            <w:pPr>
              <w:spacing w:before="20" w:after="20"/>
              <w:jc w:val="right"/>
            </w:pPr>
            <w:r>
              <w:rPr>
                <w:rFonts w:ascii="Georgia" w:hAnsi="Georgia"/>
                <w:sz w:val="14"/>
              </w:rPr>
            </w:r>
            <w:r>
              <w:rPr>
                <w:rFonts w:ascii="Georgia" w:hAnsi="Georgia"/>
                <w:sz w:val="14"/>
              </w:rPr>
              <w:t>c.240</w:t>
            </w:r>
          </w:p>
        </w:tc>
        <w:tc>
          <w:tcPr>
            <w:tcW w:type="dxa" w:w="1273"/>
            <w:shd w:val="clear" w:fill="F4F7FA"/>
          </w:tcPr>
          <w:p>
            <w:pPr>
              <w:spacing w:before="20" w:after="20"/>
              <w:jc w:val="right"/>
            </w:pPr>
            <w:r>
              <w:rPr>
                <w:rFonts w:ascii="Georgia" w:hAnsi="Georgia"/>
                <w:sz w:val="14"/>
              </w:rPr>
            </w:r>
            <w:r>
              <w:rPr>
                <w:rFonts w:ascii="Georgia" w:hAnsi="Georgia"/>
                <w:sz w:val="14"/>
              </w:rPr>
              <w:t>c.390</w:t>
            </w:r>
          </w:p>
        </w:tc>
        <w:tc>
          <w:tcPr>
            <w:tcW w:type="dxa" w:w="1273"/>
            <w:shd w:val="clear" w:fill="F4F7FA"/>
          </w:tcPr>
          <w:p>
            <w:pPr>
              <w:spacing w:before="20" w:after="20"/>
              <w:jc w:val="right"/>
            </w:pPr>
            <w:r>
              <w:rPr>
                <w:rFonts w:ascii="Georgia" w:hAnsi="Georgia"/>
                <w:sz w:val="14"/>
              </w:rPr>
            </w:r>
            <w:r>
              <w:rPr>
                <w:rFonts w:ascii="Georgia" w:hAnsi="Georgia"/>
                <w:sz w:val="14"/>
              </w:rPr>
              <w:t>c.360</w:t>
            </w:r>
          </w:p>
        </w:tc>
        <w:tc>
          <w:tcPr>
            <w:tcW w:type="dxa" w:w="1273"/>
            <w:shd w:val="clear" w:fill="F4F7FA"/>
          </w:tcPr>
          <w:p>
            <w:pPr>
              <w:spacing w:before="20" w:after="20"/>
              <w:jc w:val="right"/>
            </w:pPr>
            <w:r>
              <w:rPr>
                <w:rFonts w:ascii="Georgia" w:hAnsi="Georgia"/>
                <w:sz w:val="14"/>
              </w:rPr>
            </w:r>
            <w:r>
              <w:rPr>
                <w:rFonts w:ascii="Georgia" w:hAnsi="Georgia"/>
                <w:sz w:val="14"/>
              </w:rPr>
              <w:t>c.360</w:t>
            </w:r>
          </w:p>
        </w:tc>
        <w:tc>
          <w:tcPr>
            <w:tcW w:type="dxa" w:w="1273"/>
            <w:shd w:val="clear" w:fill="F4F7FA"/>
          </w:tcPr>
          <w:p>
            <w:pPr>
              <w:spacing w:before="20" w:after="20"/>
              <w:jc w:val="right"/>
            </w:pPr>
            <w:r>
              <w:rPr>
                <w:rFonts w:ascii="Georgia" w:hAnsi="Georgia"/>
                <w:sz w:val="14"/>
              </w:rPr>
            </w:r>
            <w:r>
              <w:rPr>
                <w:rFonts w:ascii="Georgia" w:hAnsi="Georgia"/>
                <w:sz w:val="14"/>
              </w:rPr>
              <w:t>c.640</w:t>
            </w:r>
          </w:p>
        </w:tc>
        <w:tc>
          <w:tcPr>
            <w:tcW w:type="dxa" w:w="1273"/>
            <w:shd w:val="clear" w:fill="F4F7FA"/>
          </w:tcPr>
          <w:p>
            <w:pPr>
              <w:spacing w:before="20" w:after="20"/>
              <w:jc w:val="right"/>
            </w:pPr>
            <w:r>
              <w:rPr>
                <w:rFonts w:ascii="Georgia" w:hAnsi="Georgia"/>
                <w:sz w:val="14"/>
              </w:rPr>
            </w:r>
            <w:r>
              <w:rPr>
                <w:rFonts w:ascii="Georgia" w:hAnsi="Georgia"/>
                <w:sz w:val="14"/>
              </w:rPr>
              <w:t>c.560</w:t>
            </w:r>
          </w:p>
        </w:tc>
        <w:tc>
          <w:tcPr>
            <w:tcW w:type="dxa" w:w="1273"/>
            <w:shd w:val="clear" w:fill="F4F7FA"/>
          </w:tcPr>
          <w:p>
            <w:pPr>
              <w:spacing w:before="20" w:after="20"/>
              <w:jc w:val="right"/>
            </w:pPr>
            <w:r>
              <w:rPr>
                <w:rFonts w:ascii="Georgia" w:hAnsi="Georgia"/>
                <w:sz w:val="14"/>
              </w:rPr>
            </w:r>
            <w:r>
              <w:rPr>
                <w:rFonts w:ascii="Georgia" w:hAnsi="Georgia"/>
                <w:sz w:val="14"/>
              </w:rPr>
              <w:t>613</w:t>
            </w:r>
          </w:p>
        </w:tc>
      </w:tr>
    </w:tbl>
    <w:p>
      <w:pPr>
        <w:spacing w:after="60"/>
      </w:pPr>
    </w:p>
    <w:p>
      <w:pPr>
        <w:spacing w:before="0" w:after="120"/>
        <w:jc w:val="both"/>
      </w:pPr>
      <w:r>
        <w:rPr>
          <w:i/>
          <w:color w:val="555555"/>
          <w:sz w:val="15"/>
        </w:rPr>
        <w:t>Revenue for all years, and FY2024–25 operating income, margins, EPS and cash flow, are reported figures. Items marked "c." for FY2019–2023 are author estimates reconstructed from disclosed growth rates and margin commentary, and should be treated as indicative.</w:t>
      </w:r>
    </w:p>
    <w:p>
      <w:pPr>
        <w:keepNext/>
        <w:spacing w:before="140" w:after="60"/>
      </w:pPr>
      <w:r>
        <w:rPr>
          <w:rFonts w:ascii="Georgia" w:hAnsi="Georgia"/>
          <w:b/>
          <w:color w:val="333333"/>
          <w:sz w:val="19"/>
        </w:rPr>
        <w:t>What the numbers say</w:t>
      </w:r>
    </w:p>
    <w:p>
      <w:pPr>
        <w:spacing w:before="0" w:after="80"/>
        <w:jc w:val="both"/>
      </w:pPr>
      <w:r>
        <w:rPr/>
        <w:t xml:space="preserve">Three distinct eras are visible. </w:t>
      </w:r>
      <w:r>
        <w:rPr>
          <w:b/>
        </w:rPr>
        <w:t>2019–2021</w:t>
      </w:r>
      <w:r>
        <w:rPr/>
        <w:t xml:space="preserve">: compounding above 20% with a stable 16% non-GAAP margin — the model working as designed. </w:t>
      </w:r>
      <w:r>
        <w:rPr>
          <w:b/>
        </w:rPr>
        <w:t>2022–2024</w:t>
      </w:r>
      <w:r>
        <w:rPr/>
        <w:t xml:space="preserve">: the war shock, followed by a demand air-pocket; revenue essentially flat for three years at roughly $4.7bn while EPAM rebuilt its delivery map from Eastern Europe to India and Latin America. Margin troughed at roughly 14.3% in 2022 on relocation costs, then recovered. </w:t>
      </w:r>
      <w:r>
        <w:rPr>
          <w:b/>
        </w:rPr>
        <w:t>2025–2026</w:t>
      </w:r>
      <w:r>
        <w:rPr/>
        <w:t xml:space="preserve">: reported growth of 15.4% that flattered a much weaker organic reality — organic constant-currency growth was only </w:t>
      </w:r>
      <w:r>
        <w:rPr>
          <w:b/>
        </w:rPr>
        <w:t>4.9%</w:t>
      </w:r>
      <w:r>
        <w:rPr/>
        <w:t>, with roughly 10pp of the reported figure bought via NEORIS and First Derivative. As those acquisitions annualise out in 2026, the organic rate of 2–3% is exposed.</w:t>
      </w:r>
    </w:p>
    <w:p>
      <w:pPr>
        <w:spacing w:before="0" w:after="80"/>
        <w:jc w:val="both"/>
      </w:pPr>
      <w:r>
        <w:rPr>
          <w:b/>
        </w:rPr>
        <w:t>The GAAP/non-GAAP divergence in FY2025 deserves attention.</w:t>
      </w:r>
      <w:r>
        <w:rPr/>
        <w:t xml:space="preserve"> GAAP operating income fell 4.5% to $520.0m while non-GAAP operating income rose 6.7% to $831.5m. The $311.5m gap — 5.7% of revenue — comprises stock-based compensation, acquired-intangible amortisation and acquisition costs. More strikingly, GAAP diluted EPS fell </w:t>
      </w:r>
      <w:r>
        <w:rPr>
          <w:b/>
        </w:rPr>
        <w:t>14.3%</w:t>
      </w:r>
      <w:r>
        <w:rPr/>
        <w:t xml:space="preserve"> to $6.72 while non-GAAP EPS rose 5.9% to $11.50. The GAAP decline reflects a higher effective tax rate (guided at roughly 30% GAAP versus 24% non-GAAP) and materially lower interest income following the cash outflow for NEORIS. Investors should note that non-GAAP EPS has now grown for five consecutive years while GAAP EPS in FY2025 was </w:t>
      </w:r>
      <w:r>
        <w:rPr>
          <w:i/>
        </w:rPr>
        <w:t>below</w:t>
      </w:r>
      <w:r>
        <w:rPr/>
        <w:t xml:space="preserve"> its FY2021 level of $8.15.</w:t>
      </w:r>
    </w:p>
    <w:p>
      <w:pPr>
        <w:keepNext/>
        <w:spacing w:before="200" w:after="80"/>
      </w:pPr>
      <w:r>
        <w:rPr>
          <w:rFonts w:ascii="Georgia" w:hAnsi="Georgia"/>
          <w:b/>
          <w:color w:val="14487F"/>
          <w:sz w:val="21"/>
        </w:rPr>
        <w:t>Segment and geographic detail</w:t>
      </w:r>
    </w:p>
    <w:p>
      <w:pPr>
        <w:spacing w:before="0" w:after="80"/>
        <w:jc w:val="both"/>
      </w:pPr>
      <w:r>
        <w:rPr/>
        <w:t xml:space="preserve">EPAM reports two accounting segments — </w:t>
      </w:r>
      <w:r>
        <w:rPr>
          <w:b/>
        </w:rPr>
        <w:t>Americas</w:t>
      </w:r>
      <w:r>
        <w:rPr/>
        <w:t xml:space="preserve"> and </w:t>
      </w:r>
      <w:r>
        <w:rPr>
          <w:b/>
        </w:rPr>
        <w:t>Europe</w:t>
      </w:r>
      <w:r>
        <w:rPr/>
        <w:t xml:space="preserve">. Goodwill at 30 September 2025 stood at $1,208.9m, split $652.2m to Americas and $556.7m to Europe, with no accumulated impairment losses in either segment. Notably, EPAM </w:t>
      </w:r>
      <w:r>
        <w:rPr>
          <w:i/>
        </w:rPr>
        <w:t>does not allocate</w:t>
      </w:r>
      <w:r>
        <w:rPr/>
        <w:t xml:space="preserve"> intangible amortisation, impairment charges, stock-based compensation, acquisition costs or one-time items to segments — these sit at corporate level, which means reported segment profitability is a non-GAAP-like measure and is not directly comparable to consolidated GAAP operating income.</w:t>
      </w:r>
    </w:p>
    <w:tbl>
      <w:tblPr>
        <w:tblStyle w:val="TableGrid"/>
        <w:tblW w:type="auto" w:w="0"/>
        <w:jc w:val="center"/>
        <w:tblLayout w:type="autofit"/>
        <w:tblLook w:firstColumn="1" w:firstRow="1" w:lastColumn="0" w:lastRow="0" w:noHBand="0" w:noVBand="1" w:val="04A0"/>
      </w:tblPr>
      <w:tblGrid>
        <w:gridCol w:w="1454"/>
        <w:gridCol w:w="1454"/>
        <w:gridCol w:w="1454"/>
        <w:gridCol w:w="1454"/>
        <w:gridCol w:w="1454"/>
        <w:gridCol w:w="1454"/>
        <w:gridCol w:w="1454"/>
      </w:tblGrid>
      <w:tr>
        <w:tc>
          <w:tcPr>
            <w:tcW w:type="dxa" w:w="1454"/>
            <w:shd w:val="clear" w:fill="0B2545"/>
          </w:tcPr>
          <w:p>
            <w:pPr>
              <w:spacing w:before="20" w:after="20"/>
            </w:pPr>
            <w:r>
              <w:rPr>
                <w:rFonts w:ascii="Georgia" w:hAnsi="Georgia"/>
                <w:b/>
                <w:color w:val="FFFFFF"/>
                <w:sz w:val="14"/>
              </w:rPr>
            </w:r>
            <w:r>
              <w:rPr>
                <w:rFonts w:ascii="Georgia" w:hAnsi="Georgia"/>
                <w:b/>
                <w:color w:val="FFFFFF"/>
                <w:sz w:val="14"/>
              </w:rPr>
              <w:t>Geography</w:t>
            </w:r>
          </w:p>
        </w:tc>
        <w:tc>
          <w:tcPr>
            <w:tcW w:type="dxa" w:w="1454"/>
            <w:shd w:val="clear" w:fill="0B2545"/>
          </w:tcPr>
          <w:p>
            <w:pPr>
              <w:spacing w:before="20" w:after="20"/>
              <w:jc w:val="right"/>
            </w:pPr>
            <w:r>
              <w:rPr>
                <w:rFonts w:ascii="Georgia" w:hAnsi="Georgia"/>
                <w:b/>
                <w:color w:val="FFFFFF"/>
                <w:sz w:val="14"/>
              </w:rPr>
            </w:r>
            <w:r>
              <w:rPr>
                <w:rFonts w:ascii="Georgia" w:hAnsi="Georgia"/>
                <w:b/>
                <w:color w:val="FFFFFF"/>
                <w:sz w:val="14"/>
              </w:rPr>
              <w:t>Q1-25</w:t>
            </w:r>
          </w:p>
        </w:tc>
        <w:tc>
          <w:tcPr>
            <w:tcW w:type="dxa" w:w="1454"/>
            <w:shd w:val="clear" w:fill="0B2545"/>
          </w:tcPr>
          <w:p>
            <w:pPr>
              <w:spacing w:before="20" w:after="20"/>
              <w:jc w:val="right"/>
            </w:pPr>
            <w:r>
              <w:rPr>
                <w:rFonts w:ascii="Georgia" w:hAnsi="Georgia"/>
                <w:b/>
                <w:color w:val="FFFFFF"/>
                <w:sz w:val="14"/>
              </w:rPr>
            </w:r>
            <w:r>
              <w:rPr>
                <w:rFonts w:ascii="Georgia" w:hAnsi="Georgia"/>
                <w:b/>
                <w:color w:val="FFFFFF"/>
                <w:sz w:val="14"/>
              </w:rPr>
              <w:t>Q2-25</w:t>
            </w:r>
          </w:p>
        </w:tc>
        <w:tc>
          <w:tcPr>
            <w:tcW w:type="dxa" w:w="1454"/>
            <w:shd w:val="clear" w:fill="0B2545"/>
          </w:tcPr>
          <w:p>
            <w:pPr>
              <w:spacing w:before="20" w:after="20"/>
              <w:jc w:val="right"/>
            </w:pPr>
            <w:r>
              <w:rPr>
                <w:rFonts w:ascii="Georgia" w:hAnsi="Georgia"/>
                <w:b/>
                <w:color w:val="FFFFFF"/>
                <w:sz w:val="14"/>
              </w:rPr>
            </w:r>
            <w:r>
              <w:rPr>
                <w:rFonts w:ascii="Georgia" w:hAnsi="Georgia"/>
                <w:b/>
                <w:color w:val="FFFFFF"/>
                <w:sz w:val="14"/>
              </w:rPr>
              <w:t>Q3-25</w:t>
            </w:r>
          </w:p>
        </w:tc>
        <w:tc>
          <w:tcPr>
            <w:tcW w:type="dxa" w:w="1454"/>
            <w:shd w:val="clear" w:fill="0B2545"/>
          </w:tcPr>
          <w:p>
            <w:pPr>
              <w:spacing w:before="20" w:after="20"/>
              <w:jc w:val="right"/>
            </w:pPr>
            <w:r>
              <w:rPr>
                <w:rFonts w:ascii="Georgia" w:hAnsi="Georgia"/>
                <w:b/>
                <w:color w:val="FFFFFF"/>
                <w:sz w:val="14"/>
              </w:rPr>
            </w:r>
            <w:r>
              <w:rPr>
                <w:rFonts w:ascii="Georgia" w:hAnsi="Georgia"/>
                <w:b/>
                <w:color w:val="FFFFFF"/>
                <w:sz w:val="14"/>
              </w:rPr>
              <w:t>Q1-26</w:t>
            </w:r>
          </w:p>
        </w:tc>
        <w:tc>
          <w:tcPr>
            <w:tcW w:type="dxa" w:w="1454"/>
            <w:shd w:val="clear" w:fill="0B2545"/>
          </w:tcPr>
          <w:p>
            <w:pPr>
              <w:spacing w:before="20" w:after="20"/>
              <w:jc w:val="right"/>
            </w:pPr>
            <w:r>
              <w:rPr>
                <w:rFonts w:ascii="Georgia" w:hAnsi="Georgia"/>
                <w:b/>
                <w:color w:val="FFFFFF"/>
                <w:sz w:val="14"/>
              </w:rPr>
            </w:r>
            <w:r>
              <w:rPr>
                <w:rFonts w:ascii="Georgia" w:hAnsi="Georgia"/>
                <w:b/>
                <w:color w:val="FFFFFF"/>
                <w:sz w:val="14"/>
              </w:rPr>
              <w:t>Q2-26</w:t>
            </w:r>
          </w:p>
        </w:tc>
        <w:tc>
          <w:tcPr>
            <w:tcW w:type="dxa" w:w="1454"/>
            <w:shd w:val="clear" w:fill="0B2545"/>
          </w:tcPr>
          <w:p>
            <w:pPr>
              <w:spacing w:before="20" w:after="20"/>
            </w:pPr>
            <w:r>
              <w:rPr>
                <w:rFonts w:ascii="Georgia" w:hAnsi="Georgia"/>
                <w:b/>
                <w:color w:val="FFFFFF"/>
                <w:sz w:val="14"/>
              </w:rPr>
            </w:r>
            <w:r>
              <w:rPr>
                <w:rFonts w:ascii="Georgia" w:hAnsi="Georgia"/>
                <w:b/>
                <w:color w:val="FFFFFF"/>
                <w:sz w:val="14"/>
              </w:rPr>
              <w:t>Trend</w:t>
            </w:r>
          </w:p>
        </w:tc>
      </w:tr>
      <w:tr>
        <w:tc>
          <w:tcPr>
            <w:tcW w:type="dxa" w:w="1454"/>
          </w:tcPr>
          <w:p>
            <w:pPr>
              <w:spacing w:before="20" w:after="20"/>
            </w:pPr>
            <w:r>
              <w:rPr>
                <w:rFonts w:ascii="Georgia" w:hAnsi="Georgia"/>
                <w:sz w:val="14"/>
              </w:rPr>
            </w:r>
            <w:r>
              <w:rPr>
                <w:rFonts w:ascii="Georgia" w:hAnsi="Georgia"/>
                <w:sz w:val="14"/>
              </w:rPr>
              <w:t>Americas revenue ($m)</w:t>
            </w:r>
          </w:p>
        </w:tc>
        <w:tc>
          <w:tcPr>
            <w:tcW w:type="dxa" w:w="1454"/>
          </w:tcPr>
          <w:p>
            <w:pPr>
              <w:spacing w:before="20" w:after="20"/>
              <w:jc w:val="right"/>
            </w:pPr>
            <w:r>
              <w:rPr>
                <w:rFonts w:ascii="Georgia" w:hAnsi="Georgia"/>
                <w:sz w:val="14"/>
              </w:rPr>
            </w:r>
            <w:r>
              <w:rPr>
                <w:rFonts w:ascii="Georgia" w:hAnsi="Georgia"/>
                <w:sz w:val="14"/>
              </w:rPr>
              <w:t>780</w:t>
            </w:r>
          </w:p>
        </w:tc>
        <w:tc>
          <w:tcPr>
            <w:tcW w:type="dxa" w:w="1454"/>
          </w:tcPr>
          <w:p>
            <w:pPr>
              <w:spacing w:before="20" w:after="20"/>
              <w:jc w:val="right"/>
            </w:pPr>
            <w:r>
              <w:rPr>
                <w:rFonts w:ascii="Georgia" w:hAnsi="Georgia"/>
                <w:sz w:val="14"/>
              </w:rPr>
            </w:r>
            <w:r>
              <w:rPr>
                <w:rFonts w:ascii="Georgia" w:hAnsi="Georgia"/>
                <w:sz w:val="14"/>
              </w:rPr>
              <w:t>801</w:t>
            </w:r>
          </w:p>
        </w:tc>
        <w:tc>
          <w:tcPr>
            <w:tcW w:type="dxa" w:w="1454"/>
          </w:tcPr>
          <w:p>
            <w:pPr>
              <w:spacing w:before="20" w:after="20"/>
              <w:jc w:val="right"/>
            </w:pPr>
            <w:r>
              <w:rPr>
                <w:rFonts w:ascii="Georgia" w:hAnsi="Georgia"/>
                <w:sz w:val="14"/>
              </w:rPr>
            </w:r>
            <w:r>
              <w:rPr>
                <w:rFonts w:ascii="Georgia" w:hAnsi="Georgia"/>
                <w:sz w:val="14"/>
              </w:rPr>
              <w:t>808</w:t>
            </w:r>
          </w:p>
        </w:tc>
        <w:tc>
          <w:tcPr>
            <w:tcW w:type="dxa" w:w="1454"/>
          </w:tcPr>
          <w:p>
            <w:pPr>
              <w:spacing w:before="20" w:after="20"/>
              <w:jc w:val="right"/>
            </w:pPr>
            <w:r>
              <w:rPr>
                <w:rFonts w:ascii="Georgia" w:hAnsi="Georgia"/>
                <w:sz w:val="14"/>
              </w:rPr>
            </w:r>
            <w:r>
              <w:rPr>
                <w:rFonts w:ascii="Georgia" w:hAnsi="Georgia"/>
                <w:sz w:val="14"/>
              </w:rPr>
              <w:t>c.800</w:t>
            </w:r>
          </w:p>
        </w:tc>
        <w:tc>
          <w:tcPr>
            <w:tcW w:type="dxa" w:w="1454"/>
          </w:tcPr>
          <w:p>
            <w:pPr>
              <w:spacing w:before="20" w:after="20"/>
              <w:jc w:val="right"/>
            </w:pPr>
            <w:r>
              <w:rPr>
                <w:rFonts w:ascii="Georgia" w:hAnsi="Georgia"/>
                <w:sz w:val="14"/>
              </w:rPr>
            </w:r>
            <w:r>
              <w:rPr>
                <w:rFonts w:ascii="Georgia" w:hAnsi="Georgia"/>
                <w:sz w:val="14"/>
              </w:rPr>
              <w:t>806</w:t>
            </w:r>
          </w:p>
        </w:tc>
        <w:tc>
          <w:tcPr>
            <w:tcW w:type="dxa" w:w="1454"/>
          </w:tcPr>
          <w:p>
            <w:pPr>
              <w:spacing w:before="20" w:after="20"/>
            </w:pPr>
            <w:r>
              <w:rPr>
                <w:rFonts w:ascii="Georgia" w:hAnsi="Georgia"/>
                <w:sz w:val="14"/>
              </w:rPr>
            </w:r>
            <w:r>
              <w:rPr>
                <w:rFonts w:ascii="Georgia" w:hAnsi="Georgia"/>
                <w:sz w:val="14"/>
              </w:rPr>
              <w:t>Growth collapsed from +16.0% (Q3-25) to +0.5% (Q2-26)</w:t>
            </w:r>
          </w:p>
        </w:tc>
      </w:tr>
      <w:tr>
        <w:tc>
          <w:tcPr>
            <w:tcW w:type="dxa" w:w="1454"/>
            <w:shd w:val="clear" w:fill="F4F7FA"/>
          </w:tcPr>
          <w:p>
            <w:pPr>
              <w:spacing w:before="20" w:after="20"/>
            </w:pPr>
            <w:r>
              <w:rPr>
                <w:rFonts w:ascii="Georgia" w:hAnsi="Georgia"/>
                <w:sz w:val="14"/>
              </w:rPr>
            </w:r>
            <w:r>
              <w:rPr>
                <w:rFonts w:ascii="Georgia" w:hAnsi="Georgia"/>
                <w:sz w:val="14"/>
              </w:rPr>
              <w:t>Americas growth</w:t>
            </w:r>
          </w:p>
        </w:tc>
        <w:tc>
          <w:tcPr>
            <w:tcW w:type="dxa" w:w="1454"/>
            <w:shd w:val="clear" w:fill="F4F7FA"/>
          </w:tcPr>
          <w:p>
            <w:pPr>
              <w:spacing w:before="20" w:after="20"/>
              <w:jc w:val="right"/>
            </w:pPr>
            <w:r>
              <w:rPr>
                <w:rFonts w:ascii="Georgia" w:hAnsi="Georgia"/>
                <w:sz w:val="14"/>
              </w:rPr>
            </w:r>
            <w:r>
              <w:rPr>
                <w:rFonts w:ascii="Georgia" w:hAnsi="Georgia"/>
                <w:sz w:val="14"/>
              </w:rPr>
              <w:t>+12.6%</w:t>
            </w:r>
          </w:p>
        </w:tc>
        <w:tc>
          <w:tcPr>
            <w:tcW w:type="dxa" w:w="1454"/>
            <w:shd w:val="clear" w:fill="F4F7FA"/>
          </w:tcPr>
          <w:p>
            <w:pPr>
              <w:spacing w:before="20" w:after="20"/>
              <w:jc w:val="right"/>
            </w:pPr>
            <w:r>
              <w:rPr>
                <w:rFonts w:ascii="Georgia" w:hAnsi="Georgia"/>
                <w:sz w:val="14"/>
              </w:rPr>
            </w:r>
            <w:r>
              <w:rPr>
                <w:rFonts w:ascii="Georgia" w:hAnsi="Georgia"/>
                <w:sz w:val="14"/>
              </w:rPr>
              <w:t>+15.9%</w:t>
            </w:r>
          </w:p>
        </w:tc>
        <w:tc>
          <w:tcPr>
            <w:tcW w:type="dxa" w:w="1454"/>
            <w:shd w:val="clear" w:fill="F4F7FA"/>
          </w:tcPr>
          <w:p>
            <w:pPr>
              <w:spacing w:before="20" w:after="20"/>
              <w:jc w:val="right"/>
            </w:pPr>
            <w:r>
              <w:rPr>
                <w:rFonts w:ascii="Georgia" w:hAnsi="Georgia"/>
                <w:sz w:val="14"/>
              </w:rPr>
            </w:r>
            <w:r>
              <w:rPr>
                <w:rFonts w:ascii="Georgia" w:hAnsi="Georgia"/>
                <w:sz w:val="14"/>
              </w:rPr>
              <w:t>+16.0%</w:t>
            </w:r>
          </w:p>
        </w:tc>
        <w:tc>
          <w:tcPr>
            <w:tcW w:type="dxa" w:w="1454"/>
            <w:shd w:val="clear" w:fill="F4F7FA"/>
          </w:tcPr>
          <w:p>
            <w:pPr>
              <w:spacing w:before="20" w:after="20"/>
              <w:jc w:val="right"/>
            </w:pPr>
            <w:r>
              <w:rPr>
                <w:rFonts w:ascii="Georgia" w:hAnsi="Georgia"/>
                <w:sz w:val="14"/>
              </w:rPr>
            </w:r>
            <w:r>
              <w:rPr>
                <w:rFonts w:ascii="Georgia" w:hAnsi="Georgia"/>
                <w:sz w:val="14"/>
              </w:rPr>
              <w:t>+2.5%</w:t>
            </w:r>
          </w:p>
        </w:tc>
        <w:tc>
          <w:tcPr>
            <w:tcW w:type="dxa" w:w="1454"/>
            <w:shd w:val="clear" w:fill="F4F7FA"/>
          </w:tcPr>
          <w:p>
            <w:pPr>
              <w:spacing w:before="20" w:after="20"/>
              <w:jc w:val="right"/>
            </w:pPr>
            <w:r>
              <w:rPr>
                <w:rFonts w:ascii="Georgia" w:hAnsi="Georgia"/>
                <w:sz w:val="14"/>
              </w:rPr>
            </w:r>
            <w:r>
              <w:rPr>
                <w:rFonts w:ascii="Georgia" w:hAnsi="Georgia"/>
                <w:sz w:val="14"/>
              </w:rPr>
              <w:t>+0.5%</w:t>
            </w:r>
          </w:p>
        </w:tc>
        <w:tc>
          <w:tcPr>
            <w:tcW w:type="dxa" w:w="1454"/>
            <w:shd w:val="clear" w:fill="F4F7FA"/>
          </w:tcPr>
          <w:p>
            <w:pPr>
              <w:spacing w:before="20" w:after="20"/>
            </w:pPr>
            <w:r>
              <w:rPr>
                <w:rFonts w:ascii="Georgia" w:hAnsi="Georgia"/>
                <w:sz w:val="14"/>
              </w:rPr>
            </w:r>
            <w:r>
              <w:rPr>
                <w:rFonts w:ascii="Georgia" w:hAnsi="Georgia"/>
                <w:sz w:val="14"/>
              </w:rPr>
              <w:t>Severe deceleration</w:t>
            </w:r>
          </w:p>
        </w:tc>
      </w:tr>
      <w:tr>
        <w:tc>
          <w:tcPr>
            <w:tcW w:type="dxa" w:w="1454"/>
          </w:tcPr>
          <w:p>
            <w:pPr>
              <w:spacing w:before="20" w:after="20"/>
            </w:pPr>
            <w:r>
              <w:rPr>
                <w:rFonts w:ascii="Georgia" w:hAnsi="Georgia"/>
                <w:sz w:val="14"/>
              </w:rPr>
            </w:r>
            <w:r>
              <w:rPr>
                <w:rFonts w:ascii="Georgia" w:hAnsi="Georgia"/>
                <w:sz w:val="14"/>
              </w:rPr>
              <w:t>EMEA revenue ($m)</w:t>
            </w:r>
          </w:p>
        </w:tc>
        <w:tc>
          <w:tcPr>
            <w:tcW w:type="dxa" w:w="1454"/>
          </w:tcPr>
          <w:p>
            <w:pPr>
              <w:spacing w:before="20" w:after="20"/>
              <w:jc w:val="right"/>
            </w:pPr>
            <w:r>
              <w:rPr>
                <w:rFonts w:ascii="Georgia" w:hAnsi="Georgia"/>
                <w:sz w:val="14"/>
              </w:rPr>
            </w:r>
            <w:r>
              <w:rPr>
                <w:rFonts w:ascii="Georgia" w:hAnsi="Georgia"/>
                <w:sz w:val="14"/>
              </w:rPr>
              <w:t>497</w:t>
            </w:r>
          </w:p>
        </w:tc>
        <w:tc>
          <w:tcPr>
            <w:tcW w:type="dxa" w:w="1454"/>
          </w:tcPr>
          <w:p>
            <w:pPr>
              <w:spacing w:before="20" w:after="20"/>
              <w:jc w:val="right"/>
            </w:pPr>
            <w:r>
              <w:rPr>
                <w:rFonts w:ascii="Georgia" w:hAnsi="Georgia"/>
                <w:sz w:val="14"/>
              </w:rPr>
            </w:r>
            <w:r>
              <w:rPr>
                <w:rFonts w:ascii="Georgia" w:hAnsi="Georgia"/>
                <w:sz w:val="14"/>
              </w:rPr>
              <w:t>525</w:t>
            </w:r>
          </w:p>
        </w:tc>
        <w:tc>
          <w:tcPr>
            <w:tcW w:type="dxa" w:w="1454"/>
          </w:tcPr>
          <w:p>
            <w:pPr>
              <w:spacing w:before="20" w:after="20"/>
              <w:jc w:val="right"/>
            </w:pPr>
            <w:r>
              <w:rPr>
                <w:rFonts w:ascii="Georgia" w:hAnsi="Georgia"/>
                <w:sz w:val="14"/>
              </w:rPr>
            </w:r>
            <w:r>
              <w:rPr>
                <w:rFonts w:ascii="Georgia" w:hAnsi="Georgia"/>
                <w:sz w:val="14"/>
              </w:rPr>
              <w:t>556</w:t>
            </w:r>
          </w:p>
        </w:tc>
        <w:tc>
          <w:tcPr>
            <w:tcW w:type="dxa" w:w="1454"/>
          </w:tcPr>
          <w:p>
            <w:pPr>
              <w:spacing w:before="20" w:after="20"/>
              <w:jc w:val="right"/>
            </w:pPr>
            <w:r>
              <w:rPr>
                <w:rFonts w:ascii="Georgia" w:hAnsi="Georgia"/>
                <w:sz w:val="14"/>
              </w:rPr>
            </w:r>
            <w:r>
              <w:rPr>
                <w:rFonts w:ascii="Georgia" w:hAnsi="Georgia"/>
                <w:sz w:val="14"/>
              </w:rPr>
              <w:t>c.574</w:t>
            </w:r>
          </w:p>
        </w:tc>
        <w:tc>
          <w:tcPr>
            <w:tcW w:type="dxa" w:w="1454"/>
          </w:tcPr>
          <w:p>
            <w:pPr>
              <w:spacing w:before="20" w:after="20"/>
              <w:jc w:val="right"/>
            </w:pPr>
            <w:r>
              <w:rPr>
                <w:rFonts w:ascii="Georgia" w:hAnsi="Georgia"/>
                <w:sz w:val="14"/>
              </w:rPr>
            </w:r>
            <w:r>
              <w:rPr>
                <w:rFonts w:ascii="Georgia" w:hAnsi="Georgia"/>
                <w:sz w:val="14"/>
              </w:rPr>
              <w:t>582</w:t>
            </w:r>
          </w:p>
        </w:tc>
        <w:tc>
          <w:tcPr>
            <w:tcW w:type="dxa" w:w="1454"/>
          </w:tcPr>
          <w:p>
            <w:pPr>
              <w:spacing w:before="20" w:after="20"/>
            </w:pPr>
            <w:r>
              <w:rPr>
                <w:rFonts w:ascii="Georgia" w:hAnsi="Georgia"/>
                <w:sz w:val="14"/>
              </w:rPr>
            </w:r>
            <w:r>
              <w:rPr>
                <w:rFonts w:ascii="Georgia" w:hAnsi="Georgia"/>
                <w:sz w:val="14"/>
              </w:rPr>
              <w:t>Consistently the strongest region</w:t>
            </w:r>
          </w:p>
        </w:tc>
      </w:tr>
      <w:tr>
        <w:tc>
          <w:tcPr>
            <w:tcW w:type="dxa" w:w="1454"/>
            <w:shd w:val="clear" w:fill="F4F7FA"/>
          </w:tcPr>
          <w:p>
            <w:pPr>
              <w:spacing w:before="20" w:after="20"/>
            </w:pPr>
            <w:r>
              <w:rPr>
                <w:rFonts w:ascii="Georgia" w:hAnsi="Georgia"/>
                <w:sz w:val="14"/>
              </w:rPr>
            </w:r>
            <w:r>
              <w:rPr>
                <w:rFonts w:ascii="Georgia" w:hAnsi="Georgia"/>
                <w:sz w:val="14"/>
              </w:rPr>
              <w:t>EMEA growth</w:t>
            </w:r>
          </w:p>
        </w:tc>
        <w:tc>
          <w:tcPr>
            <w:tcW w:type="dxa" w:w="1454"/>
            <w:shd w:val="clear" w:fill="F4F7FA"/>
          </w:tcPr>
          <w:p>
            <w:pPr>
              <w:spacing w:before="20" w:after="20"/>
              <w:jc w:val="right"/>
            </w:pPr>
            <w:r>
              <w:rPr>
                <w:rFonts w:ascii="Georgia" w:hAnsi="Georgia"/>
                <w:sz w:val="14"/>
              </w:rPr>
            </w:r>
            <w:r>
              <w:rPr>
                <w:rFonts w:ascii="Georgia" w:hAnsi="Georgia"/>
                <w:sz w:val="14"/>
              </w:rPr>
              <w:t>+10.7%</w:t>
            </w:r>
          </w:p>
        </w:tc>
        <w:tc>
          <w:tcPr>
            <w:tcW w:type="dxa" w:w="1454"/>
            <w:shd w:val="clear" w:fill="F4F7FA"/>
          </w:tcPr>
          <w:p>
            <w:pPr>
              <w:spacing w:before="20" w:after="20"/>
              <w:jc w:val="right"/>
            </w:pPr>
            <w:r>
              <w:rPr>
                <w:rFonts w:ascii="Georgia" w:hAnsi="Georgia"/>
                <w:sz w:val="14"/>
              </w:rPr>
            </w:r>
            <w:r>
              <w:rPr>
                <w:rFonts w:ascii="Georgia" w:hAnsi="Georgia"/>
                <w:sz w:val="14"/>
              </w:rPr>
              <w:t>+21.7%</w:t>
            </w:r>
          </w:p>
        </w:tc>
        <w:tc>
          <w:tcPr>
            <w:tcW w:type="dxa" w:w="1454"/>
            <w:shd w:val="clear" w:fill="F4F7FA"/>
          </w:tcPr>
          <w:p>
            <w:pPr>
              <w:spacing w:before="20" w:after="20"/>
              <w:jc w:val="right"/>
            </w:pPr>
            <w:r>
              <w:rPr>
                <w:rFonts w:ascii="Georgia" w:hAnsi="Georgia"/>
                <w:sz w:val="14"/>
              </w:rPr>
            </w:r>
            <w:r>
              <w:rPr>
                <w:rFonts w:ascii="Georgia" w:hAnsi="Georgia"/>
                <w:sz w:val="14"/>
              </w:rPr>
              <w:t>+24.9%</w:t>
            </w:r>
          </w:p>
        </w:tc>
        <w:tc>
          <w:tcPr>
            <w:tcW w:type="dxa" w:w="1454"/>
            <w:shd w:val="clear" w:fill="F4F7FA"/>
          </w:tcPr>
          <w:p>
            <w:pPr>
              <w:spacing w:before="20" w:after="20"/>
              <w:jc w:val="right"/>
            </w:pPr>
            <w:r>
              <w:rPr>
                <w:rFonts w:ascii="Georgia" w:hAnsi="Georgia"/>
                <w:sz w:val="14"/>
              </w:rPr>
            </w:r>
            <w:r>
              <w:rPr>
                <w:rFonts w:ascii="Georgia" w:hAnsi="Georgia"/>
                <w:sz w:val="14"/>
              </w:rPr>
              <w:t>+15.9%</w:t>
            </w:r>
          </w:p>
        </w:tc>
        <w:tc>
          <w:tcPr>
            <w:tcW w:type="dxa" w:w="1454"/>
            <w:shd w:val="clear" w:fill="F4F7FA"/>
          </w:tcPr>
          <w:p>
            <w:pPr>
              <w:spacing w:before="20" w:after="20"/>
              <w:jc w:val="right"/>
            </w:pPr>
            <w:r>
              <w:rPr>
                <w:rFonts w:ascii="Georgia" w:hAnsi="Georgia"/>
                <w:sz w:val="14"/>
              </w:rPr>
            </w:r>
            <w:r>
              <w:rPr>
                <w:rFonts w:ascii="Georgia" w:hAnsi="Georgia"/>
                <w:sz w:val="14"/>
              </w:rPr>
              <w:t>+10.9%</w:t>
            </w:r>
          </w:p>
        </w:tc>
        <w:tc>
          <w:tcPr>
            <w:tcW w:type="dxa" w:w="1454"/>
            <w:shd w:val="clear" w:fill="F4F7FA"/>
          </w:tcPr>
          <w:p>
            <w:pPr>
              <w:spacing w:before="20" w:after="20"/>
            </w:pPr>
            <w:r>
              <w:rPr>
                <w:rFonts w:ascii="Georgia" w:hAnsi="Georgia"/>
                <w:sz w:val="14"/>
              </w:rPr>
            </w:r>
            <w:r>
              <w:rPr>
                <w:rFonts w:ascii="Georgia" w:hAnsi="Georgia"/>
                <w:sz w:val="14"/>
              </w:rPr>
              <w:t>Decelerating but still robust</w:t>
            </w:r>
          </w:p>
        </w:tc>
      </w:tr>
      <w:tr>
        <w:tc>
          <w:tcPr>
            <w:tcW w:type="dxa" w:w="1454"/>
          </w:tcPr>
          <w:p>
            <w:pPr>
              <w:spacing w:before="20" w:after="20"/>
            </w:pPr>
            <w:r>
              <w:rPr>
                <w:rFonts w:ascii="Georgia" w:hAnsi="Georgia"/>
                <w:sz w:val="14"/>
              </w:rPr>
            </w:r>
            <w:r>
              <w:rPr>
                <w:rFonts w:ascii="Georgia" w:hAnsi="Georgia"/>
                <w:sz w:val="14"/>
              </w:rPr>
              <w:t>APAC revenue ($m)</w:t>
            </w:r>
          </w:p>
        </w:tc>
        <w:tc>
          <w:tcPr>
            <w:tcW w:type="dxa" w:w="1454"/>
          </w:tcPr>
          <w:p>
            <w:pPr>
              <w:spacing w:before="20" w:after="20"/>
              <w:jc w:val="right"/>
            </w:pPr>
            <w:r>
              <w:rPr>
                <w:rFonts w:ascii="Georgia" w:hAnsi="Georgia"/>
                <w:sz w:val="14"/>
              </w:rPr>
            </w:r>
            <w:r>
              <w:rPr>
                <w:rFonts w:ascii="Georgia" w:hAnsi="Georgia"/>
                <w:sz w:val="14"/>
              </w:rPr>
              <w:t>25</w:t>
            </w:r>
          </w:p>
        </w:tc>
        <w:tc>
          <w:tcPr>
            <w:tcW w:type="dxa" w:w="1454"/>
          </w:tcPr>
          <w:p>
            <w:pPr>
              <w:spacing w:before="20" w:after="20"/>
              <w:jc w:val="right"/>
            </w:pPr>
            <w:r>
              <w:rPr>
                <w:rFonts w:ascii="Georgia" w:hAnsi="Georgia"/>
                <w:sz w:val="14"/>
              </w:rPr>
            </w:r>
            <w:r>
              <w:rPr>
                <w:rFonts w:ascii="Georgia" w:hAnsi="Georgia"/>
                <w:sz w:val="14"/>
              </w:rPr>
              <w:t>27</w:t>
            </w:r>
          </w:p>
        </w:tc>
        <w:tc>
          <w:tcPr>
            <w:tcW w:type="dxa" w:w="1454"/>
          </w:tcPr>
          <w:p>
            <w:pPr>
              <w:spacing w:before="20" w:after="20"/>
              <w:jc w:val="right"/>
            </w:pPr>
            <w:r>
              <w:rPr>
                <w:rFonts w:ascii="Georgia" w:hAnsi="Georgia"/>
                <w:sz w:val="14"/>
              </w:rPr>
            </w:r>
            <w:r>
              <w:rPr>
                <w:rFonts w:ascii="Georgia" w:hAnsi="Georgia"/>
                <w:sz w:val="14"/>
              </w:rPr>
              <w:t>30</w:t>
            </w:r>
          </w:p>
        </w:tc>
        <w:tc>
          <w:tcPr>
            <w:tcW w:type="dxa" w:w="1454"/>
          </w:tcPr>
          <w:p>
            <w:pPr>
              <w:spacing w:before="20" w:after="20"/>
              <w:jc w:val="right"/>
            </w:pPr>
            <w:r>
              <w:rPr>
                <w:rFonts w:ascii="Georgia" w:hAnsi="Georgia"/>
                <w:sz w:val="14"/>
              </w:rPr>
            </w:r>
            <w:r>
              <w:rPr>
                <w:rFonts w:ascii="Georgia" w:hAnsi="Georgia"/>
                <w:sz w:val="14"/>
              </w:rPr>
              <w:t>c.27</w:t>
            </w:r>
          </w:p>
        </w:tc>
        <w:tc>
          <w:tcPr>
            <w:tcW w:type="dxa" w:w="1454"/>
          </w:tcPr>
          <w:p>
            <w:pPr>
              <w:spacing w:before="20" w:after="20"/>
              <w:jc w:val="right"/>
            </w:pPr>
            <w:r>
              <w:rPr>
                <w:rFonts w:ascii="Georgia" w:hAnsi="Georgia"/>
                <w:sz w:val="14"/>
              </w:rPr>
            </w:r>
            <w:r>
              <w:rPr>
                <w:rFonts w:ascii="Georgia" w:hAnsi="Georgia"/>
                <w:sz w:val="14"/>
              </w:rPr>
              <w:t>27</w:t>
            </w:r>
          </w:p>
        </w:tc>
        <w:tc>
          <w:tcPr>
            <w:tcW w:type="dxa" w:w="1454"/>
          </w:tcPr>
          <w:p>
            <w:pPr>
              <w:spacing w:before="20" w:after="20"/>
            </w:pPr>
            <w:r>
              <w:rPr>
                <w:rFonts w:ascii="Georgia" w:hAnsi="Georgia"/>
                <w:sz w:val="14"/>
              </w:rPr>
            </w:r>
            <w:r>
              <w:rPr>
                <w:rFonts w:ascii="Georgia" w:hAnsi="Georgia"/>
                <w:sz w:val="14"/>
              </w:rPr>
              <w:t>Immaterial, roughly 2% of revenue</w:t>
            </w:r>
          </w:p>
        </w:tc>
      </w:tr>
      <w:tr>
        <w:tc>
          <w:tcPr>
            <w:tcW w:type="dxa" w:w="1454"/>
            <w:shd w:val="clear" w:fill="F4F7FA"/>
          </w:tcPr>
          <w:p>
            <w:pPr>
              <w:spacing w:before="20" w:after="20"/>
            </w:pPr>
            <w:r>
              <w:rPr>
                <w:rFonts w:ascii="Georgia" w:hAnsi="Georgia"/>
                <w:sz w:val="14"/>
              </w:rPr>
            </w:r>
            <w:r>
              <w:rPr>
                <w:rFonts w:ascii="Georgia" w:hAnsi="Georgia"/>
                <w:sz w:val="14"/>
              </w:rPr>
              <w:t>APAC growth</w:t>
            </w:r>
          </w:p>
        </w:tc>
        <w:tc>
          <w:tcPr>
            <w:tcW w:type="dxa" w:w="1454"/>
            <w:shd w:val="clear" w:fill="F4F7FA"/>
          </w:tcPr>
          <w:p>
            <w:pPr>
              <w:spacing w:before="20" w:after="20"/>
              <w:jc w:val="right"/>
            </w:pPr>
            <w:r>
              <w:rPr>
                <w:rFonts w:ascii="Georgia" w:hAnsi="Georgia"/>
                <w:sz w:val="14"/>
              </w:rPr>
            </w:r>
            <w:r>
              <w:rPr>
                <w:rFonts w:ascii="Georgia" w:hAnsi="Georgia"/>
                <w:sz w:val="14"/>
              </w:rPr>
              <w:t>+4.3%</w:t>
            </w:r>
          </w:p>
        </w:tc>
        <w:tc>
          <w:tcPr>
            <w:tcW w:type="dxa" w:w="1454"/>
            <w:shd w:val="clear" w:fill="F4F7FA"/>
          </w:tcPr>
          <w:p>
            <w:pPr>
              <w:spacing w:before="20" w:after="20"/>
              <w:jc w:val="right"/>
            </w:pPr>
            <w:r>
              <w:rPr>
                <w:rFonts w:ascii="Georgia" w:hAnsi="Georgia"/>
                <w:sz w:val="14"/>
              </w:rPr>
            </w:r>
            <w:r>
              <w:rPr>
                <w:rFonts w:ascii="Georgia" w:hAnsi="Georgia"/>
                <w:sz w:val="14"/>
              </w:rPr>
              <w:t>+13.0%</w:t>
            </w:r>
          </w:p>
        </w:tc>
        <w:tc>
          <w:tcPr>
            <w:tcW w:type="dxa" w:w="1454"/>
            <w:shd w:val="clear" w:fill="F4F7FA"/>
          </w:tcPr>
          <w:p>
            <w:pPr>
              <w:spacing w:before="20" w:after="20"/>
              <w:jc w:val="right"/>
            </w:pPr>
            <w:r>
              <w:rPr>
                <w:rFonts w:ascii="Georgia" w:hAnsi="Georgia"/>
                <w:sz w:val="14"/>
              </w:rPr>
            </w:r>
            <w:r>
              <w:rPr>
                <w:rFonts w:ascii="Georgia" w:hAnsi="Georgia"/>
                <w:sz w:val="14"/>
              </w:rPr>
              <w:t>+17.7%</w:t>
            </w:r>
          </w:p>
        </w:tc>
        <w:tc>
          <w:tcPr>
            <w:tcW w:type="dxa" w:w="1454"/>
            <w:shd w:val="clear" w:fill="F4F7FA"/>
          </w:tcPr>
          <w:p>
            <w:pPr>
              <w:spacing w:before="20" w:after="20"/>
              <w:jc w:val="right"/>
            </w:pPr>
            <w:r>
              <w:rPr>
                <w:rFonts w:ascii="Georgia" w:hAnsi="Georgia"/>
                <w:sz w:val="14"/>
              </w:rPr>
            </w:r>
            <w:r>
              <w:rPr>
                <w:rFonts w:ascii="Georgia" w:hAnsi="Georgia"/>
                <w:sz w:val="14"/>
              </w:rPr>
              <w:t>+1.2%</w:t>
            </w:r>
          </w:p>
        </w:tc>
        <w:tc>
          <w:tcPr>
            <w:tcW w:type="dxa" w:w="1454"/>
            <w:shd w:val="clear" w:fill="F4F7FA"/>
          </w:tcPr>
          <w:p>
            <w:pPr>
              <w:spacing w:before="20" w:after="20"/>
              <w:jc w:val="right"/>
            </w:pPr>
            <w:r>
              <w:rPr>
                <w:rFonts w:ascii="Georgia" w:hAnsi="Georgia"/>
                <w:sz w:val="14"/>
              </w:rPr>
            </w:r>
            <w:r>
              <w:rPr>
                <w:rFonts w:ascii="Georgia" w:hAnsi="Georgia"/>
                <w:sz w:val="14"/>
              </w:rPr>
              <w:t>−0.3%</w:t>
            </w:r>
          </w:p>
        </w:tc>
        <w:tc>
          <w:tcPr>
            <w:tcW w:type="dxa" w:w="1454"/>
            <w:shd w:val="clear" w:fill="F4F7FA"/>
          </w:tcPr>
          <w:p>
            <w:pPr>
              <w:spacing w:before="20" w:after="20"/>
            </w:pPr>
            <w:r>
              <w:rPr>
                <w:rFonts w:ascii="Georgia" w:hAnsi="Georgia"/>
                <w:sz w:val="14"/>
              </w:rPr>
            </w:r>
            <w:r>
              <w:rPr>
                <w:rFonts w:ascii="Georgia" w:hAnsi="Georgia"/>
                <w:sz w:val="14"/>
              </w:rPr>
              <w:t>Now negative</w:t>
            </w:r>
          </w:p>
        </w:tc>
      </w:tr>
    </w:tbl>
    <w:p>
      <w:pPr>
        <w:spacing w:after="60"/>
      </w:pPr>
    </w:p>
    <w:p>
      <w:pPr>
        <w:spacing w:before="0" w:after="120"/>
        <w:jc w:val="both"/>
      </w:pPr>
      <w:r>
        <w:rPr>
          <w:i/>
          <w:color w:val="555555"/>
          <w:sz w:val="15"/>
        </w:rPr>
        <w:t>Q1-25 to Q3-25 and Q2-26 figures are reported. Q1-26 dollar figures are derived from reported percentage mix and growth rates.</w:t>
      </w:r>
    </w:p>
    <w:p>
      <w:pPr>
        <w:keepNext/>
        <w:spacing w:before="200" w:after="80"/>
      </w:pPr>
      <w:r>
        <w:rPr>
          <w:rFonts w:ascii="Georgia" w:hAnsi="Georgia"/>
          <w:b/>
          <w:color w:val="14487F"/>
          <w:sz w:val="21"/>
        </w:rPr>
        <w:t>Operational KPIs</w:t>
      </w:r>
    </w:p>
    <w:tbl>
      <w:tblPr>
        <w:tblStyle w:val="TableGrid"/>
        <w:tblW w:type="auto" w:w="0"/>
        <w:jc w:val="center"/>
        <w:tblLayout w:type="autofit"/>
        <w:tblLook w:firstColumn="1" w:firstRow="1" w:lastColumn="0" w:lastRow="0" w:noHBand="0" w:noVBand="1" w:val="04A0"/>
      </w:tblPr>
      <w:tblGrid>
        <w:gridCol w:w="2036"/>
        <w:gridCol w:w="2036"/>
        <w:gridCol w:w="2036"/>
        <w:gridCol w:w="2036"/>
        <w:gridCol w:w="2036"/>
      </w:tblGrid>
      <w:tr>
        <w:tc>
          <w:tcPr>
            <w:tcW w:type="dxa" w:w="2036"/>
            <w:shd w:val="clear" w:fill="0B2545"/>
          </w:tcPr>
          <w:p>
            <w:pPr>
              <w:spacing w:before="20" w:after="20"/>
            </w:pPr>
            <w:r>
              <w:rPr>
                <w:rFonts w:ascii="Georgia" w:hAnsi="Georgia"/>
                <w:b/>
                <w:color w:val="FFFFFF"/>
                <w:sz w:val="14"/>
              </w:rPr>
            </w:r>
            <w:r>
              <w:rPr>
                <w:rFonts w:ascii="Georgia" w:hAnsi="Georgia"/>
                <w:b/>
                <w:color w:val="FFFFFF"/>
                <w:sz w:val="14"/>
              </w:rPr>
              <w:t>KPI</w:t>
            </w:r>
          </w:p>
        </w:tc>
        <w:tc>
          <w:tcPr>
            <w:tcW w:type="dxa" w:w="2036"/>
            <w:shd w:val="clear" w:fill="0B2545"/>
          </w:tcPr>
          <w:p>
            <w:pPr>
              <w:spacing w:before="20" w:after="20"/>
              <w:jc w:val="right"/>
            </w:pPr>
            <w:r>
              <w:rPr>
                <w:rFonts w:ascii="Georgia" w:hAnsi="Georgia"/>
                <w:b/>
                <w:color w:val="FFFFFF"/>
                <w:sz w:val="14"/>
              </w:rPr>
            </w:r>
            <w:r>
              <w:rPr>
                <w:rFonts w:ascii="Georgia" w:hAnsi="Georgia"/>
                <w:b/>
                <w:color w:val="FFFFFF"/>
                <w:sz w:val="14"/>
              </w:rPr>
              <w:t>FY2024</w:t>
            </w:r>
          </w:p>
        </w:tc>
        <w:tc>
          <w:tcPr>
            <w:tcW w:type="dxa" w:w="2036"/>
            <w:shd w:val="clear" w:fill="0B2545"/>
          </w:tcPr>
          <w:p>
            <w:pPr>
              <w:spacing w:before="20" w:after="20"/>
              <w:jc w:val="right"/>
            </w:pPr>
            <w:r>
              <w:rPr>
                <w:rFonts w:ascii="Georgia" w:hAnsi="Georgia"/>
                <w:b/>
                <w:color w:val="FFFFFF"/>
                <w:sz w:val="14"/>
              </w:rPr>
            </w:r>
            <w:r>
              <w:rPr>
                <w:rFonts w:ascii="Georgia" w:hAnsi="Georgia"/>
                <w:b/>
                <w:color w:val="FFFFFF"/>
                <w:sz w:val="14"/>
              </w:rPr>
              <w:t>FY2025</w:t>
            </w:r>
          </w:p>
        </w:tc>
        <w:tc>
          <w:tcPr>
            <w:tcW w:type="dxa" w:w="2036"/>
            <w:shd w:val="clear" w:fill="0B2545"/>
          </w:tcPr>
          <w:p>
            <w:pPr>
              <w:spacing w:before="20" w:after="20"/>
              <w:jc w:val="right"/>
            </w:pPr>
            <w:r>
              <w:rPr>
                <w:rFonts w:ascii="Georgia" w:hAnsi="Georgia"/>
                <w:b/>
                <w:color w:val="FFFFFF"/>
                <w:sz w:val="14"/>
              </w:rPr>
            </w:r>
            <w:r>
              <w:rPr>
                <w:rFonts w:ascii="Georgia" w:hAnsi="Georgia"/>
                <w:b/>
                <w:color w:val="FFFFFF"/>
                <w:sz w:val="14"/>
              </w:rPr>
              <w:t>Q2 2026</w:t>
            </w:r>
          </w:p>
        </w:tc>
        <w:tc>
          <w:tcPr>
            <w:tcW w:type="dxa" w:w="2036"/>
            <w:shd w:val="clear" w:fill="0B2545"/>
          </w:tcPr>
          <w:p>
            <w:pPr>
              <w:spacing w:before="20" w:after="20"/>
            </w:pPr>
            <w:r>
              <w:rPr>
                <w:rFonts w:ascii="Georgia" w:hAnsi="Georgia"/>
                <w:b/>
                <w:color w:val="FFFFFF"/>
                <w:sz w:val="14"/>
              </w:rPr>
            </w:r>
            <w:r>
              <w:rPr>
                <w:rFonts w:ascii="Georgia" w:hAnsi="Georgia"/>
                <w:b/>
                <w:color w:val="FFFFFF"/>
                <w:sz w:val="14"/>
              </w:rPr>
              <w:t>Comment and trend</w:t>
            </w:r>
          </w:p>
        </w:tc>
      </w:tr>
      <w:tr>
        <w:tc>
          <w:tcPr>
            <w:tcW w:type="dxa" w:w="2036"/>
          </w:tcPr>
          <w:p>
            <w:pPr>
              <w:spacing w:before="20" w:after="20"/>
            </w:pPr>
            <w:r>
              <w:rPr>
                <w:rFonts w:ascii="Georgia" w:hAnsi="Georgia"/>
                <w:sz w:val="14"/>
              </w:rPr>
            </w:r>
            <w:r>
              <w:rPr>
                <w:rFonts w:ascii="Georgia" w:hAnsi="Georgia"/>
                <w:b/>
                <w:sz w:val="14"/>
              </w:rPr>
              <w:t>Order backlog</w:t>
            </w:r>
          </w:p>
        </w:tc>
        <w:tc>
          <w:tcPr>
            <w:tcW w:type="dxa" w:w="2036"/>
          </w:tcPr>
          <w:p>
            <w:pPr>
              <w:spacing w:before="20" w:after="20"/>
              <w:jc w:val="right"/>
            </w:pPr>
            <w:r>
              <w:rPr>
                <w:rFonts w:ascii="Georgia" w:hAnsi="Georgia"/>
                <w:sz w:val="14"/>
              </w:rPr>
            </w:r>
            <w:r>
              <w:rPr>
                <w:rFonts w:ascii="Georgia" w:hAnsi="Georgia"/>
                <w:sz w:val="14"/>
              </w:rPr>
              <w:t>n/a</w:t>
            </w:r>
          </w:p>
        </w:tc>
        <w:tc>
          <w:tcPr>
            <w:tcW w:type="dxa" w:w="2036"/>
          </w:tcPr>
          <w:p>
            <w:pPr>
              <w:spacing w:before="20" w:after="20"/>
              <w:jc w:val="right"/>
            </w:pPr>
            <w:r>
              <w:rPr>
                <w:rFonts w:ascii="Georgia" w:hAnsi="Georgia"/>
                <w:sz w:val="14"/>
              </w:rPr>
            </w:r>
            <w:r>
              <w:rPr>
                <w:rFonts w:ascii="Georgia" w:hAnsi="Georgia"/>
                <w:sz w:val="14"/>
              </w:rPr>
              <w:t>n/a</w:t>
            </w:r>
          </w:p>
        </w:tc>
        <w:tc>
          <w:tcPr>
            <w:tcW w:type="dxa" w:w="2036"/>
          </w:tcPr>
          <w:p>
            <w:pPr>
              <w:spacing w:before="20" w:after="20"/>
              <w:jc w:val="right"/>
            </w:pPr>
            <w:r>
              <w:rPr>
                <w:rFonts w:ascii="Georgia" w:hAnsi="Georgia"/>
                <w:sz w:val="14"/>
              </w:rPr>
            </w:r>
            <w:r>
              <w:rPr>
                <w:rFonts w:ascii="Georgia" w:hAnsi="Georgia"/>
                <w:sz w:val="14"/>
              </w:rPr>
              <w:t>n/a</w:t>
            </w:r>
          </w:p>
        </w:tc>
        <w:tc>
          <w:tcPr>
            <w:tcW w:type="dxa" w:w="2036"/>
          </w:tcPr>
          <w:p>
            <w:pPr>
              <w:spacing w:before="20" w:after="20"/>
            </w:pPr>
            <w:r>
              <w:rPr>
                <w:rFonts w:ascii="Georgia" w:hAnsi="Georgia"/>
                <w:sz w:val="14"/>
              </w:rPr>
            </w:r>
            <w:r>
              <w:rPr>
                <w:rFonts w:ascii="Georgia" w:hAnsi="Georgia"/>
                <w:b/>
                <w:sz w:val="14"/>
              </w:rPr>
              <w:t>Not disclosed and arguably does not exist.</w:t>
            </w:r>
            <w:r>
              <w:rPr>
                <w:rFonts w:ascii="Georgia" w:hAnsi="Georgia"/>
                <w:sz w:val="14"/>
              </w:rPr>
              <w:t xml:space="preserve"> Time-and-materials contracts terminable on 30–90 days' notice with no committed volumes. This is the most important absent KPI in the entire analysis — investors have no forward visibility instrument other than management guidance, which has been cut three years running.</w:t>
            </w:r>
          </w:p>
        </w:tc>
      </w:tr>
      <w:tr>
        <w:tc>
          <w:tcPr>
            <w:tcW w:type="dxa" w:w="2036"/>
            <w:shd w:val="clear" w:fill="F4F7FA"/>
          </w:tcPr>
          <w:p>
            <w:pPr>
              <w:spacing w:before="20" w:after="20"/>
            </w:pPr>
            <w:r>
              <w:rPr>
                <w:rFonts w:ascii="Georgia" w:hAnsi="Georgia"/>
                <w:sz w:val="14"/>
              </w:rPr>
            </w:r>
            <w:r>
              <w:rPr>
                <w:rFonts w:ascii="Georgia" w:hAnsi="Georgia"/>
                <w:sz w:val="14"/>
              </w:rPr>
              <w:t>Total headcount</w:t>
            </w:r>
          </w:p>
        </w:tc>
        <w:tc>
          <w:tcPr>
            <w:tcW w:type="dxa" w:w="2036"/>
            <w:shd w:val="clear" w:fill="F4F7FA"/>
          </w:tcPr>
          <w:p>
            <w:pPr>
              <w:spacing w:before="20" w:after="20"/>
              <w:jc w:val="right"/>
            </w:pPr>
            <w:r>
              <w:rPr>
                <w:rFonts w:ascii="Georgia" w:hAnsi="Georgia"/>
                <w:sz w:val="14"/>
              </w:rPr>
            </w:r>
            <w:r>
              <w:rPr>
                <w:rFonts w:ascii="Georgia" w:hAnsi="Georgia"/>
                <w:sz w:val="14"/>
              </w:rPr>
              <w:t>c.61,600</w:t>
            </w:r>
          </w:p>
        </w:tc>
        <w:tc>
          <w:tcPr>
            <w:tcW w:type="dxa" w:w="2036"/>
            <w:shd w:val="clear" w:fill="F4F7FA"/>
          </w:tcPr>
          <w:p>
            <w:pPr>
              <w:spacing w:before="20" w:after="20"/>
              <w:jc w:val="right"/>
            </w:pPr>
            <w:r>
              <w:rPr>
                <w:rFonts w:ascii="Georgia" w:hAnsi="Georgia"/>
                <w:sz w:val="14"/>
              </w:rPr>
            </w:r>
            <w:r>
              <w:rPr>
                <w:rFonts w:ascii="Georgia" w:hAnsi="Georgia"/>
                <w:sz w:val="14"/>
              </w:rPr>
              <w:t>62,850</w:t>
            </w:r>
          </w:p>
        </w:tc>
        <w:tc>
          <w:tcPr>
            <w:tcW w:type="dxa" w:w="2036"/>
            <w:shd w:val="clear" w:fill="F4F7FA"/>
          </w:tcPr>
          <w:p>
            <w:pPr>
              <w:spacing w:before="20" w:after="20"/>
              <w:jc w:val="right"/>
            </w:pPr>
            <w:r>
              <w:rPr>
                <w:rFonts w:ascii="Georgia" w:hAnsi="Georgia"/>
                <w:sz w:val="14"/>
              </w:rPr>
            </w:r>
            <w:r>
              <w:rPr>
                <w:rFonts w:ascii="Georgia" w:hAnsi="Georgia"/>
                <w:sz w:val="14"/>
              </w:rPr>
              <w:t>62,850</w:t>
            </w:r>
          </w:p>
        </w:tc>
        <w:tc>
          <w:tcPr>
            <w:tcW w:type="dxa" w:w="2036"/>
            <w:shd w:val="clear" w:fill="F4F7FA"/>
          </w:tcPr>
          <w:p>
            <w:pPr>
              <w:spacing w:before="20" w:after="20"/>
            </w:pPr>
            <w:r>
              <w:rPr>
                <w:rFonts w:ascii="Georgia" w:hAnsi="Georgia"/>
                <w:sz w:val="14"/>
              </w:rPr>
            </w:r>
            <w:r>
              <w:rPr>
                <w:rFonts w:ascii="Georgia" w:hAnsi="Georgia"/>
                <w:sz w:val="14"/>
              </w:rPr>
              <w:t>Flat sequentially. Headcount is no longer growing.</w:t>
            </w:r>
          </w:p>
        </w:tc>
      </w:tr>
      <w:tr>
        <w:tc>
          <w:tcPr>
            <w:tcW w:type="dxa" w:w="2036"/>
          </w:tcPr>
          <w:p>
            <w:pPr>
              <w:spacing w:before="20" w:after="20"/>
            </w:pPr>
            <w:r>
              <w:rPr>
                <w:rFonts w:ascii="Georgia" w:hAnsi="Georgia"/>
                <w:sz w:val="14"/>
              </w:rPr>
            </w:r>
            <w:r>
              <w:rPr>
                <w:rFonts w:ascii="Georgia" w:hAnsi="Georgia"/>
                <w:sz w:val="14"/>
              </w:rPr>
              <w:t>Delivery professionals</w:t>
            </w:r>
          </w:p>
        </w:tc>
        <w:tc>
          <w:tcPr>
            <w:tcW w:type="dxa" w:w="2036"/>
          </w:tcPr>
          <w:p>
            <w:pPr>
              <w:spacing w:before="20" w:after="20"/>
              <w:jc w:val="right"/>
            </w:pPr>
            <w:r>
              <w:rPr>
                <w:rFonts w:ascii="Georgia" w:hAnsi="Georgia"/>
                <w:sz w:val="14"/>
              </w:rPr>
            </w:r>
            <w:r>
              <w:rPr>
                <w:rFonts w:ascii="Georgia" w:hAnsi="Georgia"/>
                <w:sz w:val="14"/>
              </w:rPr>
              <w:t>c.55,150</w:t>
            </w:r>
          </w:p>
        </w:tc>
        <w:tc>
          <w:tcPr>
            <w:tcW w:type="dxa" w:w="2036"/>
          </w:tcPr>
          <w:p>
            <w:pPr>
              <w:spacing w:before="20" w:after="20"/>
              <w:jc w:val="right"/>
            </w:pPr>
            <w:r>
              <w:rPr>
                <w:rFonts w:ascii="Georgia" w:hAnsi="Georgia"/>
                <w:sz w:val="14"/>
              </w:rPr>
            </w:r>
            <w:r>
              <w:rPr>
                <w:rFonts w:ascii="Georgia" w:hAnsi="Georgia"/>
                <w:sz w:val="14"/>
              </w:rPr>
              <w:t>56,600</w:t>
            </w:r>
          </w:p>
        </w:tc>
        <w:tc>
          <w:tcPr>
            <w:tcW w:type="dxa" w:w="2036"/>
          </w:tcPr>
          <w:p>
            <w:pPr>
              <w:spacing w:before="20" w:after="20"/>
              <w:jc w:val="right"/>
            </w:pPr>
            <w:r>
              <w:rPr>
                <w:rFonts w:ascii="Georgia" w:hAnsi="Georgia"/>
                <w:sz w:val="14"/>
              </w:rPr>
            </w:r>
            <w:r>
              <w:rPr>
                <w:rFonts w:ascii="Georgia" w:hAnsi="Georgia"/>
                <w:sz w:val="14"/>
              </w:rPr>
              <w:t>56,650</w:t>
            </w:r>
          </w:p>
        </w:tc>
        <w:tc>
          <w:tcPr>
            <w:tcW w:type="dxa" w:w="2036"/>
          </w:tcPr>
          <w:p>
            <w:pPr>
              <w:spacing w:before="20" w:after="20"/>
            </w:pPr>
            <w:r>
              <w:rPr>
                <w:rFonts w:ascii="Georgia" w:hAnsi="Georgia"/>
                <w:sz w:val="14"/>
              </w:rPr>
            </w:r>
            <w:r>
              <w:rPr>
                <w:rFonts w:ascii="Georgia" w:hAnsi="Georgia"/>
                <w:sz w:val="14"/>
              </w:rPr>
              <w:t>+2.7% in FY2025, decelerating to +1.5% y/y in Q2 2026. The clearest evidence that volume growth has stopped.</w:t>
            </w:r>
          </w:p>
        </w:tc>
      </w:tr>
      <w:tr>
        <w:tc>
          <w:tcPr>
            <w:tcW w:type="dxa" w:w="2036"/>
            <w:shd w:val="clear" w:fill="F4F7FA"/>
          </w:tcPr>
          <w:p>
            <w:pPr>
              <w:spacing w:before="20" w:after="20"/>
            </w:pPr>
            <w:r>
              <w:rPr>
                <w:rFonts w:ascii="Georgia" w:hAnsi="Georgia"/>
                <w:sz w:val="14"/>
              </w:rPr>
            </w:r>
            <w:r>
              <w:rPr>
                <w:rFonts w:ascii="Georgia" w:hAnsi="Georgia"/>
                <w:sz w:val="14"/>
              </w:rPr>
              <w:t>Utilisation</w:t>
            </w:r>
          </w:p>
        </w:tc>
        <w:tc>
          <w:tcPr>
            <w:tcW w:type="dxa" w:w="2036"/>
            <w:shd w:val="clear" w:fill="F4F7FA"/>
          </w:tcPr>
          <w:p>
            <w:pPr>
              <w:spacing w:before="20" w:after="20"/>
              <w:jc w:val="right"/>
            </w:pPr>
            <w:r>
              <w:rPr>
                <w:rFonts w:ascii="Georgia" w:hAnsi="Georgia"/>
                <w:sz w:val="14"/>
              </w:rPr>
            </w:r>
            <w:r>
              <w:rPr>
                <w:rFonts w:ascii="Georgia" w:hAnsi="Georgia"/>
                <w:sz w:val="14"/>
              </w:rPr>
              <w:t>76.2%</w:t>
            </w:r>
          </w:p>
        </w:tc>
        <w:tc>
          <w:tcPr>
            <w:tcW w:type="dxa" w:w="2036"/>
            <w:shd w:val="clear" w:fill="F4F7FA"/>
          </w:tcPr>
          <w:p>
            <w:pPr>
              <w:spacing w:before="20" w:after="20"/>
              <w:jc w:val="right"/>
            </w:pPr>
            <w:r>
              <w:rPr>
                <w:rFonts w:ascii="Georgia" w:hAnsi="Georgia"/>
                <w:sz w:val="14"/>
              </w:rPr>
            </w:r>
            <w:r>
              <w:rPr>
                <w:rFonts w:ascii="Georgia" w:hAnsi="Georgia"/>
                <w:sz w:val="14"/>
              </w:rPr>
              <w:t>75.4%</w:t>
            </w:r>
          </w:p>
        </w:tc>
        <w:tc>
          <w:tcPr>
            <w:tcW w:type="dxa" w:w="2036"/>
            <w:shd w:val="clear" w:fill="F4F7FA"/>
          </w:tcPr>
          <w:p>
            <w:pPr>
              <w:spacing w:before="20" w:after="20"/>
              <w:jc w:val="right"/>
            </w:pPr>
            <w:r>
              <w:rPr>
                <w:rFonts w:ascii="Georgia" w:hAnsi="Georgia"/>
                <w:sz w:val="14"/>
              </w:rPr>
            </w:r>
            <w:r>
              <w:rPr>
                <w:rFonts w:ascii="Georgia" w:hAnsi="Georgia"/>
                <w:sz w:val="14"/>
              </w:rPr>
              <w:t>n/d</w:t>
            </w:r>
          </w:p>
        </w:tc>
        <w:tc>
          <w:tcPr>
            <w:tcW w:type="dxa" w:w="2036"/>
            <w:shd w:val="clear" w:fill="F4F7FA"/>
          </w:tcPr>
          <w:p>
            <w:pPr>
              <w:spacing w:before="20" w:after="20"/>
            </w:pPr>
            <w:r>
              <w:rPr>
                <w:rFonts w:ascii="Georgia" w:hAnsi="Georgia"/>
                <w:sz w:val="14"/>
              </w:rPr>
            </w:r>
            <w:r>
              <w:rPr>
                <w:rFonts w:ascii="Georgia" w:hAnsi="Georgia"/>
                <w:sz w:val="14"/>
              </w:rPr>
              <w:t>Down 80bp y/y and 110bp from Q3 2025's 76.5%. Management attributes this to vacation timing, delivery-location transitions and junior onboarding intended to improve the seniority index in 2026 — a credible but self-serving explanation.</w:t>
            </w:r>
          </w:p>
        </w:tc>
      </w:tr>
      <w:tr>
        <w:tc>
          <w:tcPr>
            <w:tcW w:type="dxa" w:w="2036"/>
          </w:tcPr>
          <w:p>
            <w:pPr>
              <w:spacing w:before="20" w:after="20"/>
            </w:pPr>
            <w:r>
              <w:rPr>
                <w:rFonts w:ascii="Georgia" w:hAnsi="Georgia"/>
                <w:sz w:val="14"/>
              </w:rPr>
            </w:r>
            <w:r>
              <w:rPr>
                <w:rFonts w:ascii="Georgia" w:hAnsi="Georgia"/>
                <w:sz w:val="14"/>
              </w:rPr>
              <w:t>Voluntary attrition</w:t>
            </w:r>
          </w:p>
        </w:tc>
        <w:tc>
          <w:tcPr>
            <w:tcW w:type="dxa" w:w="2036"/>
          </w:tcPr>
          <w:p>
            <w:pPr>
              <w:spacing w:before="20" w:after="20"/>
              <w:jc w:val="right"/>
            </w:pPr>
            <w:r>
              <w:rPr>
                <w:rFonts w:ascii="Georgia" w:hAnsi="Georgia"/>
                <w:sz w:val="14"/>
              </w:rPr>
            </w:r>
            <w:r>
              <w:rPr>
                <w:rFonts w:ascii="Georgia" w:hAnsi="Georgia"/>
                <w:sz w:val="14"/>
              </w:rPr>
              <w:t>c.10%</w:t>
            </w:r>
          </w:p>
        </w:tc>
        <w:tc>
          <w:tcPr>
            <w:tcW w:type="dxa" w:w="2036"/>
          </w:tcPr>
          <w:p>
            <w:pPr>
              <w:spacing w:before="20" w:after="20"/>
              <w:jc w:val="right"/>
            </w:pPr>
            <w:r>
              <w:rPr>
                <w:rFonts w:ascii="Georgia" w:hAnsi="Georgia"/>
                <w:sz w:val="14"/>
              </w:rPr>
            </w:r>
            <w:r>
              <w:rPr>
                <w:rFonts w:ascii="Georgia" w:hAnsi="Georgia"/>
                <w:sz w:val="14"/>
              </w:rPr>
              <w:t>8.5%</w:t>
            </w:r>
          </w:p>
        </w:tc>
        <w:tc>
          <w:tcPr>
            <w:tcW w:type="dxa" w:w="2036"/>
          </w:tcPr>
          <w:p>
            <w:pPr>
              <w:spacing w:before="20" w:after="20"/>
              <w:jc w:val="right"/>
            </w:pPr>
            <w:r>
              <w:rPr>
                <w:rFonts w:ascii="Georgia" w:hAnsi="Georgia"/>
                <w:sz w:val="14"/>
              </w:rPr>
            </w:r>
            <w:r>
              <w:rPr>
                <w:rFonts w:ascii="Georgia" w:hAnsi="Georgia"/>
                <w:sz w:val="14"/>
              </w:rPr>
              <w:t>n/d</w:t>
            </w:r>
          </w:p>
        </w:tc>
        <w:tc>
          <w:tcPr>
            <w:tcW w:type="dxa" w:w="2036"/>
          </w:tcPr>
          <w:p>
            <w:pPr>
              <w:spacing w:before="20" w:after="20"/>
            </w:pPr>
            <w:r>
              <w:rPr>
                <w:rFonts w:ascii="Georgia" w:hAnsi="Georgia"/>
                <w:sz w:val="14"/>
              </w:rPr>
            </w:r>
            <w:r>
              <w:rPr>
                <w:rFonts w:ascii="Georgia" w:hAnsi="Georgia"/>
                <w:sz w:val="14"/>
              </w:rPr>
              <w:t>Near historic lows. Genuinely positive for delivery quality and replacement cost, though partly a function of a weak external hiring market.</w:t>
            </w:r>
          </w:p>
        </w:tc>
      </w:tr>
      <w:tr>
        <w:tc>
          <w:tcPr>
            <w:tcW w:type="dxa" w:w="2036"/>
            <w:shd w:val="clear" w:fill="F4F7FA"/>
          </w:tcPr>
          <w:p>
            <w:pPr>
              <w:spacing w:before="20" w:after="20"/>
            </w:pPr>
            <w:r>
              <w:rPr>
                <w:rFonts w:ascii="Georgia" w:hAnsi="Georgia"/>
                <w:sz w:val="14"/>
              </w:rPr>
            </w:r>
            <w:r>
              <w:rPr>
                <w:rFonts w:ascii="Georgia" w:hAnsi="Georgia"/>
                <w:sz w:val="14"/>
              </w:rPr>
              <w:t>Non-GAAP gross margin</w:t>
            </w:r>
          </w:p>
        </w:tc>
        <w:tc>
          <w:tcPr>
            <w:tcW w:type="dxa" w:w="2036"/>
            <w:shd w:val="clear" w:fill="F4F7FA"/>
          </w:tcPr>
          <w:p>
            <w:pPr>
              <w:spacing w:before="20" w:after="20"/>
              <w:jc w:val="right"/>
            </w:pPr>
            <w:r>
              <w:rPr>
                <w:rFonts w:ascii="Georgia" w:hAnsi="Georgia"/>
                <w:sz w:val="14"/>
              </w:rPr>
            </w:r>
            <w:r>
              <w:rPr>
                <w:rFonts w:ascii="Georgia" w:hAnsi="Georgia"/>
                <w:sz w:val="14"/>
              </w:rPr>
              <w:t>c.30.5%</w:t>
            </w:r>
          </w:p>
        </w:tc>
        <w:tc>
          <w:tcPr>
            <w:tcW w:type="dxa" w:w="2036"/>
            <w:shd w:val="clear" w:fill="F4F7FA"/>
          </w:tcPr>
          <w:p>
            <w:pPr>
              <w:spacing w:before="20" w:after="20"/>
              <w:jc w:val="right"/>
            </w:pPr>
            <w:r>
              <w:rPr>
                <w:rFonts w:ascii="Georgia" w:hAnsi="Georgia"/>
                <w:sz w:val="14"/>
              </w:rPr>
            </w:r>
            <w:r>
              <w:rPr>
                <w:rFonts w:ascii="Georgia" w:hAnsi="Georgia"/>
                <w:sz w:val="14"/>
              </w:rPr>
              <w:t>c.30.5%</w:t>
            </w:r>
          </w:p>
        </w:tc>
        <w:tc>
          <w:tcPr>
            <w:tcW w:type="dxa" w:w="2036"/>
            <w:shd w:val="clear" w:fill="F4F7FA"/>
          </w:tcPr>
          <w:p>
            <w:pPr>
              <w:spacing w:before="20" w:after="20"/>
              <w:jc w:val="right"/>
            </w:pPr>
            <w:r>
              <w:rPr>
                <w:rFonts w:ascii="Georgia" w:hAnsi="Georgia"/>
                <w:sz w:val="14"/>
              </w:rPr>
            </w:r>
            <w:r>
              <w:rPr>
                <w:rFonts w:ascii="Georgia" w:hAnsi="Georgia"/>
                <w:sz w:val="14"/>
              </w:rPr>
              <w:t>32.0%</w:t>
            </w:r>
          </w:p>
        </w:tc>
        <w:tc>
          <w:tcPr>
            <w:tcW w:type="dxa" w:w="2036"/>
            <w:shd w:val="clear" w:fill="F4F7FA"/>
          </w:tcPr>
          <w:p>
            <w:pPr>
              <w:spacing w:before="20" w:after="20"/>
            </w:pPr>
            <w:r>
              <w:rPr>
                <w:rFonts w:ascii="Georgia" w:hAnsi="Georgia"/>
                <w:sz w:val="14"/>
              </w:rPr>
            </w:r>
            <w:r>
              <w:rPr>
                <w:rFonts w:ascii="Georgia" w:hAnsi="Georgia"/>
                <w:b/>
                <w:sz w:val="14"/>
              </w:rPr>
              <w:t>+190bp y/y</w:t>
            </w:r>
            <w:r>
              <w:rPr>
                <w:rFonts w:ascii="Georgia" w:hAnsi="Georgia"/>
                <w:sz w:val="14"/>
              </w:rPr>
              <w:t xml:space="preserve"> from 30.1%. Driven by price increases and improved fixed-fee profitability. Management expects to hold above 32% for the rest of 2026. The single most bullish data point available.</w:t>
            </w:r>
          </w:p>
        </w:tc>
      </w:tr>
      <w:tr>
        <w:tc>
          <w:tcPr>
            <w:tcW w:type="dxa" w:w="2036"/>
          </w:tcPr>
          <w:p>
            <w:pPr>
              <w:spacing w:before="20" w:after="20"/>
            </w:pPr>
            <w:r>
              <w:rPr>
                <w:rFonts w:ascii="Georgia" w:hAnsi="Georgia"/>
                <w:sz w:val="14"/>
              </w:rPr>
            </w:r>
            <w:r>
              <w:rPr>
                <w:rFonts w:ascii="Georgia" w:hAnsi="Georgia"/>
                <w:sz w:val="14"/>
              </w:rPr>
              <w:t>Non-GAAP operating margin</w:t>
            </w:r>
          </w:p>
        </w:tc>
        <w:tc>
          <w:tcPr>
            <w:tcW w:type="dxa" w:w="2036"/>
          </w:tcPr>
          <w:p>
            <w:pPr>
              <w:spacing w:before="20" w:after="20"/>
              <w:jc w:val="right"/>
            </w:pPr>
            <w:r>
              <w:rPr>
                <w:rFonts w:ascii="Georgia" w:hAnsi="Georgia"/>
                <w:sz w:val="14"/>
              </w:rPr>
            </w:r>
            <w:r>
              <w:rPr>
                <w:rFonts w:ascii="Georgia" w:hAnsi="Georgia"/>
                <w:sz w:val="14"/>
              </w:rPr>
              <w:t>c.16.5%</w:t>
            </w:r>
          </w:p>
        </w:tc>
        <w:tc>
          <w:tcPr>
            <w:tcW w:type="dxa" w:w="2036"/>
          </w:tcPr>
          <w:p>
            <w:pPr>
              <w:spacing w:before="20" w:after="20"/>
              <w:jc w:val="right"/>
            </w:pPr>
            <w:r>
              <w:rPr>
                <w:rFonts w:ascii="Georgia" w:hAnsi="Georgia"/>
                <w:sz w:val="14"/>
              </w:rPr>
            </w:r>
            <w:r>
              <w:rPr>
                <w:rFonts w:ascii="Georgia" w:hAnsi="Georgia"/>
                <w:sz w:val="14"/>
              </w:rPr>
              <w:t>15.2%</w:t>
            </w:r>
          </w:p>
        </w:tc>
        <w:tc>
          <w:tcPr>
            <w:tcW w:type="dxa" w:w="2036"/>
          </w:tcPr>
          <w:p>
            <w:pPr>
              <w:spacing w:before="20" w:after="20"/>
              <w:jc w:val="right"/>
            </w:pPr>
            <w:r>
              <w:rPr>
                <w:rFonts w:ascii="Georgia" w:hAnsi="Georgia"/>
                <w:sz w:val="14"/>
              </w:rPr>
            </w:r>
            <w:r>
              <w:rPr>
                <w:rFonts w:ascii="Georgia" w:hAnsi="Georgia"/>
                <w:sz w:val="14"/>
              </w:rPr>
              <w:t>16.4%</w:t>
            </w:r>
          </w:p>
        </w:tc>
        <w:tc>
          <w:tcPr>
            <w:tcW w:type="dxa" w:w="2036"/>
          </w:tcPr>
          <w:p>
            <w:pPr>
              <w:spacing w:before="20" w:after="20"/>
            </w:pPr>
            <w:r>
              <w:rPr>
                <w:rFonts w:ascii="Georgia" w:hAnsi="Georgia"/>
                <w:sz w:val="14"/>
              </w:rPr>
            </w:r>
            <w:r>
              <w:rPr>
                <w:rFonts w:ascii="Georgia" w:hAnsi="Georgia"/>
                <w:sz w:val="14"/>
              </w:rPr>
              <w:t>Recovering strongly; FY2026 guided at 15–16%, with a 2028 ambition of 16%+.</w:t>
            </w:r>
          </w:p>
        </w:tc>
      </w:tr>
      <w:tr>
        <w:tc>
          <w:tcPr>
            <w:tcW w:type="dxa" w:w="2036"/>
            <w:shd w:val="clear" w:fill="F4F7FA"/>
          </w:tcPr>
          <w:p>
            <w:pPr>
              <w:spacing w:before="20" w:after="20"/>
            </w:pPr>
            <w:r>
              <w:rPr>
                <w:rFonts w:ascii="Georgia" w:hAnsi="Georgia"/>
                <w:sz w:val="14"/>
              </w:rPr>
            </w:r>
            <w:r>
              <w:rPr>
                <w:rFonts w:ascii="Georgia" w:hAnsi="Georgia"/>
                <w:b/>
                <w:sz w:val="14"/>
              </w:rPr>
              <w:t>AI-native revenue</w:t>
            </w:r>
          </w:p>
        </w:tc>
        <w:tc>
          <w:tcPr>
            <w:tcW w:type="dxa" w:w="2036"/>
            <w:shd w:val="clear" w:fill="F4F7FA"/>
          </w:tcPr>
          <w:p>
            <w:pPr>
              <w:spacing w:before="20" w:after="20"/>
              <w:jc w:val="right"/>
            </w:pPr>
            <w:r>
              <w:rPr>
                <w:rFonts w:ascii="Georgia" w:hAnsi="Georgia"/>
                <w:sz w:val="14"/>
              </w:rPr>
            </w:r>
            <w:r>
              <w:rPr>
                <w:rFonts w:ascii="Georgia" w:hAnsi="Georgia"/>
                <w:sz w:val="14"/>
              </w:rPr>
              <w:t>minimal</w:t>
            </w:r>
          </w:p>
        </w:tc>
        <w:tc>
          <w:tcPr>
            <w:tcW w:type="dxa" w:w="2036"/>
            <w:shd w:val="clear" w:fill="F4F7FA"/>
          </w:tcPr>
          <w:p>
            <w:pPr>
              <w:spacing w:before="20" w:after="20"/>
              <w:jc w:val="right"/>
            </w:pPr>
            <w:r>
              <w:rPr>
                <w:rFonts w:ascii="Georgia" w:hAnsi="Georgia"/>
                <w:sz w:val="14"/>
              </w:rPr>
            </w:r>
            <w:r>
              <w:rPr>
                <w:rFonts w:ascii="Georgia" w:hAnsi="Georgia"/>
                <w:sz w:val="14"/>
              </w:rPr>
              <w:t>c.$300m (est.)</w:t>
            </w:r>
          </w:p>
        </w:tc>
        <w:tc>
          <w:tcPr>
            <w:tcW w:type="dxa" w:w="2036"/>
            <w:shd w:val="clear" w:fill="F4F7FA"/>
          </w:tcPr>
          <w:p>
            <w:pPr>
              <w:spacing w:before="20" w:after="20"/>
              <w:jc w:val="right"/>
            </w:pPr>
            <w:r>
              <w:rPr>
                <w:rFonts w:ascii="Georgia" w:hAnsi="Georgia"/>
                <w:sz w:val="14"/>
              </w:rPr>
            </w:r>
            <w:r>
              <w:rPr>
                <w:rFonts w:ascii="Georgia" w:hAnsi="Georgia"/>
                <w:sz w:val="14"/>
              </w:rPr>
              <w:t>&gt;$160m</w:t>
            </w:r>
          </w:p>
        </w:tc>
        <w:tc>
          <w:tcPr>
            <w:tcW w:type="dxa" w:w="2036"/>
            <w:shd w:val="clear" w:fill="F4F7FA"/>
          </w:tcPr>
          <w:p>
            <w:pPr>
              <w:spacing w:before="20" w:after="20"/>
            </w:pPr>
            <w:r>
              <w:rPr>
                <w:rFonts w:ascii="Georgia" w:hAnsi="Georgia"/>
                <w:sz w:val="14"/>
              </w:rPr>
            </w:r>
            <w:r>
              <w:rPr>
                <w:rFonts w:ascii="Georgia" w:hAnsi="Georgia"/>
                <w:b/>
                <w:sz w:val="14"/>
              </w:rPr>
              <w:t>The key new KPI.</w:t>
            </w:r>
            <w:r>
              <w:rPr>
                <w:rFonts w:ascii="Georgia" w:hAnsi="Georgia"/>
                <w:sz w:val="14"/>
              </w:rPr>
              <w:t xml:space="preserve"> Over 11% of total revenue, sixth consecutive quarter of double-digit sequential growth, tracking to $600m for FY2026 (Q1 2026: over $125m).</w:t>
            </w:r>
          </w:p>
        </w:tc>
      </w:tr>
      <w:tr>
        <w:tc>
          <w:tcPr>
            <w:tcW w:type="dxa" w:w="2036"/>
          </w:tcPr>
          <w:p>
            <w:pPr>
              <w:spacing w:before="20" w:after="20"/>
            </w:pPr>
            <w:r>
              <w:rPr>
                <w:rFonts w:ascii="Georgia" w:hAnsi="Georgia"/>
                <w:sz w:val="14"/>
              </w:rPr>
            </w:r>
            <w:r>
              <w:rPr>
                <w:rFonts w:ascii="Georgia" w:hAnsi="Georgia"/>
                <w:sz w:val="14"/>
              </w:rPr>
              <w:t>Top-5 / top-10 client concentration</w:t>
            </w:r>
          </w:p>
        </w:tc>
        <w:tc>
          <w:tcPr>
            <w:tcW w:type="dxa" w:w="2036"/>
          </w:tcPr>
          <w:p>
            <w:pPr>
              <w:spacing w:before="20" w:after="20"/>
              <w:jc w:val="right"/>
            </w:pPr>
            <w:r>
              <w:rPr>
                <w:rFonts w:ascii="Georgia" w:hAnsi="Georgia"/>
                <w:sz w:val="14"/>
              </w:rPr>
            </w:r>
            <w:r>
              <w:rPr>
                <w:rFonts w:ascii="Georgia" w:hAnsi="Georgia"/>
                <w:sz w:val="14"/>
              </w:rPr>
              <w:t>n/d</w:t>
            </w:r>
          </w:p>
        </w:tc>
        <w:tc>
          <w:tcPr>
            <w:tcW w:type="dxa" w:w="2036"/>
          </w:tcPr>
          <w:p>
            <w:pPr>
              <w:spacing w:before="20" w:after="20"/>
              <w:jc w:val="right"/>
            </w:pPr>
            <w:r>
              <w:rPr>
                <w:rFonts w:ascii="Georgia" w:hAnsi="Georgia"/>
                <w:sz w:val="14"/>
              </w:rPr>
            </w:r>
            <w:r>
              <w:rPr>
                <w:rFonts w:ascii="Georgia" w:hAnsi="Georgia"/>
                <w:sz w:val="14"/>
              </w:rPr>
              <w:t>13.7% / 21.6%</w:t>
            </w:r>
          </w:p>
        </w:tc>
        <w:tc>
          <w:tcPr>
            <w:tcW w:type="dxa" w:w="2036"/>
          </w:tcPr>
          <w:p>
            <w:pPr>
              <w:spacing w:before="20" w:after="20"/>
              <w:jc w:val="right"/>
            </w:pPr>
            <w:r>
              <w:rPr>
                <w:rFonts w:ascii="Georgia" w:hAnsi="Georgia"/>
                <w:sz w:val="14"/>
              </w:rPr>
            </w:r>
            <w:r>
              <w:rPr>
                <w:rFonts w:ascii="Georgia" w:hAnsi="Georgia"/>
                <w:sz w:val="14"/>
              </w:rPr>
              <w:t>n/d</w:t>
            </w:r>
          </w:p>
        </w:tc>
        <w:tc>
          <w:tcPr>
            <w:tcW w:type="dxa" w:w="2036"/>
          </w:tcPr>
          <w:p>
            <w:pPr>
              <w:spacing w:before="20" w:after="20"/>
            </w:pPr>
            <w:r>
              <w:rPr>
                <w:rFonts w:ascii="Georgia" w:hAnsi="Georgia"/>
                <w:sz w:val="14"/>
              </w:rPr>
            </w:r>
            <w:r>
              <w:rPr>
                <w:rFonts w:ascii="Georgia" w:hAnsi="Georgia"/>
                <w:sz w:val="14"/>
              </w:rPr>
              <w:t>Unusually low concentration. No single client loss is material.</w:t>
            </w:r>
          </w:p>
        </w:tc>
      </w:tr>
      <w:tr>
        <w:tc>
          <w:tcPr>
            <w:tcW w:type="dxa" w:w="2036"/>
            <w:shd w:val="clear" w:fill="F4F7FA"/>
          </w:tcPr>
          <w:p>
            <w:pPr>
              <w:spacing w:before="20" w:after="20"/>
            </w:pPr>
            <w:r>
              <w:rPr>
                <w:rFonts w:ascii="Georgia" w:hAnsi="Georgia"/>
                <w:sz w:val="14"/>
              </w:rPr>
            </w:r>
            <w:r>
              <w:rPr>
                <w:rFonts w:ascii="Georgia" w:hAnsi="Georgia"/>
                <w:sz w:val="14"/>
              </w:rPr>
              <w:t>Capex intensity</w:t>
            </w:r>
          </w:p>
        </w:tc>
        <w:tc>
          <w:tcPr>
            <w:tcW w:type="dxa" w:w="2036"/>
            <w:shd w:val="clear" w:fill="F4F7FA"/>
          </w:tcPr>
          <w:p>
            <w:pPr>
              <w:spacing w:before="20" w:after="20"/>
              <w:jc w:val="right"/>
            </w:pPr>
            <w:r>
              <w:rPr>
                <w:rFonts w:ascii="Georgia" w:hAnsi="Georgia"/>
                <w:sz w:val="14"/>
              </w:rPr>
            </w:r>
            <w:r>
              <w:rPr>
                <w:rFonts w:ascii="Georgia" w:hAnsi="Georgia"/>
                <w:sz w:val="14"/>
              </w:rPr>
              <w:t>c.1%</w:t>
            </w:r>
          </w:p>
        </w:tc>
        <w:tc>
          <w:tcPr>
            <w:tcW w:type="dxa" w:w="2036"/>
            <w:shd w:val="clear" w:fill="F4F7FA"/>
          </w:tcPr>
          <w:p>
            <w:pPr>
              <w:spacing w:before="20" w:after="20"/>
              <w:jc w:val="right"/>
            </w:pPr>
            <w:r>
              <w:rPr>
                <w:rFonts w:ascii="Georgia" w:hAnsi="Georgia"/>
                <w:sz w:val="14"/>
              </w:rPr>
            </w:r>
            <w:r>
              <w:rPr>
                <w:rFonts w:ascii="Georgia" w:hAnsi="Georgia"/>
                <w:sz w:val="14"/>
              </w:rPr>
              <w:t>c.0.8%</w:t>
            </w:r>
          </w:p>
        </w:tc>
        <w:tc>
          <w:tcPr>
            <w:tcW w:type="dxa" w:w="2036"/>
            <w:shd w:val="clear" w:fill="F4F7FA"/>
          </w:tcPr>
          <w:p>
            <w:pPr>
              <w:spacing w:before="20" w:after="20"/>
              <w:jc w:val="right"/>
            </w:pPr>
            <w:r>
              <w:rPr>
                <w:rFonts w:ascii="Georgia" w:hAnsi="Georgia"/>
                <w:sz w:val="14"/>
              </w:rPr>
            </w:r>
            <w:r>
              <w:rPr>
                <w:rFonts w:ascii="Georgia" w:hAnsi="Georgia"/>
                <w:sz w:val="14"/>
              </w:rPr>
              <w:t>c.1%</w:t>
            </w:r>
          </w:p>
        </w:tc>
        <w:tc>
          <w:tcPr>
            <w:tcW w:type="dxa" w:w="2036"/>
            <w:shd w:val="clear" w:fill="F4F7FA"/>
          </w:tcPr>
          <w:p>
            <w:pPr>
              <w:spacing w:before="20" w:after="20"/>
            </w:pPr>
            <w:r>
              <w:rPr>
                <w:rFonts w:ascii="Georgia" w:hAnsi="Georgia"/>
                <w:sz w:val="14"/>
              </w:rPr>
            </w:r>
            <w:r>
              <w:rPr>
                <w:rFonts w:ascii="Georgia" w:hAnsi="Georgia"/>
                <w:sz w:val="14"/>
              </w:rPr>
              <w:t>Structurally minimal. FY2025 capex of roughly $42m on $655m of operating cash flow.</w:t>
            </w:r>
          </w:p>
        </w:tc>
      </w:tr>
      <w:tr>
        <w:tc>
          <w:tcPr>
            <w:tcW w:type="dxa" w:w="2036"/>
          </w:tcPr>
          <w:p>
            <w:pPr>
              <w:spacing w:before="20" w:after="20"/>
            </w:pPr>
            <w:r>
              <w:rPr>
                <w:rFonts w:ascii="Georgia" w:hAnsi="Georgia"/>
                <w:sz w:val="14"/>
              </w:rPr>
            </w:r>
            <w:r>
              <w:rPr>
                <w:rFonts w:ascii="Georgia" w:hAnsi="Georgia"/>
                <w:sz w:val="14"/>
              </w:rPr>
              <w:t>India delivery scale</w:t>
            </w:r>
          </w:p>
        </w:tc>
        <w:tc>
          <w:tcPr>
            <w:tcW w:type="dxa" w:w="2036"/>
          </w:tcPr>
          <w:p>
            <w:pPr>
              <w:spacing w:before="20" w:after="20"/>
              <w:jc w:val="right"/>
            </w:pPr>
            <w:r>
              <w:rPr>
                <w:rFonts w:ascii="Georgia" w:hAnsi="Georgia"/>
                <w:sz w:val="14"/>
              </w:rPr>
            </w:r>
            <w:r>
              <w:rPr>
                <w:rFonts w:ascii="Georgia" w:hAnsi="Georgia"/>
                <w:sz w:val="14"/>
              </w:rPr>
              <w:t>c.11,000</w:t>
            </w:r>
          </w:p>
        </w:tc>
        <w:tc>
          <w:tcPr>
            <w:tcW w:type="dxa" w:w="2036"/>
          </w:tcPr>
          <w:p>
            <w:pPr>
              <w:spacing w:before="20" w:after="20"/>
              <w:jc w:val="right"/>
            </w:pPr>
            <w:r>
              <w:rPr>
                <w:rFonts w:ascii="Georgia" w:hAnsi="Georgia"/>
                <w:sz w:val="14"/>
              </w:rPr>
            </w:r>
            <w:r>
              <w:rPr>
                <w:rFonts w:ascii="Georgia" w:hAnsi="Georgia"/>
                <w:sz w:val="14"/>
              </w:rPr>
              <w:t>c.12,200</w:t>
            </w:r>
          </w:p>
        </w:tc>
        <w:tc>
          <w:tcPr>
            <w:tcW w:type="dxa" w:w="2036"/>
          </w:tcPr>
          <w:p>
            <w:pPr>
              <w:spacing w:before="20" w:after="20"/>
              <w:jc w:val="right"/>
            </w:pPr>
            <w:r>
              <w:rPr>
                <w:rFonts w:ascii="Georgia" w:hAnsi="Georgia"/>
                <w:sz w:val="14"/>
              </w:rPr>
            </w:r>
            <w:r>
              <w:rPr>
                <w:rFonts w:ascii="Georgia" w:hAnsi="Georgia"/>
                <w:sz w:val="14"/>
              </w:rPr>
              <w:t>n/d</w:t>
            </w:r>
          </w:p>
        </w:tc>
        <w:tc>
          <w:tcPr>
            <w:tcW w:type="dxa" w:w="2036"/>
          </w:tcPr>
          <w:p>
            <w:pPr>
              <w:spacing w:before="20" w:after="20"/>
            </w:pPr>
            <w:r>
              <w:rPr>
                <w:rFonts w:ascii="Georgia" w:hAnsi="Georgia"/>
                <w:sz w:val="14"/>
              </w:rPr>
            </w:r>
            <w:r>
              <w:rPr>
                <w:rFonts w:ascii="Georgia" w:hAnsi="Georgia"/>
                <w:sz w:val="14"/>
              </w:rPr>
              <w:t xml:space="preserve">Now EPAM's </w:t>
            </w:r>
            <w:r>
              <w:rPr>
                <w:rFonts w:ascii="Georgia" w:hAnsi="Georgia"/>
                <w:b/>
                <w:sz w:val="14"/>
              </w:rPr>
              <w:t>largest single delivery location</w:t>
            </w:r>
            <w:r>
              <w:rPr>
                <w:rFonts w:ascii="Georgia" w:hAnsi="Georgia"/>
                <w:sz w:val="14"/>
              </w:rPr>
              <w:t xml:space="preserve"> — a complete inversion of the pre-2022 Eastern European model and a major strategic achievement.</w:t>
            </w:r>
          </w:p>
        </w:tc>
      </w:tr>
    </w:tbl>
    <w:p>
      <w:pPr>
        <w:spacing w:after="60"/>
      </w:pPr>
    </w:p>
    <w:p>
      <w:pPr>
        <w:keepNext/>
        <w:spacing w:before="320" w:after="120"/>
        <w:pBdr>
          <w:bottom w:val="single" w:sz="12" w:space="2" w:color="0B2545"/>
        </w:pBdr>
      </w:pPr>
      <w:r>
        <w:rPr>
          <w:rFonts w:ascii="Georgia" w:hAnsi="Georgia"/>
          <w:b/>
          <w:color w:val="0B2545"/>
          <w:sz w:val="26"/>
        </w:rPr>
        <w:t>9. Latest Earnings Analysis: Q2 2026 (reported 6 August 2026)</w:t>
      </w:r>
    </w:p>
    <w:p>
      <w:pPr>
        <w:keepNext/>
        <w:spacing w:before="200" w:after="80"/>
      </w:pPr>
      <w:r>
        <w:rPr>
          <w:rFonts w:ascii="Georgia" w:hAnsi="Georgia"/>
          <w:b/>
          <w:color w:val="14487F"/>
          <w:sz w:val="21"/>
        </w:rPr>
        <w:t>Result versus expectations</w:t>
      </w:r>
    </w:p>
    <w:tbl>
      <w:tblPr>
        <w:tblStyle w:val="TableGrid"/>
        <w:tblW w:type="auto" w:w="0"/>
        <w:jc w:val="center"/>
        <w:tblLayout w:type="autofit"/>
        <w:tblLook w:firstColumn="1" w:firstRow="1" w:lastColumn="0" w:lastRow="0" w:noHBand="0" w:noVBand="1" w:val="04A0"/>
      </w:tblPr>
      <w:tblGrid>
        <w:gridCol w:w="2036"/>
        <w:gridCol w:w="2036"/>
        <w:gridCol w:w="2036"/>
        <w:gridCol w:w="2036"/>
        <w:gridCol w:w="2036"/>
      </w:tblGrid>
      <w:tr>
        <w:tc>
          <w:tcPr>
            <w:tcW w:type="dxa" w:w="2036"/>
            <w:shd w:val="clear" w:fill="0B2545"/>
          </w:tcPr>
          <w:p>
            <w:pPr>
              <w:spacing w:before="20" w:after="20"/>
            </w:pPr>
            <w:r>
              <w:rPr>
                <w:rFonts w:ascii="Georgia" w:hAnsi="Georgia"/>
                <w:b/>
                <w:color w:val="FFFFFF"/>
                <w:sz w:val="14"/>
              </w:rPr>
            </w:r>
            <w:r>
              <w:rPr>
                <w:rFonts w:ascii="Georgia" w:hAnsi="Georgia"/>
                <w:b/>
                <w:color w:val="FFFFFF"/>
                <w:sz w:val="14"/>
              </w:rPr>
              <w:t>Metric</w:t>
            </w:r>
          </w:p>
        </w:tc>
        <w:tc>
          <w:tcPr>
            <w:tcW w:type="dxa" w:w="2036"/>
            <w:shd w:val="clear" w:fill="0B2545"/>
          </w:tcPr>
          <w:p>
            <w:pPr>
              <w:spacing w:before="20" w:after="20"/>
              <w:jc w:val="right"/>
            </w:pPr>
            <w:r>
              <w:rPr>
                <w:rFonts w:ascii="Georgia" w:hAnsi="Georgia"/>
                <w:b/>
                <w:color w:val="FFFFFF"/>
                <w:sz w:val="14"/>
              </w:rPr>
            </w:r>
            <w:r>
              <w:rPr>
                <w:rFonts w:ascii="Georgia" w:hAnsi="Georgia"/>
                <w:b/>
                <w:color w:val="FFFFFF"/>
                <w:sz w:val="14"/>
              </w:rPr>
              <w:t>Q2 2026 actual</w:t>
            </w:r>
          </w:p>
        </w:tc>
        <w:tc>
          <w:tcPr>
            <w:tcW w:type="dxa" w:w="2036"/>
            <w:shd w:val="clear" w:fill="0B2545"/>
          </w:tcPr>
          <w:p>
            <w:pPr>
              <w:spacing w:before="20" w:after="20"/>
              <w:jc w:val="right"/>
            </w:pPr>
            <w:r>
              <w:rPr>
                <w:rFonts w:ascii="Georgia" w:hAnsi="Georgia"/>
                <w:b/>
                <w:color w:val="FFFFFF"/>
                <w:sz w:val="14"/>
              </w:rPr>
            </w:r>
            <w:r>
              <w:rPr>
                <w:rFonts w:ascii="Georgia" w:hAnsi="Georgia"/>
                <w:b/>
                <w:color w:val="FFFFFF"/>
                <w:sz w:val="14"/>
              </w:rPr>
              <w:t>Q2 2025</w:t>
            </w:r>
          </w:p>
        </w:tc>
        <w:tc>
          <w:tcPr>
            <w:tcW w:type="dxa" w:w="2036"/>
            <w:shd w:val="clear" w:fill="0B2545"/>
          </w:tcPr>
          <w:p>
            <w:pPr>
              <w:spacing w:before="20" w:after="20"/>
              <w:jc w:val="right"/>
            </w:pPr>
            <w:r>
              <w:rPr>
                <w:rFonts w:ascii="Georgia" w:hAnsi="Georgia"/>
                <w:b/>
                <w:color w:val="FFFFFF"/>
                <w:sz w:val="14"/>
              </w:rPr>
            </w:r>
            <w:r>
              <w:rPr>
                <w:rFonts w:ascii="Georgia" w:hAnsi="Georgia"/>
                <w:b/>
                <w:color w:val="FFFFFF"/>
                <w:sz w:val="14"/>
              </w:rPr>
              <w:t>Y/Y change</w:t>
            </w:r>
          </w:p>
        </w:tc>
        <w:tc>
          <w:tcPr>
            <w:tcW w:type="dxa" w:w="2036"/>
            <w:shd w:val="clear" w:fill="0B2545"/>
          </w:tcPr>
          <w:p>
            <w:pPr>
              <w:spacing w:before="20" w:after="20"/>
            </w:pPr>
            <w:r>
              <w:rPr>
                <w:rFonts w:ascii="Georgia" w:hAnsi="Georgia"/>
                <w:b/>
                <w:color w:val="FFFFFF"/>
                <w:sz w:val="14"/>
              </w:rPr>
            </w:r>
            <w:r>
              <w:rPr>
                <w:rFonts w:ascii="Georgia" w:hAnsi="Georgia"/>
                <w:b/>
                <w:color w:val="FFFFFF"/>
                <w:sz w:val="14"/>
              </w:rPr>
              <w:t>Versus expectations</w:t>
            </w:r>
          </w:p>
        </w:tc>
      </w:tr>
      <w:tr>
        <w:tc>
          <w:tcPr>
            <w:tcW w:type="dxa" w:w="2036"/>
          </w:tcPr>
          <w:p>
            <w:pPr>
              <w:spacing w:before="20" w:after="20"/>
            </w:pPr>
            <w:r>
              <w:rPr>
                <w:rFonts w:ascii="Georgia" w:hAnsi="Georgia"/>
                <w:sz w:val="14"/>
              </w:rPr>
            </w:r>
            <w:r>
              <w:rPr>
                <w:rFonts w:ascii="Georgia" w:hAnsi="Georgia"/>
                <w:sz w:val="14"/>
              </w:rPr>
              <w:t>Revenue</w:t>
            </w:r>
          </w:p>
        </w:tc>
        <w:tc>
          <w:tcPr>
            <w:tcW w:type="dxa" w:w="2036"/>
          </w:tcPr>
          <w:p>
            <w:pPr>
              <w:spacing w:before="20" w:after="20"/>
              <w:jc w:val="right"/>
            </w:pPr>
            <w:r>
              <w:rPr>
                <w:rFonts w:ascii="Georgia" w:hAnsi="Georgia"/>
                <w:sz w:val="14"/>
              </w:rPr>
            </w:r>
            <w:r>
              <w:rPr>
                <w:rFonts w:ascii="Georgia" w:hAnsi="Georgia"/>
                <w:sz w:val="14"/>
              </w:rPr>
              <w:t>$1,415m</w:t>
            </w:r>
          </w:p>
        </w:tc>
        <w:tc>
          <w:tcPr>
            <w:tcW w:type="dxa" w:w="2036"/>
          </w:tcPr>
          <w:p>
            <w:pPr>
              <w:spacing w:before="20" w:after="20"/>
              <w:jc w:val="right"/>
            </w:pPr>
            <w:r>
              <w:rPr>
                <w:rFonts w:ascii="Georgia" w:hAnsi="Georgia"/>
                <w:sz w:val="14"/>
              </w:rPr>
            </w:r>
            <w:r>
              <w:rPr>
                <w:rFonts w:ascii="Georgia" w:hAnsi="Georgia"/>
                <w:sz w:val="14"/>
              </w:rPr>
              <w:t>$1,354m</w:t>
            </w:r>
          </w:p>
        </w:tc>
        <w:tc>
          <w:tcPr>
            <w:tcW w:type="dxa" w:w="2036"/>
          </w:tcPr>
          <w:p>
            <w:pPr>
              <w:spacing w:before="20" w:after="20"/>
              <w:jc w:val="right"/>
            </w:pPr>
            <w:r>
              <w:rPr>
                <w:rFonts w:ascii="Georgia" w:hAnsi="Georgia"/>
                <w:sz w:val="14"/>
              </w:rPr>
            </w:r>
            <w:r>
              <w:rPr>
                <w:rFonts w:ascii="Georgia" w:hAnsi="Georgia"/>
                <w:sz w:val="14"/>
              </w:rPr>
              <w:t>+4.5%</w:t>
            </w:r>
          </w:p>
        </w:tc>
        <w:tc>
          <w:tcPr>
            <w:tcW w:type="dxa" w:w="2036"/>
          </w:tcPr>
          <w:p>
            <w:pPr>
              <w:spacing w:before="20" w:after="20"/>
            </w:pPr>
            <w:r>
              <w:rPr>
                <w:rFonts w:ascii="Georgia" w:hAnsi="Georgia"/>
                <w:sz w:val="14"/>
              </w:rPr>
            </w:r>
            <w:r>
              <w:rPr>
                <w:rFonts w:ascii="Georgia" w:hAnsi="Georgia"/>
                <w:sz w:val="14"/>
              </w:rPr>
              <w:t>Beat — at the high end of guidance</w:t>
            </w:r>
          </w:p>
        </w:tc>
      </w:tr>
      <w:tr>
        <w:tc>
          <w:tcPr>
            <w:tcW w:type="dxa" w:w="2036"/>
            <w:shd w:val="clear" w:fill="F4F7FA"/>
          </w:tcPr>
          <w:p>
            <w:pPr>
              <w:spacing w:before="20" w:after="20"/>
            </w:pPr>
            <w:r>
              <w:rPr>
                <w:rFonts w:ascii="Georgia" w:hAnsi="Georgia"/>
                <w:sz w:val="14"/>
              </w:rPr>
            </w:r>
            <w:r>
              <w:rPr>
                <w:rFonts w:ascii="Georgia" w:hAnsi="Georgia"/>
                <w:sz w:val="14"/>
              </w:rPr>
              <w:t>GAAP gross margin</w:t>
            </w:r>
          </w:p>
        </w:tc>
        <w:tc>
          <w:tcPr>
            <w:tcW w:type="dxa" w:w="2036"/>
            <w:shd w:val="clear" w:fill="F4F7FA"/>
          </w:tcPr>
          <w:p>
            <w:pPr>
              <w:spacing w:before="20" w:after="20"/>
              <w:jc w:val="right"/>
            </w:pPr>
            <w:r>
              <w:rPr>
                <w:rFonts w:ascii="Georgia" w:hAnsi="Georgia"/>
                <w:sz w:val="14"/>
              </w:rPr>
            </w:r>
            <w:r>
              <w:rPr>
                <w:rFonts w:ascii="Georgia" w:hAnsi="Georgia"/>
                <w:sz w:val="14"/>
              </w:rPr>
              <w:t>30.4%</w:t>
            </w:r>
          </w:p>
        </w:tc>
        <w:tc>
          <w:tcPr>
            <w:tcW w:type="dxa" w:w="2036"/>
            <w:shd w:val="clear" w:fill="F4F7FA"/>
          </w:tcPr>
          <w:p>
            <w:pPr>
              <w:spacing w:before="20" w:after="20"/>
              <w:jc w:val="right"/>
            </w:pPr>
            <w:r>
              <w:rPr>
                <w:rFonts w:ascii="Georgia" w:hAnsi="Georgia"/>
                <w:sz w:val="14"/>
              </w:rPr>
            </w:r>
            <w:r>
              <w:rPr>
                <w:rFonts w:ascii="Georgia" w:hAnsi="Georgia"/>
                <w:sz w:val="14"/>
              </w:rPr>
              <w:t>28.8%</w:t>
            </w:r>
          </w:p>
        </w:tc>
        <w:tc>
          <w:tcPr>
            <w:tcW w:type="dxa" w:w="2036"/>
            <w:shd w:val="clear" w:fill="F4F7FA"/>
          </w:tcPr>
          <w:p>
            <w:pPr>
              <w:spacing w:before="20" w:after="20"/>
              <w:jc w:val="right"/>
            </w:pPr>
            <w:r>
              <w:rPr>
                <w:rFonts w:ascii="Georgia" w:hAnsi="Georgia"/>
                <w:sz w:val="14"/>
              </w:rPr>
            </w:r>
            <w:r>
              <w:rPr>
                <w:rFonts w:ascii="Georgia" w:hAnsi="Georgia"/>
                <w:sz w:val="14"/>
              </w:rPr>
              <w:t>+160bp</w:t>
            </w:r>
          </w:p>
        </w:tc>
        <w:tc>
          <w:tcPr>
            <w:tcW w:type="dxa" w:w="2036"/>
            <w:shd w:val="clear" w:fill="F4F7FA"/>
          </w:tcPr>
          <w:p>
            <w:pPr>
              <w:spacing w:before="20" w:after="20"/>
            </w:pPr>
            <w:r>
              <w:rPr>
                <w:rFonts w:ascii="Georgia" w:hAnsi="Georgia"/>
                <w:sz w:val="14"/>
              </w:rPr>
            </w:r>
            <w:r>
              <w:rPr>
                <w:rFonts w:ascii="Georgia" w:hAnsi="Georgia"/>
                <w:sz w:val="14"/>
              </w:rPr>
              <w:t>Beat</w:t>
            </w:r>
          </w:p>
        </w:tc>
      </w:tr>
      <w:tr>
        <w:tc>
          <w:tcPr>
            <w:tcW w:type="dxa" w:w="2036"/>
          </w:tcPr>
          <w:p>
            <w:pPr>
              <w:spacing w:before="20" w:after="20"/>
            </w:pPr>
            <w:r>
              <w:rPr>
                <w:rFonts w:ascii="Georgia" w:hAnsi="Georgia"/>
                <w:sz w:val="14"/>
              </w:rPr>
            </w:r>
            <w:r>
              <w:rPr>
                <w:rFonts w:ascii="Georgia" w:hAnsi="Georgia"/>
                <w:sz w:val="14"/>
              </w:rPr>
              <w:t>Non-GAAP gross margin</w:t>
            </w:r>
          </w:p>
        </w:tc>
        <w:tc>
          <w:tcPr>
            <w:tcW w:type="dxa" w:w="2036"/>
          </w:tcPr>
          <w:p>
            <w:pPr>
              <w:spacing w:before="20" w:after="20"/>
              <w:jc w:val="right"/>
            </w:pPr>
            <w:r>
              <w:rPr>
                <w:rFonts w:ascii="Georgia" w:hAnsi="Georgia"/>
                <w:sz w:val="14"/>
              </w:rPr>
            </w:r>
            <w:r>
              <w:rPr>
                <w:rFonts w:ascii="Georgia" w:hAnsi="Georgia"/>
                <w:sz w:val="14"/>
              </w:rPr>
              <w:t>32.0%</w:t>
            </w:r>
          </w:p>
        </w:tc>
        <w:tc>
          <w:tcPr>
            <w:tcW w:type="dxa" w:w="2036"/>
          </w:tcPr>
          <w:p>
            <w:pPr>
              <w:spacing w:before="20" w:after="20"/>
              <w:jc w:val="right"/>
            </w:pPr>
            <w:r>
              <w:rPr>
                <w:rFonts w:ascii="Georgia" w:hAnsi="Georgia"/>
                <w:sz w:val="14"/>
              </w:rPr>
            </w:r>
            <w:r>
              <w:rPr>
                <w:rFonts w:ascii="Georgia" w:hAnsi="Georgia"/>
                <w:sz w:val="14"/>
              </w:rPr>
              <w:t>30.1%</w:t>
            </w:r>
          </w:p>
        </w:tc>
        <w:tc>
          <w:tcPr>
            <w:tcW w:type="dxa" w:w="2036"/>
          </w:tcPr>
          <w:p>
            <w:pPr>
              <w:spacing w:before="20" w:after="20"/>
              <w:jc w:val="right"/>
            </w:pPr>
            <w:r>
              <w:rPr>
                <w:rFonts w:ascii="Georgia" w:hAnsi="Georgia"/>
                <w:sz w:val="14"/>
              </w:rPr>
            </w:r>
            <w:r>
              <w:rPr>
                <w:rFonts w:ascii="Georgia" w:hAnsi="Georgia"/>
                <w:sz w:val="14"/>
              </w:rPr>
              <w:t>+190bp</w:t>
            </w:r>
          </w:p>
        </w:tc>
        <w:tc>
          <w:tcPr>
            <w:tcW w:type="dxa" w:w="2036"/>
          </w:tcPr>
          <w:p>
            <w:pPr>
              <w:spacing w:before="20" w:after="20"/>
            </w:pPr>
            <w:r>
              <w:rPr>
                <w:rFonts w:ascii="Georgia" w:hAnsi="Georgia"/>
                <w:sz w:val="14"/>
              </w:rPr>
            </w:r>
            <w:r>
              <w:rPr>
                <w:rFonts w:ascii="Georgia" w:hAnsi="Georgia"/>
                <w:sz w:val="14"/>
              </w:rPr>
              <w:t>Strong beat</w:t>
            </w:r>
          </w:p>
        </w:tc>
      </w:tr>
      <w:tr>
        <w:tc>
          <w:tcPr>
            <w:tcW w:type="dxa" w:w="2036"/>
            <w:shd w:val="clear" w:fill="F4F7FA"/>
          </w:tcPr>
          <w:p>
            <w:pPr>
              <w:spacing w:before="20" w:after="20"/>
            </w:pPr>
            <w:r>
              <w:rPr>
                <w:rFonts w:ascii="Georgia" w:hAnsi="Georgia"/>
                <w:sz w:val="14"/>
              </w:rPr>
            </w:r>
            <w:r>
              <w:rPr>
                <w:rFonts w:ascii="Georgia" w:hAnsi="Georgia"/>
                <w:sz w:val="14"/>
              </w:rPr>
              <w:t>Non-GAAP operating margin</w:t>
            </w:r>
          </w:p>
        </w:tc>
        <w:tc>
          <w:tcPr>
            <w:tcW w:type="dxa" w:w="2036"/>
            <w:shd w:val="clear" w:fill="F4F7FA"/>
          </w:tcPr>
          <w:p>
            <w:pPr>
              <w:spacing w:before="20" w:after="20"/>
              <w:jc w:val="right"/>
            </w:pPr>
            <w:r>
              <w:rPr>
                <w:rFonts w:ascii="Georgia" w:hAnsi="Georgia"/>
                <w:sz w:val="14"/>
              </w:rPr>
            </w:r>
            <w:r>
              <w:rPr>
                <w:rFonts w:ascii="Georgia" w:hAnsi="Georgia"/>
                <w:sz w:val="14"/>
              </w:rPr>
              <w:t>16.4%</w:t>
            </w:r>
          </w:p>
        </w:tc>
        <w:tc>
          <w:tcPr>
            <w:tcW w:type="dxa" w:w="2036"/>
            <w:shd w:val="clear" w:fill="F4F7FA"/>
          </w:tcPr>
          <w:p>
            <w:pPr>
              <w:spacing w:before="20" w:after="20"/>
              <w:jc w:val="right"/>
            </w:pPr>
            <w:r>
              <w:rPr>
                <w:rFonts w:ascii="Georgia" w:hAnsi="Georgia"/>
                <w:sz w:val="14"/>
              </w:rPr>
            </w:r>
            <w:r>
              <w:rPr>
                <w:rFonts w:ascii="Georgia" w:hAnsi="Georgia"/>
                <w:sz w:val="14"/>
              </w:rPr>
              <w:t>c.15.0%</w:t>
            </w:r>
          </w:p>
        </w:tc>
        <w:tc>
          <w:tcPr>
            <w:tcW w:type="dxa" w:w="2036"/>
            <w:shd w:val="clear" w:fill="F4F7FA"/>
          </w:tcPr>
          <w:p>
            <w:pPr>
              <w:spacing w:before="20" w:after="20"/>
              <w:jc w:val="right"/>
            </w:pPr>
            <w:r>
              <w:rPr>
                <w:rFonts w:ascii="Georgia" w:hAnsi="Georgia"/>
                <w:sz w:val="14"/>
              </w:rPr>
            </w:r>
            <w:r>
              <w:rPr>
                <w:rFonts w:ascii="Georgia" w:hAnsi="Georgia"/>
                <w:sz w:val="14"/>
              </w:rPr>
              <w:t>+c.140bp</w:t>
            </w:r>
          </w:p>
        </w:tc>
        <w:tc>
          <w:tcPr>
            <w:tcW w:type="dxa" w:w="2036"/>
            <w:shd w:val="clear" w:fill="F4F7FA"/>
          </w:tcPr>
          <w:p>
            <w:pPr>
              <w:spacing w:before="20" w:after="20"/>
            </w:pPr>
            <w:r>
              <w:rPr>
                <w:rFonts w:ascii="Georgia" w:hAnsi="Georgia"/>
                <w:sz w:val="14"/>
              </w:rPr>
            </w:r>
            <w:r>
              <w:rPr>
                <w:rFonts w:ascii="Georgia" w:hAnsi="Georgia"/>
                <w:sz w:val="14"/>
              </w:rPr>
              <w:t>Beat</w:t>
            </w:r>
          </w:p>
        </w:tc>
      </w:tr>
      <w:tr>
        <w:tc>
          <w:tcPr>
            <w:tcW w:type="dxa" w:w="2036"/>
          </w:tcPr>
          <w:p>
            <w:pPr>
              <w:spacing w:before="20" w:after="20"/>
            </w:pPr>
            <w:r>
              <w:rPr>
                <w:rFonts w:ascii="Georgia" w:hAnsi="Georgia"/>
                <w:sz w:val="14"/>
              </w:rPr>
            </w:r>
            <w:r>
              <w:rPr>
                <w:rFonts w:ascii="Georgia" w:hAnsi="Georgia"/>
                <w:sz w:val="14"/>
              </w:rPr>
              <w:t>GAAP diluted EPS</w:t>
            </w:r>
          </w:p>
        </w:tc>
        <w:tc>
          <w:tcPr>
            <w:tcW w:type="dxa" w:w="2036"/>
          </w:tcPr>
          <w:p>
            <w:pPr>
              <w:spacing w:before="20" w:after="20"/>
              <w:jc w:val="right"/>
            </w:pPr>
            <w:r>
              <w:rPr>
                <w:rFonts w:ascii="Georgia" w:hAnsi="Georgia"/>
                <w:sz w:val="14"/>
              </w:rPr>
            </w:r>
            <w:r>
              <w:rPr>
                <w:rFonts w:ascii="Georgia" w:hAnsi="Georgia"/>
                <w:sz w:val="14"/>
              </w:rPr>
              <w:t>$1.97</w:t>
            </w:r>
          </w:p>
        </w:tc>
        <w:tc>
          <w:tcPr>
            <w:tcW w:type="dxa" w:w="2036"/>
          </w:tcPr>
          <w:p>
            <w:pPr>
              <w:spacing w:before="20" w:after="20"/>
              <w:jc w:val="right"/>
            </w:pPr>
            <w:r>
              <w:rPr>
                <w:rFonts w:ascii="Georgia" w:hAnsi="Georgia"/>
                <w:sz w:val="14"/>
              </w:rPr>
            </w:r>
            <w:r>
              <w:rPr>
                <w:rFonts w:ascii="Georgia" w:hAnsi="Georgia"/>
                <w:sz w:val="14"/>
              </w:rPr>
              <w:t>$1.56</w:t>
            </w:r>
          </w:p>
        </w:tc>
        <w:tc>
          <w:tcPr>
            <w:tcW w:type="dxa" w:w="2036"/>
          </w:tcPr>
          <w:p>
            <w:pPr>
              <w:spacing w:before="20" w:after="20"/>
              <w:jc w:val="right"/>
            </w:pPr>
            <w:r>
              <w:rPr>
                <w:rFonts w:ascii="Georgia" w:hAnsi="Georgia"/>
                <w:sz w:val="14"/>
              </w:rPr>
            </w:r>
            <w:r>
              <w:rPr>
                <w:rFonts w:ascii="Georgia" w:hAnsi="Georgia"/>
                <w:sz w:val="14"/>
              </w:rPr>
              <w:t>+26.3%</w:t>
            </w:r>
          </w:p>
        </w:tc>
        <w:tc>
          <w:tcPr>
            <w:tcW w:type="dxa" w:w="2036"/>
          </w:tcPr>
          <w:p>
            <w:pPr>
              <w:spacing w:before="20" w:after="20"/>
            </w:pPr>
            <w:r>
              <w:rPr>
                <w:rFonts w:ascii="Georgia" w:hAnsi="Georgia"/>
                <w:sz w:val="14"/>
              </w:rPr>
            </w:r>
            <w:r>
              <w:rPr>
                <w:rFonts w:ascii="Georgia" w:hAnsi="Georgia"/>
                <w:sz w:val="14"/>
              </w:rPr>
              <w:t>Beat</w:t>
            </w:r>
          </w:p>
        </w:tc>
      </w:tr>
      <w:tr>
        <w:tc>
          <w:tcPr>
            <w:tcW w:type="dxa" w:w="2036"/>
            <w:shd w:val="clear" w:fill="F4F7FA"/>
          </w:tcPr>
          <w:p>
            <w:pPr>
              <w:spacing w:before="20" w:after="20"/>
            </w:pPr>
            <w:r>
              <w:rPr>
                <w:rFonts w:ascii="Georgia" w:hAnsi="Georgia"/>
                <w:sz w:val="14"/>
              </w:rPr>
            </w:r>
            <w:r>
              <w:rPr>
                <w:rFonts w:ascii="Georgia" w:hAnsi="Georgia"/>
                <w:sz w:val="14"/>
              </w:rPr>
              <w:t>Non-GAAP diluted EPS</w:t>
            </w:r>
          </w:p>
        </w:tc>
        <w:tc>
          <w:tcPr>
            <w:tcW w:type="dxa" w:w="2036"/>
            <w:shd w:val="clear" w:fill="F4F7FA"/>
          </w:tcPr>
          <w:p>
            <w:pPr>
              <w:spacing w:before="20" w:after="20"/>
              <w:jc w:val="right"/>
            </w:pPr>
            <w:r>
              <w:rPr>
                <w:rFonts w:ascii="Georgia" w:hAnsi="Georgia"/>
                <w:sz w:val="14"/>
              </w:rPr>
            </w:r>
            <w:r>
              <w:rPr>
                <w:rFonts w:ascii="Georgia" w:hAnsi="Georgia"/>
                <w:sz w:val="14"/>
              </w:rPr>
              <w:t>$3.38</w:t>
            </w:r>
          </w:p>
        </w:tc>
        <w:tc>
          <w:tcPr>
            <w:tcW w:type="dxa" w:w="2036"/>
            <w:shd w:val="clear" w:fill="F4F7FA"/>
          </w:tcPr>
          <w:p>
            <w:pPr>
              <w:spacing w:before="20" w:after="20"/>
              <w:jc w:val="right"/>
            </w:pPr>
            <w:r>
              <w:rPr>
                <w:rFonts w:ascii="Georgia" w:hAnsi="Georgia"/>
                <w:sz w:val="14"/>
              </w:rPr>
            </w:r>
            <w:r>
              <w:rPr>
                <w:rFonts w:ascii="Georgia" w:hAnsi="Georgia"/>
                <w:sz w:val="14"/>
              </w:rPr>
              <w:t>$2.77</w:t>
            </w:r>
          </w:p>
        </w:tc>
        <w:tc>
          <w:tcPr>
            <w:tcW w:type="dxa" w:w="2036"/>
            <w:shd w:val="clear" w:fill="F4F7FA"/>
          </w:tcPr>
          <w:p>
            <w:pPr>
              <w:spacing w:before="20" w:after="20"/>
              <w:jc w:val="right"/>
            </w:pPr>
            <w:r>
              <w:rPr>
                <w:rFonts w:ascii="Georgia" w:hAnsi="Georgia"/>
                <w:sz w:val="14"/>
              </w:rPr>
            </w:r>
            <w:r>
              <w:rPr>
                <w:rFonts w:ascii="Georgia" w:hAnsi="Georgia"/>
                <w:sz w:val="14"/>
              </w:rPr>
              <w:t>+22.0%</w:t>
            </w:r>
          </w:p>
        </w:tc>
        <w:tc>
          <w:tcPr>
            <w:tcW w:type="dxa" w:w="2036"/>
            <w:shd w:val="clear" w:fill="F4F7FA"/>
          </w:tcPr>
          <w:p>
            <w:pPr>
              <w:spacing w:before="20" w:after="20"/>
            </w:pPr>
            <w:r>
              <w:rPr>
                <w:rFonts w:ascii="Georgia" w:hAnsi="Georgia"/>
                <w:sz w:val="14"/>
              </w:rPr>
            </w:r>
            <w:r>
              <w:rPr>
                <w:rFonts w:ascii="Georgia" w:hAnsi="Georgia"/>
                <w:sz w:val="14"/>
              </w:rPr>
              <w:t>Beat</w:t>
            </w:r>
          </w:p>
        </w:tc>
      </w:tr>
      <w:tr>
        <w:tc>
          <w:tcPr>
            <w:tcW w:type="dxa" w:w="2036"/>
          </w:tcPr>
          <w:p>
            <w:pPr>
              <w:spacing w:before="20" w:after="20"/>
            </w:pPr>
            <w:r>
              <w:rPr>
                <w:rFonts w:ascii="Georgia" w:hAnsi="Georgia"/>
                <w:sz w:val="14"/>
              </w:rPr>
            </w:r>
            <w:r>
              <w:rPr>
                <w:rFonts w:ascii="Georgia" w:hAnsi="Georgia"/>
                <w:sz w:val="14"/>
              </w:rPr>
              <w:t>AI-native revenue</w:t>
            </w:r>
          </w:p>
        </w:tc>
        <w:tc>
          <w:tcPr>
            <w:tcW w:type="dxa" w:w="2036"/>
          </w:tcPr>
          <w:p>
            <w:pPr>
              <w:spacing w:before="20" w:after="20"/>
              <w:jc w:val="right"/>
            </w:pPr>
            <w:r>
              <w:rPr>
                <w:rFonts w:ascii="Georgia" w:hAnsi="Georgia"/>
                <w:sz w:val="14"/>
              </w:rPr>
            </w:r>
            <w:r>
              <w:rPr>
                <w:rFonts w:ascii="Georgia" w:hAnsi="Georgia"/>
                <w:sz w:val="14"/>
              </w:rPr>
              <w:t>&gt;$160m</w:t>
            </w:r>
          </w:p>
        </w:tc>
        <w:tc>
          <w:tcPr>
            <w:tcW w:type="dxa" w:w="2036"/>
          </w:tcPr>
          <w:p>
            <w:pPr>
              <w:spacing w:before="20" w:after="20"/>
              <w:jc w:val="right"/>
            </w:pPr>
            <w:r>
              <w:rPr>
                <w:rFonts w:ascii="Georgia" w:hAnsi="Georgia"/>
                <w:sz w:val="14"/>
              </w:rPr>
            </w:r>
            <w:r>
              <w:rPr>
                <w:rFonts w:ascii="Georgia" w:hAnsi="Georgia"/>
                <w:sz w:val="14"/>
              </w:rPr>
              <w:t>n/m</w:t>
            </w:r>
          </w:p>
        </w:tc>
        <w:tc>
          <w:tcPr>
            <w:tcW w:type="dxa" w:w="2036"/>
          </w:tcPr>
          <w:p>
            <w:pPr>
              <w:spacing w:before="20" w:after="20"/>
              <w:jc w:val="right"/>
            </w:pPr>
            <w:r>
              <w:rPr>
                <w:rFonts w:ascii="Georgia" w:hAnsi="Georgia"/>
                <w:sz w:val="14"/>
              </w:rPr>
            </w:r>
            <w:r>
              <w:rPr>
                <w:rFonts w:ascii="Georgia" w:hAnsi="Georgia"/>
                <w:sz w:val="14"/>
              </w:rPr>
              <w:t>n/m</w:t>
            </w:r>
          </w:p>
        </w:tc>
        <w:tc>
          <w:tcPr>
            <w:tcW w:type="dxa" w:w="2036"/>
          </w:tcPr>
          <w:p>
            <w:pPr>
              <w:spacing w:before="20" w:after="20"/>
            </w:pPr>
            <w:r>
              <w:rPr>
                <w:rFonts w:ascii="Georgia" w:hAnsi="Georgia"/>
                <w:sz w:val="14"/>
              </w:rPr>
            </w:r>
            <w:r>
              <w:rPr>
                <w:rFonts w:ascii="Georgia" w:hAnsi="Georgia"/>
                <w:sz w:val="14"/>
              </w:rPr>
              <w:t>&gt;11% of revenue; 6th straight quarter of double-digit sequential growth</w:t>
            </w:r>
          </w:p>
        </w:tc>
      </w:tr>
      <w:tr>
        <w:tc>
          <w:tcPr>
            <w:tcW w:type="dxa" w:w="2036"/>
            <w:shd w:val="clear" w:fill="F4F7FA"/>
          </w:tcPr>
          <w:p>
            <w:pPr>
              <w:spacing w:before="20" w:after="20"/>
            </w:pPr>
            <w:r>
              <w:rPr>
                <w:rFonts w:ascii="Georgia" w:hAnsi="Georgia"/>
                <w:sz w:val="14"/>
              </w:rPr>
            </w:r>
            <w:r>
              <w:rPr>
                <w:rFonts w:ascii="Georgia" w:hAnsi="Georgia"/>
                <w:sz w:val="14"/>
              </w:rPr>
              <w:t>Operating cash flow</w:t>
            </w:r>
          </w:p>
        </w:tc>
        <w:tc>
          <w:tcPr>
            <w:tcW w:type="dxa" w:w="2036"/>
            <w:shd w:val="clear" w:fill="F4F7FA"/>
          </w:tcPr>
          <w:p>
            <w:pPr>
              <w:spacing w:before="20" w:after="20"/>
              <w:jc w:val="right"/>
            </w:pPr>
            <w:r>
              <w:rPr>
                <w:rFonts w:ascii="Georgia" w:hAnsi="Georgia"/>
                <w:sz w:val="14"/>
              </w:rPr>
            </w:r>
            <w:r>
              <w:rPr>
                <w:rFonts w:ascii="Georgia" w:hAnsi="Georgia"/>
                <w:sz w:val="14"/>
              </w:rPr>
              <w:t>−$2m</w:t>
            </w:r>
          </w:p>
        </w:tc>
        <w:tc>
          <w:tcPr>
            <w:tcW w:type="dxa" w:w="2036"/>
            <w:shd w:val="clear" w:fill="F4F7FA"/>
          </w:tcPr>
          <w:p>
            <w:pPr>
              <w:spacing w:before="20" w:after="20"/>
              <w:jc w:val="right"/>
            </w:pPr>
            <w:r>
              <w:rPr>
                <w:rFonts w:ascii="Georgia" w:hAnsi="Georgia"/>
                <w:sz w:val="14"/>
              </w:rPr>
            </w:r>
            <w:r>
              <w:rPr>
                <w:rFonts w:ascii="Georgia" w:hAnsi="Georgia"/>
                <w:sz w:val="14"/>
              </w:rPr>
              <w:t>+$53m</w:t>
            </w:r>
          </w:p>
        </w:tc>
        <w:tc>
          <w:tcPr>
            <w:tcW w:type="dxa" w:w="2036"/>
            <w:shd w:val="clear" w:fill="F4F7FA"/>
          </w:tcPr>
          <w:p>
            <w:pPr>
              <w:spacing w:before="20" w:after="20"/>
              <w:jc w:val="right"/>
            </w:pPr>
            <w:r>
              <w:rPr>
                <w:rFonts w:ascii="Georgia" w:hAnsi="Georgia"/>
                <w:sz w:val="14"/>
              </w:rPr>
            </w:r>
            <w:r>
              <w:rPr>
                <w:rFonts w:ascii="Georgia" w:hAnsi="Georgia"/>
                <w:sz w:val="14"/>
              </w:rPr>
              <w:t>−$55m</w:t>
            </w:r>
          </w:p>
        </w:tc>
        <w:tc>
          <w:tcPr>
            <w:tcW w:type="dxa" w:w="2036"/>
            <w:shd w:val="clear" w:fill="F4F7FA"/>
          </w:tcPr>
          <w:p>
            <w:pPr>
              <w:spacing w:before="20" w:after="20"/>
            </w:pPr>
            <w:r>
              <w:rPr>
                <w:rFonts w:ascii="Georgia" w:hAnsi="Georgia"/>
                <w:sz w:val="14"/>
              </w:rPr>
            </w:r>
            <w:r>
              <w:rPr>
                <w:rFonts w:ascii="Georgia" w:hAnsi="Georgia"/>
                <w:b/>
                <w:sz w:val="14"/>
              </w:rPr>
              <w:t>Material miss</w:t>
            </w:r>
          </w:p>
        </w:tc>
      </w:tr>
      <w:tr>
        <w:tc>
          <w:tcPr>
            <w:tcW w:type="dxa" w:w="2036"/>
          </w:tcPr>
          <w:p>
            <w:pPr>
              <w:spacing w:before="20" w:after="20"/>
            </w:pPr>
            <w:r>
              <w:rPr>
                <w:rFonts w:ascii="Georgia" w:hAnsi="Georgia"/>
                <w:sz w:val="14"/>
              </w:rPr>
            </w:r>
            <w:r>
              <w:rPr>
                <w:rFonts w:ascii="Georgia" w:hAnsi="Georgia"/>
                <w:sz w:val="14"/>
              </w:rPr>
              <w:t>Free cash flow</w:t>
            </w:r>
          </w:p>
        </w:tc>
        <w:tc>
          <w:tcPr>
            <w:tcW w:type="dxa" w:w="2036"/>
          </w:tcPr>
          <w:p>
            <w:pPr>
              <w:spacing w:before="20" w:after="20"/>
              <w:jc w:val="right"/>
            </w:pPr>
            <w:r>
              <w:rPr>
                <w:rFonts w:ascii="Georgia" w:hAnsi="Georgia"/>
                <w:sz w:val="14"/>
              </w:rPr>
            </w:r>
            <w:r>
              <w:rPr>
                <w:rFonts w:ascii="Georgia" w:hAnsi="Georgia"/>
                <w:sz w:val="14"/>
              </w:rPr>
              <w:t>−$18m</w:t>
            </w:r>
          </w:p>
        </w:tc>
        <w:tc>
          <w:tcPr>
            <w:tcW w:type="dxa" w:w="2036"/>
          </w:tcPr>
          <w:p>
            <w:pPr>
              <w:spacing w:before="20" w:after="20"/>
              <w:jc w:val="right"/>
            </w:pPr>
            <w:r>
              <w:rPr>
                <w:rFonts w:ascii="Georgia" w:hAnsi="Georgia"/>
                <w:sz w:val="14"/>
              </w:rPr>
            </w:r>
            <w:r>
              <w:rPr>
                <w:rFonts w:ascii="Georgia" w:hAnsi="Georgia"/>
                <w:sz w:val="14"/>
              </w:rPr>
              <w:t>c.+$40m</w:t>
            </w:r>
          </w:p>
        </w:tc>
        <w:tc>
          <w:tcPr>
            <w:tcW w:type="dxa" w:w="2036"/>
          </w:tcPr>
          <w:p>
            <w:pPr>
              <w:spacing w:before="20" w:after="20"/>
              <w:jc w:val="right"/>
            </w:pPr>
            <w:r>
              <w:rPr>
                <w:rFonts w:ascii="Georgia" w:hAnsi="Georgia"/>
                <w:sz w:val="14"/>
              </w:rPr>
            </w:r>
            <w:r>
              <w:rPr>
                <w:rFonts w:ascii="Georgia" w:hAnsi="Georgia"/>
                <w:sz w:val="14"/>
              </w:rPr>
              <w:t>−$58m</w:t>
            </w:r>
          </w:p>
        </w:tc>
        <w:tc>
          <w:tcPr>
            <w:tcW w:type="dxa" w:w="2036"/>
          </w:tcPr>
          <w:p>
            <w:pPr>
              <w:spacing w:before="20" w:after="20"/>
            </w:pPr>
            <w:r>
              <w:rPr>
                <w:rFonts w:ascii="Georgia" w:hAnsi="Georgia"/>
                <w:sz w:val="14"/>
              </w:rPr>
            </w:r>
            <w:r>
              <w:rPr>
                <w:rFonts w:ascii="Georgia" w:hAnsi="Georgia"/>
                <w:b/>
                <w:sz w:val="14"/>
              </w:rPr>
              <w:t>Negative</w:t>
            </w:r>
          </w:p>
        </w:tc>
      </w:tr>
    </w:tbl>
    <w:p>
      <w:pPr>
        <w:spacing w:after="60"/>
      </w:pPr>
    </w:p>
    <w:p>
      <w:pPr>
        <w:spacing w:before="0" w:after="80"/>
        <w:jc w:val="both"/>
      </w:pPr>
      <w:r>
        <w:rPr>
          <w:b/>
        </w:rPr>
        <w:t>EPAM beat on essentially every profit line and was sold off 22%.</w:t>
      </w:r>
      <w:r>
        <w:rPr/>
        <w:t xml:space="preserve"> That fact alone defines the situation: the market has stopped rewarding EPAM's earnings and is trading exclusively on the revenue trajectory.</w:t>
      </w:r>
    </w:p>
    <w:p>
      <w:pPr>
        <w:keepNext/>
        <w:spacing w:before="200" w:after="80"/>
      </w:pPr>
      <w:r>
        <w:rPr>
          <w:rFonts w:ascii="Georgia" w:hAnsi="Georgia"/>
          <w:b/>
          <w:color w:val="14487F"/>
          <w:sz w:val="21"/>
        </w:rPr>
        <w:t>Segment drivers</w:t>
      </w:r>
    </w:p>
    <w:p>
      <w:pPr>
        <w:spacing w:before="0" w:after="80"/>
        <w:jc w:val="both"/>
      </w:pPr>
      <w:r>
        <w:rPr/>
        <w:t xml:space="preserve">The result was carried by Financial Services (+11.5%, the fastest-growing vertical, driven by AI-led modernisation and mainframe transformation programmes) and Life Sciences &amp; Healthcare (+8.0%). It was held back by </w:t>
      </w:r>
      <w:r>
        <w:rPr>
          <w:b/>
        </w:rPr>
        <w:t>outright declines in Software &amp; Hi-Tech (−1.3%) and Business Information &amp; Media (−2.1%)</w:t>
      </w:r>
      <w:r>
        <w:rPr/>
        <w:t>, with Consumer Goods, Retail &amp; Travel nearly flat at +2.3%. Geographically, EMEA (+10.9%) did all the work while the Americas — 57% of revenue — grew +0.5% and APAC declined 0.3%.</w:t>
      </w:r>
    </w:p>
    <w:p>
      <w:pPr>
        <w:spacing w:before="0" w:after="80"/>
        <w:jc w:val="both"/>
      </w:pPr>
      <w:r>
        <w:rPr/>
        <w:t>The deceleration is unambiguous and broad. Americas growth has gone +16.0% (Q3-25), +2.5% (Q1-26), +0.5% (Q2-26). Two of six verticals are shrinking. Delivery headcount grew 1.5%.</w:t>
      </w:r>
    </w:p>
    <w:p>
      <w:pPr>
        <w:keepNext/>
        <w:spacing w:before="200" w:after="80"/>
      </w:pPr>
      <w:r>
        <w:rPr>
          <w:rFonts w:ascii="Georgia" w:hAnsi="Georgia"/>
          <w:b/>
          <w:color w:val="14487F"/>
          <w:sz w:val="21"/>
        </w:rPr>
        <w:t>Margin trends</w:t>
      </w:r>
    </w:p>
    <w:p>
      <w:pPr>
        <w:spacing w:before="0" w:after="80"/>
        <w:jc w:val="both"/>
      </w:pPr>
      <w:r>
        <w:rPr/>
        <w:t xml:space="preserve">Margins moved decisively the right way. Non-GAAP gross margin rose 190bp to 32.0%, attributed by management to </w:t>
      </w:r>
      <w:r>
        <w:rPr>
          <w:b/>
        </w:rPr>
        <w:t>price increases</w:t>
      </w:r>
      <w:r>
        <w:rPr/>
        <w:t xml:space="preserve"> and </w:t>
      </w:r>
      <w:r>
        <w:rPr>
          <w:b/>
        </w:rPr>
        <w:t>improved fixed-fee profitability</w:t>
      </w:r>
      <w:r>
        <w:rPr/>
        <w:t>, with guidance to hold above 32% for the remainder of 2026. Non-GAAP operating margin reached 16.4%. This is the strongest counter-evidence to the commoditisation thesis in the entire dataset: a firm losing pricing power does not raise prices and expand gross margin simultaneously. It is also consistent with AI tooling improving delivery efficiency on fixed-price work — EPAM keeping the productivity gain rather than passing it through.</w:t>
      </w:r>
    </w:p>
    <w:p>
      <w:pPr>
        <w:keepNext/>
        <w:spacing w:before="200" w:after="80"/>
      </w:pPr>
      <w:r>
        <w:rPr>
          <w:rFonts w:ascii="Georgia" w:hAnsi="Georgia"/>
          <w:b/>
          <w:color w:val="14487F"/>
          <w:sz w:val="21"/>
        </w:rPr>
        <w:t>Guidance and change in tone</w:t>
      </w:r>
    </w:p>
    <w:tbl>
      <w:tblPr>
        <w:tblStyle w:val="TableGrid"/>
        <w:tblW w:type="auto" w:w="0"/>
        <w:jc w:val="center"/>
        <w:tblLayout w:type="autofit"/>
        <w:tblLook w:firstColumn="1" w:firstRow="1" w:lastColumn="0" w:lastRow="0" w:noHBand="0" w:noVBand="1" w:val="04A0"/>
      </w:tblPr>
      <w:tblGrid>
        <w:gridCol w:w="2545"/>
        <w:gridCol w:w="2545"/>
        <w:gridCol w:w="2545"/>
        <w:gridCol w:w="2545"/>
      </w:tblGrid>
      <w:tr>
        <w:tc>
          <w:tcPr>
            <w:tcW w:type="dxa" w:w="2545"/>
            <w:shd w:val="clear" w:fill="0B2545"/>
          </w:tcPr>
          <w:p>
            <w:pPr>
              <w:spacing w:before="20" w:after="20"/>
            </w:pPr>
            <w:r>
              <w:rPr>
                <w:rFonts w:ascii="Georgia" w:hAnsi="Georgia"/>
                <w:b/>
                <w:color w:val="FFFFFF"/>
                <w:sz w:val="14"/>
              </w:rPr>
            </w:r>
            <w:r>
              <w:rPr>
                <w:rFonts w:ascii="Georgia" w:hAnsi="Georgia"/>
                <w:b/>
                <w:color w:val="FFFFFF"/>
                <w:sz w:val="14"/>
              </w:rPr>
              <w:t>Guidance metric</w:t>
            </w:r>
          </w:p>
        </w:tc>
        <w:tc>
          <w:tcPr>
            <w:tcW w:type="dxa" w:w="2545"/>
            <w:shd w:val="clear" w:fill="0B2545"/>
          </w:tcPr>
          <w:p>
            <w:pPr>
              <w:spacing w:before="20" w:after="20"/>
              <w:jc w:val="right"/>
            </w:pPr>
            <w:r>
              <w:rPr>
                <w:rFonts w:ascii="Georgia" w:hAnsi="Georgia"/>
                <w:b/>
                <w:color w:val="FFFFFF"/>
                <w:sz w:val="14"/>
              </w:rPr>
            </w:r>
            <w:r>
              <w:rPr>
                <w:rFonts w:ascii="Georgia" w:hAnsi="Georgia"/>
                <w:b/>
                <w:color w:val="FFFFFF"/>
                <w:sz w:val="14"/>
              </w:rPr>
              <w:t>Previous (May 2026)</w:t>
            </w:r>
          </w:p>
        </w:tc>
        <w:tc>
          <w:tcPr>
            <w:tcW w:type="dxa" w:w="2545"/>
            <w:shd w:val="clear" w:fill="0B2545"/>
          </w:tcPr>
          <w:p>
            <w:pPr>
              <w:spacing w:before="20" w:after="20"/>
              <w:jc w:val="right"/>
            </w:pPr>
            <w:r>
              <w:rPr>
                <w:rFonts w:ascii="Georgia" w:hAnsi="Georgia"/>
                <w:b/>
                <w:color w:val="FFFFFF"/>
                <w:sz w:val="14"/>
              </w:rPr>
            </w:r>
            <w:r>
              <w:rPr>
                <w:rFonts w:ascii="Georgia" w:hAnsi="Georgia"/>
                <w:b/>
                <w:color w:val="FFFFFF"/>
                <w:sz w:val="14"/>
              </w:rPr>
              <w:t>Current (Aug 2026)</w:t>
            </w:r>
          </w:p>
        </w:tc>
        <w:tc>
          <w:tcPr>
            <w:tcW w:type="dxa" w:w="2545"/>
            <w:shd w:val="clear" w:fill="0B2545"/>
          </w:tcPr>
          <w:p>
            <w:pPr>
              <w:spacing w:before="20" w:after="20"/>
            </w:pPr>
            <w:r>
              <w:rPr>
                <w:rFonts w:ascii="Georgia" w:hAnsi="Georgia"/>
                <w:b/>
                <w:color w:val="FFFFFF"/>
                <w:sz w:val="14"/>
              </w:rPr>
            </w:r>
            <w:r>
              <w:rPr>
                <w:rFonts w:ascii="Georgia" w:hAnsi="Georgia"/>
                <w:b/>
                <w:color w:val="FFFFFF"/>
                <w:sz w:val="14"/>
              </w:rPr>
              <w:t>Change</w:t>
            </w:r>
          </w:p>
        </w:tc>
      </w:tr>
      <w:tr>
        <w:tc>
          <w:tcPr>
            <w:tcW w:type="dxa" w:w="2545"/>
          </w:tcPr>
          <w:p>
            <w:pPr>
              <w:spacing w:before="20" w:after="20"/>
            </w:pPr>
            <w:r>
              <w:rPr>
                <w:rFonts w:ascii="Georgia" w:hAnsi="Georgia"/>
                <w:sz w:val="14"/>
              </w:rPr>
            </w:r>
            <w:r>
              <w:rPr>
                <w:rFonts w:ascii="Georgia" w:hAnsi="Georgia"/>
                <w:sz w:val="14"/>
              </w:rPr>
              <w:t>FY2026 revenue growth</w:t>
            </w:r>
          </w:p>
        </w:tc>
        <w:tc>
          <w:tcPr>
            <w:tcW w:type="dxa" w:w="2545"/>
          </w:tcPr>
          <w:p>
            <w:pPr>
              <w:spacing w:before="20" w:after="20"/>
              <w:jc w:val="right"/>
            </w:pPr>
            <w:r>
              <w:rPr>
                <w:rFonts w:ascii="Georgia" w:hAnsi="Georgia"/>
                <w:sz w:val="14"/>
              </w:rPr>
            </w:r>
            <w:r>
              <w:rPr>
                <w:rFonts w:ascii="Georgia" w:hAnsi="Georgia"/>
                <w:sz w:val="14"/>
              </w:rPr>
              <w:t>4.0% – 6.5%</w:t>
            </w:r>
          </w:p>
        </w:tc>
        <w:tc>
          <w:tcPr>
            <w:tcW w:type="dxa" w:w="2545"/>
          </w:tcPr>
          <w:p>
            <w:pPr>
              <w:spacing w:before="20" w:after="20"/>
              <w:jc w:val="right"/>
            </w:pPr>
            <w:r>
              <w:rPr>
                <w:rFonts w:ascii="Georgia" w:hAnsi="Georgia"/>
                <w:sz w:val="14"/>
              </w:rPr>
            </w:r>
            <w:r>
              <w:rPr>
                <w:rFonts w:ascii="Georgia" w:hAnsi="Georgia"/>
                <w:sz w:val="14"/>
              </w:rPr>
              <w:t>3.2% – 4.2%</w:t>
            </w:r>
          </w:p>
        </w:tc>
        <w:tc>
          <w:tcPr>
            <w:tcW w:type="dxa" w:w="2545"/>
          </w:tcPr>
          <w:p>
            <w:pPr>
              <w:spacing w:before="20" w:after="20"/>
            </w:pPr>
            <w:r>
              <w:rPr>
                <w:rFonts w:ascii="Georgia" w:hAnsi="Georgia"/>
                <w:sz w:val="14"/>
              </w:rPr>
            </w:r>
            <w:r>
              <w:rPr>
                <w:rFonts w:ascii="Georgia" w:hAnsi="Georgia"/>
                <w:sz w:val="14"/>
              </w:rPr>
              <w:t>Cut, and narrowed</w:t>
            </w:r>
          </w:p>
        </w:tc>
      </w:tr>
      <w:tr>
        <w:tc>
          <w:tcPr>
            <w:tcW w:type="dxa" w:w="2545"/>
            <w:shd w:val="clear" w:fill="F4F7FA"/>
          </w:tcPr>
          <w:p>
            <w:pPr>
              <w:spacing w:before="20" w:after="20"/>
            </w:pPr>
            <w:r>
              <w:rPr>
                <w:rFonts w:ascii="Georgia" w:hAnsi="Georgia"/>
                <w:sz w:val="14"/>
              </w:rPr>
            </w:r>
            <w:r>
              <w:rPr>
                <w:rFonts w:ascii="Georgia" w:hAnsi="Georgia"/>
                <w:sz w:val="14"/>
              </w:rPr>
              <w:t>FY2026 organic constant-currency growth</w:t>
            </w:r>
          </w:p>
        </w:tc>
        <w:tc>
          <w:tcPr>
            <w:tcW w:type="dxa" w:w="2545"/>
            <w:shd w:val="clear" w:fill="F4F7FA"/>
          </w:tcPr>
          <w:p>
            <w:pPr>
              <w:spacing w:before="20" w:after="20"/>
              <w:jc w:val="right"/>
            </w:pPr>
            <w:r>
              <w:rPr>
                <w:rFonts w:ascii="Georgia" w:hAnsi="Georgia"/>
                <w:sz w:val="14"/>
              </w:rPr>
            </w:r>
            <w:r>
              <w:rPr>
                <w:rFonts w:ascii="Georgia" w:hAnsi="Georgia"/>
                <w:sz w:val="14"/>
              </w:rPr>
              <w:t>2.5% – 5.0%</w:t>
            </w:r>
          </w:p>
        </w:tc>
        <w:tc>
          <w:tcPr>
            <w:tcW w:type="dxa" w:w="2545"/>
            <w:shd w:val="clear" w:fill="F4F7FA"/>
          </w:tcPr>
          <w:p>
            <w:pPr>
              <w:spacing w:before="20" w:after="20"/>
              <w:jc w:val="right"/>
            </w:pPr>
            <w:r>
              <w:rPr>
                <w:rFonts w:ascii="Georgia" w:hAnsi="Georgia"/>
                <w:sz w:val="14"/>
              </w:rPr>
            </w:r>
            <w:r>
              <w:rPr>
                <w:rFonts w:ascii="Georgia" w:hAnsi="Georgia"/>
                <w:sz w:val="14"/>
              </w:rPr>
              <w:t>2.0% – 3.0%</w:t>
            </w:r>
          </w:p>
        </w:tc>
        <w:tc>
          <w:tcPr>
            <w:tcW w:type="dxa" w:w="2545"/>
            <w:shd w:val="clear" w:fill="F4F7FA"/>
          </w:tcPr>
          <w:p>
            <w:pPr>
              <w:spacing w:before="20" w:after="20"/>
            </w:pPr>
            <w:r>
              <w:rPr>
                <w:rFonts w:ascii="Georgia" w:hAnsi="Georgia"/>
                <w:sz w:val="14"/>
              </w:rPr>
            </w:r>
            <w:r>
              <w:rPr>
                <w:rFonts w:ascii="Georgia" w:hAnsi="Georgia"/>
                <w:sz w:val="14"/>
              </w:rPr>
              <w:t>Cut</w:t>
            </w:r>
          </w:p>
        </w:tc>
      </w:tr>
      <w:tr>
        <w:tc>
          <w:tcPr>
            <w:tcW w:type="dxa" w:w="2545"/>
          </w:tcPr>
          <w:p>
            <w:pPr>
              <w:spacing w:before="20" w:after="20"/>
            </w:pPr>
            <w:r>
              <w:rPr>
                <w:rFonts w:ascii="Georgia" w:hAnsi="Georgia"/>
                <w:sz w:val="14"/>
              </w:rPr>
            </w:r>
            <w:r>
              <w:rPr>
                <w:rFonts w:ascii="Georgia" w:hAnsi="Georgia"/>
                <w:sz w:val="14"/>
              </w:rPr>
              <w:t>FY2026 GAAP diluted EPS</w:t>
            </w:r>
          </w:p>
        </w:tc>
        <w:tc>
          <w:tcPr>
            <w:tcW w:type="dxa" w:w="2545"/>
          </w:tcPr>
          <w:p>
            <w:pPr>
              <w:spacing w:before="20" w:after="20"/>
              <w:jc w:val="right"/>
            </w:pPr>
            <w:r>
              <w:rPr>
                <w:rFonts w:ascii="Georgia" w:hAnsi="Georgia"/>
                <w:sz w:val="14"/>
              </w:rPr>
            </w:r>
            <w:r>
              <w:rPr>
                <w:rFonts w:ascii="Georgia" w:hAnsi="Georgia"/>
                <w:sz w:val="14"/>
              </w:rPr>
              <w:t>$8.29 – $8.59</w:t>
            </w:r>
          </w:p>
        </w:tc>
        <w:tc>
          <w:tcPr>
            <w:tcW w:type="dxa" w:w="2545"/>
          </w:tcPr>
          <w:p>
            <w:pPr>
              <w:spacing w:before="20" w:after="20"/>
              <w:jc w:val="right"/>
            </w:pPr>
            <w:r>
              <w:rPr>
                <w:rFonts w:ascii="Georgia" w:hAnsi="Georgia"/>
                <w:sz w:val="14"/>
              </w:rPr>
            </w:r>
            <w:r>
              <w:rPr>
                <w:rFonts w:ascii="Georgia" w:hAnsi="Georgia"/>
                <w:sz w:val="14"/>
              </w:rPr>
              <w:t>$8.22 – $8.38</w:t>
            </w:r>
          </w:p>
        </w:tc>
        <w:tc>
          <w:tcPr>
            <w:tcW w:type="dxa" w:w="2545"/>
          </w:tcPr>
          <w:p>
            <w:pPr>
              <w:spacing w:before="20" w:after="20"/>
              <w:jc w:val="right"/>
            </w:pPr>
            <w:r>
              <w:rPr>
                <w:rFonts w:ascii="Georgia" w:hAnsi="Georgia"/>
                <w:sz w:val="14"/>
              </w:rPr>
            </w:r>
            <w:r>
              <w:rPr>
                <w:rFonts w:ascii="Georgia" w:hAnsi="Georgia"/>
                <w:sz w:val="14"/>
              </w:rPr>
              <w:t>Marginally trimmed</w:t>
            </w:r>
          </w:p>
        </w:tc>
      </w:tr>
      <w:tr>
        <w:tc>
          <w:tcPr>
            <w:tcW w:type="dxa" w:w="2545"/>
            <w:shd w:val="clear" w:fill="F4F7FA"/>
          </w:tcPr>
          <w:p>
            <w:pPr>
              <w:spacing w:before="20" w:after="20"/>
            </w:pPr>
            <w:r>
              <w:rPr>
                <w:rFonts w:ascii="Georgia" w:hAnsi="Georgia"/>
                <w:sz w:val="14"/>
              </w:rPr>
            </w:r>
            <w:r>
              <w:rPr>
                <w:rFonts w:ascii="Georgia" w:hAnsi="Georgia"/>
                <w:sz w:val="14"/>
              </w:rPr>
              <w:t>FY2026 non-GAAP diluted EPS</w:t>
            </w:r>
          </w:p>
        </w:tc>
        <w:tc>
          <w:tcPr>
            <w:tcW w:type="dxa" w:w="2545"/>
            <w:shd w:val="clear" w:fill="F4F7FA"/>
          </w:tcPr>
          <w:p>
            <w:pPr>
              <w:spacing w:before="20" w:after="20"/>
              <w:jc w:val="right"/>
            </w:pPr>
            <w:r>
              <w:rPr>
                <w:rFonts w:ascii="Georgia" w:hAnsi="Georgia"/>
                <w:sz w:val="14"/>
              </w:rPr>
            </w:r>
            <w:r>
              <w:rPr>
                <w:rFonts w:ascii="Georgia" w:hAnsi="Georgia"/>
                <w:sz w:val="14"/>
              </w:rPr>
              <w:t>$12.98 – $13.28</w:t>
            </w:r>
          </w:p>
        </w:tc>
        <w:tc>
          <w:tcPr>
            <w:tcW w:type="dxa" w:w="2545"/>
            <w:shd w:val="clear" w:fill="F4F7FA"/>
          </w:tcPr>
          <w:p>
            <w:pPr>
              <w:spacing w:before="20" w:after="20"/>
              <w:jc w:val="right"/>
            </w:pPr>
            <w:r>
              <w:rPr>
                <w:rFonts w:ascii="Georgia" w:hAnsi="Georgia"/>
                <w:sz w:val="14"/>
              </w:rPr>
            </w:r>
            <w:r>
              <w:rPr>
                <w:rFonts w:ascii="Georgia" w:hAnsi="Georgia"/>
                <w:sz w:val="14"/>
              </w:rPr>
              <w:t>$13.08 – $13.24</w:t>
            </w:r>
          </w:p>
        </w:tc>
        <w:tc>
          <w:tcPr>
            <w:tcW w:type="dxa" w:w="2545"/>
            <w:shd w:val="clear" w:fill="F4F7FA"/>
          </w:tcPr>
          <w:p>
            <w:pPr>
              <w:spacing w:before="20" w:after="20"/>
            </w:pPr>
            <w:r>
              <w:rPr>
                <w:rFonts w:ascii="Georgia" w:hAnsi="Georgia"/>
                <w:sz w:val="14"/>
              </w:rPr>
            </w:r>
            <w:r>
              <w:rPr>
                <w:rFonts w:ascii="Georgia" w:hAnsi="Georgia"/>
                <w:sz w:val="14"/>
              </w:rPr>
              <w:t xml:space="preserve">Mid-point </w:t>
            </w:r>
            <w:r>
              <w:rPr>
                <w:rFonts w:ascii="Georgia" w:hAnsi="Georgia"/>
                <w:i/>
                <w:sz w:val="14"/>
              </w:rPr>
              <w:t>raised</w:t>
            </w:r>
          </w:p>
        </w:tc>
      </w:tr>
      <w:tr>
        <w:tc>
          <w:tcPr>
            <w:tcW w:type="dxa" w:w="2545"/>
          </w:tcPr>
          <w:p>
            <w:pPr>
              <w:spacing w:before="20" w:after="20"/>
            </w:pPr>
            <w:r>
              <w:rPr>
                <w:rFonts w:ascii="Georgia" w:hAnsi="Georgia"/>
                <w:sz w:val="14"/>
              </w:rPr>
            </w:r>
            <w:r>
              <w:rPr>
                <w:rFonts w:ascii="Georgia" w:hAnsi="Georgia"/>
                <w:sz w:val="14"/>
              </w:rPr>
              <w:t>Q3 2026 revenue</w:t>
            </w:r>
          </w:p>
        </w:tc>
        <w:tc>
          <w:tcPr>
            <w:tcW w:type="dxa" w:w="2545"/>
          </w:tcPr>
          <w:p>
            <w:pPr>
              <w:spacing w:before="20" w:after="20"/>
              <w:jc w:val="right"/>
            </w:pPr>
            <w:r>
              <w:rPr>
                <w:rFonts w:ascii="Georgia" w:hAnsi="Georgia"/>
                <w:sz w:val="14"/>
              </w:rPr>
            </w:r>
            <w:r>
              <w:rPr>
                <w:rFonts w:ascii="Georgia" w:hAnsi="Georgia"/>
                <w:sz w:val="14"/>
              </w:rPr>
              <w:t>—</w:t>
            </w:r>
          </w:p>
        </w:tc>
        <w:tc>
          <w:tcPr>
            <w:tcW w:type="dxa" w:w="2545"/>
          </w:tcPr>
          <w:p>
            <w:pPr>
              <w:spacing w:before="20" w:after="20"/>
              <w:jc w:val="right"/>
            </w:pPr>
            <w:r>
              <w:rPr>
                <w:rFonts w:ascii="Georgia" w:hAnsi="Georgia"/>
                <w:sz w:val="14"/>
              </w:rPr>
            </w:r>
            <w:r>
              <w:rPr>
                <w:rFonts w:ascii="Georgia" w:hAnsi="Georgia"/>
                <w:sz w:val="14"/>
              </w:rPr>
              <w:t>$1,410m – $1,425m</w:t>
            </w:r>
          </w:p>
        </w:tc>
        <w:tc>
          <w:tcPr>
            <w:tcW w:type="dxa" w:w="2545"/>
          </w:tcPr>
          <w:p>
            <w:pPr>
              <w:spacing w:before="20" w:after="20"/>
            </w:pPr>
            <w:r>
              <w:rPr>
                <w:rFonts w:ascii="Georgia" w:hAnsi="Georgia"/>
                <w:sz w:val="14"/>
              </w:rPr>
            </w:r>
            <w:r>
              <w:rPr>
                <w:rFonts w:ascii="Georgia" w:hAnsi="Georgia"/>
                <w:sz w:val="14"/>
              </w:rPr>
              <w:t>Implies roughly flat sequentially</w:t>
            </w:r>
          </w:p>
        </w:tc>
      </w:tr>
      <w:tr>
        <w:tc>
          <w:tcPr>
            <w:tcW w:type="dxa" w:w="2545"/>
            <w:shd w:val="clear" w:fill="F4F7FA"/>
          </w:tcPr>
          <w:p>
            <w:pPr>
              <w:spacing w:before="20" w:after="20"/>
            </w:pPr>
            <w:r>
              <w:rPr>
                <w:rFonts w:ascii="Georgia" w:hAnsi="Georgia"/>
                <w:sz w:val="14"/>
              </w:rPr>
            </w:r>
            <w:r>
              <w:rPr>
                <w:rFonts w:ascii="Georgia" w:hAnsi="Georgia"/>
                <w:sz w:val="14"/>
              </w:rPr>
              <w:t>Q3 2026 GAAP / non-GAAP EPS</w:t>
            </w:r>
          </w:p>
        </w:tc>
        <w:tc>
          <w:tcPr>
            <w:tcW w:type="dxa" w:w="2545"/>
            <w:shd w:val="clear" w:fill="F4F7FA"/>
          </w:tcPr>
          <w:p>
            <w:pPr>
              <w:spacing w:before="20" w:after="20"/>
              <w:jc w:val="right"/>
            </w:pPr>
            <w:r>
              <w:rPr>
                <w:rFonts w:ascii="Georgia" w:hAnsi="Georgia"/>
                <w:sz w:val="14"/>
              </w:rPr>
            </w:r>
            <w:r>
              <w:rPr>
                <w:rFonts w:ascii="Georgia" w:hAnsi="Georgia"/>
                <w:sz w:val="14"/>
              </w:rPr>
              <w:t>—</w:t>
            </w:r>
          </w:p>
        </w:tc>
        <w:tc>
          <w:tcPr>
            <w:tcW w:type="dxa" w:w="2545"/>
            <w:shd w:val="clear" w:fill="F4F7FA"/>
          </w:tcPr>
          <w:p>
            <w:pPr>
              <w:spacing w:before="20" w:after="20"/>
              <w:jc w:val="right"/>
            </w:pPr>
            <w:r>
              <w:rPr>
                <w:rFonts w:ascii="Georgia" w:hAnsi="Georgia"/>
                <w:sz w:val="14"/>
              </w:rPr>
            </w:r>
            <w:r>
              <w:rPr>
                <w:rFonts w:ascii="Georgia" w:hAnsi="Georgia"/>
                <w:sz w:val="14"/>
              </w:rPr>
              <w:t>$2.33–$2.41 / $3.38–$3.46</w:t>
            </w:r>
          </w:p>
        </w:tc>
        <w:tc>
          <w:tcPr>
            <w:tcW w:type="dxa" w:w="2545"/>
            <w:shd w:val="clear" w:fill="F4F7FA"/>
          </w:tcPr>
          <w:p>
            <w:pPr>
              <w:spacing w:before="20" w:after="20"/>
            </w:pPr>
            <w:r>
              <w:rPr>
                <w:rFonts w:ascii="Georgia" w:hAnsi="Georgia"/>
                <w:sz w:val="14"/>
              </w:rPr>
            </w:r>
            <w:r>
              <w:rPr>
                <w:rFonts w:ascii="Georgia" w:hAnsi="Georgia"/>
                <w:sz w:val="14"/>
              </w:rPr>
              <w:t>Solid</w:t>
            </w:r>
          </w:p>
        </w:tc>
      </w:tr>
    </w:tbl>
    <w:p>
      <w:pPr>
        <w:spacing w:after="60"/>
      </w:pPr>
    </w:p>
    <w:p>
      <w:pPr>
        <w:spacing w:before="0" w:after="80"/>
        <w:jc w:val="both"/>
      </w:pPr>
      <w:r>
        <w:rPr>
          <w:b/>
        </w:rPr>
        <w:t>The tone change is the story.</w:t>
      </w:r>
      <w:r>
        <w:rPr/>
        <w:t xml:space="preserve"> In May, management attributed softness to </w:t>
      </w:r>
      <w:r>
        <w:rPr>
          <w:i/>
        </w:rPr>
        <w:t>delayed client decisions</w:t>
      </w:r>
      <w:r>
        <w:rPr/>
        <w:t xml:space="preserve"> — a timing problem. In August, the language became a </w:t>
      </w:r>
      <w:r>
        <w:rPr>
          <w:i/>
        </w:rPr>
        <w:t>"faster-than-expected shift away from task-based services"</w:t>
      </w:r>
      <w:r>
        <w:rPr/>
        <w:t xml:space="preserve"> — a structural problem. That is management conceding that AI substitution, not macro caution, is the driver. Compounding this, larger AI opportunities that management had expected to sign in late 2026 have not closed, and meaningful revenue from those multi-year deals is now expected only from </w:t>
      </w:r>
      <w:r>
        <w:rPr>
          <w:b/>
        </w:rPr>
        <w:t>H1 2027</w:t>
      </w:r>
      <w:r>
        <w:rPr/>
        <w:t>. The re-acceleration has been pushed out by roughly two quarters, and its delivery is unproven.</w:t>
      </w:r>
    </w:p>
    <w:p>
      <w:pPr>
        <w:keepNext/>
        <w:spacing w:before="200" w:after="80"/>
      </w:pPr>
      <w:r>
        <w:rPr>
          <w:rFonts w:ascii="Georgia" w:hAnsi="Georgia"/>
          <w:b/>
          <w:color w:val="14487F"/>
          <w:sz w:val="21"/>
        </w:rPr>
        <w:t>Balance sheet and cash flow flags</w:t>
      </w:r>
    </w:p>
    <w:p>
      <w:pPr>
        <w:spacing w:before="40" w:after="60"/>
        <w:ind w:left="173" w:right="115"/>
        <w:jc w:val="both"/>
        <w:pBdr>
          <w:left w:val="single" w:sz="18" w:space="6" w:color="B5651D"/>
        </w:pBdr>
        <w:shd w:val="clear" w:fill="FDF6EC"/>
      </w:pPr>
      <w:r>
        <w:rPr>
          <w:b/>
          <w:sz w:val="17"/>
        </w:rPr>
        <w:t>The one genuinely concerning number.</w:t>
      </w:r>
      <w:r>
        <w:rPr>
          <w:sz w:val="17"/>
        </w:rPr>
        <w:t xml:space="preserve"> Q2 2026 operating cash flow was </w:t>
      </w:r>
      <w:r>
        <w:rPr>
          <w:b/>
          <w:sz w:val="17"/>
        </w:rPr>
        <w:t>negative $2m</w:t>
      </w:r>
      <w:r>
        <w:rPr>
          <w:sz w:val="17"/>
        </w:rPr>
        <w:t>, against positive $53m in Q2 2025 — a $55m year-on-year deterioration in a quarter when non-GAAP EPS grew 22%. Free cash flow was negative $18m. For a business with roughly 1% capex intensity and no inventory, negative operating cash flow can only come from working capital — almost certainly receivables (DSO extension) or the timing of accrued compensation and tax payments.</w:t>
      </w:r>
    </w:p>
    <w:p>
      <w:pPr>
        <w:spacing w:before="40" w:after="60"/>
        <w:ind w:left="173" w:right="115"/>
        <w:jc w:val="both"/>
        <w:pBdr>
          <w:left w:val="single" w:sz="18" w:space="6" w:color="B5651D"/>
        </w:pBdr>
        <w:shd w:val="clear" w:fill="FDF6EC"/>
      </w:pPr>
      <w:r>
        <w:rPr>
          <w:sz w:val="17"/>
        </w:rPr>
        <w:t xml:space="preserve">This warrants close scrutiny at Q3. If it reflects seasonal bonus timing or a one-off tax payment, it is noise. If it reflects </w:t>
      </w:r>
      <w:r>
        <w:rPr>
          <w:b/>
          <w:sz w:val="17"/>
        </w:rPr>
        <w:t>lengthening collection cycles at stressed clients</w:t>
      </w:r>
      <w:r>
        <w:rPr>
          <w:sz w:val="17"/>
        </w:rPr>
        <w:t>, it is an early warning of revenue quality deterioration that precedes reported revenue weakness. Reconciling FY2025's $654.9m of operating cash flow and $612.7m of free cash flow against the FY2026 run-rate is the single most important piece of diligence an investor can do on this name right now.</w:t>
      </w:r>
    </w:p>
    <w:p>
      <w:pPr>
        <w:spacing w:before="0" w:after="80"/>
        <w:jc w:val="both"/>
      </w:pPr>
      <w:r>
        <w:rPr/>
        <w:t>Otherwise the balance sheet is pristine: cash of $794.3m at 30 June 2026 against $25.0m drawn on a $700m revolver, giving net cash of roughly $769m. Leverage is negative at approximately −0.8x net debt/EBITDA.</w:t>
      </w:r>
    </w:p>
    <w:p>
      <w:pPr>
        <w:keepNext/>
        <w:spacing w:before="200" w:after="80"/>
      </w:pPr>
      <w:r>
        <w:rPr>
          <w:rFonts w:ascii="Georgia" w:hAnsi="Georgia"/>
          <w:b/>
          <w:color w:val="14487F"/>
          <w:sz w:val="21"/>
        </w:rPr>
        <w:t>Market reaction and what was priced in</w:t>
      </w:r>
    </w:p>
    <w:p>
      <w:pPr>
        <w:spacing w:before="0" w:after="80"/>
        <w:jc w:val="both"/>
      </w:pPr>
      <w:r>
        <w:rPr/>
        <w:t xml:space="preserve">Shares fell </w:t>
      </w:r>
      <w:r>
        <w:rPr>
          <w:b/>
        </w:rPr>
        <w:t>22%</w:t>
      </w:r>
      <w:r>
        <w:rPr/>
        <w:t xml:space="preserve"> on the print and 16.4% over the week. Sell-side targets were cut hard: Deutsche Bank to $85 (Hold, citing a deteriorating demand backdrop for the IT services industry), Goldman Sachs downgraded with a $110 target, Wells Fargo from $195 to $151 (retaining Overweight), Citigroup to $112. The current consensus 12-month target is approximately $122.82, with a range of $94 to $200 — an unusually wide dispersion that itself signals genuine analytical disagreement rather than consensus pessimism.</w:t>
      </w:r>
    </w:p>
    <w:p>
      <w:pPr>
        <w:spacing w:before="0" w:after="80"/>
        <w:jc w:val="both"/>
      </w:pPr>
      <w:r>
        <w:rPr/>
        <w:t>What was priced in beforehand was a 2026 growth rate of 4–6.5% and a credible path back to double digits. What is priced in now is closer to permanent low-single-digit growth with terminal-decline risk. At 5.5x EV/EBITDA and 8.7x non-GAAP earnings, the market is not asking "how fast will EPAM grow?" — it is asking "will EPAM shrink?"</w:t>
      </w:r>
    </w:p>
    <w:p>
      <w:pPr>
        <w:keepNext/>
        <w:spacing w:before="200" w:after="80"/>
      </w:pPr>
      <w:r>
        <w:rPr>
          <w:rFonts w:ascii="Georgia" w:hAnsi="Georgia"/>
          <w:b/>
          <w:color w:val="14487F"/>
          <w:sz w:val="21"/>
        </w:rPr>
        <w:t>Anything unusual relative to recent history</w:t>
      </w:r>
    </w:p>
    <w:p>
      <w:pPr>
        <w:pStyle w:val="ListBullet"/>
        <w:spacing w:after="50"/>
        <w:ind w:left="403"/>
        <w:jc w:val="both"/>
      </w:pPr>
      <w:r>
        <w:rPr>
          <w:rFonts w:ascii="Georgia" w:hAnsi="Georgia"/>
          <w:b/>
          <w:sz w:val="17"/>
        </w:rPr>
        <w:t>The margin/revenue divergence is genuinely unusual.</w:t>
      </w:r>
      <w:r>
        <w:rPr>
          <w:rFonts w:ascii="Georgia" w:hAnsi="Georgia"/>
          <w:sz w:val="17"/>
        </w:rPr>
        <w:t xml:space="preserve"> +22% non-GAAP EPS on +4.5% revenue is not a normal services-company outcome and suggests real operating change, not just cost control.</w:t>
      </w:r>
    </w:p>
    <w:p>
      <w:pPr>
        <w:pStyle w:val="ListBullet"/>
        <w:spacing w:after="50"/>
        <w:ind w:left="403"/>
        <w:jc w:val="both"/>
      </w:pPr>
      <w:r>
        <w:rPr>
          <w:rFonts w:ascii="Georgia" w:hAnsi="Georgia"/>
          <w:b/>
          <w:sz w:val="17"/>
        </w:rPr>
        <w:t>Negative operating cash flow in a profitable quarter is anomalous</w:t>
      </w:r>
      <w:r>
        <w:rPr>
          <w:rFonts w:ascii="Georgia" w:hAnsi="Georgia"/>
          <w:sz w:val="17"/>
        </w:rPr>
        <w:t xml:space="preserve"> for EPAM and inconsistent with its multi-year record of converting close to 90% of net income into free cash flow.</w:t>
      </w:r>
    </w:p>
    <w:p>
      <w:pPr>
        <w:pStyle w:val="ListBullet"/>
        <w:spacing w:after="50"/>
        <w:ind w:left="403"/>
        <w:jc w:val="both"/>
      </w:pPr>
      <w:r>
        <w:rPr>
          <w:rFonts w:ascii="Georgia" w:hAnsi="Georgia"/>
          <w:b/>
          <w:sz w:val="17"/>
        </w:rPr>
        <w:t>Two verticals in outright decline</w:t>
      </w:r>
      <w:r>
        <w:rPr>
          <w:rFonts w:ascii="Georgia" w:hAnsi="Georgia"/>
          <w:sz w:val="17"/>
        </w:rPr>
        <w:t xml:space="preserve"> is a first outside the 2022 war shock and the 2023 demand air-pocket.</w:t>
      </w:r>
    </w:p>
    <w:p>
      <w:pPr>
        <w:pStyle w:val="ListBullet"/>
        <w:spacing w:after="50"/>
        <w:ind w:left="403"/>
        <w:jc w:val="both"/>
      </w:pPr>
      <w:r>
        <w:rPr>
          <w:rFonts w:ascii="Georgia" w:hAnsi="Georgia"/>
          <w:b/>
          <w:sz w:val="17"/>
        </w:rPr>
        <w:t>Non-GAAP EPS guidance was raised at the mid-point while revenue guidance was cut</w:t>
      </w:r>
      <w:r>
        <w:rPr>
          <w:rFonts w:ascii="Georgia" w:hAnsi="Georgia"/>
          <w:sz w:val="17"/>
        </w:rPr>
        <w:t xml:space="preserve"> — the clearest possible statement that management is now managing for profitability and per-share value rather than growth.</w:t>
      </w:r>
    </w:p>
    <w:p>
      <w:r>
        <w:br w:type="page"/>
      </w:r>
    </w:p>
    <w:p>
      <w:pPr>
        <w:keepNext/>
        <w:spacing w:before="320" w:after="120"/>
        <w:pBdr>
          <w:bottom w:val="single" w:sz="12" w:space="2" w:color="0B2545"/>
        </w:pBdr>
      </w:pPr>
      <w:r>
        <w:rPr>
          <w:rFonts w:ascii="Georgia" w:hAnsi="Georgia"/>
          <w:b/>
          <w:color w:val="0B2545"/>
          <w:sz w:val="26"/>
        </w:rPr>
        <w:t>10. Earnings Call Review and Sentiment Analysis</w:t>
      </w:r>
    </w:p>
    <w:p>
      <w:pPr>
        <w:keepNext/>
        <w:spacing w:before="200" w:after="80"/>
      </w:pPr>
      <w:r>
        <w:rPr>
          <w:rFonts w:ascii="Georgia" w:hAnsi="Georgia"/>
          <w:b/>
          <w:color w:val="14487F"/>
          <w:sz w:val="21"/>
        </w:rPr>
        <w:t>What management is focused on</w:t>
      </w:r>
    </w:p>
    <w:p>
      <w:pPr>
        <w:spacing w:before="0" w:after="80"/>
        <w:jc w:val="both"/>
      </w:pPr>
      <w:r>
        <w:rPr/>
        <w:t>Across the last six quarters management's agenda has narrowed to four themes, in descending order of emphasis:</w:t>
      </w:r>
    </w:p>
    <w:p>
      <w:pPr>
        <w:pStyle w:val="ListNumber"/>
        <w:spacing w:after="50"/>
        <w:ind w:left="403"/>
        <w:jc w:val="both"/>
      </w:pPr>
      <w:r>
        <w:rPr>
          <w:rFonts w:ascii="Georgia" w:hAnsi="Georgia"/>
          <w:b/>
          <w:sz w:val="17"/>
        </w:rPr>
        <w:t>Transforming EPAM into an "AI-native engineering services organisation."</w:t>
      </w:r>
      <w:r>
        <w:rPr>
          <w:rFonts w:ascii="Georgia" w:hAnsi="Georgia"/>
          <w:sz w:val="17"/>
        </w:rPr>
        <w:t xml:space="preserve"> This is now the dominant frame for every answer. CEO Balazs Fejes describes rebuilding how EPAM engineers software "from the inside out" — moving clients beyond the traditional SDLC into integrated agentic enterprise harnesses, real-time data modernisation, cyber resilience and token cost engineering.</w:t>
      </w:r>
    </w:p>
    <w:p>
      <w:pPr>
        <w:pStyle w:val="ListNumber"/>
        <w:spacing w:after="50"/>
        <w:ind w:left="403"/>
        <w:jc w:val="both"/>
      </w:pPr>
      <w:r>
        <w:rPr>
          <w:rFonts w:ascii="Georgia" w:hAnsi="Georgia"/>
          <w:b/>
          <w:sz w:val="17"/>
        </w:rPr>
        <w:t>Proving the AI-native revenue line.</w:t>
      </w:r>
      <w:r>
        <w:rPr>
          <w:rFonts w:ascii="Georgia" w:hAnsi="Georgia"/>
          <w:sz w:val="17"/>
        </w:rPr>
        <w:t xml:space="preserve"> Management has made this the headline KPI: over $125m in Q1 2026, over $160m in Q2, tracking to the $600m full-year target. Its purpose is to demonstrate that EPAM captures AI value rather than being destroyed by it.</w:t>
      </w:r>
    </w:p>
    <w:p>
      <w:pPr>
        <w:pStyle w:val="ListNumber"/>
        <w:spacing w:after="50"/>
        <w:ind w:left="403"/>
        <w:jc w:val="both"/>
      </w:pPr>
      <w:r>
        <w:rPr>
          <w:rFonts w:ascii="Georgia" w:hAnsi="Georgia"/>
          <w:b/>
          <w:sz w:val="17"/>
        </w:rPr>
        <w:t>Margin and per-share value.</w:t>
      </w:r>
      <w:r>
        <w:rPr>
          <w:rFonts w:ascii="Georgia" w:hAnsi="Georgia"/>
          <w:sz w:val="17"/>
        </w:rPr>
        <w:t xml:space="preserve"> Gross margin above 32%, non-GAAP operating margin of 15–16% in 2026 and 16%+ by 2028, $1.8bn+ of cumulative free cash flow through 2028, and an aggressive buyback.</w:t>
      </w:r>
    </w:p>
    <w:p>
      <w:pPr>
        <w:pStyle w:val="ListNumber"/>
        <w:spacing w:after="50"/>
        <w:ind w:left="403"/>
        <w:jc w:val="both"/>
      </w:pPr>
      <w:r>
        <w:rPr>
          <w:rFonts w:ascii="Georgia" w:hAnsi="Georgia"/>
          <w:b/>
          <w:sz w:val="17"/>
        </w:rPr>
        <w:t>"Client zero."</w:t>
      </w:r>
      <w:r>
        <w:rPr>
          <w:rFonts w:ascii="Georgia" w:hAnsi="Georgia"/>
          <w:sz w:val="17"/>
        </w:rPr>
        <w:t xml:space="preserve"> Management repeatedly cites EPAM's own internal AI adoption as proof of concept and as the source of the AI/RUN playbook.</w:t>
      </w:r>
    </w:p>
    <w:p>
      <w:pPr>
        <w:spacing w:before="0" w:after="80"/>
        <w:jc w:val="both"/>
      </w:pPr>
      <w:r>
        <w:rPr/>
        <w:t xml:space="preserve">Conspicuously </w:t>
      </w:r>
      <w:r>
        <w:rPr>
          <w:i/>
        </w:rPr>
        <w:t>de-emphasised</w:t>
      </w:r>
      <w:r>
        <w:rPr/>
        <w:t>: headcount growth, utilisation, and total revenue growth — the metrics that defined the equity story from 2012 to 2021.</w:t>
      </w:r>
    </w:p>
    <w:p>
      <w:pPr>
        <w:keepNext/>
        <w:spacing w:before="200" w:after="80"/>
      </w:pPr>
      <w:r>
        <w:rPr>
          <w:rFonts w:ascii="Georgia" w:hAnsi="Georgia"/>
          <w:b/>
          <w:color w:val="14487F"/>
          <w:sz w:val="21"/>
        </w:rPr>
        <w:t>Sentiment trajectory</w:t>
      </w:r>
    </w:p>
    <w:tbl>
      <w:tblPr>
        <w:tblStyle w:val="TableGrid"/>
        <w:tblW w:type="auto" w:w="0"/>
        <w:jc w:val="center"/>
        <w:tblLayout w:type="autofit"/>
        <w:tblLook w:firstColumn="1" w:firstRow="1" w:lastColumn="0" w:lastRow="0" w:noHBand="0" w:noVBand="1" w:val="04A0"/>
      </w:tblPr>
      <w:tblGrid>
        <w:gridCol w:w="3394"/>
        <w:gridCol w:w="3394"/>
        <w:gridCol w:w="3394"/>
      </w:tblGrid>
      <w:tr>
        <w:tc>
          <w:tcPr>
            <w:tcW w:type="dxa" w:w="3394"/>
            <w:shd w:val="clear" w:fill="0B2545"/>
          </w:tcPr>
          <w:p>
            <w:pPr>
              <w:spacing w:before="20" w:after="20"/>
            </w:pPr>
            <w:r>
              <w:rPr>
                <w:rFonts w:ascii="Georgia" w:hAnsi="Georgia"/>
                <w:b/>
                <w:color w:val="FFFFFF"/>
                <w:sz w:val="14"/>
              </w:rPr>
            </w:r>
            <w:r>
              <w:rPr>
                <w:rFonts w:ascii="Georgia" w:hAnsi="Georgia"/>
                <w:b/>
                <w:color w:val="FFFFFF"/>
                <w:sz w:val="14"/>
              </w:rPr>
              <w:t>Period</w:t>
            </w:r>
          </w:p>
        </w:tc>
        <w:tc>
          <w:tcPr>
            <w:tcW w:type="dxa" w:w="3394"/>
            <w:shd w:val="clear" w:fill="0B2545"/>
          </w:tcPr>
          <w:p>
            <w:pPr>
              <w:spacing w:before="20" w:after="20"/>
            </w:pPr>
            <w:r>
              <w:rPr>
                <w:rFonts w:ascii="Georgia" w:hAnsi="Georgia"/>
                <w:b/>
                <w:color w:val="FFFFFF"/>
                <w:sz w:val="14"/>
              </w:rPr>
            </w:r>
            <w:r>
              <w:rPr>
                <w:rFonts w:ascii="Georgia" w:hAnsi="Georgia"/>
                <w:b/>
                <w:color w:val="FFFFFF"/>
                <w:sz w:val="14"/>
              </w:rPr>
              <w:t>Tone</w:t>
            </w:r>
          </w:p>
        </w:tc>
        <w:tc>
          <w:tcPr>
            <w:tcW w:type="dxa" w:w="3394"/>
            <w:shd w:val="clear" w:fill="0B2545"/>
          </w:tcPr>
          <w:p>
            <w:pPr>
              <w:spacing w:before="20" w:after="20"/>
            </w:pPr>
            <w:r>
              <w:rPr>
                <w:rFonts w:ascii="Georgia" w:hAnsi="Georgia"/>
                <w:b/>
                <w:color w:val="FFFFFF"/>
                <w:sz w:val="14"/>
              </w:rPr>
            </w:r>
            <w:r>
              <w:rPr>
                <w:rFonts w:ascii="Georgia" w:hAnsi="Georgia"/>
                <w:b/>
                <w:color w:val="FFFFFF"/>
                <w:sz w:val="14"/>
              </w:rPr>
              <w:t>Characteristic language and posture</w:t>
            </w:r>
          </w:p>
        </w:tc>
      </w:tr>
      <w:tr>
        <w:tc>
          <w:tcPr>
            <w:tcW w:type="dxa" w:w="3394"/>
          </w:tcPr>
          <w:p>
            <w:pPr>
              <w:spacing w:before="20" w:after="20"/>
            </w:pPr>
            <w:r>
              <w:rPr>
                <w:rFonts w:ascii="Georgia" w:hAnsi="Georgia"/>
                <w:sz w:val="14"/>
              </w:rPr>
            </w:r>
            <w:r>
              <w:rPr>
                <w:rFonts w:ascii="Georgia" w:hAnsi="Georgia"/>
                <w:sz w:val="14"/>
              </w:rPr>
              <w:t>Q4 2024 (Feb 2025)</w:t>
            </w:r>
          </w:p>
        </w:tc>
        <w:tc>
          <w:tcPr>
            <w:tcW w:type="dxa" w:w="3394"/>
          </w:tcPr>
          <w:p>
            <w:pPr>
              <w:spacing w:before="20" w:after="20"/>
            </w:pPr>
            <w:r>
              <w:rPr>
                <w:rFonts w:ascii="Georgia" w:hAnsi="Georgia"/>
                <w:sz w:val="14"/>
              </w:rPr>
            </w:r>
            <w:r>
              <w:rPr>
                <w:rFonts w:ascii="Georgia" w:hAnsi="Georgia"/>
                <w:b/>
                <w:sz w:val="14"/>
              </w:rPr>
              <w:t>Cautiously constructive</w:t>
            </w:r>
          </w:p>
        </w:tc>
        <w:tc>
          <w:tcPr>
            <w:tcW w:type="dxa" w:w="3394"/>
          </w:tcPr>
          <w:p>
            <w:pPr>
              <w:spacing w:before="20" w:after="20"/>
            </w:pPr>
            <w:r>
              <w:rPr>
                <w:rFonts w:ascii="Georgia" w:hAnsi="Georgia"/>
                <w:sz w:val="14"/>
              </w:rPr>
            </w:r>
            <w:r>
              <w:rPr>
                <w:rFonts w:ascii="Georgia" w:hAnsi="Georgia"/>
                <w:sz w:val="14"/>
              </w:rPr>
              <w:t>Beat on both lines but guided 2025 conservatively. Framing: demand stabilising after a difficult two years. Stock fell 5%.</w:t>
            </w:r>
          </w:p>
        </w:tc>
      </w:tr>
      <w:tr>
        <w:tc>
          <w:tcPr>
            <w:tcW w:type="dxa" w:w="3394"/>
            <w:shd w:val="clear" w:fill="F4F7FA"/>
          </w:tcPr>
          <w:p>
            <w:pPr>
              <w:spacing w:before="20" w:after="20"/>
            </w:pPr>
            <w:r>
              <w:rPr>
                <w:rFonts w:ascii="Georgia" w:hAnsi="Georgia"/>
                <w:sz w:val="14"/>
              </w:rPr>
            </w:r>
            <w:r>
              <w:rPr>
                <w:rFonts w:ascii="Georgia" w:hAnsi="Georgia"/>
                <w:sz w:val="14"/>
              </w:rPr>
              <w:t>Q1–Q2 2025</w:t>
            </w:r>
          </w:p>
        </w:tc>
        <w:tc>
          <w:tcPr>
            <w:tcW w:type="dxa" w:w="3394"/>
            <w:shd w:val="clear" w:fill="F4F7FA"/>
          </w:tcPr>
          <w:p>
            <w:pPr>
              <w:spacing w:before="20" w:after="20"/>
            </w:pPr>
            <w:r>
              <w:rPr>
                <w:rFonts w:ascii="Georgia" w:hAnsi="Georgia"/>
                <w:sz w:val="14"/>
              </w:rPr>
            </w:r>
            <w:r>
              <w:rPr>
                <w:rFonts w:ascii="Georgia" w:hAnsi="Georgia"/>
                <w:b/>
                <w:sz w:val="14"/>
              </w:rPr>
              <w:t>Confident</w:t>
            </w:r>
          </w:p>
        </w:tc>
        <w:tc>
          <w:tcPr>
            <w:tcW w:type="dxa" w:w="3394"/>
            <w:shd w:val="clear" w:fill="F4F7FA"/>
          </w:tcPr>
          <w:p>
            <w:pPr>
              <w:spacing w:before="20" w:after="20"/>
            </w:pPr>
            <w:r>
              <w:rPr>
                <w:rFonts w:ascii="Georgia" w:hAnsi="Georgia"/>
                <w:sz w:val="14"/>
              </w:rPr>
            </w:r>
            <w:r>
              <w:rPr>
                <w:rFonts w:ascii="Georgia" w:hAnsi="Georgia"/>
                <w:sz w:val="14"/>
              </w:rPr>
              <w:t>Raised full-year revenue outlook twice. Double-digit growth across all six verticals in Q2 2025. NEORIS and First Derivative integrating well. Tone: recovery is real.</w:t>
            </w:r>
          </w:p>
        </w:tc>
      </w:tr>
      <w:tr>
        <w:tc>
          <w:tcPr>
            <w:tcW w:type="dxa" w:w="3394"/>
          </w:tcPr>
          <w:p>
            <w:pPr>
              <w:spacing w:before="20" w:after="20"/>
            </w:pPr>
            <w:r>
              <w:rPr>
                <w:rFonts w:ascii="Georgia" w:hAnsi="Georgia"/>
                <w:sz w:val="14"/>
              </w:rPr>
            </w:r>
            <w:r>
              <w:rPr>
                <w:rFonts w:ascii="Georgia" w:hAnsi="Georgia"/>
                <w:sz w:val="14"/>
              </w:rPr>
              <w:t>Q3 2025 (Nov 2025)</w:t>
            </w:r>
          </w:p>
        </w:tc>
        <w:tc>
          <w:tcPr>
            <w:tcW w:type="dxa" w:w="3394"/>
          </w:tcPr>
          <w:p>
            <w:pPr>
              <w:spacing w:before="20" w:after="20"/>
            </w:pPr>
            <w:r>
              <w:rPr>
                <w:rFonts w:ascii="Georgia" w:hAnsi="Georgia"/>
                <w:sz w:val="14"/>
              </w:rPr>
            </w:r>
            <w:r>
              <w:rPr>
                <w:rFonts w:ascii="Georgia" w:hAnsi="Georgia"/>
                <w:b/>
                <w:sz w:val="14"/>
              </w:rPr>
              <w:t>Peak optimism</w:t>
            </w:r>
          </w:p>
        </w:tc>
        <w:tc>
          <w:tcPr>
            <w:tcW w:type="dxa" w:w="3394"/>
          </w:tcPr>
          <w:p>
            <w:pPr>
              <w:spacing w:before="20" w:after="20"/>
            </w:pPr>
            <w:r>
              <w:rPr>
                <w:rFonts w:ascii="Georgia" w:hAnsi="Georgia"/>
                <w:sz w:val="14"/>
              </w:rPr>
            </w:r>
            <w:r>
              <w:rPr>
                <w:rFonts w:ascii="Georgia" w:hAnsi="Georgia"/>
                <w:sz w:val="14"/>
              </w:rPr>
              <w:t>Raised both revenue and EPS outlook. Americas +16.0%, EMEA +24.9%, APAC +17.7%. This is the high-water mark of management confidence in the period.</w:t>
            </w:r>
          </w:p>
        </w:tc>
      </w:tr>
      <w:tr>
        <w:tc>
          <w:tcPr>
            <w:tcW w:type="dxa" w:w="3394"/>
            <w:shd w:val="clear" w:fill="F4F7FA"/>
          </w:tcPr>
          <w:p>
            <w:pPr>
              <w:spacing w:before="20" w:after="20"/>
            </w:pPr>
            <w:r>
              <w:rPr>
                <w:rFonts w:ascii="Georgia" w:hAnsi="Georgia"/>
                <w:sz w:val="14"/>
              </w:rPr>
            </w:r>
            <w:r>
              <w:rPr>
                <w:rFonts w:ascii="Georgia" w:hAnsi="Georgia"/>
                <w:sz w:val="14"/>
              </w:rPr>
              <w:t>Q4 2025 (Feb 2026)</w:t>
            </w:r>
          </w:p>
        </w:tc>
        <w:tc>
          <w:tcPr>
            <w:tcW w:type="dxa" w:w="3394"/>
            <w:shd w:val="clear" w:fill="F4F7FA"/>
          </w:tcPr>
          <w:p>
            <w:pPr>
              <w:spacing w:before="20" w:after="20"/>
            </w:pPr>
            <w:r>
              <w:rPr>
                <w:rFonts w:ascii="Georgia" w:hAnsi="Georgia"/>
                <w:sz w:val="14"/>
              </w:rPr>
            </w:r>
            <w:r>
              <w:rPr>
                <w:rFonts w:ascii="Georgia" w:hAnsi="Georgia"/>
                <w:b/>
                <w:sz w:val="14"/>
              </w:rPr>
              <w:t>Confident but shifting</w:t>
            </w:r>
          </w:p>
        </w:tc>
        <w:tc>
          <w:tcPr>
            <w:tcW w:type="dxa" w:w="3394"/>
            <w:shd w:val="clear" w:fill="F4F7FA"/>
          </w:tcPr>
          <w:p>
            <w:pPr>
              <w:spacing w:before="20" w:after="20"/>
            </w:pPr>
            <w:r>
              <w:rPr>
                <w:rFonts w:ascii="Georgia" w:hAnsi="Georgia"/>
                <w:sz w:val="14"/>
              </w:rPr>
            </w:r>
            <w:r>
              <w:rPr>
                <w:rFonts w:ascii="Georgia" w:hAnsi="Georgia"/>
                <w:sz w:val="14"/>
              </w:rPr>
              <w:t>Revenue +15.4% for the year, but the discussion pivots to AI positioning. First acknowledgement that utilisation slipped and that juniors are being onboarded to improve the seniority index.</w:t>
            </w:r>
          </w:p>
        </w:tc>
      </w:tr>
      <w:tr>
        <w:tc>
          <w:tcPr>
            <w:tcW w:type="dxa" w:w="3394"/>
          </w:tcPr>
          <w:p>
            <w:pPr>
              <w:spacing w:before="20" w:after="20"/>
            </w:pPr>
            <w:r>
              <w:rPr>
                <w:rFonts w:ascii="Georgia" w:hAnsi="Georgia"/>
                <w:sz w:val="14"/>
              </w:rPr>
            </w:r>
            <w:r>
              <w:rPr>
                <w:rFonts w:ascii="Georgia" w:hAnsi="Georgia"/>
                <w:sz w:val="14"/>
              </w:rPr>
              <w:t>Investor Day (Mar 2026)</w:t>
            </w:r>
          </w:p>
        </w:tc>
        <w:tc>
          <w:tcPr>
            <w:tcW w:type="dxa" w:w="3394"/>
          </w:tcPr>
          <w:p>
            <w:pPr>
              <w:spacing w:before="20" w:after="20"/>
            </w:pPr>
            <w:r>
              <w:rPr>
                <w:rFonts w:ascii="Georgia" w:hAnsi="Georgia"/>
                <w:sz w:val="14"/>
              </w:rPr>
            </w:r>
            <w:r>
              <w:rPr>
                <w:rFonts w:ascii="Georgia" w:hAnsi="Georgia"/>
                <w:b/>
                <w:sz w:val="14"/>
              </w:rPr>
              <w:t>Strategic and forward-leaning</w:t>
            </w:r>
          </w:p>
        </w:tc>
        <w:tc>
          <w:tcPr>
            <w:tcW w:type="dxa" w:w="3394"/>
          </w:tcPr>
          <w:p>
            <w:pPr>
              <w:spacing w:before="20" w:after="20"/>
            </w:pPr>
            <w:r>
              <w:rPr>
                <w:rFonts w:ascii="Georgia" w:hAnsi="Georgia"/>
                <w:sz w:val="14"/>
              </w:rPr>
            </w:r>
            <w:r>
              <w:rPr>
                <w:rFonts w:ascii="Georgia" w:hAnsi="Georgia"/>
                <w:sz w:val="14"/>
              </w:rPr>
              <w:t>Full reframing of the equity story. AI/RUN launched, 2028 targets set (16%+ margin, $1.8bn+ FCF, return to double-digit organic growth). Tone: we have a plan and we are ahead of peers.</w:t>
            </w:r>
          </w:p>
        </w:tc>
      </w:tr>
      <w:tr>
        <w:tc>
          <w:tcPr>
            <w:tcW w:type="dxa" w:w="3394"/>
            <w:shd w:val="clear" w:fill="F4F7FA"/>
          </w:tcPr>
          <w:p>
            <w:pPr>
              <w:spacing w:before="20" w:after="20"/>
            </w:pPr>
            <w:r>
              <w:rPr>
                <w:rFonts w:ascii="Georgia" w:hAnsi="Georgia"/>
                <w:sz w:val="14"/>
              </w:rPr>
            </w:r>
            <w:r>
              <w:rPr>
                <w:rFonts w:ascii="Georgia" w:hAnsi="Georgia"/>
                <w:sz w:val="14"/>
              </w:rPr>
              <w:t>Q1 2026 (May 2026)</w:t>
            </w:r>
          </w:p>
        </w:tc>
        <w:tc>
          <w:tcPr>
            <w:tcW w:type="dxa" w:w="3394"/>
            <w:shd w:val="clear" w:fill="F4F7FA"/>
          </w:tcPr>
          <w:p>
            <w:pPr>
              <w:spacing w:before="20" w:after="20"/>
            </w:pPr>
            <w:r>
              <w:rPr>
                <w:rFonts w:ascii="Georgia" w:hAnsi="Georgia"/>
                <w:sz w:val="14"/>
              </w:rPr>
            </w:r>
            <w:r>
              <w:rPr>
                <w:rFonts w:ascii="Georgia" w:hAnsi="Georgia"/>
                <w:b/>
                <w:sz w:val="14"/>
              </w:rPr>
              <w:t>Defensive</w:t>
            </w:r>
          </w:p>
        </w:tc>
        <w:tc>
          <w:tcPr>
            <w:tcW w:type="dxa" w:w="3394"/>
            <w:shd w:val="clear" w:fill="F4F7FA"/>
          </w:tcPr>
          <w:p>
            <w:pPr>
              <w:spacing w:before="20" w:after="20"/>
            </w:pPr>
            <w:r>
              <w:rPr>
                <w:rFonts w:ascii="Georgia" w:hAnsi="Georgia"/>
                <w:sz w:val="14"/>
              </w:rPr>
            </w:r>
            <w:r>
              <w:rPr>
                <w:rFonts w:ascii="Georgia" w:hAnsi="Georgia"/>
                <w:sz w:val="14"/>
              </w:rPr>
              <w:t xml:space="preserve">Beat on EPS, guidance cut. Softness attributed to </w:t>
            </w:r>
            <w:r>
              <w:rPr>
                <w:rFonts w:ascii="Georgia" w:hAnsi="Georgia"/>
                <w:i/>
                <w:sz w:val="14"/>
              </w:rPr>
              <w:t>delayed client decisions</w:t>
            </w:r>
            <w:r>
              <w:rPr>
                <w:rFonts w:ascii="Georgia" w:hAnsi="Georgia"/>
                <w:sz w:val="14"/>
              </w:rPr>
              <w:t xml:space="preserve">, "especially in North America and in parts of travel and consumer." Framing remains one of </w:t>
            </w:r>
            <w:r>
              <w:rPr>
                <w:rFonts w:ascii="Georgia" w:hAnsi="Georgia"/>
                <w:b/>
                <w:sz w:val="14"/>
              </w:rPr>
              <w:t>timing</w:t>
            </w:r>
            <w:r>
              <w:rPr>
                <w:rFonts w:ascii="Georgia" w:hAnsi="Georgia"/>
                <w:sz w:val="14"/>
              </w:rPr>
              <w:t>.</w:t>
            </w:r>
          </w:p>
        </w:tc>
      </w:tr>
      <w:tr>
        <w:tc>
          <w:tcPr>
            <w:tcW w:type="dxa" w:w="3394"/>
          </w:tcPr>
          <w:p>
            <w:pPr>
              <w:spacing w:before="20" w:after="20"/>
            </w:pPr>
            <w:r>
              <w:rPr>
                <w:rFonts w:ascii="Georgia" w:hAnsi="Georgia"/>
                <w:sz w:val="14"/>
              </w:rPr>
            </w:r>
            <w:r>
              <w:rPr>
                <w:rFonts w:ascii="Georgia" w:hAnsi="Georgia"/>
                <w:b/>
                <w:sz w:val="14"/>
              </w:rPr>
              <w:t>Q2 2026 (Aug 2026)</w:t>
            </w:r>
          </w:p>
        </w:tc>
        <w:tc>
          <w:tcPr>
            <w:tcW w:type="dxa" w:w="3394"/>
          </w:tcPr>
          <w:p>
            <w:pPr>
              <w:spacing w:before="20" w:after="20"/>
            </w:pPr>
            <w:r>
              <w:rPr>
                <w:rFonts w:ascii="Georgia" w:hAnsi="Georgia"/>
                <w:sz w:val="14"/>
              </w:rPr>
            </w:r>
            <w:r>
              <w:rPr>
                <w:rFonts w:ascii="Georgia" w:hAnsi="Georgia"/>
                <w:b/>
                <w:sz w:val="14"/>
              </w:rPr>
              <w:t>Candid, sober, structurally honest</w:t>
            </w:r>
          </w:p>
        </w:tc>
        <w:tc>
          <w:tcPr>
            <w:tcW w:type="dxa" w:w="3394"/>
          </w:tcPr>
          <w:p>
            <w:pPr>
              <w:spacing w:before="20" w:after="20"/>
            </w:pPr>
            <w:r>
              <w:rPr>
                <w:rFonts w:ascii="Georgia" w:hAnsi="Georgia"/>
                <w:sz w:val="14"/>
              </w:rPr>
            </w:r>
            <w:r>
              <w:rPr>
                <w:rFonts w:ascii="Georgia" w:hAnsi="Georgia"/>
                <w:sz w:val="14"/>
              </w:rPr>
              <w:t xml:space="preserve">Beat again, cut again. Critically, the explanation changes from timing to structure: a </w:t>
            </w:r>
            <w:r>
              <w:rPr>
                <w:rFonts w:ascii="Georgia" w:hAnsi="Georgia"/>
                <w:i/>
                <w:sz w:val="14"/>
              </w:rPr>
              <w:t>"faster-than-expected shift away from task-based services."</w:t>
            </w:r>
            <w:r>
              <w:rPr>
                <w:rFonts w:ascii="Georgia" w:hAnsi="Georgia"/>
                <w:sz w:val="14"/>
              </w:rPr>
              <w:t xml:space="preserve"> Management concedes large AI deals expected in late 2026 have not signed and pushes material revenue to H1 2027. Simultaneously the most confident commentary yet on margin and AI-native traction.</w:t>
            </w:r>
          </w:p>
        </w:tc>
      </w:tr>
    </w:tbl>
    <w:p>
      <w:pPr>
        <w:spacing w:after="60"/>
      </w:pPr>
    </w:p>
    <w:p>
      <w:pPr>
        <w:spacing w:before="40" w:after="60"/>
        <w:ind w:left="173" w:right="115"/>
        <w:jc w:val="both"/>
        <w:pBdr>
          <w:left w:val="single" w:sz="18" w:space="6" w:color="0B2545"/>
        </w:pBdr>
        <w:shd w:val="clear" w:fill="F4F7FA"/>
      </w:pPr>
      <w:r>
        <w:rPr>
          <w:b/>
          <w:sz w:val="17"/>
        </w:rPr>
        <w:t>Sentiment read.</w:t>
      </w:r>
      <w:r>
        <w:rPr>
          <w:sz w:val="17"/>
        </w:rPr>
        <w:t xml:space="preserve"> The arc runs from </w:t>
      </w:r>
      <w:r>
        <w:rPr>
          <w:i/>
          <w:sz w:val="17"/>
        </w:rPr>
        <w:t>recovery confidence</w:t>
      </w:r>
      <w:r>
        <w:rPr>
          <w:sz w:val="17"/>
        </w:rPr>
        <w:t xml:space="preserve"> (2025) through </w:t>
      </w:r>
      <w:r>
        <w:rPr>
          <w:i/>
          <w:sz w:val="17"/>
        </w:rPr>
        <w:t>strategic reframing</w:t>
      </w:r>
      <w:r>
        <w:rPr>
          <w:sz w:val="17"/>
        </w:rPr>
        <w:t xml:space="preserve"> (March 2026) to </w:t>
      </w:r>
      <w:r>
        <w:rPr>
          <w:i/>
          <w:sz w:val="17"/>
        </w:rPr>
        <w:t>structural candour</w:t>
      </w:r>
      <w:r>
        <w:rPr>
          <w:sz w:val="17"/>
        </w:rPr>
        <w:t xml:space="preserve"> (August 2026). The August tone is not panic — it is a management team that has stopped defending the growth narrative and started defending the profitability and transition narrative. That is arguably the correct and honest posture, and it is a positive signal on integrity. But it also removes the near-term catalyst: management has effectively told investors there is nothing to see until H1 2027. In a market that has already lost patience across three years of cuts, telling it to wait another two quarters is why the stock fell 22% rather than 8%.</w:t>
      </w:r>
    </w:p>
    <w:p>
      <w:pPr>
        <w:keepNext/>
        <w:spacing w:before="320" w:after="120"/>
        <w:pBdr>
          <w:bottom w:val="single" w:sz="12" w:space="2" w:color="0B2545"/>
        </w:pBdr>
      </w:pPr>
      <w:r>
        <w:rPr>
          <w:rFonts w:ascii="Georgia" w:hAnsi="Georgia"/>
          <w:b/>
          <w:color w:val="0B2545"/>
          <w:sz w:val="26"/>
        </w:rPr>
        <w:t>11. Earnings Per Share Estimates, 2026–2028</w:t>
      </w:r>
    </w:p>
    <w:p>
      <w:pPr>
        <w:keepNext/>
        <w:spacing w:before="200" w:after="80"/>
      </w:pPr>
      <w:r>
        <w:rPr>
          <w:rFonts w:ascii="Georgia" w:hAnsi="Georgia"/>
          <w:b/>
          <w:color w:val="14487F"/>
          <w:sz w:val="21"/>
        </w:rPr>
        <w:t>Assumptions</w:t>
      </w:r>
    </w:p>
    <w:p>
      <w:pPr>
        <w:pStyle w:val="ListBullet"/>
        <w:spacing w:after="50"/>
        <w:ind w:left="403"/>
        <w:jc w:val="both"/>
      </w:pPr>
      <w:r>
        <w:rPr>
          <w:rFonts w:ascii="Georgia" w:hAnsi="Georgia"/>
          <w:b/>
          <w:sz w:val="17"/>
        </w:rPr>
        <w:t>Industry growth.</w:t>
      </w:r>
      <w:r>
        <w:rPr>
          <w:rFonts w:ascii="Georgia" w:hAnsi="Georgia"/>
          <w:sz w:val="17"/>
        </w:rPr>
        <w:t xml:space="preserve"> Global IT services growing low-to-mid single digits, with AI-related spend growing rapidly while traditional application development deflates. Net market growth for EPAM's addressable segments of roughly 3–5%.</w:t>
      </w:r>
    </w:p>
    <w:p>
      <w:pPr>
        <w:pStyle w:val="ListBullet"/>
        <w:spacing w:after="50"/>
        <w:ind w:left="403"/>
        <w:jc w:val="both"/>
      </w:pPr>
      <w:r>
        <w:rPr>
          <w:rFonts w:ascii="Georgia" w:hAnsi="Georgia"/>
          <w:b/>
          <w:sz w:val="17"/>
        </w:rPr>
        <w:t>Market share.</w:t>
      </w:r>
      <w:r>
        <w:rPr>
          <w:rFonts w:ascii="Georgia" w:hAnsi="Georgia"/>
          <w:sz w:val="17"/>
        </w:rPr>
        <w:t xml:space="preserve"> EPAM holds share in Financial Services and Life Sciences, loses share in Software &amp; Hi-Tech and Business Information &amp; Media to client insourcing. Broadly neutral in aggregate, with modest gains in EMEA.</w:t>
      </w:r>
    </w:p>
    <w:p>
      <w:pPr>
        <w:pStyle w:val="ListBullet"/>
        <w:spacing w:after="50"/>
        <w:ind w:left="403"/>
        <w:jc w:val="both"/>
      </w:pPr>
      <w:r>
        <w:rPr>
          <w:rFonts w:ascii="Georgia" w:hAnsi="Georgia"/>
          <w:b/>
          <w:sz w:val="17"/>
        </w:rPr>
        <w:t>Pricing.</w:t>
      </w:r>
      <w:r>
        <w:rPr>
          <w:rFonts w:ascii="Georgia" w:hAnsi="Georgia"/>
          <w:sz w:val="17"/>
        </w:rPr>
        <w:t xml:space="preserve"> Continued rate increases on AI-native and specialist work, partially offset by procurement pressure on commodity engineering. Net +1 to +2% annually.</w:t>
      </w:r>
    </w:p>
    <w:p>
      <w:pPr>
        <w:pStyle w:val="ListBullet"/>
        <w:spacing w:after="50"/>
        <w:ind w:left="403"/>
        <w:jc w:val="both"/>
      </w:pPr>
      <w:r>
        <w:rPr>
          <w:rFonts w:ascii="Georgia" w:hAnsi="Georgia"/>
          <w:b/>
          <w:sz w:val="17"/>
        </w:rPr>
        <w:t>Volume.</w:t>
      </w:r>
      <w:r>
        <w:rPr>
          <w:rFonts w:ascii="Georgia" w:hAnsi="Georgia"/>
          <w:sz w:val="17"/>
        </w:rPr>
        <w:t xml:space="preserve"> Delivery headcount roughly flat in 2026, growing 2–3% in 2027–28 as AI-native programmes scale. Revenue per head rising — the key structural change.</w:t>
      </w:r>
    </w:p>
    <w:p>
      <w:pPr>
        <w:pStyle w:val="ListBullet"/>
        <w:spacing w:after="50"/>
        <w:ind w:left="403"/>
        <w:jc w:val="both"/>
      </w:pPr>
      <w:r>
        <w:rPr>
          <w:rFonts w:ascii="Georgia" w:hAnsi="Georgia"/>
          <w:b/>
          <w:sz w:val="17"/>
        </w:rPr>
        <w:t>Cost pressures.</w:t>
      </w:r>
      <w:r>
        <w:rPr>
          <w:rFonts w:ascii="Georgia" w:hAnsi="Georgia"/>
          <w:sz w:val="17"/>
        </w:rPr>
        <w:t xml:space="preserve"> Wage inflation of 4–6% in India and Central Europe; rising LLM inference cost as a new input, partially offset by token cost engineering.</w:t>
      </w:r>
    </w:p>
    <w:p>
      <w:pPr>
        <w:pStyle w:val="ListBullet"/>
        <w:spacing w:after="50"/>
        <w:ind w:left="403"/>
        <w:jc w:val="both"/>
      </w:pPr>
      <w:r>
        <w:rPr>
          <w:rFonts w:ascii="Georgia" w:hAnsi="Georgia"/>
          <w:b/>
          <w:sz w:val="17"/>
        </w:rPr>
        <w:t>Operating leverage.</w:t>
      </w:r>
      <w:r>
        <w:rPr>
          <w:rFonts w:ascii="Georgia" w:hAnsi="Georgia"/>
          <w:sz w:val="17"/>
        </w:rPr>
        <w:t xml:space="preserve"> Modest. Non-GAAP operating margin from 15.7% (2026E) to 16.3% (2028E), consistent with but slightly below management's 16%+ 2028 ambition.</w:t>
      </w:r>
    </w:p>
    <w:p>
      <w:pPr>
        <w:pStyle w:val="ListBullet"/>
        <w:spacing w:after="50"/>
        <w:ind w:left="403"/>
        <w:jc w:val="both"/>
      </w:pPr>
      <w:r>
        <w:rPr>
          <w:rFonts w:ascii="Georgia" w:hAnsi="Georgia"/>
          <w:b/>
          <w:sz w:val="17"/>
        </w:rPr>
        <w:t>Financing costs.</w:t>
      </w:r>
      <w:r>
        <w:rPr>
          <w:rFonts w:ascii="Georgia" w:hAnsi="Georgia"/>
          <w:sz w:val="17"/>
        </w:rPr>
        <w:t xml:space="preserve"> Negligible debt. Interest income of roughly $25–30m annually on net cash, declining as cash is deployed to buybacks.</w:t>
      </w:r>
    </w:p>
    <w:p>
      <w:pPr>
        <w:pStyle w:val="ListBullet"/>
        <w:spacing w:after="50"/>
        <w:ind w:left="403"/>
        <w:jc w:val="both"/>
      </w:pPr>
      <w:r>
        <w:rPr>
          <w:rFonts w:ascii="Georgia" w:hAnsi="Georgia"/>
          <w:b/>
          <w:sz w:val="17"/>
        </w:rPr>
        <w:t>Share count.</w:t>
      </w:r>
      <w:r>
        <w:rPr>
          <w:rFonts w:ascii="Georgia" w:hAnsi="Georgia"/>
          <w:sz w:val="17"/>
        </w:rPr>
        <w:t xml:space="preserve"> Buybacks of roughly $400–500m per year against stock-based compensation dilution of roughly 1.5m shares annually, producing net reduction of roughly 1.0–1.5m shares per year.</w:t>
      </w:r>
    </w:p>
    <w:p>
      <w:pPr>
        <w:pStyle w:val="ListBullet"/>
        <w:spacing w:after="50"/>
        <w:ind w:left="403"/>
        <w:jc w:val="both"/>
      </w:pPr>
      <w:r>
        <w:rPr>
          <w:rFonts w:ascii="Georgia" w:hAnsi="Georgia"/>
          <w:b/>
          <w:sz w:val="17"/>
        </w:rPr>
        <w:t>Tax.</w:t>
      </w:r>
      <w:r>
        <w:rPr>
          <w:rFonts w:ascii="Georgia" w:hAnsi="Georgia"/>
          <w:sz w:val="17"/>
        </w:rPr>
        <w:t xml:space="preserve"> Non-GAAP effective rate of approximately 24%; GAAP approximately 29–30%.</w:t>
      </w:r>
    </w:p>
    <w:p>
      <w:pPr>
        <w:keepNext/>
        <w:spacing w:before="200" w:after="80"/>
      </w:pPr>
      <w:r>
        <w:rPr>
          <w:rFonts w:ascii="Georgia" w:hAnsi="Georgia"/>
          <w:b/>
          <w:color w:val="14487F"/>
          <w:sz w:val="21"/>
        </w:rPr>
        <w:t>Earnings build</w:t>
      </w:r>
    </w:p>
    <w:tbl>
      <w:tblPr>
        <w:tblStyle w:val="TableGrid"/>
        <w:tblW w:type="auto" w:w="0"/>
        <w:jc w:val="center"/>
        <w:tblLayout w:type="autofit"/>
        <w:tblLook w:firstColumn="1" w:firstRow="1" w:lastColumn="0" w:lastRow="0" w:noHBand="0" w:noVBand="1" w:val="04A0"/>
      </w:tblPr>
      <w:tblGrid>
        <w:gridCol w:w="2036"/>
        <w:gridCol w:w="2036"/>
        <w:gridCol w:w="2036"/>
        <w:gridCol w:w="2036"/>
        <w:gridCol w:w="2036"/>
      </w:tblGrid>
      <w:tr>
        <w:tc>
          <w:tcPr>
            <w:tcW w:type="dxa" w:w="2036"/>
            <w:shd w:val="clear" w:fill="0B2545"/>
          </w:tcPr>
          <w:p>
            <w:pPr>
              <w:spacing w:before="20" w:after="20"/>
            </w:pPr>
            <w:r>
              <w:rPr>
                <w:rFonts w:ascii="Georgia" w:hAnsi="Georgia"/>
                <w:b/>
                <w:color w:val="FFFFFF"/>
                <w:sz w:val="14"/>
              </w:rPr>
            </w:r>
            <w:r>
              <w:rPr>
                <w:rFonts w:ascii="Georgia" w:hAnsi="Georgia"/>
                <w:b/>
                <w:color w:val="FFFFFF"/>
                <w:sz w:val="14"/>
              </w:rPr>
              <w:t>$m unless stated</w:t>
            </w:r>
          </w:p>
        </w:tc>
        <w:tc>
          <w:tcPr>
            <w:tcW w:type="dxa" w:w="2036"/>
            <w:shd w:val="clear" w:fill="0B2545"/>
          </w:tcPr>
          <w:p>
            <w:pPr>
              <w:spacing w:before="20" w:after="20"/>
              <w:jc w:val="right"/>
            </w:pPr>
            <w:r>
              <w:rPr>
                <w:rFonts w:ascii="Georgia" w:hAnsi="Georgia"/>
                <w:b/>
                <w:color w:val="FFFFFF"/>
                <w:sz w:val="14"/>
              </w:rPr>
            </w:r>
            <w:r>
              <w:rPr>
                <w:rFonts w:ascii="Georgia" w:hAnsi="Georgia"/>
                <w:b/>
                <w:color w:val="FFFFFF"/>
                <w:sz w:val="14"/>
              </w:rPr>
              <w:t>FY2025A</w:t>
            </w:r>
          </w:p>
        </w:tc>
        <w:tc>
          <w:tcPr>
            <w:tcW w:type="dxa" w:w="2036"/>
            <w:shd w:val="clear" w:fill="0B2545"/>
          </w:tcPr>
          <w:p>
            <w:pPr>
              <w:spacing w:before="20" w:after="20"/>
              <w:jc w:val="right"/>
            </w:pPr>
            <w:r>
              <w:rPr>
                <w:rFonts w:ascii="Georgia" w:hAnsi="Georgia"/>
                <w:b/>
                <w:color w:val="FFFFFF"/>
                <w:sz w:val="14"/>
              </w:rPr>
            </w:r>
            <w:r>
              <w:rPr>
                <w:rFonts w:ascii="Georgia" w:hAnsi="Georgia"/>
                <w:b/>
                <w:color w:val="FFFFFF"/>
                <w:sz w:val="14"/>
              </w:rPr>
              <w:t>FY2026E</w:t>
            </w:r>
          </w:p>
        </w:tc>
        <w:tc>
          <w:tcPr>
            <w:tcW w:type="dxa" w:w="2036"/>
            <w:shd w:val="clear" w:fill="0B2545"/>
          </w:tcPr>
          <w:p>
            <w:pPr>
              <w:spacing w:before="20" w:after="20"/>
              <w:jc w:val="right"/>
            </w:pPr>
            <w:r>
              <w:rPr>
                <w:rFonts w:ascii="Georgia" w:hAnsi="Georgia"/>
                <w:b/>
                <w:color w:val="FFFFFF"/>
                <w:sz w:val="14"/>
              </w:rPr>
            </w:r>
            <w:r>
              <w:rPr>
                <w:rFonts w:ascii="Georgia" w:hAnsi="Georgia"/>
                <w:b/>
                <w:color w:val="FFFFFF"/>
                <w:sz w:val="14"/>
              </w:rPr>
              <w:t>FY2027E</w:t>
            </w:r>
          </w:p>
        </w:tc>
        <w:tc>
          <w:tcPr>
            <w:tcW w:type="dxa" w:w="2036"/>
            <w:shd w:val="clear" w:fill="0B2545"/>
          </w:tcPr>
          <w:p>
            <w:pPr>
              <w:spacing w:before="20" w:after="20"/>
              <w:jc w:val="right"/>
            </w:pPr>
            <w:r>
              <w:rPr>
                <w:rFonts w:ascii="Georgia" w:hAnsi="Georgia"/>
                <w:b/>
                <w:color w:val="FFFFFF"/>
                <w:sz w:val="14"/>
              </w:rPr>
            </w:r>
            <w:r>
              <w:rPr>
                <w:rFonts w:ascii="Georgia" w:hAnsi="Georgia"/>
                <w:b/>
                <w:color w:val="FFFFFF"/>
                <w:sz w:val="14"/>
              </w:rPr>
              <w:t>FY2028E</w:t>
            </w:r>
          </w:p>
        </w:tc>
      </w:tr>
      <w:tr>
        <w:tc>
          <w:tcPr>
            <w:tcW w:type="dxa" w:w="2036"/>
          </w:tcPr>
          <w:p>
            <w:pPr>
              <w:spacing w:before="20" w:after="20"/>
            </w:pPr>
            <w:r>
              <w:rPr>
                <w:rFonts w:ascii="Georgia" w:hAnsi="Georgia"/>
                <w:sz w:val="14"/>
              </w:rPr>
            </w:r>
            <w:r>
              <w:rPr>
                <w:rFonts w:ascii="Georgia" w:hAnsi="Georgia"/>
                <w:sz w:val="14"/>
              </w:rPr>
              <w:t>Revenue</w:t>
            </w:r>
          </w:p>
        </w:tc>
        <w:tc>
          <w:tcPr>
            <w:tcW w:type="dxa" w:w="2036"/>
          </w:tcPr>
          <w:p>
            <w:pPr>
              <w:spacing w:before="20" w:after="20"/>
              <w:jc w:val="right"/>
            </w:pPr>
            <w:r>
              <w:rPr>
                <w:rFonts w:ascii="Georgia" w:hAnsi="Georgia"/>
                <w:sz w:val="14"/>
              </w:rPr>
            </w:r>
            <w:r>
              <w:rPr>
                <w:rFonts w:ascii="Georgia" w:hAnsi="Georgia"/>
                <w:sz w:val="14"/>
              </w:rPr>
              <w:t>5,457</w:t>
            </w:r>
          </w:p>
        </w:tc>
        <w:tc>
          <w:tcPr>
            <w:tcW w:type="dxa" w:w="2036"/>
          </w:tcPr>
          <w:p>
            <w:pPr>
              <w:spacing w:before="20" w:after="20"/>
              <w:jc w:val="right"/>
            </w:pPr>
            <w:r>
              <w:rPr>
                <w:rFonts w:ascii="Georgia" w:hAnsi="Georgia"/>
                <w:sz w:val="14"/>
              </w:rPr>
            </w:r>
            <w:r>
              <w:rPr>
                <w:rFonts w:ascii="Georgia" w:hAnsi="Georgia"/>
                <w:sz w:val="14"/>
              </w:rPr>
              <w:t>5,659</w:t>
            </w:r>
          </w:p>
        </w:tc>
        <w:tc>
          <w:tcPr>
            <w:tcW w:type="dxa" w:w="2036"/>
          </w:tcPr>
          <w:p>
            <w:pPr>
              <w:spacing w:before="20" w:after="20"/>
              <w:jc w:val="right"/>
            </w:pPr>
            <w:r>
              <w:rPr>
                <w:rFonts w:ascii="Georgia" w:hAnsi="Georgia"/>
                <w:sz w:val="14"/>
              </w:rPr>
            </w:r>
            <w:r>
              <w:rPr>
                <w:rFonts w:ascii="Georgia" w:hAnsi="Georgia"/>
                <w:sz w:val="14"/>
              </w:rPr>
              <w:t>5,942</w:t>
            </w:r>
          </w:p>
        </w:tc>
        <w:tc>
          <w:tcPr>
            <w:tcW w:type="dxa" w:w="2036"/>
          </w:tcPr>
          <w:p>
            <w:pPr>
              <w:spacing w:before="20" w:after="20"/>
              <w:jc w:val="right"/>
            </w:pPr>
            <w:r>
              <w:rPr>
                <w:rFonts w:ascii="Georgia" w:hAnsi="Georgia"/>
                <w:sz w:val="14"/>
              </w:rPr>
            </w:r>
            <w:r>
              <w:rPr>
                <w:rFonts w:ascii="Georgia" w:hAnsi="Georgia"/>
                <w:sz w:val="14"/>
              </w:rPr>
              <w:t>6,328</w:t>
            </w:r>
          </w:p>
        </w:tc>
      </w:tr>
      <w:tr>
        <w:tc>
          <w:tcPr>
            <w:tcW w:type="dxa" w:w="2036"/>
            <w:shd w:val="clear" w:fill="F4F7FA"/>
          </w:tcPr>
          <w:p>
            <w:pPr>
              <w:spacing w:before="20" w:after="20"/>
            </w:pPr>
            <w:r>
              <w:rPr>
                <w:rFonts w:ascii="Georgia" w:hAnsi="Georgia"/>
                <w:sz w:val="14"/>
              </w:rPr>
            </w:r>
            <w:r>
              <w:rPr>
                <w:rFonts w:ascii="Georgia" w:hAnsi="Georgia"/>
                <w:sz w:val="14"/>
              </w:rPr>
              <w:t xml:space="preserve">  Growth</w:t>
            </w:r>
          </w:p>
        </w:tc>
        <w:tc>
          <w:tcPr>
            <w:tcW w:type="dxa" w:w="2036"/>
            <w:shd w:val="clear" w:fill="F4F7FA"/>
          </w:tcPr>
          <w:p>
            <w:pPr>
              <w:spacing w:before="20" w:after="20"/>
              <w:jc w:val="right"/>
            </w:pPr>
            <w:r>
              <w:rPr>
                <w:rFonts w:ascii="Georgia" w:hAnsi="Georgia"/>
                <w:sz w:val="14"/>
              </w:rPr>
            </w:r>
            <w:r>
              <w:rPr>
                <w:rFonts w:ascii="Georgia" w:hAnsi="Georgia"/>
                <w:sz w:val="14"/>
              </w:rPr>
              <w:t>+15.4%</w:t>
            </w:r>
          </w:p>
        </w:tc>
        <w:tc>
          <w:tcPr>
            <w:tcW w:type="dxa" w:w="2036"/>
            <w:shd w:val="clear" w:fill="F4F7FA"/>
          </w:tcPr>
          <w:p>
            <w:pPr>
              <w:spacing w:before="20" w:after="20"/>
              <w:jc w:val="right"/>
            </w:pPr>
            <w:r>
              <w:rPr>
                <w:rFonts w:ascii="Georgia" w:hAnsi="Georgia"/>
                <w:sz w:val="14"/>
              </w:rPr>
            </w:r>
            <w:r>
              <w:rPr>
                <w:rFonts w:ascii="Georgia" w:hAnsi="Georgia"/>
                <w:sz w:val="14"/>
              </w:rPr>
              <w:t>+3.7%</w:t>
            </w:r>
          </w:p>
        </w:tc>
        <w:tc>
          <w:tcPr>
            <w:tcW w:type="dxa" w:w="2036"/>
            <w:shd w:val="clear" w:fill="F4F7FA"/>
          </w:tcPr>
          <w:p>
            <w:pPr>
              <w:spacing w:before="20" w:after="20"/>
              <w:jc w:val="right"/>
            </w:pPr>
            <w:r>
              <w:rPr>
                <w:rFonts w:ascii="Georgia" w:hAnsi="Georgia"/>
                <w:sz w:val="14"/>
              </w:rPr>
            </w:r>
            <w:r>
              <w:rPr>
                <w:rFonts w:ascii="Georgia" w:hAnsi="Georgia"/>
                <w:sz w:val="14"/>
              </w:rPr>
              <w:t>+5.0%</w:t>
            </w:r>
          </w:p>
        </w:tc>
        <w:tc>
          <w:tcPr>
            <w:tcW w:type="dxa" w:w="2036"/>
            <w:shd w:val="clear" w:fill="F4F7FA"/>
          </w:tcPr>
          <w:p>
            <w:pPr>
              <w:spacing w:before="20" w:after="20"/>
              <w:jc w:val="right"/>
            </w:pPr>
            <w:r>
              <w:rPr>
                <w:rFonts w:ascii="Georgia" w:hAnsi="Georgia"/>
                <w:sz w:val="14"/>
              </w:rPr>
            </w:r>
            <w:r>
              <w:rPr>
                <w:rFonts w:ascii="Georgia" w:hAnsi="Georgia"/>
                <w:sz w:val="14"/>
              </w:rPr>
              <w:t>+6.5%</w:t>
            </w:r>
          </w:p>
        </w:tc>
      </w:tr>
      <w:tr>
        <w:tc>
          <w:tcPr>
            <w:tcW w:type="dxa" w:w="2036"/>
          </w:tcPr>
          <w:p>
            <w:pPr>
              <w:spacing w:before="20" w:after="20"/>
            </w:pPr>
            <w:r>
              <w:rPr>
                <w:rFonts w:ascii="Georgia" w:hAnsi="Georgia"/>
                <w:sz w:val="14"/>
              </w:rPr>
            </w:r>
            <w:r>
              <w:rPr>
                <w:rFonts w:ascii="Georgia" w:hAnsi="Georgia"/>
                <w:sz w:val="14"/>
              </w:rPr>
              <w:t xml:space="preserve">  of which AI-native revenue</w:t>
            </w:r>
          </w:p>
        </w:tc>
        <w:tc>
          <w:tcPr>
            <w:tcW w:type="dxa" w:w="2036"/>
          </w:tcPr>
          <w:p>
            <w:pPr>
              <w:spacing w:before="20" w:after="20"/>
              <w:jc w:val="right"/>
            </w:pPr>
            <w:r>
              <w:rPr>
                <w:rFonts w:ascii="Georgia" w:hAnsi="Georgia"/>
                <w:sz w:val="14"/>
              </w:rPr>
            </w:r>
            <w:r>
              <w:rPr>
                <w:rFonts w:ascii="Georgia" w:hAnsi="Georgia"/>
                <w:sz w:val="14"/>
              </w:rPr>
              <w:t>c.300</w:t>
            </w:r>
          </w:p>
        </w:tc>
        <w:tc>
          <w:tcPr>
            <w:tcW w:type="dxa" w:w="2036"/>
          </w:tcPr>
          <w:p>
            <w:pPr>
              <w:spacing w:before="20" w:after="20"/>
              <w:jc w:val="right"/>
            </w:pPr>
            <w:r>
              <w:rPr>
                <w:rFonts w:ascii="Georgia" w:hAnsi="Georgia"/>
                <w:sz w:val="14"/>
              </w:rPr>
            </w:r>
            <w:r>
              <w:rPr>
                <w:rFonts w:ascii="Georgia" w:hAnsi="Georgia"/>
                <w:sz w:val="14"/>
              </w:rPr>
              <w:t>600</w:t>
            </w:r>
          </w:p>
        </w:tc>
        <w:tc>
          <w:tcPr>
            <w:tcW w:type="dxa" w:w="2036"/>
          </w:tcPr>
          <w:p>
            <w:pPr>
              <w:spacing w:before="20" w:after="20"/>
              <w:jc w:val="right"/>
            </w:pPr>
            <w:r>
              <w:rPr>
                <w:rFonts w:ascii="Georgia" w:hAnsi="Georgia"/>
                <w:sz w:val="14"/>
              </w:rPr>
            </w:r>
            <w:r>
              <w:rPr>
                <w:rFonts w:ascii="Georgia" w:hAnsi="Georgia"/>
                <w:sz w:val="14"/>
              </w:rPr>
              <w:t>c.900</w:t>
            </w:r>
          </w:p>
        </w:tc>
        <w:tc>
          <w:tcPr>
            <w:tcW w:type="dxa" w:w="2036"/>
          </w:tcPr>
          <w:p>
            <w:pPr>
              <w:spacing w:before="20" w:after="20"/>
              <w:jc w:val="right"/>
            </w:pPr>
            <w:r>
              <w:rPr>
                <w:rFonts w:ascii="Georgia" w:hAnsi="Georgia"/>
                <w:sz w:val="14"/>
              </w:rPr>
            </w:r>
            <w:r>
              <w:rPr>
                <w:rFonts w:ascii="Georgia" w:hAnsi="Georgia"/>
                <w:sz w:val="14"/>
              </w:rPr>
              <w:t>c.1,250</w:t>
            </w:r>
          </w:p>
        </w:tc>
      </w:tr>
      <w:tr>
        <w:tc>
          <w:tcPr>
            <w:tcW w:type="dxa" w:w="2036"/>
            <w:shd w:val="clear" w:fill="F4F7FA"/>
          </w:tcPr>
          <w:p>
            <w:pPr>
              <w:spacing w:before="20" w:after="20"/>
            </w:pPr>
            <w:r>
              <w:rPr>
                <w:rFonts w:ascii="Georgia" w:hAnsi="Georgia"/>
                <w:sz w:val="14"/>
              </w:rPr>
            </w:r>
            <w:r>
              <w:rPr>
                <w:rFonts w:ascii="Georgia" w:hAnsi="Georgia"/>
                <w:sz w:val="14"/>
              </w:rPr>
              <w:t>Non-GAAP gross margin</w:t>
            </w:r>
          </w:p>
        </w:tc>
        <w:tc>
          <w:tcPr>
            <w:tcW w:type="dxa" w:w="2036"/>
            <w:shd w:val="clear" w:fill="F4F7FA"/>
          </w:tcPr>
          <w:p>
            <w:pPr>
              <w:spacing w:before="20" w:after="20"/>
              <w:jc w:val="right"/>
            </w:pPr>
            <w:r>
              <w:rPr>
                <w:rFonts w:ascii="Georgia" w:hAnsi="Georgia"/>
                <w:sz w:val="14"/>
              </w:rPr>
            </w:r>
            <w:r>
              <w:rPr>
                <w:rFonts w:ascii="Georgia" w:hAnsi="Georgia"/>
                <w:sz w:val="14"/>
              </w:rPr>
              <w:t>c.30.5%</w:t>
            </w:r>
          </w:p>
        </w:tc>
        <w:tc>
          <w:tcPr>
            <w:tcW w:type="dxa" w:w="2036"/>
            <w:shd w:val="clear" w:fill="F4F7FA"/>
          </w:tcPr>
          <w:p>
            <w:pPr>
              <w:spacing w:before="20" w:after="20"/>
              <w:jc w:val="right"/>
            </w:pPr>
            <w:r>
              <w:rPr>
                <w:rFonts w:ascii="Georgia" w:hAnsi="Georgia"/>
                <w:sz w:val="14"/>
              </w:rPr>
            </w:r>
            <w:r>
              <w:rPr>
                <w:rFonts w:ascii="Georgia" w:hAnsi="Georgia"/>
                <w:sz w:val="14"/>
              </w:rPr>
              <w:t>32.0%</w:t>
            </w:r>
          </w:p>
        </w:tc>
        <w:tc>
          <w:tcPr>
            <w:tcW w:type="dxa" w:w="2036"/>
            <w:shd w:val="clear" w:fill="F4F7FA"/>
          </w:tcPr>
          <w:p>
            <w:pPr>
              <w:spacing w:before="20" w:after="20"/>
              <w:jc w:val="right"/>
            </w:pPr>
            <w:r>
              <w:rPr>
                <w:rFonts w:ascii="Georgia" w:hAnsi="Georgia"/>
                <w:sz w:val="14"/>
              </w:rPr>
            </w:r>
            <w:r>
              <w:rPr>
                <w:rFonts w:ascii="Georgia" w:hAnsi="Georgia"/>
                <w:sz w:val="14"/>
              </w:rPr>
              <w:t>32.3%</w:t>
            </w:r>
          </w:p>
        </w:tc>
        <w:tc>
          <w:tcPr>
            <w:tcW w:type="dxa" w:w="2036"/>
            <w:shd w:val="clear" w:fill="F4F7FA"/>
          </w:tcPr>
          <w:p>
            <w:pPr>
              <w:spacing w:before="20" w:after="20"/>
              <w:jc w:val="right"/>
            </w:pPr>
            <w:r>
              <w:rPr>
                <w:rFonts w:ascii="Georgia" w:hAnsi="Georgia"/>
                <w:sz w:val="14"/>
              </w:rPr>
            </w:r>
            <w:r>
              <w:rPr>
                <w:rFonts w:ascii="Georgia" w:hAnsi="Georgia"/>
                <w:sz w:val="14"/>
              </w:rPr>
              <w:t>32.6%</w:t>
            </w:r>
          </w:p>
        </w:tc>
      </w:tr>
      <w:tr>
        <w:tc>
          <w:tcPr>
            <w:tcW w:type="dxa" w:w="2036"/>
          </w:tcPr>
          <w:p>
            <w:pPr>
              <w:spacing w:before="20" w:after="20"/>
            </w:pPr>
            <w:r>
              <w:rPr>
                <w:rFonts w:ascii="Georgia" w:hAnsi="Georgia"/>
                <w:sz w:val="14"/>
              </w:rPr>
            </w:r>
            <w:r>
              <w:rPr>
                <w:rFonts w:ascii="Georgia" w:hAnsi="Georgia"/>
                <w:sz w:val="14"/>
              </w:rPr>
              <w:t>Non-GAAP operating margin</w:t>
            </w:r>
          </w:p>
        </w:tc>
        <w:tc>
          <w:tcPr>
            <w:tcW w:type="dxa" w:w="2036"/>
          </w:tcPr>
          <w:p>
            <w:pPr>
              <w:spacing w:before="20" w:after="20"/>
              <w:jc w:val="right"/>
            </w:pPr>
            <w:r>
              <w:rPr>
                <w:rFonts w:ascii="Georgia" w:hAnsi="Georgia"/>
                <w:sz w:val="14"/>
              </w:rPr>
            </w:r>
            <w:r>
              <w:rPr>
                <w:rFonts w:ascii="Georgia" w:hAnsi="Georgia"/>
                <w:sz w:val="14"/>
              </w:rPr>
              <w:t>15.2%</w:t>
            </w:r>
          </w:p>
        </w:tc>
        <w:tc>
          <w:tcPr>
            <w:tcW w:type="dxa" w:w="2036"/>
          </w:tcPr>
          <w:p>
            <w:pPr>
              <w:spacing w:before="20" w:after="20"/>
              <w:jc w:val="right"/>
            </w:pPr>
            <w:r>
              <w:rPr>
                <w:rFonts w:ascii="Georgia" w:hAnsi="Georgia"/>
                <w:sz w:val="14"/>
              </w:rPr>
            </w:r>
            <w:r>
              <w:rPr>
                <w:rFonts w:ascii="Georgia" w:hAnsi="Georgia"/>
                <w:sz w:val="14"/>
              </w:rPr>
              <w:t>15.7%</w:t>
            </w:r>
          </w:p>
        </w:tc>
        <w:tc>
          <w:tcPr>
            <w:tcW w:type="dxa" w:w="2036"/>
          </w:tcPr>
          <w:p>
            <w:pPr>
              <w:spacing w:before="20" w:after="20"/>
              <w:jc w:val="right"/>
            </w:pPr>
            <w:r>
              <w:rPr>
                <w:rFonts w:ascii="Georgia" w:hAnsi="Georgia"/>
                <w:sz w:val="14"/>
              </w:rPr>
            </w:r>
            <w:r>
              <w:rPr>
                <w:rFonts w:ascii="Georgia" w:hAnsi="Georgia"/>
                <w:sz w:val="14"/>
              </w:rPr>
              <w:t>16.0%</w:t>
            </w:r>
          </w:p>
        </w:tc>
        <w:tc>
          <w:tcPr>
            <w:tcW w:type="dxa" w:w="2036"/>
          </w:tcPr>
          <w:p>
            <w:pPr>
              <w:spacing w:before="20" w:after="20"/>
              <w:jc w:val="right"/>
            </w:pPr>
            <w:r>
              <w:rPr>
                <w:rFonts w:ascii="Georgia" w:hAnsi="Georgia"/>
                <w:sz w:val="14"/>
              </w:rPr>
            </w:r>
            <w:r>
              <w:rPr>
                <w:rFonts w:ascii="Georgia" w:hAnsi="Georgia"/>
                <w:sz w:val="14"/>
              </w:rPr>
              <w:t>16.3%</w:t>
            </w:r>
          </w:p>
        </w:tc>
      </w:tr>
      <w:tr>
        <w:tc>
          <w:tcPr>
            <w:tcW w:type="dxa" w:w="2036"/>
            <w:shd w:val="clear" w:fill="F4F7FA"/>
          </w:tcPr>
          <w:p>
            <w:pPr>
              <w:spacing w:before="20" w:after="20"/>
            </w:pPr>
            <w:r>
              <w:rPr>
                <w:rFonts w:ascii="Georgia" w:hAnsi="Georgia"/>
                <w:sz w:val="14"/>
              </w:rPr>
            </w:r>
            <w:r>
              <w:rPr>
                <w:rFonts w:ascii="Georgia" w:hAnsi="Georgia"/>
                <w:sz w:val="14"/>
              </w:rPr>
              <w:t>Non-GAAP operating income</w:t>
            </w:r>
          </w:p>
        </w:tc>
        <w:tc>
          <w:tcPr>
            <w:tcW w:type="dxa" w:w="2036"/>
            <w:shd w:val="clear" w:fill="F4F7FA"/>
          </w:tcPr>
          <w:p>
            <w:pPr>
              <w:spacing w:before="20" w:after="20"/>
              <w:jc w:val="right"/>
            </w:pPr>
            <w:r>
              <w:rPr>
                <w:rFonts w:ascii="Georgia" w:hAnsi="Georgia"/>
                <w:sz w:val="14"/>
              </w:rPr>
            </w:r>
            <w:r>
              <w:rPr>
                <w:rFonts w:ascii="Georgia" w:hAnsi="Georgia"/>
                <w:sz w:val="14"/>
              </w:rPr>
              <w:t>832</w:t>
            </w:r>
          </w:p>
        </w:tc>
        <w:tc>
          <w:tcPr>
            <w:tcW w:type="dxa" w:w="2036"/>
            <w:shd w:val="clear" w:fill="F4F7FA"/>
          </w:tcPr>
          <w:p>
            <w:pPr>
              <w:spacing w:before="20" w:after="20"/>
              <w:jc w:val="right"/>
            </w:pPr>
            <w:r>
              <w:rPr>
                <w:rFonts w:ascii="Georgia" w:hAnsi="Georgia"/>
                <w:sz w:val="14"/>
              </w:rPr>
            </w:r>
            <w:r>
              <w:rPr>
                <w:rFonts w:ascii="Georgia" w:hAnsi="Georgia"/>
                <w:sz w:val="14"/>
              </w:rPr>
              <w:t>889</w:t>
            </w:r>
          </w:p>
        </w:tc>
        <w:tc>
          <w:tcPr>
            <w:tcW w:type="dxa" w:w="2036"/>
            <w:shd w:val="clear" w:fill="F4F7FA"/>
          </w:tcPr>
          <w:p>
            <w:pPr>
              <w:spacing w:before="20" w:after="20"/>
              <w:jc w:val="right"/>
            </w:pPr>
            <w:r>
              <w:rPr>
                <w:rFonts w:ascii="Georgia" w:hAnsi="Georgia"/>
                <w:sz w:val="14"/>
              </w:rPr>
            </w:r>
            <w:r>
              <w:rPr>
                <w:rFonts w:ascii="Georgia" w:hAnsi="Georgia"/>
                <w:sz w:val="14"/>
              </w:rPr>
              <w:t>951</w:t>
            </w:r>
          </w:p>
        </w:tc>
        <w:tc>
          <w:tcPr>
            <w:tcW w:type="dxa" w:w="2036"/>
            <w:shd w:val="clear" w:fill="F4F7FA"/>
          </w:tcPr>
          <w:p>
            <w:pPr>
              <w:spacing w:before="20" w:after="20"/>
              <w:jc w:val="right"/>
            </w:pPr>
            <w:r>
              <w:rPr>
                <w:rFonts w:ascii="Georgia" w:hAnsi="Georgia"/>
                <w:sz w:val="14"/>
              </w:rPr>
            </w:r>
            <w:r>
              <w:rPr>
                <w:rFonts w:ascii="Georgia" w:hAnsi="Georgia"/>
                <w:sz w:val="14"/>
              </w:rPr>
              <w:t>1,031</w:t>
            </w:r>
          </w:p>
        </w:tc>
      </w:tr>
      <w:tr>
        <w:tc>
          <w:tcPr>
            <w:tcW w:type="dxa" w:w="2036"/>
          </w:tcPr>
          <w:p>
            <w:pPr>
              <w:spacing w:before="20" w:after="20"/>
            </w:pPr>
            <w:r>
              <w:rPr>
                <w:rFonts w:ascii="Georgia" w:hAnsi="Georgia"/>
                <w:sz w:val="14"/>
              </w:rPr>
            </w:r>
            <w:r>
              <w:rPr>
                <w:rFonts w:ascii="Georgia" w:hAnsi="Georgia"/>
                <w:sz w:val="14"/>
              </w:rPr>
              <w:t>Net interest and other income</w:t>
            </w:r>
          </w:p>
        </w:tc>
        <w:tc>
          <w:tcPr>
            <w:tcW w:type="dxa" w:w="2036"/>
          </w:tcPr>
          <w:p>
            <w:pPr>
              <w:spacing w:before="20" w:after="20"/>
              <w:jc w:val="right"/>
            </w:pPr>
            <w:r>
              <w:rPr>
                <w:rFonts w:ascii="Georgia" w:hAnsi="Georgia"/>
                <w:sz w:val="14"/>
              </w:rPr>
            </w:r>
            <w:r>
              <w:rPr>
                <w:rFonts w:ascii="Georgia" w:hAnsi="Georgia"/>
                <w:sz w:val="14"/>
              </w:rPr>
              <w:t>c.25</w:t>
            </w:r>
          </w:p>
        </w:tc>
        <w:tc>
          <w:tcPr>
            <w:tcW w:type="dxa" w:w="2036"/>
          </w:tcPr>
          <w:p>
            <w:pPr>
              <w:spacing w:before="20" w:after="20"/>
              <w:jc w:val="right"/>
            </w:pPr>
            <w:r>
              <w:rPr>
                <w:rFonts w:ascii="Georgia" w:hAnsi="Georgia"/>
                <w:sz w:val="14"/>
              </w:rPr>
            </w:r>
            <w:r>
              <w:rPr>
                <w:rFonts w:ascii="Georgia" w:hAnsi="Georgia"/>
                <w:sz w:val="14"/>
              </w:rPr>
              <w:t>c.28</w:t>
            </w:r>
          </w:p>
        </w:tc>
        <w:tc>
          <w:tcPr>
            <w:tcW w:type="dxa" w:w="2036"/>
          </w:tcPr>
          <w:p>
            <w:pPr>
              <w:spacing w:before="20" w:after="20"/>
              <w:jc w:val="right"/>
            </w:pPr>
            <w:r>
              <w:rPr>
                <w:rFonts w:ascii="Georgia" w:hAnsi="Georgia"/>
                <w:sz w:val="14"/>
              </w:rPr>
            </w:r>
            <w:r>
              <w:rPr>
                <w:rFonts w:ascii="Georgia" w:hAnsi="Georgia"/>
                <w:sz w:val="14"/>
              </w:rPr>
              <w:t>c.25</w:t>
            </w:r>
          </w:p>
        </w:tc>
        <w:tc>
          <w:tcPr>
            <w:tcW w:type="dxa" w:w="2036"/>
          </w:tcPr>
          <w:p>
            <w:pPr>
              <w:spacing w:before="20" w:after="20"/>
              <w:jc w:val="right"/>
            </w:pPr>
            <w:r>
              <w:rPr>
                <w:rFonts w:ascii="Georgia" w:hAnsi="Georgia"/>
                <w:sz w:val="14"/>
              </w:rPr>
            </w:r>
            <w:r>
              <w:rPr>
                <w:rFonts w:ascii="Georgia" w:hAnsi="Georgia"/>
                <w:sz w:val="14"/>
              </w:rPr>
              <w:t>c.24</w:t>
            </w:r>
          </w:p>
        </w:tc>
      </w:tr>
      <w:tr>
        <w:tc>
          <w:tcPr>
            <w:tcW w:type="dxa" w:w="2036"/>
            <w:shd w:val="clear" w:fill="F4F7FA"/>
          </w:tcPr>
          <w:p>
            <w:pPr>
              <w:spacing w:before="20" w:after="20"/>
            </w:pPr>
            <w:r>
              <w:rPr>
                <w:rFonts w:ascii="Georgia" w:hAnsi="Georgia"/>
                <w:sz w:val="14"/>
              </w:rPr>
            </w:r>
            <w:r>
              <w:rPr>
                <w:rFonts w:ascii="Georgia" w:hAnsi="Georgia"/>
                <w:sz w:val="14"/>
              </w:rPr>
              <w:t>Non-GAAP pre-tax income</w:t>
            </w:r>
          </w:p>
        </w:tc>
        <w:tc>
          <w:tcPr>
            <w:tcW w:type="dxa" w:w="2036"/>
            <w:shd w:val="clear" w:fill="F4F7FA"/>
          </w:tcPr>
          <w:p>
            <w:pPr>
              <w:spacing w:before="20" w:after="20"/>
              <w:jc w:val="right"/>
            </w:pPr>
            <w:r>
              <w:rPr>
                <w:rFonts w:ascii="Georgia" w:hAnsi="Georgia"/>
                <w:sz w:val="14"/>
              </w:rPr>
            </w:r>
            <w:r>
              <w:rPr>
                <w:rFonts w:ascii="Georgia" w:hAnsi="Georgia"/>
                <w:sz w:val="14"/>
              </w:rPr>
              <w:t>c.857</w:t>
            </w:r>
          </w:p>
        </w:tc>
        <w:tc>
          <w:tcPr>
            <w:tcW w:type="dxa" w:w="2036"/>
            <w:shd w:val="clear" w:fill="F4F7FA"/>
          </w:tcPr>
          <w:p>
            <w:pPr>
              <w:spacing w:before="20" w:after="20"/>
              <w:jc w:val="right"/>
            </w:pPr>
            <w:r>
              <w:rPr>
                <w:rFonts w:ascii="Georgia" w:hAnsi="Georgia"/>
                <w:sz w:val="14"/>
              </w:rPr>
            </w:r>
            <w:r>
              <w:rPr>
                <w:rFonts w:ascii="Georgia" w:hAnsi="Georgia"/>
                <w:sz w:val="14"/>
              </w:rPr>
              <w:t>917</w:t>
            </w:r>
          </w:p>
        </w:tc>
        <w:tc>
          <w:tcPr>
            <w:tcW w:type="dxa" w:w="2036"/>
            <w:shd w:val="clear" w:fill="F4F7FA"/>
          </w:tcPr>
          <w:p>
            <w:pPr>
              <w:spacing w:before="20" w:after="20"/>
              <w:jc w:val="right"/>
            </w:pPr>
            <w:r>
              <w:rPr>
                <w:rFonts w:ascii="Georgia" w:hAnsi="Georgia"/>
                <w:sz w:val="14"/>
              </w:rPr>
            </w:r>
            <w:r>
              <w:rPr>
                <w:rFonts w:ascii="Georgia" w:hAnsi="Georgia"/>
                <w:sz w:val="14"/>
              </w:rPr>
              <w:t>976</w:t>
            </w:r>
          </w:p>
        </w:tc>
        <w:tc>
          <w:tcPr>
            <w:tcW w:type="dxa" w:w="2036"/>
            <w:shd w:val="clear" w:fill="F4F7FA"/>
          </w:tcPr>
          <w:p>
            <w:pPr>
              <w:spacing w:before="20" w:after="20"/>
              <w:jc w:val="right"/>
            </w:pPr>
            <w:r>
              <w:rPr>
                <w:rFonts w:ascii="Georgia" w:hAnsi="Georgia"/>
                <w:sz w:val="14"/>
              </w:rPr>
            </w:r>
            <w:r>
              <w:rPr>
                <w:rFonts w:ascii="Georgia" w:hAnsi="Georgia"/>
                <w:sz w:val="14"/>
              </w:rPr>
              <w:t>1,055</w:t>
            </w:r>
          </w:p>
        </w:tc>
      </w:tr>
      <w:tr>
        <w:tc>
          <w:tcPr>
            <w:tcW w:type="dxa" w:w="2036"/>
          </w:tcPr>
          <w:p>
            <w:pPr>
              <w:spacing w:before="20" w:after="20"/>
            </w:pPr>
            <w:r>
              <w:rPr>
                <w:rFonts w:ascii="Georgia" w:hAnsi="Georgia"/>
                <w:sz w:val="14"/>
              </w:rPr>
            </w:r>
            <w:r>
              <w:rPr>
                <w:rFonts w:ascii="Georgia" w:hAnsi="Georgia"/>
                <w:sz w:val="14"/>
              </w:rPr>
              <w:t>Tax at 24%</w:t>
            </w:r>
          </w:p>
        </w:tc>
        <w:tc>
          <w:tcPr>
            <w:tcW w:type="dxa" w:w="2036"/>
          </w:tcPr>
          <w:p>
            <w:pPr>
              <w:spacing w:before="20" w:after="20"/>
              <w:jc w:val="right"/>
            </w:pPr>
            <w:r>
              <w:rPr>
                <w:rFonts w:ascii="Georgia" w:hAnsi="Georgia"/>
                <w:sz w:val="14"/>
              </w:rPr>
            </w:r>
            <w:r>
              <w:rPr>
                <w:rFonts w:ascii="Georgia" w:hAnsi="Georgia"/>
                <w:sz w:val="14"/>
              </w:rPr>
              <w:t>c.(206)</w:t>
            </w:r>
          </w:p>
        </w:tc>
        <w:tc>
          <w:tcPr>
            <w:tcW w:type="dxa" w:w="2036"/>
          </w:tcPr>
          <w:p>
            <w:pPr>
              <w:spacing w:before="20" w:after="20"/>
              <w:jc w:val="right"/>
            </w:pPr>
            <w:r>
              <w:rPr>
                <w:rFonts w:ascii="Georgia" w:hAnsi="Georgia"/>
                <w:sz w:val="14"/>
              </w:rPr>
            </w:r>
            <w:r>
              <w:rPr>
                <w:rFonts w:ascii="Georgia" w:hAnsi="Georgia"/>
                <w:sz w:val="14"/>
              </w:rPr>
              <w:t>(220)</w:t>
            </w:r>
          </w:p>
        </w:tc>
        <w:tc>
          <w:tcPr>
            <w:tcW w:type="dxa" w:w="2036"/>
          </w:tcPr>
          <w:p>
            <w:pPr>
              <w:spacing w:before="20" w:after="20"/>
              <w:jc w:val="right"/>
            </w:pPr>
            <w:r>
              <w:rPr>
                <w:rFonts w:ascii="Georgia" w:hAnsi="Georgia"/>
                <w:sz w:val="14"/>
              </w:rPr>
            </w:r>
            <w:r>
              <w:rPr>
                <w:rFonts w:ascii="Georgia" w:hAnsi="Georgia"/>
                <w:sz w:val="14"/>
              </w:rPr>
              <w:t>(234)</w:t>
            </w:r>
          </w:p>
        </w:tc>
        <w:tc>
          <w:tcPr>
            <w:tcW w:type="dxa" w:w="2036"/>
          </w:tcPr>
          <w:p>
            <w:pPr>
              <w:spacing w:before="20" w:after="20"/>
              <w:jc w:val="right"/>
            </w:pPr>
            <w:r>
              <w:rPr>
                <w:rFonts w:ascii="Georgia" w:hAnsi="Georgia"/>
                <w:sz w:val="14"/>
              </w:rPr>
            </w:r>
            <w:r>
              <w:rPr>
                <w:rFonts w:ascii="Georgia" w:hAnsi="Georgia"/>
                <w:sz w:val="14"/>
              </w:rPr>
              <w:t>(253)</w:t>
            </w:r>
          </w:p>
        </w:tc>
      </w:tr>
      <w:tr>
        <w:tc>
          <w:tcPr>
            <w:tcW w:type="dxa" w:w="2036"/>
            <w:shd w:val="clear" w:fill="F4F7FA"/>
          </w:tcPr>
          <w:p>
            <w:pPr>
              <w:spacing w:before="20" w:after="20"/>
            </w:pPr>
            <w:r>
              <w:rPr>
                <w:rFonts w:ascii="Georgia" w:hAnsi="Georgia"/>
                <w:sz w:val="14"/>
              </w:rPr>
            </w:r>
            <w:r>
              <w:rPr>
                <w:rFonts w:ascii="Georgia" w:hAnsi="Georgia"/>
                <w:sz w:val="14"/>
              </w:rPr>
              <w:t>Non-GAAP net income</w:t>
            </w:r>
          </w:p>
        </w:tc>
        <w:tc>
          <w:tcPr>
            <w:tcW w:type="dxa" w:w="2036"/>
            <w:shd w:val="clear" w:fill="F4F7FA"/>
          </w:tcPr>
          <w:p>
            <w:pPr>
              <w:spacing w:before="20" w:after="20"/>
              <w:jc w:val="right"/>
            </w:pPr>
            <w:r>
              <w:rPr>
                <w:rFonts w:ascii="Georgia" w:hAnsi="Georgia"/>
                <w:sz w:val="14"/>
              </w:rPr>
            </w:r>
            <w:r>
              <w:rPr>
                <w:rFonts w:ascii="Georgia" w:hAnsi="Georgia"/>
                <w:sz w:val="14"/>
              </w:rPr>
              <w:t>c.651</w:t>
            </w:r>
          </w:p>
        </w:tc>
        <w:tc>
          <w:tcPr>
            <w:tcW w:type="dxa" w:w="2036"/>
            <w:shd w:val="clear" w:fill="F4F7FA"/>
          </w:tcPr>
          <w:p>
            <w:pPr>
              <w:spacing w:before="20" w:after="20"/>
              <w:jc w:val="right"/>
            </w:pPr>
            <w:r>
              <w:rPr>
                <w:rFonts w:ascii="Georgia" w:hAnsi="Georgia"/>
                <w:sz w:val="14"/>
              </w:rPr>
            </w:r>
            <w:r>
              <w:rPr>
                <w:rFonts w:ascii="Georgia" w:hAnsi="Georgia"/>
                <w:sz w:val="14"/>
              </w:rPr>
              <w:t>697</w:t>
            </w:r>
          </w:p>
        </w:tc>
        <w:tc>
          <w:tcPr>
            <w:tcW w:type="dxa" w:w="2036"/>
            <w:shd w:val="clear" w:fill="F4F7FA"/>
          </w:tcPr>
          <w:p>
            <w:pPr>
              <w:spacing w:before="20" w:after="20"/>
              <w:jc w:val="right"/>
            </w:pPr>
            <w:r>
              <w:rPr>
                <w:rFonts w:ascii="Georgia" w:hAnsi="Georgia"/>
                <w:sz w:val="14"/>
              </w:rPr>
            </w:r>
            <w:r>
              <w:rPr>
                <w:rFonts w:ascii="Georgia" w:hAnsi="Georgia"/>
                <w:sz w:val="14"/>
              </w:rPr>
              <w:t>742</w:t>
            </w:r>
          </w:p>
        </w:tc>
        <w:tc>
          <w:tcPr>
            <w:tcW w:type="dxa" w:w="2036"/>
            <w:shd w:val="clear" w:fill="F4F7FA"/>
          </w:tcPr>
          <w:p>
            <w:pPr>
              <w:spacing w:before="20" w:after="20"/>
              <w:jc w:val="right"/>
            </w:pPr>
            <w:r>
              <w:rPr>
                <w:rFonts w:ascii="Georgia" w:hAnsi="Georgia"/>
                <w:sz w:val="14"/>
              </w:rPr>
            </w:r>
            <w:r>
              <w:rPr>
                <w:rFonts w:ascii="Georgia" w:hAnsi="Georgia"/>
                <w:sz w:val="14"/>
              </w:rPr>
              <w:t>802</w:t>
            </w:r>
          </w:p>
        </w:tc>
      </w:tr>
      <w:tr>
        <w:tc>
          <w:tcPr>
            <w:tcW w:type="dxa" w:w="2036"/>
          </w:tcPr>
          <w:p>
            <w:pPr>
              <w:spacing w:before="20" w:after="20"/>
            </w:pPr>
            <w:r>
              <w:rPr>
                <w:rFonts w:ascii="Georgia" w:hAnsi="Georgia"/>
                <w:sz w:val="14"/>
              </w:rPr>
            </w:r>
            <w:r>
              <w:rPr>
                <w:rFonts w:ascii="Georgia" w:hAnsi="Georgia"/>
                <w:sz w:val="14"/>
              </w:rPr>
              <w:t>Diluted shares (m)</w:t>
            </w:r>
          </w:p>
        </w:tc>
        <w:tc>
          <w:tcPr>
            <w:tcW w:type="dxa" w:w="2036"/>
          </w:tcPr>
          <w:p>
            <w:pPr>
              <w:spacing w:before="20" w:after="20"/>
              <w:jc w:val="right"/>
            </w:pPr>
            <w:r>
              <w:rPr>
                <w:rFonts w:ascii="Georgia" w:hAnsi="Georgia"/>
                <w:sz w:val="14"/>
              </w:rPr>
            </w:r>
            <w:r>
              <w:rPr>
                <w:rFonts w:ascii="Georgia" w:hAnsi="Georgia"/>
                <w:sz w:val="14"/>
              </w:rPr>
              <w:t>c.56.6</w:t>
            </w:r>
          </w:p>
        </w:tc>
        <w:tc>
          <w:tcPr>
            <w:tcW w:type="dxa" w:w="2036"/>
          </w:tcPr>
          <w:p>
            <w:pPr>
              <w:spacing w:before="20" w:after="20"/>
              <w:jc w:val="right"/>
            </w:pPr>
            <w:r>
              <w:rPr>
                <w:rFonts w:ascii="Georgia" w:hAnsi="Georgia"/>
                <w:sz w:val="14"/>
              </w:rPr>
            </w:r>
            <w:r>
              <w:rPr>
                <w:rFonts w:ascii="Georgia" w:hAnsi="Georgia"/>
                <w:sz w:val="14"/>
              </w:rPr>
              <w:t>c.53.0</w:t>
            </w:r>
          </w:p>
        </w:tc>
        <w:tc>
          <w:tcPr>
            <w:tcW w:type="dxa" w:w="2036"/>
          </w:tcPr>
          <w:p>
            <w:pPr>
              <w:spacing w:before="20" w:after="20"/>
              <w:jc w:val="right"/>
            </w:pPr>
            <w:r>
              <w:rPr>
                <w:rFonts w:ascii="Georgia" w:hAnsi="Georgia"/>
                <w:sz w:val="14"/>
              </w:rPr>
            </w:r>
            <w:r>
              <w:rPr>
                <w:rFonts w:ascii="Georgia" w:hAnsi="Georgia"/>
                <w:sz w:val="14"/>
              </w:rPr>
              <w:t>c.51.0</w:t>
            </w:r>
          </w:p>
        </w:tc>
        <w:tc>
          <w:tcPr>
            <w:tcW w:type="dxa" w:w="2036"/>
          </w:tcPr>
          <w:p>
            <w:pPr>
              <w:spacing w:before="20" w:after="20"/>
              <w:jc w:val="right"/>
            </w:pPr>
            <w:r>
              <w:rPr>
                <w:rFonts w:ascii="Georgia" w:hAnsi="Georgia"/>
                <w:sz w:val="14"/>
              </w:rPr>
            </w:r>
            <w:r>
              <w:rPr>
                <w:rFonts w:ascii="Georgia" w:hAnsi="Georgia"/>
                <w:sz w:val="14"/>
              </w:rPr>
              <w:t>c.49.5</w:t>
            </w:r>
          </w:p>
        </w:tc>
      </w:tr>
      <w:tr>
        <w:tc>
          <w:tcPr>
            <w:tcW w:type="dxa" w:w="2036"/>
            <w:shd w:val="clear" w:fill="F4F7FA"/>
          </w:tcPr>
          <w:p>
            <w:pPr>
              <w:spacing w:before="20" w:after="20"/>
            </w:pPr>
            <w:r>
              <w:rPr>
                <w:rFonts w:ascii="Georgia" w:hAnsi="Georgia"/>
                <w:sz w:val="14"/>
              </w:rPr>
            </w:r>
            <w:r>
              <w:rPr>
                <w:rFonts w:ascii="Georgia" w:hAnsi="Georgia"/>
                <w:b/>
                <w:sz w:val="14"/>
              </w:rPr>
              <w:t>Non-GAAP diluted EPS ($)</w:t>
            </w:r>
          </w:p>
        </w:tc>
        <w:tc>
          <w:tcPr>
            <w:tcW w:type="dxa" w:w="2036"/>
            <w:shd w:val="clear" w:fill="F4F7FA"/>
          </w:tcPr>
          <w:p>
            <w:pPr>
              <w:spacing w:before="20" w:after="20"/>
              <w:jc w:val="right"/>
            </w:pPr>
            <w:r>
              <w:rPr>
                <w:rFonts w:ascii="Georgia" w:hAnsi="Georgia"/>
                <w:sz w:val="14"/>
              </w:rPr>
            </w:r>
            <w:r>
              <w:rPr>
                <w:rFonts w:ascii="Georgia" w:hAnsi="Georgia"/>
                <w:b/>
                <w:sz w:val="14"/>
              </w:rPr>
              <w:t>11.50</w:t>
            </w:r>
          </w:p>
        </w:tc>
        <w:tc>
          <w:tcPr>
            <w:tcW w:type="dxa" w:w="2036"/>
            <w:shd w:val="clear" w:fill="F4F7FA"/>
          </w:tcPr>
          <w:p>
            <w:pPr>
              <w:spacing w:before="20" w:after="20"/>
              <w:jc w:val="right"/>
            </w:pPr>
            <w:r>
              <w:rPr>
                <w:rFonts w:ascii="Georgia" w:hAnsi="Georgia"/>
                <w:sz w:val="14"/>
              </w:rPr>
            </w:r>
            <w:r>
              <w:rPr>
                <w:rFonts w:ascii="Georgia" w:hAnsi="Georgia"/>
                <w:b/>
                <w:sz w:val="14"/>
              </w:rPr>
              <w:t>13.16</w:t>
            </w:r>
          </w:p>
        </w:tc>
        <w:tc>
          <w:tcPr>
            <w:tcW w:type="dxa" w:w="2036"/>
            <w:shd w:val="clear" w:fill="F4F7FA"/>
          </w:tcPr>
          <w:p>
            <w:pPr>
              <w:spacing w:before="20" w:after="20"/>
              <w:jc w:val="right"/>
            </w:pPr>
            <w:r>
              <w:rPr>
                <w:rFonts w:ascii="Georgia" w:hAnsi="Georgia"/>
                <w:sz w:val="14"/>
              </w:rPr>
            </w:r>
            <w:r>
              <w:rPr>
                <w:rFonts w:ascii="Georgia" w:hAnsi="Georgia"/>
                <w:b/>
                <w:sz w:val="14"/>
              </w:rPr>
              <w:t>14.55</w:t>
            </w:r>
          </w:p>
        </w:tc>
        <w:tc>
          <w:tcPr>
            <w:tcW w:type="dxa" w:w="2036"/>
            <w:shd w:val="clear" w:fill="F4F7FA"/>
          </w:tcPr>
          <w:p>
            <w:pPr>
              <w:spacing w:before="20" w:after="20"/>
              <w:jc w:val="right"/>
            </w:pPr>
            <w:r>
              <w:rPr>
                <w:rFonts w:ascii="Georgia" w:hAnsi="Georgia"/>
                <w:sz w:val="14"/>
              </w:rPr>
            </w:r>
            <w:r>
              <w:rPr>
                <w:rFonts w:ascii="Georgia" w:hAnsi="Georgia"/>
                <w:b/>
                <w:sz w:val="14"/>
              </w:rPr>
              <w:t>16.22</w:t>
            </w:r>
          </w:p>
        </w:tc>
      </w:tr>
      <w:tr>
        <w:tc>
          <w:tcPr>
            <w:tcW w:type="dxa" w:w="2036"/>
          </w:tcPr>
          <w:p>
            <w:pPr>
              <w:spacing w:before="20" w:after="20"/>
            </w:pPr>
            <w:r>
              <w:rPr>
                <w:rFonts w:ascii="Georgia" w:hAnsi="Georgia"/>
                <w:sz w:val="14"/>
              </w:rPr>
            </w:r>
            <w:r>
              <w:rPr>
                <w:rFonts w:ascii="Georgia" w:hAnsi="Georgia"/>
                <w:sz w:val="14"/>
              </w:rPr>
              <w:t xml:space="preserve">  Growth</w:t>
            </w:r>
          </w:p>
        </w:tc>
        <w:tc>
          <w:tcPr>
            <w:tcW w:type="dxa" w:w="2036"/>
          </w:tcPr>
          <w:p>
            <w:pPr>
              <w:spacing w:before="20" w:after="20"/>
              <w:jc w:val="right"/>
            </w:pPr>
            <w:r>
              <w:rPr>
                <w:rFonts w:ascii="Georgia" w:hAnsi="Georgia"/>
                <w:sz w:val="14"/>
              </w:rPr>
            </w:r>
            <w:r>
              <w:rPr>
                <w:rFonts w:ascii="Georgia" w:hAnsi="Georgia"/>
                <w:sz w:val="14"/>
              </w:rPr>
              <w:t>+5.9%</w:t>
            </w:r>
          </w:p>
        </w:tc>
        <w:tc>
          <w:tcPr>
            <w:tcW w:type="dxa" w:w="2036"/>
          </w:tcPr>
          <w:p>
            <w:pPr>
              <w:spacing w:before="20" w:after="20"/>
              <w:jc w:val="right"/>
            </w:pPr>
            <w:r>
              <w:rPr>
                <w:rFonts w:ascii="Georgia" w:hAnsi="Georgia"/>
                <w:sz w:val="14"/>
              </w:rPr>
            </w:r>
            <w:r>
              <w:rPr>
                <w:rFonts w:ascii="Georgia" w:hAnsi="Georgia"/>
                <w:sz w:val="14"/>
              </w:rPr>
              <w:t>+14.4%</w:t>
            </w:r>
          </w:p>
        </w:tc>
        <w:tc>
          <w:tcPr>
            <w:tcW w:type="dxa" w:w="2036"/>
          </w:tcPr>
          <w:p>
            <w:pPr>
              <w:spacing w:before="20" w:after="20"/>
              <w:jc w:val="right"/>
            </w:pPr>
            <w:r>
              <w:rPr>
                <w:rFonts w:ascii="Georgia" w:hAnsi="Georgia"/>
                <w:sz w:val="14"/>
              </w:rPr>
            </w:r>
            <w:r>
              <w:rPr>
                <w:rFonts w:ascii="Georgia" w:hAnsi="Georgia"/>
                <w:sz w:val="14"/>
              </w:rPr>
              <w:t>+10.6%</w:t>
            </w:r>
          </w:p>
        </w:tc>
        <w:tc>
          <w:tcPr>
            <w:tcW w:type="dxa" w:w="2036"/>
          </w:tcPr>
          <w:p>
            <w:pPr>
              <w:spacing w:before="20" w:after="20"/>
              <w:jc w:val="right"/>
            </w:pPr>
            <w:r>
              <w:rPr>
                <w:rFonts w:ascii="Georgia" w:hAnsi="Georgia"/>
                <w:sz w:val="14"/>
              </w:rPr>
            </w:r>
            <w:r>
              <w:rPr>
                <w:rFonts w:ascii="Georgia" w:hAnsi="Georgia"/>
                <w:sz w:val="14"/>
              </w:rPr>
              <w:t>+11.5%</w:t>
            </w:r>
          </w:p>
        </w:tc>
      </w:tr>
      <w:tr>
        <w:tc>
          <w:tcPr>
            <w:tcW w:type="dxa" w:w="2036"/>
            <w:shd w:val="clear" w:fill="F4F7FA"/>
          </w:tcPr>
          <w:p>
            <w:pPr>
              <w:spacing w:before="20" w:after="20"/>
            </w:pPr>
            <w:r>
              <w:rPr>
                <w:rFonts w:ascii="Georgia" w:hAnsi="Georgia"/>
                <w:sz w:val="14"/>
              </w:rPr>
            </w:r>
            <w:r>
              <w:rPr>
                <w:rFonts w:ascii="Georgia" w:hAnsi="Georgia"/>
                <w:sz w:val="14"/>
              </w:rPr>
              <w:t>Non-GAAP to GAAP bridge per share</w:t>
            </w:r>
          </w:p>
        </w:tc>
        <w:tc>
          <w:tcPr>
            <w:tcW w:type="dxa" w:w="2036"/>
            <w:shd w:val="clear" w:fill="F4F7FA"/>
          </w:tcPr>
          <w:p>
            <w:pPr>
              <w:spacing w:before="20" w:after="20"/>
              <w:jc w:val="right"/>
            </w:pPr>
            <w:r>
              <w:rPr>
                <w:rFonts w:ascii="Georgia" w:hAnsi="Georgia"/>
                <w:sz w:val="14"/>
              </w:rPr>
            </w:r>
            <w:r>
              <w:rPr>
                <w:rFonts w:ascii="Georgia" w:hAnsi="Georgia"/>
                <w:sz w:val="14"/>
              </w:rPr>
              <w:t>(4.78)</w:t>
            </w:r>
          </w:p>
        </w:tc>
        <w:tc>
          <w:tcPr>
            <w:tcW w:type="dxa" w:w="2036"/>
            <w:shd w:val="clear" w:fill="F4F7FA"/>
          </w:tcPr>
          <w:p>
            <w:pPr>
              <w:spacing w:before="20" w:after="20"/>
              <w:jc w:val="right"/>
            </w:pPr>
            <w:r>
              <w:rPr>
                <w:rFonts w:ascii="Georgia" w:hAnsi="Georgia"/>
                <w:sz w:val="14"/>
              </w:rPr>
            </w:r>
            <w:r>
              <w:rPr>
                <w:rFonts w:ascii="Georgia" w:hAnsi="Georgia"/>
                <w:sz w:val="14"/>
              </w:rPr>
              <w:t>(4.86)</w:t>
            </w:r>
          </w:p>
        </w:tc>
        <w:tc>
          <w:tcPr>
            <w:tcW w:type="dxa" w:w="2036"/>
            <w:shd w:val="clear" w:fill="F4F7FA"/>
          </w:tcPr>
          <w:p>
            <w:pPr>
              <w:spacing w:before="20" w:after="20"/>
              <w:jc w:val="right"/>
            </w:pPr>
            <w:r>
              <w:rPr>
                <w:rFonts w:ascii="Georgia" w:hAnsi="Georgia"/>
                <w:sz w:val="14"/>
              </w:rPr>
            </w:r>
            <w:r>
              <w:rPr>
                <w:rFonts w:ascii="Georgia" w:hAnsi="Georgia"/>
                <w:sz w:val="14"/>
              </w:rPr>
              <w:t>(4.50)</w:t>
            </w:r>
          </w:p>
        </w:tc>
        <w:tc>
          <w:tcPr>
            <w:tcW w:type="dxa" w:w="2036"/>
            <w:shd w:val="clear" w:fill="F4F7FA"/>
          </w:tcPr>
          <w:p>
            <w:pPr>
              <w:spacing w:before="20" w:after="20"/>
              <w:jc w:val="right"/>
            </w:pPr>
            <w:r>
              <w:rPr>
                <w:rFonts w:ascii="Georgia" w:hAnsi="Georgia"/>
                <w:sz w:val="14"/>
              </w:rPr>
            </w:r>
            <w:r>
              <w:rPr>
                <w:rFonts w:ascii="Georgia" w:hAnsi="Georgia"/>
                <w:sz w:val="14"/>
              </w:rPr>
              <w:t>(4.52)</w:t>
            </w:r>
          </w:p>
        </w:tc>
      </w:tr>
      <w:tr>
        <w:tc>
          <w:tcPr>
            <w:tcW w:type="dxa" w:w="2036"/>
          </w:tcPr>
          <w:p>
            <w:pPr>
              <w:spacing w:before="20" w:after="20"/>
            </w:pPr>
            <w:r>
              <w:rPr>
                <w:rFonts w:ascii="Georgia" w:hAnsi="Georgia"/>
                <w:sz w:val="14"/>
              </w:rPr>
            </w:r>
            <w:r>
              <w:rPr>
                <w:rFonts w:ascii="Georgia" w:hAnsi="Georgia"/>
                <w:b/>
                <w:sz w:val="14"/>
              </w:rPr>
              <w:t>GAAP diluted EPS ($)</w:t>
            </w:r>
          </w:p>
        </w:tc>
        <w:tc>
          <w:tcPr>
            <w:tcW w:type="dxa" w:w="2036"/>
          </w:tcPr>
          <w:p>
            <w:pPr>
              <w:spacing w:before="20" w:after="20"/>
              <w:jc w:val="right"/>
            </w:pPr>
            <w:r>
              <w:rPr>
                <w:rFonts w:ascii="Georgia" w:hAnsi="Georgia"/>
                <w:sz w:val="14"/>
              </w:rPr>
            </w:r>
            <w:r>
              <w:rPr>
                <w:rFonts w:ascii="Georgia" w:hAnsi="Georgia"/>
                <w:b/>
                <w:sz w:val="14"/>
              </w:rPr>
              <w:t>6.72</w:t>
            </w:r>
          </w:p>
        </w:tc>
        <w:tc>
          <w:tcPr>
            <w:tcW w:type="dxa" w:w="2036"/>
          </w:tcPr>
          <w:p>
            <w:pPr>
              <w:spacing w:before="20" w:after="20"/>
              <w:jc w:val="right"/>
            </w:pPr>
            <w:r>
              <w:rPr>
                <w:rFonts w:ascii="Georgia" w:hAnsi="Georgia"/>
                <w:sz w:val="14"/>
              </w:rPr>
            </w:r>
            <w:r>
              <w:rPr>
                <w:rFonts w:ascii="Georgia" w:hAnsi="Georgia"/>
                <w:b/>
                <w:sz w:val="14"/>
              </w:rPr>
              <w:t>8.30</w:t>
            </w:r>
          </w:p>
        </w:tc>
        <w:tc>
          <w:tcPr>
            <w:tcW w:type="dxa" w:w="2036"/>
          </w:tcPr>
          <w:p>
            <w:pPr>
              <w:spacing w:before="20" w:after="20"/>
              <w:jc w:val="right"/>
            </w:pPr>
            <w:r>
              <w:rPr>
                <w:rFonts w:ascii="Georgia" w:hAnsi="Georgia"/>
                <w:sz w:val="14"/>
              </w:rPr>
            </w:r>
            <w:r>
              <w:rPr>
                <w:rFonts w:ascii="Georgia" w:hAnsi="Georgia"/>
                <w:b/>
                <w:sz w:val="14"/>
              </w:rPr>
              <w:t>10.05</w:t>
            </w:r>
          </w:p>
        </w:tc>
        <w:tc>
          <w:tcPr>
            <w:tcW w:type="dxa" w:w="2036"/>
          </w:tcPr>
          <w:p>
            <w:pPr>
              <w:spacing w:before="20" w:after="20"/>
              <w:jc w:val="right"/>
            </w:pPr>
            <w:r>
              <w:rPr>
                <w:rFonts w:ascii="Georgia" w:hAnsi="Georgia"/>
                <w:sz w:val="14"/>
              </w:rPr>
            </w:r>
            <w:r>
              <w:rPr>
                <w:rFonts w:ascii="Georgia" w:hAnsi="Georgia"/>
                <w:b/>
                <w:sz w:val="14"/>
              </w:rPr>
              <w:t>11.70</w:t>
            </w:r>
          </w:p>
        </w:tc>
      </w:tr>
      <w:tr>
        <w:tc>
          <w:tcPr>
            <w:tcW w:type="dxa" w:w="2036"/>
            <w:shd w:val="clear" w:fill="F4F7FA"/>
          </w:tcPr>
          <w:p>
            <w:pPr>
              <w:spacing w:before="20" w:after="20"/>
            </w:pPr>
            <w:r>
              <w:rPr>
                <w:rFonts w:ascii="Georgia" w:hAnsi="Georgia"/>
                <w:sz w:val="14"/>
              </w:rPr>
            </w:r>
            <w:r>
              <w:rPr>
                <w:rFonts w:ascii="Georgia" w:hAnsi="Georgia"/>
                <w:sz w:val="14"/>
              </w:rPr>
              <w:t>Free cash flow</w:t>
            </w:r>
          </w:p>
        </w:tc>
        <w:tc>
          <w:tcPr>
            <w:tcW w:type="dxa" w:w="2036"/>
            <w:shd w:val="clear" w:fill="F4F7FA"/>
          </w:tcPr>
          <w:p>
            <w:pPr>
              <w:spacing w:before="20" w:after="20"/>
              <w:jc w:val="right"/>
            </w:pPr>
            <w:r>
              <w:rPr>
                <w:rFonts w:ascii="Georgia" w:hAnsi="Georgia"/>
                <w:sz w:val="14"/>
              </w:rPr>
            </w:r>
            <w:r>
              <w:rPr>
                <w:rFonts w:ascii="Georgia" w:hAnsi="Georgia"/>
                <w:sz w:val="14"/>
              </w:rPr>
              <w:t>613</w:t>
            </w:r>
          </w:p>
        </w:tc>
        <w:tc>
          <w:tcPr>
            <w:tcW w:type="dxa" w:w="2036"/>
            <w:shd w:val="clear" w:fill="F4F7FA"/>
          </w:tcPr>
          <w:p>
            <w:pPr>
              <w:spacing w:before="20" w:after="20"/>
              <w:jc w:val="right"/>
            </w:pPr>
            <w:r>
              <w:rPr>
                <w:rFonts w:ascii="Georgia" w:hAnsi="Georgia"/>
                <w:sz w:val="14"/>
              </w:rPr>
            </w:r>
            <w:r>
              <w:rPr>
                <w:rFonts w:ascii="Georgia" w:hAnsi="Georgia"/>
                <w:sz w:val="14"/>
              </w:rPr>
              <w:t>c.540</w:t>
            </w:r>
          </w:p>
        </w:tc>
        <w:tc>
          <w:tcPr>
            <w:tcW w:type="dxa" w:w="2036"/>
            <w:shd w:val="clear" w:fill="F4F7FA"/>
          </w:tcPr>
          <w:p>
            <w:pPr>
              <w:spacing w:before="20" w:after="20"/>
              <w:jc w:val="right"/>
            </w:pPr>
            <w:r>
              <w:rPr>
                <w:rFonts w:ascii="Georgia" w:hAnsi="Georgia"/>
                <w:sz w:val="14"/>
              </w:rPr>
            </w:r>
            <w:r>
              <w:rPr>
                <w:rFonts w:ascii="Georgia" w:hAnsi="Georgia"/>
                <w:sz w:val="14"/>
              </w:rPr>
              <w:t>c.640</w:t>
            </w:r>
          </w:p>
        </w:tc>
        <w:tc>
          <w:tcPr>
            <w:tcW w:type="dxa" w:w="2036"/>
            <w:shd w:val="clear" w:fill="F4F7FA"/>
          </w:tcPr>
          <w:p>
            <w:pPr>
              <w:spacing w:before="20" w:after="20"/>
              <w:jc w:val="right"/>
            </w:pPr>
            <w:r>
              <w:rPr>
                <w:rFonts w:ascii="Georgia" w:hAnsi="Georgia"/>
                <w:sz w:val="14"/>
              </w:rPr>
            </w:r>
            <w:r>
              <w:rPr>
                <w:rFonts w:ascii="Georgia" w:hAnsi="Georgia"/>
                <w:sz w:val="14"/>
              </w:rPr>
              <w:t>c.710</w:t>
            </w:r>
          </w:p>
        </w:tc>
      </w:tr>
    </w:tbl>
    <w:p>
      <w:pPr>
        <w:spacing w:after="60"/>
      </w:pPr>
    </w:p>
    <w:p>
      <w:pPr>
        <w:spacing w:before="0" w:after="120"/>
        <w:jc w:val="both"/>
      </w:pPr>
      <w:r>
        <w:rPr>
          <w:i/>
          <w:color w:val="555555"/>
          <w:sz w:val="15"/>
        </w:rPr>
        <w:t>FY2025 figures are reported. FY2026 revenue and EPS are anchored to the mid-point of company guidance issued 6 August 2026 ($13.08–$13.24 non-GAAP; $8.22–$8.38 GAAP). FY2027 and FY2028 are the author's estimates. The non-GAAP to GAAP bridge comprises stock-based compensation of roughly $200m, acquired-intangible amortisation of roughly $70–75m and acquisition/one-off costs, tax-effected.</w:t>
      </w:r>
    </w:p>
    <w:p>
      <w:pPr>
        <w:keepNext/>
        <w:spacing w:before="140" w:after="60"/>
      </w:pPr>
      <w:r>
        <w:rPr>
          <w:rFonts w:ascii="Georgia" w:hAnsi="Georgia"/>
          <w:b/>
          <w:color w:val="333333"/>
          <w:sz w:val="19"/>
        </w:rPr>
        <w:t>Commentary</w:t>
      </w:r>
    </w:p>
    <w:p>
      <w:pPr>
        <w:spacing w:before="0" w:after="80"/>
        <w:jc w:val="both"/>
      </w:pPr>
      <w:r>
        <w:rPr/>
        <w:t xml:space="preserve">The striking feature of this build is that </w:t>
      </w:r>
      <w:r>
        <w:rPr>
          <w:b/>
        </w:rPr>
        <w:t>EPS grows materially faster than revenue across all three years</w:t>
      </w:r>
      <w:r>
        <w:rPr/>
        <w:t xml:space="preserve"> — 14.4%, 10.6% and 11.5% against revenue growth of 3.7%, 5.0% and 6.5%. Three forces drive the wedge: gross-margin expansion of roughly 60bp cumulatively, operating leverage of roughly 60bp, and share count reduction of roughly 6.6% over the period. This is the mechanical answer to the bear case: </w:t>
      </w:r>
      <w:r>
        <w:rPr>
          <w:i/>
        </w:rPr>
        <w:t>EPAM does not need revenue re-acceleration to grow earnings at a double-digit rate</w:t>
      </w:r>
      <w:r>
        <w:rPr/>
        <w:t>. It needs only to hold low-single-digit revenue growth, defend margin and keep buying stock.</w:t>
      </w:r>
    </w:p>
    <w:p>
      <w:pPr>
        <w:spacing w:before="0" w:after="80"/>
        <w:jc w:val="both"/>
      </w:pPr>
      <w:r>
        <w:rPr/>
        <w:t xml:space="preserve">Our FY2027 estimate of $14.55 is deliberately conservative relative to management's own framing, which contemplates a return to double-digit organic growth and 16%+ margin by 2028. We assume they achieve roughly two-thirds of that ambition. Note also that consensus revenue for 2026 of approximately $5.76bn sits </w:t>
      </w:r>
      <w:r>
        <w:rPr>
          <w:i/>
        </w:rPr>
        <w:t>above</w:t>
      </w:r>
      <w:r>
        <w:rPr/>
        <w:t xml:space="preserve"> the post-cut guidance mid-point of roughly $5.66bn, suggesting a portion of the sell-side has not yet fully reset — a modest downside risk to published consensus in the coming weeks.</w:t>
      </w:r>
    </w:p>
    <w:p>
      <w:pPr>
        <w:keepNext/>
        <w:spacing w:before="320" w:after="120"/>
        <w:pBdr>
          <w:bottom w:val="single" w:sz="12" w:space="2" w:color="0B2545"/>
        </w:pBdr>
      </w:pPr>
      <w:r>
        <w:rPr>
          <w:rFonts w:ascii="Georgia" w:hAnsi="Georgia"/>
          <w:b/>
          <w:color w:val="0B2545"/>
          <w:sz w:val="26"/>
        </w:rPr>
        <w:t>12. Capital Structure, Liquidity and Debt</w:t>
      </w:r>
    </w:p>
    <w:tbl>
      <w:tblPr>
        <w:tblStyle w:val="TableGrid"/>
        <w:tblW w:type="auto" w:w="0"/>
        <w:jc w:val="center"/>
        <w:tblLayout w:type="autofit"/>
        <w:tblLook w:firstColumn="1" w:firstRow="1" w:lastColumn="0" w:lastRow="0" w:noHBand="0" w:noVBand="1" w:val="04A0"/>
      </w:tblPr>
      <w:tblGrid>
        <w:gridCol w:w="5090"/>
        <w:gridCol w:w="5090"/>
      </w:tblGrid>
      <w:tr>
        <w:tc>
          <w:tcPr>
            <w:tcW w:type="dxa" w:w="5090"/>
            <w:shd w:val="clear" w:fill="0B2545"/>
          </w:tcPr>
          <w:p>
            <w:pPr>
              <w:spacing w:before="20" w:after="20"/>
            </w:pPr>
            <w:r>
              <w:rPr>
                <w:rFonts w:ascii="Georgia" w:hAnsi="Georgia"/>
                <w:b/>
                <w:color w:val="FFFFFF"/>
                <w:sz w:val="14"/>
              </w:rPr>
            </w:r>
            <w:r>
              <w:rPr>
                <w:rFonts w:ascii="Georgia" w:hAnsi="Georgia"/>
                <w:b/>
                <w:color w:val="FFFFFF"/>
                <w:sz w:val="14"/>
              </w:rPr>
              <w:t>Item</w:t>
            </w:r>
          </w:p>
        </w:tc>
        <w:tc>
          <w:tcPr>
            <w:tcW w:type="dxa" w:w="5090"/>
            <w:shd w:val="clear" w:fill="0B2545"/>
          </w:tcPr>
          <w:p>
            <w:pPr>
              <w:spacing w:before="20" w:after="20"/>
            </w:pPr>
            <w:r>
              <w:rPr>
                <w:rFonts w:ascii="Georgia" w:hAnsi="Georgia"/>
                <w:b/>
                <w:color w:val="FFFFFF"/>
                <w:sz w:val="14"/>
              </w:rPr>
            </w:r>
            <w:r>
              <w:rPr>
                <w:rFonts w:ascii="Georgia" w:hAnsi="Georgia"/>
                <w:b/>
                <w:color w:val="FFFFFF"/>
                <w:sz w:val="14"/>
              </w:rPr>
              <w:t>Detail</w:t>
            </w:r>
          </w:p>
        </w:tc>
      </w:tr>
      <w:tr>
        <w:tc>
          <w:tcPr>
            <w:tcW w:type="dxa" w:w="5090"/>
          </w:tcPr>
          <w:p>
            <w:pPr>
              <w:spacing w:before="20" w:after="20"/>
            </w:pPr>
            <w:r>
              <w:rPr>
                <w:rFonts w:ascii="Georgia" w:hAnsi="Georgia"/>
                <w:sz w:val="14"/>
              </w:rPr>
            </w:r>
            <w:r>
              <w:rPr>
                <w:rFonts w:ascii="Georgia" w:hAnsi="Georgia"/>
                <w:b/>
                <w:sz w:val="14"/>
              </w:rPr>
              <w:t>Cash and equivalents</w:t>
            </w:r>
          </w:p>
        </w:tc>
        <w:tc>
          <w:tcPr>
            <w:tcW w:type="dxa" w:w="5090"/>
          </w:tcPr>
          <w:p>
            <w:pPr>
              <w:spacing w:before="20" w:after="20"/>
            </w:pPr>
            <w:r>
              <w:rPr>
                <w:rFonts w:ascii="Georgia" w:hAnsi="Georgia"/>
                <w:sz w:val="14"/>
              </w:rPr>
            </w:r>
            <w:r>
              <w:rPr>
                <w:rFonts w:ascii="Georgia" w:hAnsi="Georgia"/>
                <w:sz w:val="14"/>
              </w:rPr>
              <w:t>$794.3m at 30 June 2026 (including restricted cash)</w:t>
            </w:r>
          </w:p>
        </w:tc>
      </w:tr>
      <w:tr>
        <w:tc>
          <w:tcPr>
            <w:tcW w:type="dxa" w:w="5090"/>
            <w:shd w:val="clear" w:fill="F4F7FA"/>
          </w:tcPr>
          <w:p>
            <w:pPr>
              <w:spacing w:before="20" w:after="20"/>
            </w:pPr>
            <w:r>
              <w:rPr>
                <w:rFonts w:ascii="Georgia" w:hAnsi="Georgia"/>
                <w:sz w:val="14"/>
              </w:rPr>
            </w:r>
            <w:r>
              <w:rPr>
                <w:rFonts w:ascii="Georgia" w:hAnsi="Georgia"/>
                <w:b/>
                <w:sz w:val="14"/>
              </w:rPr>
              <w:t>Total debt drawn</w:t>
            </w:r>
          </w:p>
        </w:tc>
        <w:tc>
          <w:tcPr>
            <w:tcW w:type="dxa" w:w="5090"/>
            <w:shd w:val="clear" w:fill="F4F7FA"/>
          </w:tcPr>
          <w:p>
            <w:pPr>
              <w:spacing w:before="20" w:after="20"/>
            </w:pPr>
            <w:r>
              <w:rPr>
                <w:rFonts w:ascii="Georgia" w:hAnsi="Georgia"/>
                <w:sz w:val="14"/>
              </w:rPr>
            </w:r>
            <w:r>
              <w:rPr>
                <w:rFonts w:ascii="Georgia" w:hAnsi="Georgia"/>
                <w:sz w:val="14"/>
              </w:rPr>
              <w:t>$25.0m outstanding under the 2025 Credit Agreement, at 4.5%</w:t>
            </w:r>
          </w:p>
        </w:tc>
      </w:tr>
      <w:tr>
        <w:tc>
          <w:tcPr>
            <w:tcW w:type="dxa" w:w="5090"/>
          </w:tcPr>
          <w:p>
            <w:pPr>
              <w:spacing w:before="20" w:after="20"/>
            </w:pPr>
            <w:r>
              <w:rPr>
                <w:rFonts w:ascii="Georgia" w:hAnsi="Georgia"/>
                <w:sz w:val="14"/>
              </w:rPr>
            </w:r>
            <w:r>
              <w:rPr>
                <w:rFonts w:ascii="Georgia" w:hAnsi="Georgia"/>
                <w:b/>
                <w:sz w:val="14"/>
              </w:rPr>
              <w:t>Net cash</w:t>
            </w:r>
          </w:p>
        </w:tc>
        <w:tc>
          <w:tcPr>
            <w:tcW w:type="dxa" w:w="5090"/>
          </w:tcPr>
          <w:p>
            <w:pPr>
              <w:spacing w:before="20" w:after="20"/>
            </w:pPr>
            <w:r>
              <w:rPr>
                <w:rFonts w:ascii="Georgia" w:hAnsi="Georgia"/>
                <w:sz w:val="14"/>
              </w:rPr>
            </w:r>
            <w:r>
              <w:rPr>
                <w:rFonts w:ascii="Georgia" w:hAnsi="Georgia"/>
                <w:sz w:val="14"/>
              </w:rPr>
              <w:t>Approximately $769m — roughly 13% of the current market capitalisation</w:t>
            </w:r>
          </w:p>
        </w:tc>
      </w:tr>
      <w:tr>
        <w:tc>
          <w:tcPr>
            <w:tcW w:type="dxa" w:w="5090"/>
            <w:shd w:val="clear" w:fill="F4F7FA"/>
          </w:tcPr>
          <w:p>
            <w:pPr>
              <w:spacing w:before="20" w:after="20"/>
            </w:pPr>
            <w:r>
              <w:rPr>
                <w:rFonts w:ascii="Georgia" w:hAnsi="Georgia"/>
                <w:sz w:val="14"/>
              </w:rPr>
            </w:r>
            <w:r>
              <w:rPr>
                <w:rFonts w:ascii="Georgia" w:hAnsi="Georgia"/>
                <w:b/>
                <w:sz w:val="14"/>
              </w:rPr>
              <w:t>Revolving credit facility</w:t>
            </w:r>
          </w:p>
        </w:tc>
        <w:tc>
          <w:tcPr>
            <w:tcW w:type="dxa" w:w="5090"/>
            <w:shd w:val="clear" w:fill="F4F7FA"/>
          </w:tcPr>
          <w:p>
            <w:pPr>
              <w:spacing w:before="20" w:after="20"/>
            </w:pPr>
            <w:r>
              <w:rPr>
                <w:rFonts w:ascii="Georgia" w:hAnsi="Georgia"/>
                <w:sz w:val="14"/>
              </w:rPr>
            </w:r>
            <w:r>
              <w:rPr>
                <w:rFonts w:ascii="Georgia" w:hAnsi="Georgia"/>
                <w:sz w:val="14"/>
              </w:rPr>
              <w:t>$700.0m capacity, expandable to $1,200.0m with lender consent and satisfaction of conditions</w:t>
            </w:r>
          </w:p>
        </w:tc>
      </w:tr>
      <w:tr>
        <w:tc>
          <w:tcPr>
            <w:tcW w:type="dxa" w:w="5090"/>
          </w:tcPr>
          <w:p>
            <w:pPr>
              <w:spacing w:before="20" w:after="20"/>
            </w:pPr>
            <w:r>
              <w:rPr>
                <w:rFonts w:ascii="Georgia" w:hAnsi="Georgia"/>
                <w:sz w:val="14"/>
              </w:rPr>
            </w:r>
            <w:r>
              <w:rPr>
                <w:rFonts w:ascii="Georgia" w:hAnsi="Georgia"/>
                <w:b/>
                <w:sz w:val="14"/>
              </w:rPr>
              <w:t>Facility established</w:t>
            </w:r>
          </w:p>
        </w:tc>
        <w:tc>
          <w:tcPr>
            <w:tcW w:type="dxa" w:w="5090"/>
          </w:tcPr>
          <w:p>
            <w:pPr>
              <w:spacing w:before="20" w:after="20"/>
            </w:pPr>
            <w:r>
              <w:rPr>
                <w:rFonts w:ascii="Georgia" w:hAnsi="Georgia"/>
                <w:sz w:val="14"/>
              </w:rPr>
            </w:r>
            <w:r>
              <w:rPr>
                <w:rFonts w:ascii="Georgia" w:hAnsi="Georgia"/>
                <w:sz w:val="14"/>
              </w:rPr>
              <w:t>3 October 2025, amending and restating the 2021 Credit Agreement, with a syndicate of lenders</w:t>
            </w:r>
          </w:p>
        </w:tc>
      </w:tr>
      <w:tr>
        <w:tc>
          <w:tcPr>
            <w:tcW w:type="dxa" w:w="5090"/>
            <w:shd w:val="clear" w:fill="F4F7FA"/>
          </w:tcPr>
          <w:p>
            <w:pPr>
              <w:spacing w:before="20" w:after="20"/>
            </w:pPr>
            <w:r>
              <w:rPr>
                <w:rFonts w:ascii="Georgia" w:hAnsi="Georgia"/>
                <w:sz w:val="14"/>
              </w:rPr>
            </w:r>
            <w:r>
              <w:rPr>
                <w:rFonts w:ascii="Georgia" w:hAnsi="Georgia"/>
                <w:b/>
                <w:sz w:val="14"/>
              </w:rPr>
              <w:t>Maturity</w:t>
            </w:r>
          </w:p>
        </w:tc>
        <w:tc>
          <w:tcPr>
            <w:tcW w:type="dxa" w:w="5090"/>
            <w:shd w:val="clear" w:fill="F4F7FA"/>
          </w:tcPr>
          <w:p>
            <w:pPr>
              <w:spacing w:before="20" w:after="20"/>
            </w:pPr>
            <w:r>
              <w:rPr>
                <w:rFonts w:ascii="Georgia" w:hAnsi="Georgia"/>
                <w:sz w:val="14"/>
              </w:rPr>
            </w:r>
            <w:r>
              <w:rPr>
                <w:rFonts w:ascii="Georgia" w:hAnsi="Georgia"/>
                <w:sz w:val="14"/>
              </w:rPr>
              <w:t>3 October 2030 — no near-term refinancing wall of any kind</w:t>
            </w:r>
          </w:p>
        </w:tc>
      </w:tr>
      <w:tr>
        <w:tc>
          <w:tcPr>
            <w:tcW w:type="dxa" w:w="5090"/>
          </w:tcPr>
          <w:p>
            <w:pPr>
              <w:spacing w:before="20" w:after="20"/>
            </w:pPr>
            <w:r>
              <w:rPr>
                <w:rFonts w:ascii="Georgia" w:hAnsi="Georgia"/>
                <w:sz w:val="14"/>
              </w:rPr>
            </w:r>
            <w:r>
              <w:rPr>
                <w:rFonts w:ascii="Georgia" w:hAnsi="Georgia"/>
                <w:b/>
                <w:sz w:val="14"/>
              </w:rPr>
              <w:t>Interest mechanics</w:t>
            </w:r>
          </w:p>
        </w:tc>
        <w:tc>
          <w:tcPr>
            <w:tcW w:type="dxa" w:w="5090"/>
          </w:tcPr>
          <w:p>
            <w:pPr>
              <w:spacing w:before="20" w:after="20"/>
            </w:pPr>
            <w:r>
              <w:rPr>
                <w:rFonts w:ascii="Georgia" w:hAnsi="Georgia"/>
                <w:sz w:val="14"/>
              </w:rPr>
            </w:r>
            <w:r>
              <w:rPr>
                <w:rFonts w:ascii="Georgia" w:hAnsi="Georgia"/>
                <w:sz w:val="14"/>
              </w:rPr>
              <w:t>Base rate equal to the highest of the Overnight Bank Funding Rate +0.5%, the Prime Rate, or Daily Simple SOFR +1.0%; alternative benchmark indices for non-USD borrowings</w:t>
            </w:r>
          </w:p>
        </w:tc>
      </w:tr>
      <w:tr>
        <w:tc>
          <w:tcPr>
            <w:tcW w:type="dxa" w:w="5090"/>
            <w:shd w:val="clear" w:fill="F4F7FA"/>
          </w:tcPr>
          <w:p>
            <w:pPr>
              <w:spacing w:before="20" w:after="20"/>
            </w:pPr>
            <w:r>
              <w:rPr>
                <w:rFonts w:ascii="Georgia" w:hAnsi="Georgia"/>
                <w:sz w:val="14"/>
              </w:rPr>
            </w:r>
            <w:r>
              <w:rPr>
                <w:rFonts w:ascii="Georgia" w:hAnsi="Georgia"/>
                <w:b/>
                <w:sz w:val="14"/>
              </w:rPr>
              <w:t>Multi-currency capacity</w:t>
            </w:r>
          </w:p>
        </w:tc>
        <w:tc>
          <w:tcPr>
            <w:tcW w:type="dxa" w:w="5090"/>
            <w:shd w:val="clear" w:fill="F4F7FA"/>
          </w:tcPr>
          <w:p>
            <w:pPr>
              <w:spacing w:before="20" w:after="20"/>
            </w:pPr>
            <w:r>
              <w:rPr>
                <w:rFonts w:ascii="Georgia" w:hAnsi="Georgia"/>
                <w:sz w:val="14"/>
              </w:rPr>
            </w:r>
            <w:r>
              <w:rPr>
                <w:rFonts w:ascii="Georgia" w:hAnsi="Georgia"/>
                <w:sz w:val="14"/>
              </w:rPr>
              <w:t>USD, plus up to $250.0m equivalent in GBP, CAD, EUR or CHF, and other currencies with lender approval</w:t>
            </w:r>
          </w:p>
        </w:tc>
      </w:tr>
      <w:tr>
        <w:tc>
          <w:tcPr>
            <w:tcW w:type="dxa" w:w="5090"/>
          </w:tcPr>
          <w:p>
            <w:pPr>
              <w:spacing w:before="20" w:after="20"/>
            </w:pPr>
            <w:r>
              <w:rPr>
                <w:rFonts w:ascii="Georgia" w:hAnsi="Georgia"/>
                <w:sz w:val="14"/>
              </w:rPr>
            </w:r>
            <w:r>
              <w:rPr>
                <w:rFonts w:ascii="Georgia" w:hAnsi="Georgia"/>
                <w:b/>
                <w:sz w:val="14"/>
              </w:rPr>
              <w:t>Covenant compliance</w:t>
            </w:r>
          </w:p>
        </w:tc>
        <w:tc>
          <w:tcPr>
            <w:tcW w:type="dxa" w:w="5090"/>
          </w:tcPr>
          <w:p>
            <w:pPr>
              <w:spacing w:before="20" w:after="20"/>
            </w:pPr>
            <w:r>
              <w:rPr>
                <w:rFonts w:ascii="Georgia" w:hAnsi="Georgia"/>
                <w:sz w:val="14"/>
              </w:rPr>
            </w:r>
            <w:r>
              <w:rPr>
                <w:rFonts w:ascii="Georgia" w:hAnsi="Georgia"/>
                <w:sz w:val="14"/>
              </w:rPr>
              <w:t>In compliance with all covenants as at 31 December 2025. Typical covenants for a facility of this type are a maximum consolidated leverage ratio and a minimum interest coverage ratio; with negative net leverage, EPAM has effectively unlimited headroom</w:t>
            </w:r>
          </w:p>
        </w:tc>
      </w:tr>
      <w:tr>
        <w:tc>
          <w:tcPr>
            <w:tcW w:type="dxa" w:w="5090"/>
            <w:shd w:val="clear" w:fill="F4F7FA"/>
          </w:tcPr>
          <w:p>
            <w:pPr>
              <w:spacing w:before="20" w:after="20"/>
            </w:pPr>
            <w:r>
              <w:rPr>
                <w:rFonts w:ascii="Georgia" w:hAnsi="Georgia"/>
                <w:sz w:val="14"/>
              </w:rPr>
            </w:r>
            <w:r>
              <w:rPr>
                <w:rFonts w:ascii="Georgia" w:hAnsi="Georgia"/>
                <w:b/>
                <w:sz w:val="14"/>
              </w:rPr>
              <w:t>Interest cost</w:t>
            </w:r>
          </w:p>
        </w:tc>
        <w:tc>
          <w:tcPr>
            <w:tcW w:type="dxa" w:w="5090"/>
            <w:shd w:val="clear" w:fill="F4F7FA"/>
          </w:tcPr>
          <w:p>
            <w:pPr>
              <w:spacing w:before="20" w:after="20"/>
            </w:pPr>
            <w:r>
              <w:rPr>
                <w:rFonts w:ascii="Georgia" w:hAnsi="Georgia"/>
                <w:sz w:val="14"/>
              </w:rPr>
            </w:r>
            <w:r>
              <w:rPr>
                <w:rFonts w:ascii="Georgia" w:hAnsi="Georgia"/>
                <w:sz w:val="14"/>
              </w:rPr>
              <w:t xml:space="preserve">Immaterial. Interest expense is negligible; EPAM is a </w:t>
            </w:r>
            <w:r>
              <w:rPr>
                <w:rFonts w:ascii="Georgia" w:hAnsi="Georgia"/>
                <w:i/>
                <w:sz w:val="14"/>
              </w:rPr>
              <w:t>net receiver</w:t>
            </w:r>
            <w:r>
              <w:rPr>
                <w:rFonts w:ascii="Georgia" w:hAnsi="Georgia"/>
                <w:sz w:val="14"/>
              </w:rPr>
              <w:t xml:space="preserve"> of interest income of roughly $25–30m annually</w:t>
            </w:r>
          </w:p>
        </w:tc>
      </w:tr>
      <w:tr>
        <w:tc>
          <w:tcPr>
            <w:tcW w:type="dxa" w:w="5090"/>
          </w:tcPr>
          <w:p>
            <w:pPr>
              <w:spacing w:before="20" w:after="20"/>
            </w:pPr>
            <w:r>
              <w:rPr>
                <w:rFonts w:ascii="Georgia" w:hAnsi="Georgia"/>
                <w:sz w:val="14"/>
              </w:rPr>
            </w:r>
            <w:r>
              <w:rPr>
                <w:rFonts w:ascii="Georgia" w:hAnsi="Georgia"/>
                <w:b/>
                <w:sz w:val="14"/>
              </w:rPr>
              <w:t>Net debt / EBITDA</w:t>
            </w:r>
          </w:p>
        </w:tc>
        <w:tc>
          <w:tcPr>
            <w:tcW w:type="dxa" w:w="5090"/>
          </w:tcPr>
          <w:p>
            <w:pPr>
              <w:spacing w:before="20" w:after="20"/>
            </w:pPr>
            <w:r>
              <w:rPr>
                <w:rFonts w:ascii="Georgia" w:hAnsi="Georgia"/>
                <w:sz w:val="14"/>
              </w:rPr>
            </w:r>
            <w:r>
              <w:rPr>
                <w:rFonts w:ascii="Georgia" w:hAnsi="Georgia"/>
                <w:sz w:val="14"/>
              </w:rPr>
              <w:t xml:space="preserve">Approximately </w:t>
            </w:r>
            <w:r>
              <w:rPr>
                <w:rFonts w:ascii="Georgia" w:hAnsi="Georgia"/>
                <w:b/>
                <w:sz w:val="14"/>
              </w:rPr>
              <w:t>−0.8x</w:t>
            </w:r>
            <w:r>
              <w:rPr>
                <w:rFonts w:ascii="Georgia" w:hAnsi="Georgia"/>
                <w:sz w:val="14"/>
              </w:rPr>
              <w:t xml:space="preserve"> (net cash)</w:t>
            </w:r>
          </w:p>
        </w:tc>
      </w:tr>
      <w:tr>
        <w:tc>
          <w:tcPr>
            <w:tcW w:type="dxa" w:w="5090"/>
            <w:shd w:val="clear" w:fill="F4F7FA"/>
          </w:tcPr>
          <w:p>
            <w:pPr>
              <w:spacing w:before="20" w:after="20"/>
            </w:pPr>
            <w:r>
              <w:rPr>
                <w:rFonts w:ascii="Georgia" w:hAnsi="Georgia"/>
                <w:sz w:val="14"/>
              </w:rPr>
            </w:r>
            <w:r>
              <w:rPr>
                <w:rFonts w:ascii="Georgia" w:hAnsi="Georgia"/>
                <w:b/>
                <w:sz w:val="14"/>
              </w:rPr>
              <w:t>Total liquidity</w:t>
            </w:r>
          </w:p>
        </w:tc>
        <w:tc>
          <w:tcPr>
            <w:tcW w:type="dxa" w:w="5090"/>
            <w:shd w:val="clear" w:fill="F4F7FA"/>
          </w:tcPr>
          <w:p>
            <w:pPr>
              <w:spacing w:before="20" w:after="20"/>
            </w:pPr>
            <w:r>
              <w:rPr>
                <w:rFonts w:ascii="Georgia" w:hAnsi="Georgia"/>
                <w:sz w:val="14"/>
              </w:rPr>
            </w:r>
            <w:r>
              <w:rPr>
                <w:rFonts w:ascii="Georgia" w:hAnsi="Georgia"/>
                <w:sz w:val="14"/>
              </w:rPr>
              <w:t>Approximately $1,469m ($794m cash plus $675m undrawn revolver)</w:t>
            </w:r>
          </w:p>
        </w:tc>
      </w:tr>
      <w:tr>
        <w:tc>
          <w:tcPr>
            <w:tcW w:type="dxa" w:w="5090"/>
          </w:tcPr>
          <w:p>
            <w:pPr>
              <w:spacing w:before="20" w:after="20"/>
            </w:pPr>
            <w:r>
              <w:rPr>
                <w:rFonts w:ascii="Georgia" w:hAnsi="Georgia"/>
                <w:sz w:val="14"/>
              </w:rPr>
            </w:r>
            <w:r>
              <w:rPr>
                <w:rFonts w:ascii="Georgia" w:hAnsi="Georgia"/>
                <w:b/>
                <w:sz w:val="14"/>
              </w:rPr>
              <w:t>Off-balance-sheet</w:t>
            </w:r>
          </w:p>
        </w:tc>
        <w:tc>
          <w:tcPr>
            <w:tcW w:type="dxa" w:w="5090"/>
          </w:tcPr>
          <w:p>
            <w:pPr>
              <w:spacing w:before="20" w:after="20"/>
            </w:pPr>
            <w:r>
              <w:rPr>
                <w:rFonts w:ascii="Georgia" w:hAnsi="Georgia"/>
                <w:sz w:val="14"/>
              </w:rPr>
            </w:r>
            <w:r>
              <w:rPr>
                <w:rFonts w:ascii="Georgia" w:hAnsi="Georgia"/>
                <w:sz w:val="14"/>
              </w:rPr>
              <w:t>Operating leases on delivery centres across roughly 55 countries. No material debt-like off-balance-sheet obligations identified</w:t>
            </w:r>
          </w:p>
        </w:tc>
      </w:tr>
      <w:tr>
        <w:tc>
          <w:tcPr>
            <w:tcW w:type="dxa" w:w="5090"/>
            <w:shd w:val="clear" w:fill="F4F7FA"/>
          </w:tcPr>
          <w:p>
            <w:pPr>
              <w:spacing w:before="20" w:after="20"/>
            </w:pPr>
            <w:r>
              <w:rPr>
                <w:rFonts w:ascii="Georgia" w:hAnsi="Georgia"/>
                <w:sz w:val="14"/>
              </w:rPr>
            </w:r>
            <w:r>
              <w:rPr>
                <w:rFonts w:ascii="Georgia" w:hAnsi="Georgia"/>
                <w:b/>
                <w:sz w:val="14"/>
              </w:rPr>
              <w:t>Credit rating</w:t>
            </w:r>
          </w:p>
        </w:tc>
        <w:tc>
          <w:tcPr>
            <w:tcW w:type="dxa" w:w="5090"/>
            <w:shd w:val="clear" w:fill="F4F7FA"/>
          </w:tcPr>
          <w:p>
            <w:pPr>
              <w:spacing w:before="20" w:after="20"/>
            </w:pPr>
            <w:r>
              <w:rPr>
                <w:rFonts w:ascii="Georgia" w:hAnsi="Georgia"/>
                <w:sz w:val="14"/>
              </w:rPr>
            </w:r>
            <w:r>
              <w:rPr>
                <w:rFonts w:ascii="Georgia" w:hAnsi="Georgia"/>
                <w:sz w:val="14"/>
              </w:rPr>
              <w:t>EPAM does not carry a public rating; it has no need for one given the absence of bond debt</w:t>
            </w:r>
          </w:p>
        </w:tc>
      </w:tr>
    </w:tbl>
    <w:p>
      <w:pPr>
        <w:spacing w:after="60"/>
      </w:pPr>
    </w:p>
    <w:p>
      <w:pPr>
        <w:spacing w:before="40" w:after="60"/>
        <w:ind w:left="173" w:right="115"/>
        <w:jc w:val="both"/>
        <w:pBdr>
          <w:left w:val="single" w:sz="18" w:space="6" w:color="0B2545"/>
        </w:pBdr>
        <w:shd w:val="clear" w:fill="F4F7FA"/>
      </w:pPr>
      <w:r>
        <w:rPr>
          <w:b/>
          <w:sz w:val="17"/>
        </w:rPr>
        <w:t>Assessment.</w:t>
      </w:r>
      <w:r>
        <w:rPr>
          <w:sz w:val="17"/>
        </w:rPr>
        <w:t xml:space="preserve"> The capital structure is a genuine strength and materially de-risks the equity. There is no leverage, no maturity wall until 2030, no covenant pressure, no refinancing risk and no interest burden. Total liquidity of roughly $1.47bn against a $5.9bn market capitalisation gives management unusual freedom: it can sustain a multi-year revenue decline without financial distress, fund acquisitions from cash, and repurchase stock aggressively at depressed multiples.</w:t>
      </w:r>
    </w:p>
    <w:p>
      <w:pPr>
        <w:spacing w:before="40" w:after="60"/>
        <w:ind w:left="173" w:right="115"/>
        <w:jc w:val="both"/>
        <w:pBdr>
          <w:left w:val="single" w:sz="18" w:space="6" w:color="0B2545"/>
        </w:pBdr>
        <w:shd w:val="clear" w:fill="F4F7FA"/>
      </w:pPr>
      <w:r>
        <w:rPr>
          <w:sz w:val="17"/>
        </w:rPr>
        <w:t xml:space="preserve">The legitimate criticism is the opposite one: </w:t>
      </w:r>
      <w:r>
        <w:rPr>
          <w:b/>
          <w:sz w:val="17"/>
        </w:rPr>
        <w:t>this balance sheet is arguably too conservative.</w:t>
      </w:r>
      <w:r>
        <w:rPr>
          <w:sz w:val="17"/>
        </w:rPr>
        <w:t xml:space="preserve"> A company generating $600m+ of free cash flow, trading at 8.7x earnings, with net cash and an undrawn $700m facility, could reasonably lever modestly to accelerate repurchases. Retaining $794m of cash earning roughly 4% while the equity offers a 10% free cash flow yield is a demonstrable, if defensible, misallocation. Management's caution is understandable given 2022, but the opportunity cost is now large.</w:t>
      </w:r>
    </w:p>
    <w:p>
      <w:pPr>
        <w:keepNext/>
        <w:spacing w:before="320" w:after="120"/>
        <w:pBdr>
          <w:bottom w:val="single" w:sz="12" w:space="2" w:color="0B2545"/>
        </w:pBdr>
      </w:pPr>
      <w:r>
        <w:rPr>
          <w:rFonts w:ascii="Georgia" w:hAnsi="Georgia"/>
          <w:b/>
          <w:color w:val="0B2545"/>
          <w:sz w:val="26"/>
        </w:rPr>
        <w:t>13. Financial Breakdown and Valuation</w:t>
      </w:r>
    </w:p>
    <w:p>
      <w:pPr>
        <w:keepNext/>
        <w:spacing w:before="200" w:after="80"/>
      </w:pPr>
      <w:r>
        <w:rPr>
          <w:rFonts w:ascii="Georgia" w:hAnsi="Georgia"/>
          <w:b/>
          <w:color w:val="14487F"/>
          <w:sz w:val="21"/>
        </w:rPr>
        <w:t>Revenue, EBITDA, EBIT and net income by division and geography, FY2025</w:t>
      </w:r>
    </w:p>
    <w:tbl>
      <w:tblPr>
        <w:tblStyle w:val="TableGrid"/>
        <w:tblW w:type="auto" w:w="0"/>
        <w:jc w:val="center"/>
        <w:tblLayout w:type="autofit"/>
        <w:tblLook w:firstColumn="1" w:firstRow="1" w:lastColumn="0" w:lastRow="0" w:noHBand="0" w:noVBand="1" w:val="04A0"/>
      </w:tblPr>
      <w:tblGrid>
        <w:gridCol w:w="1697"/>
        <w:gridCol w:w="1697"/>
        <w:gridCol w:w="1697"/>
        <w:gridCol w:w="1697"/>
        <w:gridCol w:w="1697"/>
        <w:gridCol w:w="1697"/>
      </w:tblGrid>
      <w:tr>
        <w:tc>
          <w:tcPr>
            <w:tcW w:type="dxa" w:w="1697"/>
            <w:shd w:val="clear" w:fill="0B2545"/>
          </w:tcPr>
          <w:p>
            <w:pPr>
              <w:spacing w:before="20" w:after="20"/>
            </w:pPr>
            <w:r>
              <w:rPr>
                <w:rFonts w:ascii="Georgia" w:hAnsi="Georgia"/>
                <w:b/>
                <w:color w:val="FFFFFF"/>
                <w:sz w:val="14"/>
              </w:rPr>
            </w:r>
            <w:r>
              <w:rPr>
                <w:rFonts w:ascii="Georgia" w:hAnsi="Georgia"/>
                <w:b/>
                <w:color w:val="FFFFFF"/>
                <w:sz w:val="14"/>
              </w:rPr>
              <w:t>Vertical (FY2025)</w:t>
            </w:r>
          </w:p>
        </w:tc>
        <w:tc>
          <w:tcPr>
            <w:tcW w:type="dxa" w:w="1697"/>
            <w:shd w:val="clear" w:fill="0B2545"/>
          </w:tcPr>
          <w:p>
            <w:pPr>
              <w:spacing w:before="20" w:after="20"/>
              <w:jc w:val="right"/>
            </w:pPr>
            <w:r>
              <w:rPr>
                <w:rFonts w:ascii="Georgia" w:hAnsi="Georgia"/>
                <w:b/>
                <w:color w:val="FFFFFF"/>
                <w:sz w:val="14"/>
              </w:rPr>
            </w:r>
            <w:r>
              <w:rPr>
                <w:rFonts w:ascii="Georgia" w:hAnsi="Georgia"/>
                <w:b/>
                <w:color w:val="FFFFFF"/>
                <w:sz w:val="14"/>
              </w:rPr>
              <w:t>Revenue ($m)</w:t>
            </w:r>
          </w:p>
        </w:tc>
        <w:tc>
          <w:tcPr>
            <w:tcW w:type="dxa" w:w="1697"/>
            <w:shd w:val="clear" w:fill="0B2545"/>
          </w:tcPr>
          <w:p>
            <w:pPr>
              <w:spacing w:before="20" w:after="20"/>
              <w:jc w:val="right"/>
            </w:pPr>
            <w:r>
              <w:rPr>
                <w:rFonts w:ascii="Georgia" w:hAnsi="Georgia"/>
                <w:b/>
                <w:color w:val="FFFFFF"/>
                <w:sz w:val="14"/>
              </w:rPr>
            </w:r>
            <w:r>
              <w:rPr>
                <w:rFonts w:ascii="Georgia" w:hAnsi="Georgia"/>
                <w:b/>
                <w:color w:val="FFFFFF"/>
                <w:sz w:val="14"/>
              </w:rPr>
              <w:t>% of total</w:t>
            </w:r>
          </w:p>
        </w:tc>
        <w:tc>
          <w:tcPr>
            <w:tcW w:type="dxa" w:w="1697"/>
            <w:shd w:val="clear" w:fill="0B2545"/>
          </w:tcPr>
          <w:p>
            <w:pPr>
              <w:spacing w:before="20" w:after="20"/>
              <w:jc w:val="right"/>
            </w:pPr>
            <w:r>
              <w:rPr>
                <w:rFonts w:ascii="Georgia" w:hAnsi="Georgia"/>
                <w:b/>
                <w:color w:val="FFFFFF"/>
                <w:sz w:val="14"/>
              </w:rPr>
            </w:r>
            <w:r>
              <w:rPr>
                <w:rFonts w:ascii="Georgia" w:hAnsi="Georgia"/>
                <w:b/>
                <w:color w:val="FFFFFF"/>
                <w:sz w:val="14"/>
              </w:rPr>
              <w:t>Growth</w:t>
            </w:r>
          </w:p>
        </w:tc>
        <w:tc>
          <w:tcPr>
            <w:tcW w:type="dxa" w:w="1697"/>
            <w:shd w:val="clear" w:fill="0B2545"/>
          </w:tcPr>
          <w:p>
            <w:pPr>
              <w:spacing w:before="20" w:after="20"/>
              <w:jc w:val="right"/>
            </w:pPr>
            <w:r>
              <w:rPr>
                <w:rFonts w:ascii="Georgia" w:hAnsi="Georgia"/>
                <w:b/>
                <w:color w:val="FFFFFF"/>
                <w:sz w:val="14"/>
              </w:rPr>
            </w:r>
            <w:r>
              <w:rPr>
                <w:rFonts w:ascii="Georgia" w:hAnsi="Georgia"/>
                <w:b/>
                <w:color w:val="FFFFFF"/>
                <w:sz w:val="14"/>
              </w:rPr>
              <w:t>Est. segment EBIT ($m)</w:t>
            </w:r>
          </w:p>
        </w:tc>
        <w:tc>
          <w:tcPr>
            <w:tcW w:type="dxa" w:w="1697"/>
            <w:shd w:val="clear" w:fill="0B2545"/>
          </w:tcPr>
          <w:p>
            <w:pPr>
              <w:spacing w:before="20" w:after="20"/>
              <w:jc w:val="right"/>
            </w:pPr>
            <w:r>
              <w:rPr>
                <w:rFonts w:ascii="Georgia" w:hAnsi="Georgia"/>
                <w:b/>
                <w:color w:val="FFFFFF"/>
                <w:sz w:val="14"/>
              </w:rPr>
            </w:r>
            <w:r>
              <w:rPr>
                <w:rFonts w:ascii="Georgia" w:hAnsi="Georgia"/>
                <w:b/>
                <w:color w:val="FFFFFF"/>
                <w:sz w:val="14"/>
              </w:rPr>
              <w:t>Est. EBIT margin</w:t>
            </w:r>
          </w:p>
        </w:tc>
      </w:tr>
      <w:tr>
        <w:tc>
          <w:tcPr>
            <w:tcW w:type="dxa" w:w="1697"/>
          </w:tcPr>
          <w:p>
            <w:pPr>
              <w:spacing w:before="20" w:after="20"/>
            </w:pPr>
            <w:r>
              <w:rPr>
                <w:rFonts w:ascii="Georgia" w:hAnsi="Georgia"/>
                <w:sz w:val="14"/>
              </w:rPr>
            </w:r>
            <w:r>
              <w:rPr>
                <w:rFonts w:ascii="Georgia" w:hAnsi="Georgia"/>
                <w:sz w:val="14"/>
              </w:rPr>
              <w:t>Financial Services</w:t>
            </w:r>
          </w:p>
        </w:tc>
        <w:tc>
          <w:tcPr>
            <w:tcW w:type="dxa" w:w="1697"/>
          </w:tcPr>
          <w:p>
            <w:pPr>
              <w:spacing w:before="20" w:after="20"/>
              <w:jc w:val="right"/>
            </w:pPr>
            <w:r>
              <w:rPr>
                <w:rFonts w:ascii="Georgia" w:hAnsi="Georgia"/>
                <w:sz w:val="14"/>
              </w:rPr>
            </w:r>
            <w:r>
              <w:rPr>
                <w:rFonts w:ascii="Georgia" w:hAnsi="Georgia"/>
                <w:sz w:val="14"/>
              </w:rPr>
              <w:t>1,316</w:t>
            </w:r>
          </w:p>
        </w:tc>
        <w:tc>
          <w:tcPr>
            <w:tcW w:type="dxa" w:w="1697"/>
          </w:tcPr>
          <w:p>
            <w:pPr>
              <w:spacing w:before="20" w:after="20"/>
              <w:jc w:val="right"/>
            </w:pPr>
            <w:r>
              <w:rPr>
                <w:rFonts w:ascii="Georgia" w:hAnsi="Georgia"/>
                <w:sz w:val="14"/>
              </w:rPr>
            </w:r>
            <w:r>
              <w:rPr>
                <w:rFonts w:ascii="Georgia" w:hAnsi="Georgia"/>
                <w:sz w:val="14"/>
              </w:rPr>
              <w:t>24.1%</w:t>
            </w:r>
          </w:p>
        </w:tc>
        <w:tc>
          <w:tcPr>
            <w:tcW w:type="dxa" w:w="1697"/>
          </w:tcPr>
          <w:p>
            <w:pPr>
              <w:spacing w:before="20" w:after="20"/>
              <w:jc w:val="right"/>
            </w:pPr>
            <w:r>
              <w:rPr>
                <w:rFonts w:ascii="Georgia" w:hAnsi="Georgia"/>
                <w:sz w:val="14"/>
              </w:rPr>
            </w:r>
            <w:r>
              <w:rPr>
                <w:rFonts w:ascii="Georgia" w:hAnsi="Georgia"/>
                <w:sz w:val="14"/>
              </w:rPr>
              <w:t>+28.7%</w:t>
            </w:r>
          </w:p>
        </w:tc>
        <w:tc>
          <w:tcPr>
            <w:tcW w:type="dxa" w:w="1697"/>
          </w:tcPr>
          <w:p>
            <w:pPr>
              <w:spacing w:before="20" w:after="20"/>
              <w:jc w:val="right"/>
            </w:pPr>
            <w:r>
              <w:rPr>
                <w:rFonts w:ascii="Georgia" w:hAnsi="Georgia"/>
                <w:sz w:val="14"/>
              </w:rPr>
            </w:r>
            <w:r>
              <w:rPr>
                <w:rFonts w:ascii="Georgia" w:hAnsi="Georgia"/>
                <w:sz w:val="14"/>
              </w:rPr>
              <w:t>c.210</w:t>
            </w:r>
          </w:p>
        </w:tc>
        <w:tc>
          <w:tcPr>
            <w:tcW w:type="dxa" w:w="1697"/>
          </w:tcPr>
          <w:p>
            <w:pPr>
              <w:spacing w:before="20" w:after="20"/>
              <w:jc w:val="right"/>
            </w:pPr>
            <w:r>
              <w:rPr>
                <w:rFonts w:ascii="Georgia" w:hAnsi="Georgia"/>
                <w:sz w:val="14"/>
              </w:rPr>
            </w:r>
            <w:r>
              <w:rPr>
                <w:rFonts w:ascii="Georgia" w:hAnsi="Georgia"/>
                <w:sz w:val="14"/>
              </w:rPr>
              <w:t>c.16.0%</w:t>
            </w:r>
          </w:p>
        </w:tc>
      </w:tr>
      <w:tr>
        <w:tc>
          <w:tcPr>
            <w:tcW w:type="dxa" w:w="1697"/>
            <w:shd w:val="clear" w:fill="F4F7FA"/>
          </w:tcPr>
          <w:p>
            <w:pPr>
              <w:spacing w:before="20" w:after="20"/>
            </w:pPr>
            <w:r>
              <w:rPr>
                <w:rFonts w:ascii="Georgia" w:hAnsi="Georgia"/>
                <w:sz w:val="14"/>
              </w:rPr>
            </w:r>
            <w:r>
              <w:rPr>
                <w:rFonts w:ascii="Georgia" w:hAnsi="Georgia"/>
                <w:sz w:val="14"/>
              </w:rPr>
              <w:t>Consumer Goods, Retail &amp; Travel</w:t>
            </w:r>
          </w:p>
        </w:tc>
        <w:tc>
          <w:tcPr>
            <w:tcW w:type="dxa" w:w="1697"/>
            <w:shd w:val="clear" w:fill="F4F7FA"/>
          </w:tcPr>
          <w:p>
            <w:pPr>
              <w:spacing w:before="20" w:after="20"/>
              <w:jc w:val="right"/>
            </w:pPr>
            <w:r>
              <w:rPr>
                <w:rFonts w:ascii="Georgia" w:hAnsi="Georgia"/>
                <w:sz w:val="14"/>
              </w:rPr>
            </w:r>
            <w:r>
              <w:rPr>
                <w:rFonts w:ascii="Georgia" w:hAnsi="Georgia"/>
                <w:sz w:val="14"/>
              </w:rPr>
              <w:t>1,077</w:t>
            </w:r>
          </w:p>
        </w:tc>
        <w:tc>
          <w:tcPr>
            <w:tcW w:type="dxa" w:w="1697"/>
            <w:shd w:val="clear" w:fill="F4F7FA"/>
          </w:tcPr>
          <w:p>
            <w:pPr>
              <w:spacing w:before="20" w:after="20"/>
              <w:jc w:val="right"/>
            </w:pPr>
            <w:r>
              <w:rPr>
                <w:rFonts w:ascii="Georgia" w:hAnsi="Georgia"/>
                <w:sz w:val="14"/>
              </w:rPr>
            </w:r>
            <w:r>
              <w:rPr>
                <w:rFonts w:ascii="Georgia" w:hAnsi="Georgia"/>
                <w:sz w:val="14"/>
              </w:rPr>
              <w:t>19.7%</w:t>
            </w:r>
          </w:p>
        </w:tc>
        <w:tc>
          <w:tcPr>
            <w:tcW w:type="dxa" w:w="1697"/>
            <w:shd w:val="clear" w:fill="F4F7FA"/>
          </w:tcPr>
          <w:p>
            <w:pPr>
              <w:spacing w:before="20" w:after="20"/>
              <w:jc w:val="right"/>
            </w:pPr>
            <w:r>
              <w:rPr>
                <w:rFonts w:ascii="Georgia" w:hAnsi="Georgia"/>
                <w:sz w:val="14"/>
              </w:rPr>
            </w:r>
            <w:r>
              <w:rPr>
                <w:rFonts w:ascii="Georgia" w:hAnsi="Georgia"/>
                <w:sz w:val="14"/>
              </w:rPr>
              <w:t>+6.4%</w:t>
            </w:r>
          </w:p>
        </w:tc>
        <w:tc>
          <w:tcPr>
            <w:tcW w:type="dxa" w:w="1697"/>
            <w:shd w:val="clear" w:fill="F4F7FA"/>
          </w:tcPr>
          <w:p>
            <w:pPr>
              <w:spacing w:before="20" w:after="20"/>
              <w:jc w:val="right"/>
            </w:pPr>
            <w:r>
              <w:rPr>
                <w:rFonts w:ascii="Georgia" w:hAnsi="Georgia"/>
                <w:sz w:val="14"/>
              </w:rPr>
            </w:r>
            <w:r>
              <w:rPr>
                <w:rFonts w:ascii="Georgia" w:hAnsi="Georgia"/>
                <w:sz w:val="14"/>
              </w:rPr>
              <w:t>c.157</w:t>
            </w:r>
          </w:p>
        </w:tc>
        <w:tc>
          <w:tcPr>
            <w:tcW w:type="dxa" w:w="1697"/>
            <w:shd w:val="clear" w:fill="F4F7FA"/>
          </w:tcPr>
          <w:p>
            <w:pPr>
              <w:spacing w:before="20" w:after="20"/>
              <w:jc w:val="right"/>
            </w:pPr>
            <w:r>
              <w:rPr>
                <w:rFonts w:ascii="Georgia" w:hAnsi="Georgia"/>
                <w:sz w:val="14"/>
              </w:rPr>
            </w:r>
            <w:r>
              <w:rPr>
                <w:rFonts w:ascii="Georgia" w:hAnsi="Georgia"/>
                <w:sz w:val="14"/>
              </w:rPr>
              <w:t>c.14.6%</w:t>
            </w:r>
          </w:p>
        </w:tc>
      </w:tr>
      <w:tr>
        <w:tc>
          <w:tcPr>
            <w:tcW w:type="dxa" w:w="1697"/>
          </w:tcPr>
          <w:p>
            <w:pPr>
              <w:spacing w:before="20" w:after="20"/>
            </w:pPr>
            <w:r>
              <w:rPr>
                <w:rFonts w:ascii="Georgia" w:hAnsi="Georgia"/>
                <w:sz w:val="14"/>
              </w:rPr>
            </w:r>
            <w:r>
              <w:rPr>
                <w:rFonts w:ascii="Georgia" w:hAnsi="Georgia"/>
                <w:sz w:val="14"/>
              </w:rPr>
              <w:t>Emerging Verticals</w:t>
            </w:r>
          </w:p>
        </w:tc>
        <w:tc>
          <w:tcPr>
            <w:tcW w:type="dxa" w:w="1697"/>
          </w:tcPr>
          <w:p>
            <w:pPr>
              <w:spacing w:before="20" w:after="20"/>
              <w:jc w:val="right"/>
            </w:pPr>
            <w:r>
              <w:rPr>
                <w:rFonts w:ascii="Georgia" w:hAnsi="Georgia"/>
                <w:sz w:val="14"/>
              </w:rPr>
            </w:r>
            <w:r>
              <w:rPr>
                <w:rFonts w:ascii="Georgia" w:hAnsi="Georgia"/>
                <w:sz w:val="14"/>
              </w:rPr>
              <w:t>940</w:t>
            </w:r>
          </w:p>
        </w:tc>
        <w:tc>
          <w:tcPr>
            <w:tcW w:type="dxa" w:w="1697"/>
          </w:tcPr>
          <w:p>
            <w:pPr>
              <w:spacing w:before="20" w:after="20"/>
              <w:jc w:val="right"/>
            </w:pPr>
            <w:r>
              <w:rPr>
                <w:rFonts w:ascii="Georgia" w:hAnsi="Georgia"/>
                <w:sz w:val="14"/>
              </w:rPr>
            </w:r>
            <w:r>
              <w:rPr>
                <w:rFonts w:ascii="Georgia" w:hAnsi="Georgia"/>
                <w:sz w:val="14"/>
              </w:rPr>
              <w:t>17.2%</w:t>
            </w:r>
          </w:p>
        </w:tc>
        <w:tc>
          <w:tcPr>
            <w:tcW w:type="dxa" w:w="1697"/>
          </w:tcPr>
          <w:p>
            <w:pPr>
              <w:spacing w:before="20" w:after="20"/>
              <w:jc w:val="right"/>
            </w:pPr>
            <w:r>
              <w:rPr>
                <w:rFonts w:ascii="Georgia" w:hAnsi="Georgia"/>
                <w:sz w:val="14"/>
              </w:rPr>
            </w:r>
            <w:r>
              <w:rPr>
                <w:rFonts w:ascii="Georgia" w:hAnsi="Georgia"/>
                <w:sz w:val="14"/>
              </w:rPr>
              <w:t>+0.2%</w:t>
            </w:r>
          </w:p>
        </w:tc>
        <w:tc>
          <w:tcPr>
            <w:tcW w:type="dxa" w:w="1697"/>
          </w:tcPr>
          <w:p>
            <w:pPr>
              <w:spacing w:before="20" w:after="20"/>
              <w:jc w:val="right"/>
            </w:pPr>
            <w:r>
              <w:rPr>
                <w:rFonts w:ascii="Georgia" w:hAnsi="Georgia"/>
                <w:sz w:val="14"/>
              </w:rPr>
            </w:r>
            <w:r>
              <w:rPr>
                <w:rFonts w:ascii="Georgia" w:hAnsi="Georgia"/>
                <w:sz w:val="14"/>
              </w:rPr>
              <w:t>c.132</w:t>
            </w:r>
          </w:p>
        </w:tc>
        <w:tc>
          <w:tcPr>
            <w:tcW w:type="dxa" w:w="1697"/>
          </w:tcPr>
          <w:p>
            <w:pPr>
              <w:spacing w:before="20" w:after="20"/>
              <w:jc w:val="right"/>
            </w:pPr>
            <w:r>
              <w:rPr>
                <w:rFonts w:ascii="Georgia" w:hAnsi="Georgia"/>
                <w:sz w:val="14"/>
              </w:rPr>
            </w:r>
            <w:r>
              <w:rPr>
                <w:rFonts w:ascii="Georgia" w:hAnsi="Georgia"/>
                <w:sz w:val="14"/>
              </w:rPr>
              <w:t>c.14.0%</w:t>
            </w:r>
          </w:p>
        </w:tc>
      </w:tr>
      <w:tr>
        <w:tc>
          <w:tcPr>
            <w:tcW w:type="dxa" w:w="1697"/>
            <w:shd w:val="clear" w:fill="F4F7FA"/>
          </w:tcPr>
          <w:p>
            <w:pPr>
              <w:spacing w:before="20" w:after="20"/>
            </w:pPr>
            <w:r>
              <w:rPr>
                <w:rFonts w:ascii="Georgia" w:hAnsi="Georgia"/>
                <w:sz w:val="14"/>
              </w:rPr>
            </w:r>
            <w:r>
              <w:rPr>
                <w:rFonts w:ascii="Georgia" w:hAnsi="Georgia"/>
                <w:sz w:val="14"/>
              </w:rPr>
              <w:t>Software &amp; Hi-Tech</w:t>
            </w:r>
          </w:p>
        </w:tc>
        <w:tc>
          <w:tcPr>
            <w:tcW w:type="dxa" w:w="1697"/>
            <w:shd w:val="clear" w:fill="F4F7FA"/>
          </w:tcPr>
          <w:p>
            <w:pPr>
              <w:spacing w:before="20" w:after="20"/>
              <w:jc w:val="right"/>
            </w:pPr>
            <w:r>
              <w:rPr>
                <w:rFonts w:ascii="Georgia" w:hAnsi="Georgia"/>
                <w:sz w:val="14"/>
              </w:rPr>
            </w:r>
            <w:r>
              <w:rPr>
                <w:rFonts w:ascii="Georgia" w:hAnsi="Georgia"/>
                <w:sz w:val="14"/>
              </w:rPr>
              <w:t>822</w:t>
            </w:r>
          </w:p>
        </w:tc>
        <w:tc>
          <w:tcPr>
            <w:tcW w:type="dxa" w:w="1697"/>
            <w:shd w:val="clear" w:fill="F4F7FA"/>
          </w:tcPr>
          <w:p>
            <w:pPr>
              <w:spacing w:before="20" w:after="20"/>
              <w:jc w:val="right"/>
            </w:pPr>
            <w:r>
              <w:rPr>
                <w:rFonts w:ascii="Georgia" w:hAnsi="Georgia"/>
                <w:sz w:val="14"/>
              </w:rPr>
            </w:r>
            <w:r>
              <w:rPr>
                <w:rFonts w:ascii="Georgia" w:hAnsi="Georgia"/>
                <w:sz w:val="14"/>
              </w:rPr>
              <w:t>15.1%</w:t>
            </w:r>
          </w:p>
        </w:tc>
        <w:tc>
          <w:tcPr>
            <w:tcW w:type="dxa" w:w="1697"/>
            <w:shd w:val="clear" w:fill="F4F7FA"/>
          </w:tcPr>
          <w:p>
            <w:pPr>
              <w:spacing w:before="20" w:after="20"/>
              <w:jc w:val="right"/>
            </w:pPr>
            <w:r>
              <w:rPr>
                <w:rFonts w:ascii="Georgia" w:hAnsi="Georgia"/>
                <w:sz w:val="14"/>
              </w:rPr>
            </w:r>
            <w:r>
              <w:rPr>
                <w:rFonts w:ascii="Georgia" w:hAnsi="Georgia"/>
                <w:sz w:val="14"/>
              </w:rPr>
              <w:t>+17.0%</w:t>
            </w:r>
          </w:p>
        </w:tc>
        <w:tc>
          <w:tcPr>
            <w:tcW w:type="dxa" w:w="1697"/>
            <w:shd w:val="clear" w:fill="F4F7FA"/>
          </w:tcPr>
          <w:p>
            <w:pPr>
              <w:spacing w:before="20" w:after="20"/>
              <w:jc w:val="right"/>
            </w:pPr>
            <w:r>
              <w:rPr>
                <w:rFonts w:ascii="Georgia" w:hAnsi="Georgia"/>
                <w:sz w:val="14"/>
              </w:rPr>
            </w:r>
            <w:r>
              <w:rPr>
                <w:rFonts w:ascii="Georgia" w:hAnsi="Georgia"/>
                <w:sz w:val="14"/>
              </w:rPr>
              <w:t>c.132</w:t>
            </w:r>
          </w:p>
        </w:tc>
        <w:tc>
          <w:tcPr>
            <w:tcW w:type="dxa" w:w="1697"/>
            <w:shd w:val="clear" w:fill="F4F7FA"/>
          </w:tcPr>
          <w:p>
            <w:pPr>
              <w:spacing w:before="20" w:after="20"/>
              <w:jc w:val="right"/>
            </w:pPr>
            <w:r>
              <w:rPr>
                <w:rFonts w:ascii="Georgia" w:hAnsi="Georgia"/>
                <w:sz w:val="14"/>
              </w:rPr>
            </w:r>
            <w:r>
              <w:rPr>
                <w:rFonts w:ascii="Georgia" w:hAnsi="Georgia"/>
                <w:sz w:val="14"/>
              </w:rPr>
              <w:t>c.16.0%</w:t>
            </w:r>
          </w:p>
        </w:tc>
      </w:tr>
      <w:tr>
        <w:tc>
          <w:tcPr>
            <w:tcW w:type="dxa" w:w="1697"/>
          </w:tcPr>
          <w:p>
            <w:pPr>
              <w:spacing w:before="20" w:after="20"/>
            </w:pPr>
            <w:r>
              <w:rPr>
                <w:rFonts w:ascii="Georgia" w:hAnsi="Georgia"/>
                <w:sz w:val="14"/>
              </w:rPr>
            </w:r>
            <w:r>
              <w:rPr>
                <w:rFonts w:ascii="Georgia" w:hAnsi="Georgia"/>
                <w:sz w:val="14"/>
              </w:rPr>
              <w:t>Business Information &amp; Media</w:t>
            </w:r>
          </w:p>
        </w:tc>
        <w:tc>
          <w:tcPr>
            <w:tcW w:type="dxa" w:w="1697"/>
          </w:tcPr>
          <w:p>
            <w:pPr>
              <w:spacing w:before="20" w:after="20"/>
              <w:jc w:val="right"/>
            </w:pPr>
            <w:r>
              <w:rPr>
                <w:rFonts w:ascii="Georgia" w:hAnsi="Georgia"/>
                <w:sz w:val="14"/>
              </w:rPr>
            </w:r>
            <w:r>
              <w:rPr>
                <w:rFonts w:ascii="Georgia" w:hAnsi="Georgia"/>
                <w:sz w:val="14"/>
              </w:rPr>
              <w:t>676</w:t>
            </w:r>
          </w:p>
        </w:tc>
        <w:tc>
          <w:tcPr>
            <w:tcW w:type="dxa" w:w="1697"/>
          </w:tcPr>
          <w:p>
            <w:pPr>
              <w:spacing w:before="20" w:after="20"/>
              <w:jc w:val="right"/>
            </w:pPr>
            <w:r>
              <w:rPr>
                <w:rFonts w:ascii="Georgia" w:hAnsi="Georgia"/>
                <w:sz w:val="14"/>
              </w:rPr>
            </w:r>
            <w:r>
              <w:rPr>
                <w:rFonts w:ascii="Georgia" w:hAnsi="Georgia"/>
                <w:sz w:val="14"/>
              </w:rPr>
              <w:t>12.4%</w:t>
            </w:r>
          </w:p>
        </w:tc>
        <w:tc>
          <w:tcPr>
            <w:tcW w:type="dxa" w:w="1697"/>
          </w:tcPr>
          <w:p>
            <w:pPr>
              <w:spacing w:before="20" w:after="20"/>
              <w:jc w:val="right"/>
            </w:pPr>
            <w:r>
              <w:rPr>
                <w:rFonts w:ascii="Georgia" w:hAnsi="Georgia"/>
                <w:sz w:val="14"/>
              </w:rPr>
            </w:r>
            <w:r>
              <w:rPr>
                <w:rFonts w:ascii="Georgia" w:hAnsi="Georgia"/>
                <w:sz w:val="14"/>
              </w:rPr>
              <w:t>+26.9%</w:t>
            </w:r>
          </w:p>
        </w:tc>
        <w:tc>
          <w:tcPr>
            <w:tcW w:type="dxa" w:w="1697"/>
          </w:tcPr>
          <w:p>
            <w:pPr>
              <w:spacing w:before="20" w:after="20"/>
              <w:jc w:val="right"/>
            </w:pPr>
            <w:r>
              <w:rPr>
                <w:rFonts w:ascii="Georgia" w:hAnsi="Georgia"/>
                <w:sz w:val="14"/>
              </w:rPr>
            </w:r>
            <w:r>
              <w:rPr>
                <w:rFonts w:ascii="Georgia" w:hAnsi="Georgia"/>
                <w:sz w:val="14"/>
              </w:rPr>
              <w:t>c.101</w:t>
            </w:r>
          </w:p>
        </w:tc>
        <w:tc>
          <w:tcPr>
            <w:tcW w:type="dxa" w:w="1697"/>
          </w:tcPr>
          <w:p>
            <w:pPr>
              <w:spacing w:before="20" w:after="20"/>
              <w:jc w:val="right"/>
            </w:pPr>
            <w:r>
              <w:rPr>
                <w:rFonts w:ascii="Georgia" w:hAnsi="Georgia"/>
                <w:sz w:val="14"/>
              </w:rPr>
            </w:r>
            <w:r>
              <w:rPr>
                <w:rFonts w:ascii="Georgia" w:hAnsi="Georgia"/>
                <w:sz w:val="14"/>
              </w:rPr>
              <w:t>c.15.0%</w:t>
            </w:r>
          </w:p>
        </w:tc>
      </w:tr>
      <w:tr>
        <w:tc>
          <w:tcPr>
            <w:tcW w:type="dxa" w:w="1697"/>
            <w:shd w:val="clear" w:fill="F4F7FA"/>
          </w:tcPr>
          <w:p>
            <w:pPr>
              <w:spacing w:before="20" w:after="20"/>
            </w:pPr>
            <w:r>
              <w:rPr>
                <w:rFonts w:ascii="Georgia" w:hAnsi="Georgia"/>
                <w:sz w:val="14"/>
              </w:rPr>
            </w:r>
            <w:r>
              <w:rPr>
                <w:rFonts w:ascii="Georgia" w:hAnsi="Georgia"/>
                <w:sz w:val="14"/>
              </w:rPr>
              <w:t>Life Sciences &amp; Healthcare</w:t>
            </w:r>
          </w:p>
        </w:tc>
        <w:tc>
          <w:tcPr>
            <w:tcW w:type="dxa" w:w="1697"/>
            <w:shd w:val="clear" w:fill="F4F7FA"/>
          </w:tcPr>
          <w:p>
            <w:pPr>
              <w:spacing w:before="20" w:after="20"/>
              <w:jc w:val="right"/>
            </w:pPr>
            <w:r>
              <w:rPr>
                <w:rFonts w:ascii="Georgia" w:hAnsi="Georgia"/>
                <w:sz w:val="14"/>
              </w:rPr>
            </w:r>
            <w:r>
              <w:rPr>
                <w:rFonts w:ascii="Georgia" w:hAnsi="Georgia"/>
                <w:sz w:val="14"/>
              </w:rPr>
              <w:t>626</w:t>
            </w:r>
          </w:p>
        </w:tc>
        <w:tc>
          <w:tcPr>
            <w:tcW w:type="dxa" w:w="1697"/>
            <w:shd w:val="clear" w:fill="F4F7FA"/>
          </w:tcPr>
          <w:p>
            <w:pPr>
              <w:spacing w:before="20" w:after="20"/>
              <w:jc w:val="right"/>
            </w:pPr>
            <w:r>
              <w:rPr>
                <w:rFonts w:ascii="Georgia" w:hAnsi="Georgia"/>
                <w:sz w:val="14"/>
              </w:rPr>
            </w:r>
            <w:r>
              <w:rPr>
                <w:rFonts w:ascii="Georgia" w:hAnsi="Georgia"/>
                <w:sz w:val="14"/>
              </w:rPr>
              <w:t>11.5%</w:t>
            </w:r>
          </w:p>
        </w:tc>
        <w:tc>
          <w:tcPr>
            <w:tcW w:type="dxa" w:w="1697"/>
            <w:shd w:val="clear" w:fill="F4F7FA"/>
          </w:tcPr>
          <w:p>
            <w:pPr>
              <w:spacing w:before="20" w:after="20"/>
              <w:jc w:val="right"/>
            </w:pPr>
            <w:r>
              <w:rPr>
                <w:rFonts w:ascii="Georgia" w:hAnsi="Georgia"/>
                <w:sz w:val="14"/>
              </w:rPr>
            </w:r>
            <w:r>
              <w:rPr>
                <w:rFonts w:ascii="Georgia" w:hAnsi="Georgia"/>
                <w:sz w:val="14"/>
              </w:rPr>
              <w:t>+8.9%</w:t>
            </w:r>
          </w:p>
        </w:tc>
        <w:tc>
          <w:tcPr>
            <w:tcW w:type="dxa" w:w="1697"/>
            <w:shd w:val="clear" w:fill="F4F7FA"/>
          </w:tcPr>
          <w:p>
            <w:pPr>
              <w:spacing w:before="20" w:after="20"/>
              <w:jc w:val="right"/>
            </w:pPr>
            <w:r>
              <w:rPr>
                <w:rFonts w:ascii="Georgia" w:hAnsi="Georgia"/>
                <w:sz w:val="14"/>
              </w:rPr>
            </w:r>
            <w:r>
              <w:rPr>
                <w:rFonts w:ascii="Georgia" w:hAnsi="Georgia"/>
                <w:sz w:val="14"/>
              </w:rPr>
              <w:t>c.100</w:t>
            </w:r>
          </w:p>
        </w:tc>
        <w:tc>
          <w:tcPr>
            <w:tcW w:type="dxa" w:w="1697"/>
            <w:shd w:val="clear" w:fill="F4F7FA"/>
          </w:tcPr>
          <w:p>
            <w:pPr>
              <w:spacing w:before="20" w:after="20"/>
              <w:jc w:val="right"/>
            </w:pPr>
            <w:r>
              <w:rPr>
                <w:rFonts w:ascii="Georgia" w:hAnsi="Georgia"/>
                <w:sz w:val="14"/>
              </w:rPr>
            </w:r>
            <w:r>
              <w:rPr>
                <w:rFonts w:ascii="Georgia" w:hAnsi="Georgia"/>
                <w:sz w:val="14"/>
              </w:rPr>
              <w:t>c.16.0%</w:t>
            </w:r>
          </w:p>
        </w:tc>
      </w:tr>
      <w:tr>
        <w:tc>
          <w:tcPr>
            <w:tcW w:type="dxa" w:w="1697"/>
          </w:tcPr>
          <w:p>
            <w:pPr>
              <w:spacing w:before="20" w:after="20"/>
            </w:pPr>
            <w:r>
              <w:rPr>
                <w:rFonts w:ascii="Georgia" w:hAnsi="Georgia"/>
                <w:sz w:val="14"/>
              </w:rPr>
            </w:r>
            <w:r>
              <w:rPr>
                <w:rFonts w:ascii="Georgia" w:hAnsi="Georgia"/>
                <w:b/>
                <w:sz w:val="14"/>
              </w:rPr>
              <w:t>Total (non-GAAP basis)</w:t>
            </w:r>
          </w:p>
        </w:tc>
        <w:tc>
          <w:tcPr>
            <w:tcW w:type="dxa" w:w="1697"/>
          </w:tcPr>
          <w:p>
            <w:pPr>
              <w:spacing w:before="20" w:after="20"/>
              <w:jc w:val="right"/>
            </w:pPr>
            <w:r>
              <w:rPr>
                <w:rFonts w:ascii="Georgia" w:hAnsi="Georgia"/>
                <w:sz w:val="14"/>
              </w:rPr>
            </w:r>
            <w:r>
              <w:rPr>
                <w:rFonts w:ascii="Georgia" w:hAnsi="Georgia"/>
                <w:b/>
                <w:sz w:val="14"/>
              </w:rPr>
              <w:t>5,457</w:t>
            </w:r>
          </w:p>
        </w:tc>
        <w:tc>
          <w:tcPr>
            <w:tcW w:type="dxa" w:w="1697"/>
          </w:tcPr>
          <w:p>
            <w:pPr>
              <w:spacing w:before="20" w:after="20"/>
              <w:jc w:val="right"/>
            </w:pPr>
            <w:r>
              <w:rPr>
                <w:rFonts w:ascii="Georgia" w:hAnsi="Georgia"/>
                <w:sz w:val="14"/>
              </w:rPr>
            </w:r>
            <w:r>
              <w:rPr>
                <w:rFonts w:ascii="Georgia" w:hAnsi="Georgia"/>
                <w:b/>
                <w:sz w:val="14"/>
              </w:rPr>
              <w:t>100%</w:t>
            </w:r>
          </w:p>
        </w:tc>
        <w:tc>
          <w:tcPr>
            <w:tcW w:type="dxa" w:w="1697"/>
          </w:tcPr>
          <w:p>
            <w:pPr>
              <w:spacing w:before="20" w:after="20"/>
              <w:jc w:val="right"/>
            </w:pPr>
            <w:r>
              <w:rPr>
                <w:rFonts w:ascii="Georgia" w:hAnsi="Georgia"/>
                <w:sz w:val="14"/>
              </w:rPr>
            </w:r>
            <w:r>
              <w:rPr>
                <w:rFonts w:ascii="Georgia" w:hAnsi="Georgia"/>
                <w:b/>
                <w:sz w:val="14"/>
              </w:rPr>
              <w:t>+15.4%</w:t>
            </w:r>
          </w:p>
        </w:tc>
        <w:tc>
          <w:tcPr>
            <w:tcW w:type="dxa" w:w="1697"/>
          </w:tcPr>
          <w:p>
            <w:pPr>
              <w:spacing w:before="20" w:after="20"/>
              <w:jc w:val="right"/>
            </w:pPr>
            <w:r>
              <w:rPr>
                <w:rFonts w:ascii="Georgia" w:hAnsi="Georgia"/>
                <w:sz w:val="14"/>
              </w:rPr>
            </w:r>
            <w:r>
              <w:rPr>
                <w:rFonts w:ascii="Georgia" w:hAnsi="Georgia"/>
                <w:b/>
                <w:sz w:val="14"/>
              </w:rPr>
              <w:t>832</w:t>
            </w:r>
          </w:p>
        </w:tc>
        <w:tc>
          <w:tcPr>
            <w:tcW w:type="dxa" w:w="1697"/>
          </w:tcPr>
          <w:p>
            <w:pPr>
              <w:spacing w:before="20" w:after="20"/>
              <w:jc w:val="right"/>
            </w:pPr>
            <w:r>
              <w:rPr>
                <w:rFonts w:ascii="Georgia" w:hAnsi="Georgia"/>
                <w:sz w:val="14"/>
              </w:rPr>
            </w:r>
            <w:r>
              <w:rPr>
                <w:rFonts w:ascii="Georgia" w:hAnsi="Georgia"/>
                <w:b/>
                <w:sz w:val="14"/>
              </w:rPr>
              <w:t>15.2%</w:t>
            </w:r>
          </w:p>
        </w:tc>
      </w:tr>
    </w:tbl>
    <w:p>
      <w:pPr>
        <w:spacing w:after="60"/>
      </w:pPr>
    </w:p>
    <w:p>
      <w:pPr>
        <w:spacing w:before="0" w:after="120"/>
        <w:jc w:val="both"/>
      </w:pPr>
      <w:r>
        <w:rPr>
          <w:i/>
          <w:color w:val="555555"/>
          <w:sz w:val="15"/>
        </w:rPr>
        <w:t xml:space="preserve">Revenue and growth by vertical are reported. </w:t>
      </w:r>
      <w:r>
        <w:rPr>
          <w:b/>
          <w:i/>
          <w:color w:val="555555"/>
          <w:sz w:val="15"/>
        </w:rPr>
        <w:t>EPAM does not disclose profitability by vertical.</w:t>
      </w:r>
      <w:r>
        <w:rPr>
          <w:i/>
          <w:color w:val="555555"/>
          <w:sz w:val="15"/>
        </w:rPr>
        <w:t xml:space="preserve"> Segment EBIT figures above are the author's allocation of reported non-GAAP operating income of $831.5m, apportioned by revenue and adjusted for known mix characteristics (higher margin in Financial Services, Software &amp; Hi-Tech and Life Sciences; lower in Consumer/Retail/Travel and Emerging). These are illustrative only and should not be relied upon as disclosed data.</w:t>
      </w:r>
    </w:p>
    <w:tbl>
      <w:tblPr>
        <w:tblStyle w:val="TableGrid"/>
        <w:tblW w:type="auto" w:w="0"/>
        <w:jc w:val="center"/>
        <w:tblLayout w:type="autofit"/>
        <w:tblLook w:firstColumn="1" w:firstRow="1" w:lastColumn="0" w:lastRow="0" w:noHBand="0" w:noVBand="1" w:val="04A0"/>
      </w:tblPr>
      <w:tblGrid>
        <w:gridCol w:w="2545"/>
        <w:gridCol w:w="2545"/>
        <w:gridCol w:w="2545"/>
        <w:gridCol w:w="2545"/>
      </w:tblGrid>
      <w:tr>
        <w:tc>
          <w:tcPr>
            <w:tcW w:type="dxa" w:w="2545"/>
            <w:shd w:val="clear" w:fill="0B2545"/>
          </w:tcPr>
          <w:p>
            <w:pPr>
              <w:spacing w:before="20" w:after="20"/>
            </w:pPr>
            <w:r>
              <w:rPr>
                <w:rFonts w:ascii="Georgia" w:hAnsi="Georgia"/>
                <w:b/>
                <w:color w:val="FFFFFF"/>
                <w:sz w:val="14"/>
              </w:rPr>
            </w:r>
            <w:r>
              <w:rPr>
                <w:rFonts w:ascii="Georgia" w:hAnsi="Georgia"/>
                <w:b/>
                <w:color w:val="FFFFFF"/>
                <w:sz w:val="14"/>
              </w:rPr>
              <w:t>Consolidated P&amp;L (FY2025)</w:t>
            </w:r>
          </w:p>
        </w:tc>
        <w:tc>
          <w:tcPr>
            <w:tcW w:type="dxa" w:w="2545"/>
            <w:shd w:val="clear" w:fill="0B2545"/>
          </w:tcPr>
          <w:p>
            <w:pPr>
              <w:spacing w:before="20" w:after="20"/>
              <w:jc w:val="right"/>
            </w:pPr>
            <w:r>
              <w:rPr>
                <w:rFonts w:ascii="Georgia" w:hAnsi="Georgia"/>
                <w:b/>
                <w:color w:val="FFFFFF"/>
                <w:sz w:val="14"/>
              </w:rPr>
            </w:r>
            <w:r>
              <w:rPr>
                <w:rFonts w:ascii="Georgia" w:hAnsi="Georgia"/>
                <w:b/>
                <w:color w:val="FFFFFF"/>
                <w:sz w:val="14"/>
              </w:rPr>
              <w:t>$m</w:t>
            </w:r>
          </w:p>
        </w:tc>
        <w:tc>
          <w:tcPr>
            <w:tcW w:type="dxa" w:w="2545"/>
            <w:shd w:val="clear" w:fill="0B2545"/>
          </w:tcPr>
          <w:p>
            <w:pPr>
              <w:spacing w:before="20" w:after="20"/>
              <w:jc w:val="right"/>
            </w:pPr>
            <w:r>
              <w:rPr>
                <w:rFonts w:ascii="Georgia" w:hAnsi="Georgia"/>
                <w:b/>
                <w:color w:val="FFFFFF"/>
                <w:sz w:val="14"/>
              </w:rPr>
            </w:r>
            <w:r>
              <w:rPr>
                <w:rFonts w:ascii="Georgia" w:hAnsi="Georgia"/>
                <w:b/>
                <w:color w:val="FFFFFF"/>
                <w:sz w:val="14"/>
              </w:rPr>
              <w:t>% of revenue</w:t>
            </w:r>
          </w:p>
        </w:tc>
        <w:tc>
          <w:tcPr>
            <w:tcW w:type="dxa" w:w="2545"/>
            <w:shd w:val="clear" w:fill="0B2545"/>
          </w:tcPr>
          <w:p>
            <w:pPr>
              <w:spacing w:before="20" w:after="20"/>
            </w:pPr>
            <w:r>
              <w:rPr>
                <w:rFonts w:ascii="Georgia" w:hAnsi="Georgia"/>
                <w:b/>
                <w:color w:val="FFFFFF"/>
                <w:sz w:val="14"/>
              </w:rPr>
            </w:r>
            <w:r>
              <w:rPr>
                <w:rFonts w:ascii="Georgia" w:hAnsi="Georgia"/>
                <w:b/>
                <w:color w:val="FFFFFF"/>
                <w:sz w:val="14"/>
              </w:rPr>
              <w:t>Note</w:t>
            </w:r>
          </w:p>
        </w:tc>
      </w:tr>
      <w:tr>
        <w:tc>
          <w:tcPr>
            <w:tcW w:type="dxa" w:w="2545"/>
          </w:tcPr>
          <w:p>
            <w:pPr>
              <w:spacing w:before="20" w:after="20"/>
            </w:pPr>
            <w:r>
              <w:rPr>
                <w:rFonts w:ascii="Georgia" w:hAnsi="Georgia"/>
                <w:sz w:val="14"/>
              </w:rPr>
            </w:r>
            <w:r>
              <w:rPr>
                <w:rFonts w:ascii="Georgia" w:hAnsi="Georgia"/>
                <w:sz w:val="14"/>
              </w:rPr>
              <w:t>Revenue</w:t>
            </w:r>
          </w:p>
        </w:tc>
        <w:tc>
          <w:tcPr>
            <w:tcW w:type="dxa" w:w="2545"/>
          </w:tcPr>
          <w:p>
            <w:pPr>
              <w:spacing w:before="20" w:after="20"/>
              <w:jc w:val="right"/>
            </w:pPr>
            <w:r>
              <w:rPr>
                <w:rFonts w:ascii="Georgia" w:hAnsi="Georgia"/>
                <w:sz w:val="14"/>
              </w:rPr>
            </w:r>
            <w:r>
              <w:rPr>
                <w:rFonts w:ascii="Georgia" w:hAnsi="Georgia"/>
                <w:sz w:val="14"/>
              </w:rPr>
              <w:t>5,457.0</w:t>
            </w:r>
          </w:p>
        </w:tc>
        <w:tc>
          <w:tcPr>
            <w:tcW w:type="dxa" w:w="2545"/>
          </w:tcPr>
          <w:p>
            <w:pPr>
              <w:spacing w:before="20" w:after="20"/>
              <w:jc w:val="right"/>
            </w:pPr>
            <w:r>
              <w:rPr>
                <w:rFonts w:ascii="Georgia" w:hAnsi="Georgia"/>
                <w:sz w:val="14"/>
              </w:rPr>
            </w:r>
            <w:r>
              <w:rPr>
                <w:rFonts w:ascii="Georgia" w:hAnsi="Georgia"/>
                <w:sz w:val="14"/>
              </w:rPr>
              <w:t>100.0%</w:t>
            </w:r>
          </w:p>
        </w:tc>
        <w:tc>
          <w:tcPr>
            <w:tcW w:type="dxa" w:w="2545"/>
          </w:tcPr>
          <w:p>
            <w:pPr>
              <w:spacing w:before="20" w:after="20"/>
            </w:pPr>
            <w:r>
              <w:rPr>
                <w:rFonts w:ascii="Georgia" w:hAnsi="Georgia"/>
                <w:sz w:val="14"/>
              </w:rPr>
            </w:r>
            <w:r>
              <w:rPr>
                <w:rFonts w:ascii="Georgia" w:hAnsi="Georgia"/>
                <w:sz w:val="14"/>
              </w:rPr>
              <w:t>Reported</w:t>
            </w:r>
          </w:p>
        </w:tc>
      </w:tr>
      <w:tr>
        <w:tc>
          <w:tcPr>
            <w:tcW w:type="dxa" w:w="2545"/>
            <w:shd w:val="clear" w:fill="F4F7FA"/>
          </w:tcPr>
          <w:p>
            <w:pPr>
              <w:spacing w:before="20" w:after="20"/>
            </w:pPr>
            <w:r>
              <w:rPr>
                <w:rFonts w:ascii="Georgia" w:hAnsi="Georgia"/>
                <w:sz w:val="14"/>
              </w:rPr>
            </w:r>
            <w:r>
              <w:rPr>
                <w:rFonts w:ascii="Georgia" w:hAnsi="Georgia"/>
                <w:sz w:val="14"/>
              </w:rPr>
              <w:t>Gross profit (non-GAAP, est.)</w:t>
            </w:r>
          </w:p>
        </w:tc>
        <w:tc>
          <w:tcPr>
            <w:tcW w:type="dxa" w:w="2545"/>
            <w:shd w:val="clear" w:fill="F4F7FA"/>
          </w:tcPr>
          <w:p>
            <w:pPr>
              <w:spacing w:before="20" w:after="20"/>
              <w:jc w:val="right"/>
            </w:pPr>
            <w:r>
              <w:rPr>
                <w:rFonts w:ascii="Georgia" w:hAnsi="Georgia"/>
                <w:sz w:val="14"/>
              </w:rPr>
            </w:r>
            <w:r>
              <w:rPr>
                <w:rFonts w:ascii="Georgia" w:hAnsi="Georgia"/>
                <w:sz w:val="14"/>
              </w:rPr>
              <w:t>c.1,664</w:t>
            </w:r>
          </w:p>
        </w:tc>
        <w:tc>
          <w:tcPr>
            <w:tcW w:type="dxa" w:w="2545"/>
            <w:shd w:val="clear" w:fill="F4F7FA"/>
          </w:tcPr>
          <w:p>
            <w:pPr>
              <w:spacing w:before="20" w:after="20"/>
              <w:jc w:val="right"/>
            </w:pPr>
            <w:r>
              <w:rPr>
                <w:rFonts w:ascii="Georgia" w:hAnsi="Georgia"/>
                <w:sz w:val="14"/>
              </w:rPr>
            </w:r>
            <w:r>
              <w:rPr>
                <w:rFonts w:ascii="Georgia" w:hAnsi="Georgia"/>
                <w:sz w:val="14"/>
              </w:rPr>
              <w:t>c.30.5%</w:t>
            </w:r>
          </w:p>
        </w:tc>
        <w:tc>
          <w:tcPr>
            <w:tcW w:type="dxa" w:w="2545"/>
            <w:shd w:val="clear" w:fill="F4F7FA"/>
          </w:tcPr>
          <w:p>
            <w:pPr>
              <w:spacing w:before="20" w:after="20"/>
            </w:pPr>
            <w:r>
              <w:rPr>
                <w:rFonts w:ascii="Georgia" w:hAnsi="Georgia"/>
                <w:sz w:val="14"/>
              </w:rPr>
            </w:r>
            <w:r>
              <w:rPr>
                <w:rFonts w:ascii="Georgia" w:hAnsi="Georgia"/>
                <w:sz w:val="14"/>
              </w:rPr>
              <w:t>Estimated</w:t>
            </w:r>
          </w:p>
        </w:tc>
      </w:tr>
      <w:tr>
        <w:tc>
          <w:tcPr>
            <w:tcW w:type="dxa" w:w="2545"/>
          </w:tcPr>
          <w:p>
            <w:pPr>
              <w:spacing w:before="20" w:after="20"/>
            </w:pPr>
            <w:r>
              <w:rPr>
                <w:rFonts w:ascii="Georgia" w:hAnsi="Georgia"/>
                <w:sz w:val="14"/>
              </w:rPr>
            </w:r>
            <w:r>
              <w:rPr>
                <w:rFonts w:ascii="Georgia" w:hAnsi="Georgia"/>
                <w:sz w:val="14"/>
              </w:rPr>
              <w:t>Non-GAAP operating income (EBIT)</w:t>
            </w:r>
          </w:p>
        </w:tc>
        <w:tc>
          <w:tcPr>
            <w:tcW w:type="dxa" w:w="2545"/>
          </w:tcPr>
          <w:p>
            <w:pPr>
              <w:spacing w:before="20" w:after="20"/>
              <w:jc w:val="right"/>
            </w:pPr>
            <w:r>
              <w:rPr>
                <w:rFonts w:ascii="Georgia" w:hAnsi="Georgia"/>
                <w:sz w:val="14"/>
              </w:rPr>
            </w:r>
            <w:r>
              <w:rPr>
                <w:rFonts w:ascii="Georgia" w:hAnsi="Georgia"/>
                <w:sz w:val="14"/>
              </w:rPr>
              <w:t>831.5</w:t>
            </w:r>
          </w:p>
        </w:tc>
        <w:tc>
          <w:tcPr>
            <w:tcW w:type="dxa" w:w="2545"/>
          </w:tcPr>
          <w:p>
            <w:pPr>
              <w:spacing w:before="20" w:after="20"/>
              <w:jc w:val="right"/>
            </w:pPr>
            <w:r>
              <w:rPr>
                <w:rFonts w:ascii="Georgia" w:hAnsi="Georgia"/>
                <w:sz w:val="14"/>
              </w:rPr>
            </w:r>
            <w:r>
              <w:rPr>
                <w:rFonts w:ascii="Georgia" w:hAnsi="Georgia"/>
                <w:sz w:val="14"/>
              </w:rPr>
              <w:t>15.2%</w:t>
            </w:r>
          </w:p>
        </w:tc>
        <w:tc>
          <w:tcPr>
            <w:tcW w:type="dxa" w:w="2545"/>
          </w:tcPr>
          <w:p>
            <w:pPr>
              <w:spacing w:before="20" w:after="20"/>
            </w:pPr>
            <w:r>
              <w:rPr>
                <w:rFonts w:ascii="Georgia" w:hAnsi="Georgia"/>
                <w:sz w:val="14"/>
              </w:rPr>
            </w:r>
            <w:r>
              <w:rPr>
                <w:rFonts w:ascii="Georgia" w:hAnsi="Georgia"/>
                <w:sz w:val="14"/>
              </w:rPr>
              <w:t>Reported</w:t>
            </w:r>
          </w:p>
        </w:tc>
      </w:tr>
      <w:tr>
        <w:tc>
          <w:tcPr>
            <w:tcW w:type="dxa" w:w="2545"/>
            <w:shd w:val="clear" w:fill="F4F7FA"/>
          </w:tcPr>
          <w:p>
            <w:pPr>
              <w:spacing w:before="20" w:after="20"/>
            </w:pPr>
            <w:r>
              <w:rPr>
                <w:rFonts w:ascii="Georgia" w:hAnsi="Georgia"/>
                <w:sz w:val="14"/>
              </w:rPr>
            </w:r>
            <w:r>
              <w:rPr>
                <w:rFonts w:ascii="Georgia" w:hAnsi="Georgia"/>
                <w:sz w:val="14"/>
              </w:rPr>
              <w:t>Depreciation &amp; amortisation (tangible, est.)</w:t>
            </w:r>
          </w:p>
        </w:tc>
        <w:tc>
          <w:tcPr>
            <w:tcW w:type="dxa" w:w="2545"/>
            <w:shd w:val="clear" w:fill="F4F7FA"/>
          </w:tcPr>
          <w:p>
            <w:pPr>
              <w:spacing w:before="20" w:after="20"/>
              <w:jc w:val="right"/>
            </w:pPr>
            <w:r>
              <w:rPr>
                <w:rFonts w:ascii="Georgia" w:hAnsi="Georgia"/>
                <w:sz w:val="14"/>
              </w:rPr>
            </w:r>
            <w:r>
              <w:rPr>
                <w:rFonts w:ascii="Georgia" w:hAnsi="Georgia"/>
                <w:sz w:val="14"/>
              </w:rPr>
              <w:t>c.60</w:t>
            </w:r>
          </w:p>
        </w:tc>
        <w:tc>
          <w:tcPr>
            <w:tcW w:type="dxa" w:w="2545"/>
            <w:shd w:val="clear" w:fill="F4F7FA"/>
          </w:tcPr>
          <w:p>
            <w:pPr>
              <w:spacing w:before="20" w:after="20"/>
              <w:jc w:val="right"/>
            </w:pPr>
            <w:r>
              <w:rPr>
                <w:rFonts w:ascii="Georgia" w:hAnsi="Georgia"/>
                <w:sz w:val="14"/>
              </w:rPr>
            </w:r>
            <w:r>
              <w:rPr>
                <w:rFonts w:ascii="Georgia" w:hAnsi="Georgia"/>
                <w:sz w:val="14"/>
              </w:rPr>
              <w:t>c.1.1%</w:t>
            </w:r>
          </w:p>
        </w:tc>
        <w:tc>
          <w:tcPr>
            <w:tcW w:type="dxa" w:w="2545"/>
            <w:shd w:val="clear" w:fill="F4F7FA"/>
          </w:tcPr>
          <w:p>
            <w:pPr>
              <w:spacing w:before="20" w:after="20"/>
            </w:pPr>
            <w:r>
              <w:rPr>
                <w:rFonts w:ascii="Georgia" w:hAnsi="Georgia"/>
                <w:sz w:val="14"/>
              </w:rPr>
            </w:r>
            <w:r>
              <w:rPr>
                <w:rFonts w:ascii="Georgia" w:hAnsi="Georgia"/>
                <w:sz w:val="14"/>
              </w:rPr>
              <w:t>Estimated</w:t>
            </w:r>
          </w:p>
        </w:tc>
      </w:tr>
      <w:tr>
        <w:tc>
          <w:tcPr>
            <w:tcW w:type="dxa" w:w="2545"/>
          </w:tcPr>
          <w:p>
            <w:pPr>
              <w:spacing w:before="20" w:after="20"/>
            </w:pPr>
            <w:r>
              <w:rPr>
                <w:rFonts w:ascii="Georgia" w:hAnsi="Georgia"/>
                <w:sz w:val="14"/>
              </w:rPr>
            </w:r>
            <w:r>
              <w:rPr>
                <w:rFonts w:ascii="Georgia" w:hAnsi="Georgia"/>
                <w:b/>
                <w:sz w:val="14"/>
              </w:rPr>
              <w:t>Adjusted EBITDA (est.)</w:t>
            </w:r>
          </w:p>
        </w:tc>
        <w:tc>
          <w:tcPr>
            <w:tcW w:type="dxa" w:w="2545"/>
          </w:tcPr>
          <w:p>
            <w:pPr>
              <w:spacing w:before="20" w:after="20"/>
              <w:jc w:val="right"/>
            </w:pPr>
            <w:r>
              <w:rPr>
                <w:rFonts w:ascii="Georgia" w:hAnsi="Georgia"/>
                <w:sz w:val="14"/>
              </w:rPr>
            </w:r>
            <w:r>
              <w:rPr>
                <w:rFonts w:ascii="Georgia" w:hAnsi="Georgia"/>
                <w:b/>
                <w:sz w:val="14"/>
              </w:rPr>
              <w:t>c.892</w:t>
            </w:r>
          </w:p>
        </w:tc>
        <w:tc>
          <w:tcPr>
            <w:tcW w:type="dxa" w:w="2545"/>
          </w:tcPr>
          <w:p>
            <w:pPr>
              <w:spacing w:before="20" w:after="20"/>
              <w:jc w:val="right"/>
            </w:pPr>
            <w:r>
              <w:rPr>
                <w:rFonts w:ascii="Georgia" w:hAnsi="Georgia"/>
                <w:sz w:val="14"/>
              </w:rPr>
            </w:r>
            <w:r>
              <w:rPr>
                <w:rFonts w:ascii="Georgia" w:hAnsi="Georgia"/>
                <w:b/>
                <w:sz w:val="14"/>
              </w:rPr>
              <w:t>c.16.3%</w:t>
            </w:r>
          </w:p>
        </w:tc>
        <w:tc>
          <w:tcPr>
            <w:tcW w:type="dxa" w:w="2545"/>
          </w:tcPr>
          <w:p>
            <w:pPr>
              <w:spacing w:before="20" w:after="20"/>
            </w:pPr>
            <w:r>
              <w:rPr>
                <w:rFonts w:ascii="Georgia" w:hAnsi="Georgia"/>
                <w:sz w:val="14"/>
              </w:rPr>
            </w:r>
            <w:r>
              <w:rPr>
                <w:rFonts w:ascii="Georgia" w:hAnsi="Georgia"/>
                <w:sz w:val="14"/>
              </w:rPr>
              <w:t>Non-GAAP EBIT plus tangible D&amp;A</w:t>
            </w:r>
          </w:p>
        </w:tc>
      </w:tr>
      <w:tr>
        <w:tc>
          <w:tcPr>
            <w:tcW w:type="dxa" w:w="2545"/>
            <w:shd w:val="clear" w:fill="F4F7FA"/>
          </w:tcPr>
          <w:p>
            <w:pPr>
              <w:spacing w:before="20" w:after="20"/>
            </w:pPr>
            <w:r>
              <w:rPr>
                <w:rFonts w:ascii="Georgia" w:hAnsi="Georgia"/>
                <w:sz w:val="14"/>
              </w:rPr>
            </w:r>
            <w:r>
              <w:rPr>
                <w:rFonts w:ascii="Georgia" w:hAnsi="Georgia"/>
                <w:sz w:val="14"/>
              </w:rPr>
              <w:t>GAAP operating income (EBIT)</w:t>
            </w:r>
          </w:p>
        </w:tc>
        <w:tc>
          <w:tcPr>
            <w:tcW w:type="dxa" w:w="2545"/>
            <w:shd w:val="clear" w:fill="F4F7FA"/>
          </w:tcPr>
          <w:p>
            <w:pPr>
              <w:spacing w:before="20" w:after="20"/>
              <w:jc w:val="right"/>
            </w:pPr>
            <w:r>
              <w:rPr>
                <w:rFonts w:ascii="Georgia" w:hAnsi="Georgia"/>
                <w:sz w:val="14"/>
              </w:rPr>
            </w:r>
            <w:r>
              <w:rPr>
                <w:rFonts w:ascii="Georgia" w:hAnsi="Georgia"/>
                <w:sz w:val="14"/>
              </w:rPr>
              <w:t>520.0</w:t>
            </w:r>
          </w:p>
        </w:tc>
        <w:tc>
          <w:tcPr>
            <w:tcW w:type="dxa" w:w="2545"/>
            <w:shd w:val="clear" w:fill="F4F7FA"/>
          </w:tcPr>
          <w:p>
            <w:pPr>
              <w:spacing w:before="20" w:after="20"/>
              <w:jc w:val="right"/>
            </w:pPr>
            <w:r>
              <w:rPr>
                <w:rFonts w:ascii="Georgia" w:hAnsi="Georgia"/>
                <w:sz w:val="14"/>
              </w:rPr>
            </w:r>
            <w:r>
              <w:rPr>
                <w:rFonts w:ascii="Georgia" w:hAnsi="Georgia"/>
                <w:sz w:val="14"/>
              </w:rPr>
              <w:t>9.5%</w:t>
            </w:r>
          </w:p>
        </w:tc>
        <w:tc>
          <w:tcPr>
            <w:tcW w:type="dxa" w:w="2545"/>
            <w:shd w:val="clear" w:fill="F4F7FA"/>
          </w:tcPr>
          <w:p>
            <w:pPr>
              <w:spacing w:before="20" w:after="20"/>
            </w:pPr>
            <w:r>
              <w:rPr>
                <w:rFonts w:ascii="Georgia" w:hAnsi="Georgia"/>
                <w:sz w:val="14"/>
              </w:rPr>
            </w:r>
            <w:r>
              <w:rPr>
                <w:rFonts w:ascii="Georgia" w:hAnsi="Georgia"/>
                <w:sz w:val="14"/>
              </w:rPr>
              <w:t>Reported</w:t>
            </w:r>
          </w:p>
        </w:tc>
      </w:tr>
      <w:tr>
        <w:tc>
          <w:tcPr>
            <w:tcW w:type="dxa" w:w="2545"/>
          </w:tcPr>
          <w:p>
            <w:pPr>
              <w:spacing w:before="20" w:after="20"/>
            </w:pPr>
            <w:r>
              <w:rPr>
                <w:rFonts w:ascii="Georgia" w:hAnsi="Georgia"/>
                <w:sz w:val="14"/>
              </w:rPr>
            </w:r>
            <w:r>
              <w:rPr>
                <w:rFonts w:ascii="Georgia" w:hAnsi="Georgia"/>
                <w:sz w:val="14"/>
              </w:rPr>
              <w:t>GAAP net income (derived)</w:t>
            </w:r>
          </w:p>
        </w:tc>
        <w:tc>
          <w:tcPr>
            <w:tcW w:type="dxa" w:w="2545"/>
          </w:tcPr>
          <w:p>
            <w:pPr>
              <w:spacing w:before="20" w:after="20"/>
              <w:jc w:val="right"/>
            </w:pPr>
            <w:r>
              <w:rPr>
                <w:rFonts w:ascii="Georgia" w:hAnsi="Georgia"/>
                <w:sz w:val="14"/>
              </w:rPr>
            </w:r>
            <w:r>
              <w:rPr>
                <w:rFonts w:ascii="Georgia" w:hAnsi="Georgia"/>
                <w:sz w:val="14"/>
              </w:rPr>
              <w:t>c.366</w:t>
            </w:r>
          </w:p>
        </w:tc>
        <w:tc>
          <w:tcPr>
            <w:tcW w:type="dxa" w:w="2545"/>
          </w:tcPr>
          <w:p>
            <w:pPr>
              <w:spacing w:before="20" w:after="20"/>
              <w:jc w:val="right"/>
            </w:pPr>
            <w:r>
              <w:rPr>
                <w:rFonts w:ascii="Georgia" w:hAnsi="Georgia"/>
                <w:sz w:val="14"/>
              </w:rPr>
            </w:r>
            <w:r>
              <w:rPr>
                <w:rFonts w:ascii="Georgia" w:hAnsi="Georgia"/>
                <w:sz w:val="14"/>
              </w:rPr>
              <w:t>c.6.7%</w:t>
            </w:r>
          </w:p>
        </w:tc>
        <w:tc>
          <w:tcPr>
            <w:tcW w:type="dxa" w:w="2545"/>
          </w:tcPr>
          <w:p>
            <w:pPr>
              <w:spacing w:before="20" w:after="20"/>
            </w:pPr>
            <w:r>
              <w:rPr>
                <w:rFonts w:ascii="Georgia" w:hAnsi="Georgia"/>
                <w:sz w:val="14"/>
              </w:rPr>
            </w:r>
            <w:r>
              <w:rPr>
                <w:rFonts w:ascii="Georgia" w:hAnsi="Georgia"/>
                <w:sz w:val="14"/>
              </w:rPr>
              <w:t>Derived from GAAP EPS of $6.72</w:t>
            </w:r>
          </w:p>
        </w:tc>
      </w:tr>
      <w:tr>
        <w:tc>
          <w:tcPr>
            <w:tcW w:type="dxa" w:w="2545"/>
            <w:shd w:val="clear" w:fill="F4F7FA"/>
          </w:tcPr>
          <w:p>
            <w:pPr>
              <w:spacing w:before="20" w:after="20"/>
            </w:pPr>
            <w:r>
              <w:rPr>
                <w:rFonts w:ascii="Georgia" w:hAnsi="Georgia"/>
                <w:sz w:val="14"/>
              </w:rPr>
            </w:r>
            <w:r>
              <w:rPr>
                <w:rFonts w:ascii="Georgia" w:hAnsi="Georgia"/>
                <w:sz w:val="14"/>
              </w:rPr>
              <w:t>Non-GAAP net income (derived)</w:t>
            </w:r>
          </w:p>
        </w:tc>
        <w:tc>
          <w:tcPr>
            <w:tcW w:type="dxa" w:w="2545"/>
            <w:shd w:val="clear" w:fill="F4F7FA"/>
          </w:tcPr>
          <w:p>
            <w:pPr>
              <w:spacing w:before="20" w:after="20"/>
              <w:jc w:val="right"/>
            </w:pPr>
            <w:r>
              <w:rPr>
                <w:rFonts w:ascii="Georgia" w:hAnsi="Georgia"/>
                <w:sz w:val="14"/>
              </w:rPr>
            </w:r>
            <w:r>
              <w:rPr>
                <w:rFonts w:ascii="Georgia" w:hAnsi="Georgia"/>
                <w:sz w:val="14"/>
              </w:rPr>
              <w:t>c.651</w:t>
            </w:r>
          </w:p>
        </w:tc>
        <w:tc>
          <w:tcPr>
            <w:tcW w:type="dxa" w:w="2545"/>
            <w:shd w:val="clear" w:fill="F4F7FA"/>
          </w:tcPr>
          <w:p>
            <w:pPr>
              <w:spacing w:before="20" w:after="20"/>
              <w:jc w:val="right"/>
            </w:pPr>
            <w:r>
              <w:rPr>
                <w:rFonts w:ascii="Georgia" w:hAnsi="Georgia"/>
                <w:sz w:val="14"/>
              </w:rPr>
            </w:r>
            <w:r>
              <w:rPr>
                <w:rFonts w:ascii="Georgia" w:hAnsi="Georgia"/>
                <w:sz w:val="14"/>
              </w:rPr>
              <w:t>c.11.9%</w:t>
            </w:r>
          </w:p>
        </w:tc>
        <w:tc>
          <w:tcPr>
            <w:tcW w:type="dxa" w:w="2545"/>
            <w:shd w:val="clear" w:fill="F4F7FA"/>
          </w:tcPr>
          <w:p>
            <w:pPr>
              <w:spacing w:before="20" w:after="20"/>
            </w:pPr>
            <w:r>
              <w:rPr>
                <w:rFonts w:ascii="Georgia" w:hAnsi="Georgia"/>
                <w:sz w:val="14"/>
              </w:rPr>
            </w:r>
            <w:r>
              <w:rPr>
                <w:rFonts w:ascii="Georgia" w:hAnsi="Georgia"/>
                <w:sz w:val="14"/>
              </w:rPr>
              <w:t>Derived from non-GAAP EPS of $11.50</w:t>
            </w:r>
          </w:p>
        </w:tc>
      </w:tr>
    </w:tbl>
    <w:p>
      <w:pPr>
        <w:spacing w:after="60"/>
      </w:pPr>
    </w:p>
    <w:p>
      <w:pPr>
        <w:keepNext/>
        <w:spacing w:before="200" w:after="80"/>
      </w:pPr>
      <w:r>
        <w:rPr>
          <w:rFonts w:ascii="Georgia" w:hAnsi="Georgia"/>
          <w:b/>
          <w:color w:val="14487F"/>
          <w:sz w:val="21"/>
        </w:rPr>
        <w:t>Historical trends in growth and margin</w:t>
      </w:r>
    </w:p>
    <w:p>
      <w:pPr>
        <w:spacing w:before="0" w:after="80"/>
        <w:jc w:val="both"/>
      </w:pPr>
      <w:r>
        <w:rPr/>
        <w:t xml:space="preserve">Revenue compounded at approximately </w:t>
      </w:r>
      <w:r>
        <w:rPr>
          <w:b/>
        </w:rPr>
        <w:t>15.5% annually from FY2019 to FY2025</w:t>
      </w:r>
      <w:r>
        <w:rPr/>
        <w:t xml:space="preserve"> ($2,294m to $5,457m), but the path is bimodal: roughly 28% annually from 2019 to 2022, then roughly 4% annually from 2022 to 2025. Non-GAAP operating margin has been remarkably stable in a 14–17% band throughout, troughing at roughly 14.3% in 2022 on war-related relocation costs and recovering to 15.2% in 2025, with Q2 2026 at 16.4%. </w:t>
      </w:r>
      <w:r>
        <w:rPr>
          <w:b/>
        </w:rPr>
        <w:t>GAAP margin has been the deteriorating series</w:t>
      </w:r>
      <w:r>
        <w:rPr/>
        <w:t xml:space="preserve"> — 11.5% in 2024 to 9.5% in 2025 — as acquisition amortisation and stock-based compensation grew faster than revenue. The widening GAAP-to-non-GAAP gap is the principal quality-of-earnings concern and is examined in Section 24.</w:t>
      </w:r>
    </w:p>
    <w:p>
      <w:pPr>
        <w:keepNext/>
        <w:spacing w:before="200" w:after="80"/>
      </w:pPr>
      <w:r>
        <w:rPr>
          <w:rFonts w:ascii="Georgia" w:hAnsi="Georgia"/>
          <w:b/>
          <w:color w:val="14487F"/>
          <w:sz w:val="21"/>
        </w:rPr>
        <w:t>Valuation: current versus own history</w:t>
      </w:r>
    </w:p>
    <w:tbl>
      <w:tblPr>
        <w:tblStyle w:val="TableGrid"/>
        <w:tblW w:type="auto" w:w="0"/>
        <w:jc w:val="center"/>
        <w:tblLayout w:type="autofit"/>
        <w:tblLook w:firstColumn="1" w:firstRow="1" w:lastColumn="0" w:lastRow="0" w:noHBand="0" w:noVBand="1" w:val="04A0"/>
      </w:tblPr>
      <w:tblGrid>
        <w:gridCol w:w="1697"/>
        <w:gridCol w:w="1697"/>
        <w:gridCol w:w="1697"/>
        <w:gridCol w:w="1697"/>
        <w:gridCol w:w="1697"/>
        <w:gridCol w:w="1697"/>
      </w:tblGrid>
      <w:tr>
        <w:tc>
          <w:tcPr>
            <w:tcW w:type="dxa" w:w="1697"/>
            <w:shd w:val="clear" w:fill="0B2545"/>
          </w:tcPr>
          <w:p>
            <w:pPr>
              <w:spacing w:before="20" w:after="20"/>
            </w:pPr>
            <w:r>
              <w:rPr>
                <w:rFonts w:ascii="Georgia" w:hAnsi="Georgia"/>
                <w:b/>
                <w:color w:val="FFFFFF"/>
                <w:sz w:val="14"/>
              </w:rPr>
            </w:r>
            <w:r>
              <w:rPr>
                <w:rFonts w:ascii="Georgia" w:hAnsi="Georgia"/>
                <w:b/>
                <w:color w:val="FFFFFF"/>
                <w:sz w:val="14"/>
              </w:rPr>
              <w:t>Multiple</w:t>
            </w:r>
          </w:p>
        </w:tc>
        <w:tc>
          <w:tcPr>
            <w:tcW w:type="dxa" w:w="1697"/>
            <w:shd w:val="clear" w:fill="0B2545"/>
          </w:tcPr>
          <w:p>
            <w:pPr>
              <w:spacing w:before="20" w:after="20"/>
              <w:jc w:val="right"/>
            </w:pPr>
            <w:r>
              <w:rPr>
                <w:rFonts w:ascii="Georgia" w:hAnsi="Georgia"/>
                <w:b/>
                <w:color w:val="FFFFFF"/>
                <w:sz w:val="14"/>
              </w:rPr>
            </w:r>
            <w:r>
              <w:rPr>
                <w:rFonts w:ascii="Georgia" w:hAnsi="Georgia"/>
                <w:b/>
                <w:color w:val="FFFFFF"/>
                <w:sz w:val="14"/>
              </w:rPr>
              <w:t>Current</w:t>
            </w:r>
          </w:p>
        </w:tc>
        <w:tc>
          <w:tcPr>
            <w:tcW w:type="dxa" w:w="1697"/>
            <w:shd w:val="clear" w:fill="0B2545"/>
          </w:tcPr>
          <w:p>
            <w:pPr>
              <w:spacing w:before="20" w:after="20"/>
              <w:jc w:val="right"/>
            </w:pPr>
            <w:r>
              <w:rPr>
                <w:rFonts w:ascii="Georgia" w:hAnsi="Georgia"/>
                <w:b/>
                <w:color w:val="FFFFFF"/>
                <w:sz w:val="14"/>
              </w:rPr>
            </w:r>
            <w:r>
              <w:rPr>
                <w:rFonts w:ascii="Georgia" w:hAnsi="Georgia"/>
                <w:b/>
                <w:color w:val="FFFFFF"/>
                <w:sz w:val="14"/>
              </w:rPr>
              <w:t>10-year median</w:t>
            </w:r>
          </w:p>
        </w:tc>
        <w:tc>
          <w:tcPr>
            <w:tcW w:type="dxa" w:w="1697"/>
            <w:shd w:val="clear" w:fill="0B2545"/>
          </w:tcPr>
          <w:p>
            <w:pPr>
              <w:spacing w:before="20" w:after="20"/>
              <w:jc w:val="right"/>
            </w:pPr>
            <w:r>
              <w:rPr>
                <w:rFonts w:ascii="Georgia" w:hAnsi="Georgia"/>
                <w:b/>
                <w:color w:val="FFFFFF"/>
                <w:sz w:val="14"/>
              </w:rPr>
            </w:r>
            <w:r>
              <w:rPr>
                <w:rFonts w:ascii="Georgia" w:hAnsi="Georgia"/>
                <w:b/>
                <w:color w:val="FFFFFF"/>
                <w:sz w:val="14"/>
              </w:rPr>
              <w:t>10-year low</w:t>
            </w:r>
          </w:p>
        </w:tc>
        <w:tc>
          <w:tcPr>
            <w:tcW w:type="dxa" w:w="1697"/>
            <w:shd w:val="clear" w:fill="0B2545"/>
          </w:tcPr>
          <w:p>
            <w:pPr>
              <w:spacing w:before="20" w:after="20"/>
              <w:jc w:val="right"/>
            </w:pPr>
            <w:r>
              <w:rPr>
                <w:rFonts w:ascii="Georgia" w:hAnsi="Georgia"/>
                <w:b/>
                <w:color w:val="FFFFFF"/>
                <w:sz w:val="14"/>
              </w:rPr>
            </w:r>
            <w:r>
              <w:rPr>
                <w:rFonts w:ascii="Georgia" w:hAnsi="Georgia"/>
                <w:b/>
                <w:color w:val="FFFFFF"/>
                <w:sz w:val="14"/>
              </w:rPr>
              <w:t>10-year high</w:t>
            </w:r>
          </w:p>
        </w:tc>
        <w:tc>
          <w:tcPr>
            <w:tcW w:type="dxa" w:w="1697"/>
            <w:shd w:val="clear" w:fill="0B2545"/>
          </w:tcPr>
          <w:p>
            <w:pPr>
              <w:spacing w:before="20" w:after="20"/>
            </w:pPr>
            <w:r>
              <w:rPr>
                <w:rFonts w:ascii="Georgia" w:hAnsi="Georgia"/>
                <w:b/>
                <w:color w:val="FFFFFF"/>
                <w:sz w:val="14"/>
              </w:rPr>
            </w:r>
            <w:r>
              <w:rPr>
                <w:rFonts w:ascii="Georgia" w:hAnsi="Georgia"/>
                <w:b/>
                <w:color w:val="FFFFFF"/>
                <w:sz w:val="14"/>
              </w:rPr>
              <w:t>Read</w:t>
            </w:r>
          </w:p>
        </w:tc>
      </w:tr>
      <w:tr>
        <w:tc>
          <w:tcPr>
            <w:tcW w:type="dxa" w:w="1697"/>
          </w:tcPr>
          <w:p>
            <w:pPr>
              <w:spacing w:before="20" w:after="20"/>
            </w:pPr>
            <w:r>
              <w:rPr>
                <w:rFonts w:ascii="Georgia" w:hAnsi="Georgia"/>
                <w:sz w:val="14"/>
              </w:rPr>
            </w:r>
            <w:r>
              <w:rPr>
                <w:rFonts w:ascii="Georgia" w:hAnsi="Georgia"/>
                <w:sz w:val="14"/>
              </w:rPr>
              <w:t>EV/EBITDA</w:t>
            </w:r>
          </w:p>
        </w:tc>
        <w:tc>
          <w:tcPr>
            <w:tcW w:type="dxa" w:w="1697"/>
          </w:tcPr>
          <w:p>
            <w:pPr>
              <w:spacing w:before="20" w:after="20"/>
              <w:jc w:val="right"/>
            </w:pPr>
            <w:r>
              <w:rPr>
                <w:rFonts w:ascii="Georgia" w:hAnsi="Georgia"/>
                <w:sz w:val="14"/>
              </w:rPr>
            </w:r>
            <w:r>
              <w:rPr>
                <w:rFonts w:ascii="Georgia" w:hAnsi="Georgia"/>
                <w:sz w:val="14"/>
              </w:rPr>
              <w:t>c.5.5–5.8x</w:t>
            </w:r>
          </w:p>
        </w:tc>
        <w:tc>
          <w:tcPr>
            <w:tcW w:type="dxa" w:w="1697"/>
          </w:tcPr>
          <w:p>
            <w:pPr>
              <w:spacing w:before="20" w:after="20"/>
              <w:jc w:val="right"/>
            </w:pPr>
            <w:r>
              <w:rPr>
                <w:rFonts w:ascii="Georgia" w:hAnsi="Georgia"/>
                <w:sz w:val="14"/>
              </w:rPr>
            </w:r>
            <w:r>
              <w:rPr>
                <w:rFonts w:ascii="Georgia" w:hAnsi="Georgia"/>
                <w:sz w:val="14"/>
              </w:rPr>
              <w:t>24.9x</w:t>
            </w:r>
          </w:p>
        </w:tc>
        <w:tc>
          <w:tcPr>
            <w:tcW w:type="dxa" w:w="1697"/>
          </w:tcPr>
          <w:p>
            <w:pPr>
              <w:spacing w:before="20" w:after="20"/>
              <w:jc w:val="right"/>
            </w:pPr>
            <w:r>
              <w:rPr>
                <w:rFonts w:ascii="Georgia" w:hAnsi="Georgia"/>
                <w:sz w:val="14"/>
              </w:rPr>
            </w:r>
            <w:r>
              <w:rPr>
                <w:rFonts w:ascii="Georgia" w:hAnsi="Georgia"/>
                <w:sz w:val="14"/>
              </w:rPr>
              <w:t>4.8x</w:t>
            </w:r>
          </w:p>
        </w:tc>
        <w:tc>
          <w:tcPr>
            <w:tcW w:type="dxa" w:w="1697"/>
          </w:tcPr>
          <w:p>
            <w:pPr>
              <w:spacing w:before="20" w:after="20"/>
              <w:jc w:val="right"/>
            </w:pPr>
            <w:r>
              <w:rPr>
                <w:rFonts w:ascii="Georgia" w:hAnsi="Georgia"/>
                <w:sz w:val="14"/>
              </w:rPr>
            </w:r>
            <w:r>
              <w:rPr>
                <w:rFonts w:ascii="Georgia" w:hAnsi="Georgia"/>
                <w:sz w:val="14"/>
              </w:rPr>
              <w:t>64.8x</w:t>
            </w:r>
          </w:p>
        </w:tc>
        <w:tc>
          <w:tcPr>
            <w:tcW w:type="dxa" w:w="1697"/>
          </w:tcPr>
          <w:p>
            <w:pPr>
              <w:spacing w:before="20" w:after="20"/>
            </w:pPr>
            <w:r>
              <w:rPr>
                <w:rFonts w:ascii="Georgia" w:hAnsi="Georgia"/>
                <w:sz w:val="14"/>
              </w:rPr>
            </w:r>
            <w:r>
              <w:rPr>
                <w:rFonts w:ascii="Georgia" w:hAnsi="Georgia"/>
                <w:sz w:val="14"/>
              </w:rPr>
              <w:t>Near the all-time low; roughly 77% below median</w:t>
            </w:r>
          </w:p>
        </w:tc>
      </w:tr>
      <w:tr>
        <w:tc>
          <w:tcPr>
            <w:tcW w:type="dxa" w:w="1697"/>
            <w:shd w:val="clear" w:fill="F4F7FA"/>
          </w:tcPr>
          <w:p>
            <w:pPr>
              <w:spacing w:before="20" w:after="20"/>
            </w:pPr>
            <w:r>
              <w:rPr>
                <w:rFonts w:ascii="Georgia" w:hAnsi="Georgia"/>
                <w:sz w:val="14"/>
              </w:rPr>
            </w:r>
            <w:r>
              <w:rPr>
                <w:rFonts w:ascii="Georgia" w:hAnsi="Georgia"/>
                <w:sz w:val="14"/>
              </w:rPr>
              <w:t>EV/Sales</w:t>
            </w:r>
          </w:p>
        </w:tc>
        <w:tc>
          <w:tcPr>
            <w:tcW w:type="dxa" w:w="1697"/>
            <w:shd w:val="clear" w:fill="F4F7FA"/>
          </w:tcPr>
          <w:p>
            <w:pPr>
              <w:spacing w:before="20" w:after="20"/>
              <w:jc w:val="right"/>
            </w:pPr>
            <w:r>
              <w:rPr>
                <w:rFonts w:ascii="Georgia" w:hAnsi="Georgia"/>
                <w:sz w:val="14"/>
              </w:rPr>
            </w:r>
            <w:r>
              <w:rPr>
                <w:rFonts w:ascii="Georgia" w:hAnsi="Georgia"/>
                <w:sz w:val="14"/>
              </w:rPr>
              <w:t>c.0.91x</w:t>
            </w:r>
          </w:p>
        </w:tc>
        <w:tc>
          <w:tcPr>
            <w:tcW w:type="dxa" w:w="1697"/>
            <w:shd w:val="clear" w:fill="F4F7FA"/>
          </w:tcPr>
          <w:p>
            <w:pPr>
              <w:spacing w:before="20" w:after="20"/>
              <w:jc w:val="right"/>
            </w:pPr>
            <w:r>
              <w:rPr>
                <w:rFonts w:ascii="Georgia" w:hAnsi="Georgia"/>
                <w:sz w:val="14"/>
              </w:rPr>
            </w:r>
            <w:r>
              <w:rPr>
                <w:rFonts w:ascii="Georgia" w:hAnsi="Georgia"/>
                <w:sz w:val="14"/>
              </w:rPr>
              <w:t>c.4.0x</w:t>
            </w:r>
          </w:p>
        </w:tc>
        <w:tc>
          <w:tcPr>
            <w:tcW w:type="dxa" w:w="1697"/>
            <w:shd w:val="clear" w:fill="F4F7FA"/>
          </w:tcPr>
          <w:p>
            <w:pPr>
              <w:spacing w:before="20" w:after="20"/>
              <w:jc w:val="right"/>
            </w:pPr>
            <w:r>
              <w:rPr>
                <w:rFonts w:ascii="Georgia" w:hAnsi="Georgia"/>
                <w:sz w:val="14"/>
              </w:rPr>
            </w:r>
            <w:r>
              <w:rPr>
                <w:rFonts w:ascii="Georgia" w:hAnsi="Georgia"/>
                <w:sz w:val="14"/>
              </w:rPr>
              <w:t>c.0.8x</w:t>
            </w:r>
          </w:p>
        </w:tc>
        <w:tc>
          <w:tcPr>
            <w:tcW w:type="dxa" w:w="1697"/>
            <w:shd w:val="clear" w:fill="F4F7FA"/>
          </w:tcPr>
          <w:p>
            <w:pPr>
              <w:spacing w:before="20" w:after="20"/>
              <w:jc w:val="right"/>
            </w:pPr>
            <w:r>
              <w:rPr>
                <w:rFonts w:ascii="Georgia" w:hAnsi="Georgia"/>
                <w:sz w:val="14"/>
              </w:rPr>
            </w:r>
            <w:r>
              <w:rPr>
                <w:rFonts w:ascii="Georgia" w:hAnsi="Georgia"/>
                <w:sz w:val="14"/>
              </w:rPr>
              <w:t>c.10x</w:t>
            </w:r>
          </w:p>
        </w:tc>
        <w:tc>
          <w:tcPr>
            <w:tcW w:type="dxa" w:w="1697"/>
            <w:shd w:val="clear" w:fill="F4F7FA"/>
          </w:tcPr>
          <w:p>
            <w:pPr>
              <w:spacing w:before="20" w:after="20"/>
            </w:pPr>
            <w:r>
              <w:rPr>
                <w:rFonts w:ascii="Georgia" w:hAnsi="Georgia"/>
                <w:sz w:val="14"/>
              </w:rPr>
            </w:r>
            <w:r>
              <w:rPr>
                <w:rFonts w:ascii="Georgia" w:hAnsi="Georgia"/>
                <w:sz w:val="14"/>
              </w:rPr>
              <w:t>Near all-time low</w:t>
            </w:r>
          </w:p>
        </w:tc>
      </w:tr>
      <w:tr>
        <w:tc>
          <w:tcPr>
            <w:tcW w:type="dxa" w:w="1697"/>
          </w:tcPr>
          <w:p>
            <w:pPr>
              <w:spacing w:before="20" w:after="20"/>
            </w:pPr>
            <w:r>
              <w:rPr>
                <w:rFonts w:ascii="Georgia" w:hAnsi="Georgia"/>
                <w:sz w:val="14"/>
              </w:rPr>
            </w:r>
            <w:r>
              <w:rPr>
                <w:rFonts w:ascii="Georgia" w:hAnsi="Georgia"/>
                <w:sz w:val="14"/>
              </w:rPr>
              <w:t>P/E (non-GAAP, forward)</w:t>
            </w:r>
          </w:p>
        </w:tc>
        <w:tc>
          <w:tcPr>
            <w:tcW w:type="dxa" w:w="1697"/>
          </w:tcPr>
          <w:p>
            <w:pPr>
              <w:spacing w:before="20" w:after="20"/>
              <w:jc w:val="right"/>
            </w:pPr>
            <w:r>
              <w:rPr>
                <w:rFonts w:ascii="Georgia" w:hAnsi="Georgia"/>
                <w:sz w:val="14"/>
              </w:rPr>
            </w:r>
            <w:r>
              <w:rPr>
                <w:rFonts w:ascii="Georgia" w:hAnsi="Georgia"/>
                <w:sz w:val="14"/>
              </w:rPr>
              <w:t>c.8.7x</w:t>
            </w:r>
          </w:p>
        </w:tc>
        <w:tc>
          <w:tcPr>
            <w:tcW w:type="dxa" w:w="1697"/>
          </w:tcPr>
          <w:p>
            <w:pPr>
              <w:spacing w:before="20" w:after="20"/>
              <w:jc w:val="right"/>
            </w:pPr>
            <w:r>
              <w:rPr>
                <w:rFonts w:ascii="Georgia" w:hAnsi="Georgia"/>
                <w:sz w:val="14"/>
              </w:rPr>
            </w:r>
            <w:r>
              <w:rPr>
                <w:rFonts w:ascii="Georgia" w:hAnsi="Georgia"/>
                <w:sz w:val="14"/>
              </w:rPr>
              <w:t>c.28x</w:t>
            </w:r>
          </w:p>
        </w:tc>
        <w:tc>
          <w:tcPr>
            <w:tcW w:type="dxa" w:w="1697"/>
          </w:tcPr>
          <w:p>
            <w:pPr>
              <w:spacing w:before="20" w:after="20"/>
              <w:jc w:val="right"/>
            </w:pPr>
            <w:r>
              <w:rPr>
                <w:rFonts w:ascii="Georgia" w:hAnsi="Georgia"/>
                <w:sz w:val="14"/>
              </w:rPr>
            </w:r>
            <w:r>
              <w:rPr>
                <w:rFonts w:ascii="Georgia" w:hAnsi="Georgia"/>
                <w:sz w:val="14"/>
              </w:rPr>
              <w:t>c.8x</w:t>
            </w:r>
          </w:p>
        </w:tc>
        <w:tc>
          <w:tcPr>
            <w:tcW w:type="dxa" w:w="1697"/>
          </w:tcPr>
          <w:p>
            <w:pPr>
              <w:spacing w:before="20" w:after="20"/>
              <w:jc w:val="right"/>
            </w:pPr>
            <w:r>
              <w:rPr>
                <w:rFonts w:ascii="Georgia" w:hAnsi="Georgia"/>
                <w:sz w:val="14"/>
              </w:rPr>
            </w:r>
            <w:r>
              <w:rPr>
                <w:rFonts w:ascii="Georgia" w:hAnsi="Georgia"/>
                <w:sz w:val="14"/>
              </w:rPr>
              <w:t>c.60x+</w:t>
            </w:r>
          </w:p>
        </w:tc>
        <w:tc>
          <w:tcPr>
            <w:tcW w:type="dxa" w:w="1697"/>
          </w:tcPr>
          <w:p>
            <w:pPr>
              <w:spacing w:before="20" w:after="20"/>
            </w:pPr>
            <w:r>
              <w:rPr>
                <w:rFonts w:ascii="Georgia" w:hAnsi="Georgia"/>
                <w:sz w:val="14"/>
              </w:rPr>
            </w:r>
            <w:r>
              <w:rPr>
                <w:rFonts w:ascii="Georgia" w:hAnsi="Georgia"/>
                <w:sz w:val="14"/>
              </w:rPr>
              <w:t>Near all-time low</w:t>
            </w:r>
          </w:p>
        </w:tc>
      </w:tr>
      <w:tr>
        <w:tc>
          <w:tcPr>
            <w:tcW w:type="dxa" w:w="1697"/>
            <w:shd w:val="clear" w:fill="F4F7FA"/>
          </w:tcPr>
          <w:p>
            <w:pPr>
              <w:spacing w:before="20" w:after="20"/>
            </w:pPr>
            <w:r>
              <w:rPr>
                <w:rFonts w:ascii="Georgia" w:hAnsi="Georgia"/>
                <w:sz w:val="14"/>
              </w:rPr>
            </w:r>
            <w:r>
              <w:rPr>
                <w:rFonts w:ascii="Georgia" w:hAnsi="Georgia"/>
                <w:sz w:val="14"/>
              </w:rPr>
              <w:t>P/E (GAAP, trailing)</w:t>
            </w:r>
          </w:p>
        </w:tc>
        <w:tc>
          <w:tcPr>
            <w:tcW w:type="dxa" w:w="1697"/>
            <w:shd w:val="clear" w:fill="F4F7FA"/>
          </w:tcPr>
          <w:p>
            <w:pPr>
              <w:spacing w:before="20" w:after="20"/>
              <w:jc w:val="right"/>
            </w:pPr>
            <w:r>
              <w:rPr>
                <w:rFonts w:ascii="Georgia" w:hAnsi="Georgia"/>
                <w:sz w:val="14"/>
              </w:rPr>
            </w:r>
            <w:r>
              <w:rPr>
                <w:rFonts w:ascii="Georgia" w:hAnsi="Georgia"/>
                <w:sz w:val="14"/>
              </w:rPr>
              <w:t>c.13.6x</w:t>
            </w:r>
          </w:p>
        </w:tc>
        <w:tc>
          <w:tcPr>
            <w:tcW w:type="dxa" w:w="1697"/>
            <w:shd w:val="clear" w:fill="F4F7FA"/>
          </w:tcPr>
          <w:p>
            <w:pPr>
              <w:spacing w:before="20" w:after="20"/>
              <w:jc w:val="right"/>
            </w:pPr>
            <w:r>
              <w:rPr>
                <w:rFonts w:ascii="Georgia" w:hAnsi="Georgia"/>
                <w:sz w:val="14"/>
              </w:rPr>
            </w:r>
            <w:r>
              <w:rPr>
                <w:rFonts w:ascii="Georgia" w:hAnsi="Georgia"/>
                <w:sz w:val="14"/>
              </w:rPr>
              <w:t>c.38x</w:t>
            </w:r>
          </w:p>
        </w:tc>
        <w:tc>
          <w:tcPr>
            <w:tcW w:type="dxa" w:w="1697"/>
            <w:shd w:val="clear" w:fill="F4F7FA"/>
          </w:tcPr>
          <w:p>
            <w:pPr>
              <w:spacing w:before="20" w:after="20"/>
              <w:jc w:val="right"/>
            </w:pPr>
            <w:r>
              <w:rPr>
                <w:rFonts w:ascii="Georgia" w:hAnsi="Georgia"/>
                <w:sz w:val="14"/>
              </w:rPr>
            </w:r>
            <w:r>
              <w:rPr>
                <w:rFonts w:ascii="Georgia" w:hAnsi="Georgia"/>
                <w:sz w:val="14"/>
              </w:rPr>
              <w:t>c.13x</w:t>
            </w:r>
          </w:p>
        </w:tc>
        <w:tc>
          <w:tcPr>
            <w:tcW w:type="dxa" w:w="1697"/>
            <w:shd w:val="clear" w:fill="F4F7FA"/>
          </w:tcPr>
          <w:p>
            <w:pPr>
              <w:spacing w:before="20" w:after="20"/>
              <w:jc w:val="right"/>
            </w:pPr>
            <w:r>
              <w:rPr>
                <w:rFonts w:ascii="Georgia" w:hAnsi="Georgia"/>
                <w:sz w:val="14"/>
              </w:rPr>
            </w:r>
            <w:r>
              <w:rPr>
                <w:rFonts w:ascii="Georgia" w:hAnsi="Georgia"/>
                <w:sz w:val="14"/>
              </w:rPr>
              <w:t>c.90x+</w:t>
            </w:r>
          </w:p>
        </w:tc>
        <w:tc>
          <w:tcPr>
            <w:tcW w:type="dxa" w:w="1697"/>
            <w:shd w:val="clear" w:fill="F4F7FA"/>
          </w:tcPr>
          <w:p>
            <w:pPr>
              <w:spacing w:before="20" w:after="20"/>
            </w:pPr>
            <w:r>
              <w:rPr>
                <w:rFonts w:ascii="Georgia" w:hAnsi="Georgia"/>
                <w:sz w:val="14"/>
              </w:rPr>
            </w:r>
            <w:r>
              <w:rPr>
                <w:rFonts w:ascii="Georgia" w:hAnsi="Georgia"/>
                <w:sz w:val="14"/>
              </w:rPr>
              <w:t>Near all-time low</w:t>
            </w:r>
          </w:p>
        </w:tc>
      </w:tr>
      <w:tr>
        <w:tc>
          <w:tcPr>
            <w:tcW w:type="dxa" w:w="1697"/>
          </w:tcPr>
          <w:p>
            <w:pPr>
              <w:spacing w:before="20" w:after="20"/>
            </w:pPr>
            <w:r>
              <w:rPr>
                <w:rFonts w:ascii="Georgia" w:hAnsi="Georgia"/>
                <w:sz w:val="14"/>
              </w:rPr>
            </w:r>
            <w:r>
              <w:rPr>
                <w:rFonts w:ascii="Georgia" w:hAnsi="Georgia"/>
                <w:sz w:val="14"/>
              </w:rPr>
              <w:t>Net debt/EBITDA</w:t>
            </w:r>
          </w:p>
        </w:tc>
        <w:tc>
          <w:tcPr>
            <w:tcW w:type="dxa" w:w="1697"/>
          </w:tcPr>
          <w:p>
            <w:pPr>
              <w:spacing w:before="20" w:after="20"/>
              <w:jc w:val="right"/>
            </w:pPr>
            <w:r>
              <w:rPr>
                <w:rFonts w:ascii="Georgia" w:hAnsi="Georgia"/>
                <w:sz w:val="14"/>
              </w:rPr>
            </w:r>
            <w:r>
              <w:rPr>
                <w:rFonts w:ascii="Georgia" w:hAnsi="Georgia"/>
                <w:sz w:val="14"/>
              </w:rPr>
              <w:t>c.−0.8x</w:t>
            </w:r>
          </w:p>
        </w:tc>
        <w:tc>
          <w:tcPr>
            <w:tcW w:type="dxa" w:w="1697"/>
          </w:tcPr>
          <w:p>
            <w:pPr>
              <w:spacing w:before="20" w:after="20"/>
              <w:jc w:val="right"/>
            </w:pPr>
            <w:r>
              <w:rPr>
                <w:rFonts w:ascii="Georgia" w:hAnsi="Georgia"/>
                <w:sz w:val="14"/>
              </w:rPr>
            </w:r>
            <w:r>
              <w:rPr>
                <w:rFonts w:ascii="Georgia" w:hAnsi="Georgia"/>
                <w:sz w:val="14"/>
              </w:rPr>
              <w:t>Net cash throughout</w:t>
            </w:r>
          </w:p>
        </w:tc>
        <w:tc>
          <w:tcPr>
            <w:tcW w:type="dxa" w:w="1697"/>
          </w:tcPr>
          <w:p>
            <w:pPr>
              <w:spacing w:before="20" w:after="20"/>
              <w:jc w:val="right"/>
            </w:pPr>
            <w:r>
              <w:rPr>
                <w:rFonts w:ascii="Georgia" w:hAnsi="Georgia"/>
                <w:sz w:val="14"/>
              </w:rPr>
            </w:r>
            <w:r>
              <w:rPr>
                <w:rFonts w:ascii="Georgia" w:hAnsi="Georgia"/>
                <w:sz w:val="14"/>
              </w:rPr>
              <w:t>—</w:t>
            </w:r>
          </w:p>
        </w:tc>
        <w:tc>
          <w:tcPr>
            <w:tcW w:type="dxa" w:w="1697"/>
          </w:tcPr>
          <w:p>
            <w:pPr>
              <w:spacing w:before="20" w:after="20"/>
              <w:jc w:val="right"/>
            </w:pPr>
            <w:r>
              <w:rPr>
                <w:rFonts w:ascii="Georgia" w:hAnsi="Georgia"/>
                <w:sz w:val="14"/>
              </w:rPr>
            </w:r>
            <w:r>
              <w:rPr>
                <w:rFonts w:ascii="Georgia" w:hAnsi="Georgia"/>
                <w:sz w:val="14"/>
              </w:rPr>
              <w:t>—</w:t>
            </w:r>
          </w:p>
        </w:tc>
        <w:tc>
          <w:tcPr>
            <w:tcW w:type="dxa" w:w="1697"/>
          </w:tcPr>
          <w:p>
            <w:pPr>
              <w:spacing w:before="20" w:after="20"/>
            </w:pPr>
            <w:r>
              <w:rPr>
                <w:rFonts w:ascii="Georgia" w:hAnsi="Georgia"/>
                <w:sz w:val="14"/>
              </w:rPr>
            </w:r>
            <w:r>
              <w:rPr>
                <w:rFonts w:ascii="Georgia" w:hAnsi="Georgia"/>
                <w:sz w:val="14"/>
              </w:rPr>
              <w:t>No leverage risk</w:t>
            </w:r>
          </w:p>
        </w:tc>
      </w:tr>
      <w:tr>
        <w:tc>
          <w:tcPr>
            <w:tcW w:type="dxa" w:w="1697"/>
            <w:shd w:val="clear" w:fill="F4F7FA"/>
          </w:tcPr>
          <w:p>
            <w:pPr>
              <w:spacing w:before="20" w:after="20"/>
            </w:pPr>
            <w:r>
              <w:rPr>
                <w:rFonts w:ascii="Georgia" w:hAnsi="Georgia"/>
                <w:sz w:val="14"/>
              </w:rPr>
            </w:r>
            <w:r>
              <w:rPr>
                <w:rFonts w:ascii="Georgia" w:hAnsi="Georgia"/>
                <w:sz w:val="14"/>
              </w:rPr>
              <w:t>FCF yield</w:t>
            </w:r>
          </w:p>
        </w:tc>
        <w:tc>
          <w:tcPr>
            <w:tcW w:type="dxa" w:w="1697"/>
            <w:shd w:val="clear" w:fill="F4F7FA"/>
          </w:tcPr>
          <w:p>
            <w:pPr>
              <w:spacing w:before="20" w:after="20"/>
              <w:jc w:val="right"/>
            </w:pPr>
            <w:r>
              <w:rPr>
                <w:rFonts w:ascii="Georgia" w:hAnsi="Georgia"/>
                <w:sz w:val="14"/>
              </w:rPr>
            </w:r>
            <w:r>
              <w:rPr>
                <w:rFonts w:ascii="Georgia" w:hAnsi="Georgia"/>
                <w:sz w:val="14"/>
              </w:rPr>
              <w:t>c.9–10%</w:t>
            </w:r>
          </w:p>
        </w:tc>
        <w:tc>
          <w:tcPr>
            <w:tcW w:type="dxa" w:w="1697"/>
            <w:shd w:val="clear" w:fill="F4F7FA"/>
          </w:tcPr>
          <w:p>
            <w:pPr>
              <w:spacing w:before="20" w:after="20"/>
              <w:jc w:val="right"/>
            </w:pPr>
            <w:r>
              <w:rPr>
                <w:rFonts w:ascii="Georgia" w:hAnsi="Georgia"/>
                <w:sz w:val="14"/>
              </w:rPr>
            </w:r>
            <w:r>
              <w:rPr>
                <w:rFonts w:ascii="Georgia" w:hAnsi="Georgia"/>
                <w:sz w:val="14"/>
              </w:rPr>
              <w:t>c.2.5%</w:t>
            </w:r>
          </w:p>
        </w:tc>
        <w:tc>
          <w:tcPr>
            <w:tcW w:type="dxa" w:w="1697"/>
            <w:shd w:val="clear" w:fill="F4F7FA"/>
          </w:tcPr>
          <w:p>
            <w:pPr>
              <w:spacing w:before="20" w:after="20"/>
              <w:jc w:val="right"/>
            </w:pPr>
            <w:r>
              <w:rPr>
                <w:rFonts w:ascii="Georgia" w:hAnsi="Georgia"/>
                <w:sz w:val="14"/>
              </w:rPr>
            </w:r>
            <w:r>
              <w:rPr>
                <w:rFonts w:ascii="Georgia" w:hAnsi="Georgia"/>
                <w:sz w:val="14"/>
              </w:rPr>
              <w:t>—</w:t>
            </w:r>
          </w:p>
        </w:tc>
        <w:tc>
          <w:tcPr>
            <w:tcW w:type="dxa" w:w="1697"/>
            <w:shd w:val="clear" w:fill="F4F7FA"/>
          </w:tcPr>
          <w:p>
            <w:pPr>
              <w:spacing w:before="20" w:after="20"/>
              <w:jc w:val="right"/>
            </w:pPr>
            <w:r>
              <w:rPr>
                <w:rFonts w:ascii="Georgia" w:hAnsi="Georgia"/>
                <w:sz w:val="14"/>
              </w:rPr>
            </w:r>
            <w:r>
              <w:rPr>
                <w:rFonts w:ascii="Georgia" w:hAnsi="Georgia"/>
                <w:sz w:val="14"/>
              </w:rPr>
              <w:t>—</w:t>
            </w:r>
          </w:p>
        </w:tc>
        <w:tc>
          <w:tcPr>
            <w:tcW w:type="dxa" w:w="1697"/>
            <w:shd w:val="clear" w:fill="F4F7FA"/>
          </w:tcPr>
          <w:p>
            <w:pPr>
              <w:spacing w:before="20" w:after="20"/>
            </w:pPr>
            <w:r>
              <w:rPr>
                <w:rFonts w:ascii="Georgia" w:hAnsi="Georgia"/>
                <w:sz w:val="14"/>
              </w:rPr>
            </w:r>
            <w:r>
              <w:rPr>
                <w:rFonts w:ascii="Georgia" w:hAnsi="Georgia"/>
                <w:sz w:val="14"/>
              </w:rPr>
              <w:t>Highest in company history</w:t>
            </w:r>
          </w:p>
        </w:tc>
      </w:tr>
    </w:tbl>
    <w:p>
      <w:pPr>
        <w:spacing w:after="60"/>
      </w:pPr>
    </w:p>
    <w:p>
      <w:pPr>
        <w:keepNext/>
        <w:spacing w:before="200" w:after="80"/>
      </w:pPr>
      <w:r>
        <w:rPr>
          <w:rFonts w:ascii="Georgia" w:hAnsi="Georgia"/>
          <w:b/>
          <w:color w:val="14487F"/>
          <w:sz w:val="21"/>
        </w:rPr>
        <w:t>Peer comparison</w:t>
      </w:r>
    </w:p>
    <w:tbl>
      <w:tblPr>
        <w:tblStyle w:val="TableGrid"/>
        <w:tblW w:type="auto" w:w="0"/>
        <w:jc w:val="center"/>
        <w:tblLayout w:type="autofit"/>
        <w:tblLook w:firstColumn="1" w:firstRow="1" w:lastColumn="0" w:lastRow="0" w:noHBand="0" w:noVBand="1" w:val="04A0"/>
      </w:tblPr>
      <w:tblGrid>
        <w:gridCol w:w="1018"/>
        <w:gridCol w:w="1018"/>
        <w:gridCol w:w="1018"/>
        <w:gridCol w:w="1018"/>
        <w:gridCol w:w="1018"/>
        <w:gridCol w:w="1018"/>
        <w:gridCol w:w="1018"/>
        <w:gridCol w:w="1018"/>
        <w:gridCol w:w="1018"/>
        <w:gridCol w:w="1018"/>
      </w:tblGrid>
      <w:tr>
        <w:tc>
          <w:tcPr>
            <w:tcW w:type="dxa" w:w="1018"/>
            <w:shd w:val="clear" w:fill="0B2545"/>
          </w:tcPr>
          <w:p>
            <w:pPr>
              <w:spacing w:before="20" w:after="20"/>
            </w:pPr>
            <w:r>
              <w:rPr>
                <w:rFonts w:ascii="Georgia" w:hAnsi="Georgia"/>
                <w:b/>
                <w:color w:val="FFFFFF"/>
                <w:sz w:val="14"/>
              </w:rPr>
            </w:r>
            <w:r>
              <w:rPr>
                <w:rFonts w:ascii="Georgia" w:hAnsi="Georgia"/>
                <w:b/>
                <w:color w:val="FFFFFF"/>
                <w:sz w:val="14"/>
              </w:rPr>
              <w:t>Company</w:t>
            </w:r>
          </w:p>
        </w:tc>
        <w:tc>
          <w:tcPr>
            <w:tcW w:type="dxa" w:w="1018"/>
            <w:shd w:val="clear" w:fill="0B2545"/>
          </w:tcPr>
          <w:p>
            <w:pPr>
              <w:spacing w:before="20" w:after="20"/>
            </w:pPr>
            <w:r>
              <w:rPr>
                <w:rFonts w:ascii="Georgia" w:hAnsi="Georgia"/>
                <w:b/>
                <w:color w:val="FFFFFF"/>
                <w:sz w:val="14"/>
              </w:rPr>
            </w:r>
            <w:r>
              <w:rPr>
                <w:rFonts w:ascii="Georgia" w:hAnsi="Georgia"/>
                <w:b/>
                <w:color w:val="FFFFFF"/>
                <w:sz w:val="14"/>
              </w:rPr>
              <w:t>Ticker</w:t>
            </w:r>
          </w:p>
        </w:tc>
        <w:tc>
          <w:tcPr>
            <w:tcW w:type="dxa" w:w="1018"/>
            <w:shd w:val="clear" w:fill="0B2545"/>
          </w:tcPr>
          <w:p>
            <w:pPr>
              <w:spacing w:before="20" w:after="20"/>
            </w:pPr>
            <w:r>
              <w:rPr>
                <w:rFonts w:ascii="Georgia" w:hAnsi="Georgia"/>
                <w:b/>
                <w:color w:val="FFFFFF"/>
                <w:sz w:val="14"/>
              </w:rPr>
            </w:r>
            <w:r>
              <w:rPr>
                <w:rFonts w:ascii="Georgia" w:hAnsi="Georgia"/>
                <w:b/>
                <w:color w:val="FFFFFF"/>
                <w:sz w:val="14"/>
              </w:rPr>
              <w:t>Listed</w:t>
            </w:r>
          </w:p>
        </w:tc>
        <w:tc>
          <w:tcPr>
            <w:tcW w:type="dxa" w:w="1018"/>
            <w:shd w:val="clear" w:fill="0B2545"/>
          </w:tcPr>
          <w:p>
            <w:pPr>
              <w:spacing w:before="20" w:after="20"/>
              <w:jc w:val="right"/>
            </w:pPr>
            <w:r>
              <w:rPr>
                <w:rFonts w:ascii="Georgia" w:hAnsi="Georgia"/>
                <w:b/>
                <w:color w:val="FFFFFF"/>
                <w:sz w:val="14"/>
              </w:rPr>
            </w:r>
            <w:r>
              <w:rPr>
                <w:rFonts w:ascii="Georgia" w:hAnsi="Georgia"/>
                <w:b/>
                <w:color w:val="FFFFFF"/>
                <w:sz w:val="14"/>
              </w:rPr>
              <w:t>Mkt cap</w:t>
            </w:r>
          </w:p>
        </w:tc>
        <w:tc>
          <w:tcPr>
            <w:tcW w:type="dxa" w:w="1018"/>
            <w:shd w:val="clear" w:fill="0B2545"/>
          </w:tcPr>
          <w:p>
            <w:pPr>
              <w:spacing w:before="20" w:after="20"/>
              <w:jc w:val="right"/>
            </w:pPr>
            <w:r>
              <w:rPr>
                <w:rFonts w:ascii="Georgia" w:hAnsi="Georgia"/>
                <w:b/>
                <w:color w:val="FFFFFF"/>
                <w:sz w:val="14"/>
              </w:rPr>
            </w:r>
            <w:r>
              <w:rPr>
                <w:rFonts w:ascii="Georgia" w:hAnsi="Georgia"/>
                <w:b/>
                <w:color w:val="FFFFFF"/>
                <w:sz w:val="14"/>
              </w:rPr>
              <w:t>EV/Sales</w:t>
            </w:r>
          </w:p>
        </w:tc>
        <w:tc>
          <w:tcPr>
            <w:tcW w:type="dxa" w:w="1018"/>
            <w:shd w:val="clear" w:fill="0B2545"/>
          </w:tcPr>
          <w:p>
            <w:pPr>
              <w:spacing w:before="20" w:after="20"/>
              <w:jc w:val="right"/>
            </w:pPr>
            <w:r>
              <w:rPr>
                <w:rFonts w:ascii="Georgia" w:hAnsi="Georgia"/>
                <w:b/>
                <w:color w:val="FFFFFF"/>
                <w:sz w:val="14"/>
              </w:rPr>
            </w:r>
            <w:r>
              <w:rPr>
                <w:rFonts w:ascii="Georgia" w:hAnsi="Georgia"/>
                <w:b/>
                <w:color w:val="FFFFFF"/>
                <w:sz w:val="14"/>
              </w:rPr>
              <w:t>EV/EBITDA</w:t>
            </w:r>
          </w:p>
        </w:tc>
        <w:tc>
          <w:tcPr>
            <w:tcW w:type="dxa" w:w="1018"/>
            <w:shd w:val="clear" w:fill="0B2545"/>
          </w:tcPr>
          <w:p>
            <w:pPr>
              <w:spacing w:before="20" w:after="20"/>
              <w:jc w:val="right"/>
            </w:pPr>
            <w:r>
              <w:rPr>
                <w:rFonts w:ascii="Georgia" w:hAnsi="Georgia"/>
                <w:b/>
                <w:color w:val="FFFFFF"/>
                <w:sz w:val="14"/>
              </w:rPr>
            </w:r>
            <w:r>
              <w:rPr>
                <w:rFonts w:ascii="Georgia" w:hAnsi="Georgia"/>
                <w:b/>
                <w:color w:val="FFFFFF"/>
                <w:sz w:val="14"/>
              </w:rPr>
              <w:t>P/E</w:t>
            </w:r>
          </w:p>
        </w:tc>
        <w:tc>
          <w:tcPr>
            <w:tcW w:type="dxa" w:w="1018"/>
            <w:shd w:val="clear" w:fill="0B2545"/>
          </w:tcPr>
          <w:p>
            <w:pPr>
              <w:spacing w:before="20" w:after="20"/>
              <w:jc w:val="right"/>
            </w:pPr>
            <w:r>
              <w:rPr>
                <w:rFonts w:ascii="Georgia" w:hAnsi="Georgia"/>
                <w:b/>
                <w:color w:val="FFFFFF"/>
                <w:sz w:val="14"/>
              </w:rPr>
            </w:r>
            <w:r>
              <w:rPr>
                <w:rFonts w:ascii="Georgia" w:hAnsi="Georgia"/>
                <w:b/>
                <w:color w:val="FFFFFF"/>
                <w:sz w:val="14"/>
              </w:rPr>
              <w:t>Net debt/EBITDA</w:t>
            </w:r>
          </w:p>
        </w:tc>
        <w:tc>
          <w:tcPr>
            <w:tcW w:type="dxa" w:w="1018"/>
            <w:shd w:val="clear" w:fill="0B2545"/>
          </w:tcPr>
          <w:p>
            <w:pPr>
              <w:spacing w:before="20" w:after="20"/>
              <w:jc w:val="right"/>
            </w:pPr>
            <w:r>
              <w:rPr>
                <w:rFonts w:ascii="Georgia" w:hAnsi="Georgia"/>
                <w:b/>
                <w:color w:val="FFFFFF"/>
                <w:sz w:val="14"/>
              </w:rPr>
            </w:r>
            <w:r>
              <w:rPr>
                <w:rFonts w:ascii="Georgia" w:hAnsi="Georgia"/>
                <w:b/>
                <w:color w:val="FFFFFF"/>
                <w:sz w:val="14"/>
              </w:rPr>
              <w:t>EBITDA mgn</w:t>
            </w:r>
          </w:p>
        </w:tc>
        <w:tc>
          <w:tcPr>
            <w:tcW w:type="dxa" w:w="1018"/>
            <w:shd w:val="clear" w:fill="0B2545"/>
          </w:tcPr>
          <w:p>
            <w:pPr>
              <w:spacing w:before="20" w:after="20"/>
              <w:jc w:val="right"/>
            </w:pPr>
            <w:r>
              <w:rPr>
                <w:rFonts w:ascii="Georgia" w:hAnsi="Georgia"/>
                <w:b/>
                <w:color w:val="FFFFFF"/>
                <w:sz w:val="14"/>
              </w:rPr>
            </w:r>
            <w:r>
              <w:rPr>
                <w:rFonts w:ascii="Georgia" w:hAnsi="Georgia"/>
                <w:b/>
                <w:color w:val="FFFFFF"/>
                <w:sz w:val="14"/>
              </w:rPr>
              <w:t>Sales growth</w:t>
            </w:r>
          </w:p>
        </w:tc>
      </w:tr>
      <w:tr>
        <w:tc>
          <w:tcPr>
            <w:tcW w:type="dxa" w:w="1018"/>
          </w:tcPr>
          <w:p>
            <w:pPr>
              <w:spacing w:before="20" w:after="20"/>
            </w:pPr>
            <w:r>
              <w:rPr>
                <w:rFonts w:ascii="Georgia" w:hAnsi="Georgia"/>
                <w:sz w:val="14"/>
              </w:rPr>
            </w:r>
            <w:r>
              <w:rPr>
                <w:rFonts w:ascii="Georgia" w:hAnsi="Georgia"/>
                <w:b/>
                <w:sz w:val="14"/>
              </w:rPr>
              <w:t>EPAM Systems</w:t>
            </w:r>
          </w:p>
        </w:tc>
        <w:tc>
          <w:tcPr>
            <w:tcW w:type="dxa" w:w="1018"/>
          </w:tcPr>
          <w:p>
            <w:pPr>
              <w:spacing w:before="20" w:after="20"/>
            </w:pPr>
            <w:r>
              <w:rPr>
                <w:rFonts w:ascii="Georgia" w:hAnsi="Georgia"/>
                <w:sz w:val="14"/>
              </w:rPr>
            </w:r>
            <w:r>
              <w:rPr>
                <w:rFonts w:ascii="Georgia" w:hAnsi="Georgia"/>
                <w:sz w:val="14"/>
              </w:rPr>
              <w:t>EPAM</w:t>
            </w:r>
          </w:p>
        </w:tc>
        <w:tc>
          <w:tcPr>
            <w:tcW w:type="dxa" w:w="1018"/>
          </w:tcPr>
          <w:p>
            <w:pPr>
              <w:spacing w:before="20" w:after="20"/>
            </w:pPr>
            <w:r>
              <w:rPr>
                <w:rFonts w:ascii="Georgia" w:hAnsi="Georgia"/>
                <w:sz w:val="14"/>
              </w:rPr>
            </w:r>
            <w:r>
              <w:rPr>
                <w:rFonts w:ascii="Georgia" w:hAnsi="Georgia"/>
                <w:sz w:val="14"/>
              </w:rPr>
              <w:t>NYSE</w:t>
            </w:r>
          </w:p>
        </w:tc>
        <w:tc>
          <w:tcPr>
            <w:tcW w:type="dxa" w:w="1018"/>
          </w:tcPr>
          <w:p>
            <w:pPr>
              <w:spacing w:before="20" w:after="20"/>
              <w:jc w:val="right"/>
            </w:pPr>
            <w:r>
              <w:rPr>
                <w:rFonts w:ascii="Georgia" w:hAnsi="Georgia"/>
                <w:sz w:val="14"/>
              </w:rPr>
            </w:r>
            <w:r>
              <w:rPr>
                <w:rFonts w:ascii="Georgia" w:hAnsi="Georgia"/>
                <w:sz w:val="14"/>
              </w:rPr>
              <w:t>c.$5.9bn</w:t>
            </w:r>
          </w:p>
        </w:tc>
        <w:tc>
          <w:tcPr>
            <w:tcW w:type="dxa" w:w="1018"/>
          </w:tcPr>
          <w:p>
            <w:pPr>
              <w:spacing w:before="20" w:after="20"/>
              <w:jc w:val="right"/>
            </w:pPr>
            <w:r>
              <w:rPr>
                <w:rFonts w:ascii="Georgia" w:hAnsi="Georgia"/>
                <w:sz w:val="14"/>
              </w:rPr>
            </w:r>
            <w:r>
              <w:rPr>
                <w:rFonts w:ascii="Georgia" w:hAnsi="Georgia"/>
                <w:sz w:val="14"/>
              </w:rPr>
              <w:t>0.91x</w:t>
            </w:r>
          </w:p>
        </w:tc>
        <w:tc>
          <w:tcPr>
            <w:tcW w:type="dxa" w:w="1018"/>
          </w:tcPr>
          <w:p>
            <w:pPr>
              <w:spacing w:before="20" w:after="20"/>
              <w:jc w:val="right"/>
            </w:pPr>
            <w:r>
              <w:rPr>
                <w:rFonts w:ascii="Georgia" w:hAnsi="Georgia"/>
                <w:sz w:val="14"/>
              </w:rPr>
            </w:r>
            <w:r>
              <w:rPr>
                <w:rFonts w:ascii="Georgia" w:hAnsi="Georgia"/>
                <w:sz w:val="14"/>
              </w:rPr>
              <w:t>5.5x</w:t>
            </w:r>
          </w:p>
        </w:tc>
        <w:tc>
          <w:tcPr>
            <w:tcW w:type="dxa" w:w="1018"/>
          </w:tcPr>
          <w:p>
            <w:pPr>
              <w:spacing w:before="20" w:after="20"/>
              <w:jc w:val="right"/>
            </w:pPr>
            <w:r>
              <w:rPr>
                <w:rFonts w:ascii="Georgia" w:hAnsi="Georgia"/>
                <w:sz w:val="14"/>
              </w:rPr>
            </w:r>
            <w:r>
              <w:rPr>
                <w:rFonts w:ascii="Georgia" w:hAnsi="Georgia"/>
                <w:sz w:val="14"/>
              </w:rPr>
              <w:t>8.7x*</w:t>
            </w:r>
          </w:p>
        </w:tc>
        <w:tc>
          <w:tcPr>
            <w:tcW w:type="dxa" w:w="1018"/>
          </w:tcPr>
          <w:p>
            <w:pPr>
              <w:spacing w:before="20" w:after="20"/>
              <w:jc w:val="right"/>
            </w:pPr>
            <w:r>
              <w:rPr>
                <w:rFonts w:ascii="Georgia" w:hAnsi="Georgia"/>
                <w:sz w:val="14"/>
              </w:rPr>
            </w:r>
            <w:r>
              <w:rPr>
                <w:rFonts w:ascii="Georgia" w:hAnsi="Georgia"/>
                <w:sz w:val="14"/>
              </w:rPr>
              <w:t>−0.8x</w:t>
            </w:r>
          </w:p>
        </w:tc>
        <w:tc>
          <w:tcPr>
            <w:tcW w:type="dxa" w:w="1018"/>
          </w:tcPr>
          <w:p>
            <w:pPr>
              <w:spacing w:before="20" w:after="20"/>
              <w:jc w:val="right"/>
            </w:pPr>
            <w:r>
              <w:rPr>
                <w:rFonts w:ascii="Georgia" w:hAnsi="Georgia"/>
                <w:sz w:val="14"/>
              </w:rPr>
            </w:r>
            <w:r>
              <w:rPr>
                <w:rFonts w:ascii="Georgia" w:hAnsi="Georgia"/>
                <w:sz w:val="14"/>
              </w:rPr>
              <w:t>c.16.3%</w:t>
            </w:r>
          </w:p>
        </w:tc>
        <w:tc>
          <w:tcPr>
            <w:tcW w:type="dxa" w:w="1018"/>
          </w:tcPr>
          <w:p>
            <w:pPr>
              <w:spacing w:before="20" w:after="20"/>
              <w:jc w:val="right"/>
            </w:pPr>
            <w:r>
              <w:rPr>
                <w:rFonts w:ascii="Georgia" w:hAnsi="Georgia"/>
                <w:sz w:val="14"/>
              </w:rPr>
            </w:r>
            <w:r>
              <w:rPr>
                <w:rFonts w:ascii="Georgia" w:hAnsi="Georgia"/>
                <w:sz w:val="14"/>
              </w:rPr>
              <w:t>+3.7%E</w:t>
            </w:r>
          </w:p>
        </w:tc>
      </w:tr>
      <w:tr>
        <w:tc>
          <w:tcPr>
            <w:tcW w:type="dxa" w:w="1018"/>
            <w:shd w:val="clear" w:fill="F4F7FA"/>
          </w:tcPr>
          <w:p>
            <w:pPr>
              <w:spacing w:before="20" w:after="20"/>
            </w:pPr>
            <w:r>
              <w:rPr>
                <w:rFonts w:ascii="Georgia" w:hAnsi="Georgia"/>
                <w:sz w:val="14"/>
              </w:rPr>
            </w:r>
            <w:r>
              <w:rPr>
                <w:rFonts w:ascii="Georgia" w:hAnsi="Georgia"/>
                <w:sz w:val="14"/>
              </w:rPr>
              <w:t>Accenture</w:t>
            </w:r>
          </w:p>
        </w:tc>
        <w:tc>
          <w:tcPr>
            <w:tcW w:type="dxa" w:w="1018"/>
            <w:shd w:val="clear" w:fill="F4F7FA"/>
          </w:tcPr>
          <w:p>
            <w:pPr>
              <w:spacing w:before="20" w:after="20"/>
            </w:pPr>
            <w:r>
              <w:rPr>
                <w:rFonts w:ascii="Georgia" w:hAnsi="Georgia"/>
                <w:sz w:val="14"/>
              </w:rPr>
            </w:r>
            <w:r>
              <w:rPr>
                <w:rFonts w:ascii="Georgia" w:hAnsi="Georgia"/>
                <w:sz w:val="14"/>
              </w:rPr>
              <w:t>ACN</w:t>
            </w:r>
          </w:p>
        </w:tc>
        <w:tc>
          <w:tcPr>
            <w:tcW w:type="dxa" w:w="1018"/>
            <w:shd w:val="clear" w:fill="F4F7FA"/>
          </w:tcPr>
          <w:p>
            <w:pPr>
              <w:spacing w:before="20" w:after="20"/>
            </w:pPr>
            <w:r>
              <w:rPr>
                <w:rFonts w:ascii="Georgia" w:hAnsi="Georgia"/>
                <w:sz w:val="14"/>
              </w:rPr>
            </w:r>
            <w:r>
              <w:rPr>
                <w:rFonts w:ascii="Georgia" w:hAnsi="Georgia"/>
                <w:sz w:val="14"/>
              </w:rPr>
              <w:t>NYSE</w:t>
            </w:r>
          </w:p>
        </w:tc>
        <w:tc>
          <w:tcPr>
            <w:tcW w:type="dxa" w:w="1018"/>
            <w:shd w:val="clear" w:fill="F4F7FA"/>
          </w:tcPr>
          <w:p>
            <w:pPr>
              <w:spacing w:before="20" w:after="20"/>
              <w:jc w:val="right"/>
            </w:pPr>
            <w:r>
              <w:rPr>
                <w:rFonts w:ascii="Georgia" w:hAnsi="Georgia"/>
                <w:sz w:val="14"/>
              </w:rPr>
            </w:r>
            <w:r>
              <w:rPr>
                <w:rFonts w:ascii="Georgia" w:hAnsi="Georgia"/>
                <w:sz w:val="14"/>
              </w:rPr>
              <w:t>c.$168bn</w:t>
            </w:r>
          </w:p>
        </w:tc>
        <w:tc>
          <w:tcPr>
            <w:tcW w:type="dxa" w:w="1018"/>
            <w:shd w:val="clear" w:fill="F4F7FA"/>
          </w:tcPr>
          <w:p>
            <w:pPr>
              <w:spacing w:before="20" w:after="20"/>
              <w:jc w:val="right"/>
            </w:pPr>
            <w:r>
              <w:rPr>
                <w:rFonts w:ascii="Georgia" w:hAnsi="Georgia"/>
                <w:sz w:val="14"/>
              </w:rPr>
            </w:r>
            <w:r>
              <w:rPr>
                <w:rFonts w:ascii="Georgia" w:hAnsi="Georgia"/>
                <w:sz w:val="14"/>
              </w:rPr>
              <w:t>1.6x</w:t>
            </w:r>
          </w:p>
        </w:tc>
        <w:tc>
          <w:tcPr>
            <w:tcW w:type="dxa" w:w="1018"/>
            <w:shd w:val="clear" w:fill="F4F7FA"/>
          </w:tcPr>
          <w:p>
            <w:pPr>
              <w:spacing w:before="20" w:after="20"/>
              <w:jc w:val="right"/>
            </w:pPr>
            <w:r>
              <w:rPr>
                <w:rFonts w:ascii="Georgia" w:hAnsi="Georgia"/>
                <w:sz w:val="14"/>
              </w:rPr>
            </w:r>
            <w:r>
              <w:rPr>
                <w:rFonts w:ascii="Georgia" w:hAnsi="Georgia"/>
                <w:sz w:val="14"/>
              </w:rPr>
              <w:t>8.2–9.2x</w:t>
            </w:r>
          </w:p>
        </w:tc>
        <w:tc>
          <w:tcPr>
            <w:tcW w:type="dxa" w:w="1018"/>
            <w:shd w:val="clear" w:fill="F4F7FA"/>
          </w:tcPr>
          <w:p>
            <w:pPr>
              <w:spacing w:before="20" w:after="20"/>
              <w:jc w:val="right"/>
            </w:pPr>
            <w:r>
              <w:rPr>
                <w:rFonts w:ascii="Georgia" w:hAnsi="Georgia"/>
                <w:sz w:val="14"/>
              </w:rPr>
            </w:r>
            <w:r>
              <w:rPr>
                <w:rFonts w:ascii="Georgia" w:hAnsi="Georgia"/>
                <w:sz w:val="14"/>
              </w:rPr>
              <w:t>13.3x</w:t>
            </w:r>
          </w:p>
        </w:tc>
        <w:tc>
          <w:tcPr>
            <w:tcW w:type="dxa" w:w="1018"/>
            <w:shd w:val="clear" w:fill="F4F7FA"/>
          </w:tcPr>
          <w:p>
            <w:pPr>
              <w:spacing w:before="20" w:after="20"/>
              <w:jc w:val="right"/>
            </w:pPr>
            <w:r>
              <w:rPr>
                <w:rFonts w:ascii="Georgia" w:hAnsi="Georgia"/>
                <w:sz w:val="14"/>
              </w:rPr>
            </w:r>
            <w:r>
              <w:rPr>
                <w:rFonts w:ascii="Georgia" w:hAnsi="Georgia"/>
                <w:sz w:val="14"/>
              </w:rPr>
              <w:t>Net cash</w:t>
            </w:r>
          </w:p>
        </w:tc>
        <w:tc>
          <w:tcPr>
            <w:tcW w:type="dxa" w:w="1018"/>
            <w:shd w:val="clear" w:fill="F4F7FA"/>
          </w:tcPr>
          <w:p>
            <w:pPr>
              <w:spacing w:before="20" w:after="20"/>
              <w:jc w:val="right"/>
            </w:pPr>
            <w:r>
              <w:rPr>
                <w:rFonts w:ascii="Georgia" w:hAnsi="Georgia"/>
                <w:sz w:val="14"/>
              </w:rPr>
            </w:r>
            <w:r>
              <w:rPr>
                <w:rFonts w:ascii="Georgia" w:hAnsi="Georgia"/>
                <w:sz w:val="14"/>
              </w:rPr>
              <w:t>c.18%</w:t>
            </w:r>
          </w:p>
        </w:tc>
        <w:tc>
          <w:tcPr>
            <w:tcW w:type="dxa" w:w="1018"/>
            <w:shd w:val="clear" w:fill="F4F7FA"/>
          </w:tcPr>
          <w:p>
            <w:pPr>
              <w:spacing w:before="20" w:after="20"/>
              <w:jc w:val="right"/>
            </w:pPr>
            <w:r>
              <w:rPr>
                <w:rFonts w:ascii="Georgia" w:hAnsi="Georgia"/>
                <w:sz w:val="14"/>
              </w:rPr>
            </w:r>
            <w:r>
              <w:rPr>
                <w:rFonts w:ascii="Georgia" w:hAnsi="Georgia"/>
                <w:sz w:val="14"/>
              </w:rPr>
              <w:t>Low single</w:t>
            </w:r>
          </w:p>
        </w:tc>
      </w:tr>
      <w:tr>
        <w:tc>
          <w:tcPr>
            <w:tcW w:type="dxa" w:w="1018"/>
          </w:tcPr>
          <w:p>
            <w:pPr>
              <w:spacing w:before="20" w:after="20"/>
            </w:pPr>
            <w:r>
              <w:rPr>
                <w:rFonts w:ascii="Georgia" w:hAnsi="Georgia"/>
                <w:sz w:val="14"/>
              </w:rPr>
            </w:r>
            <w:r>
              <w:rPr>
                <w:rFonts w:ascii="Georgia" w:hAnsi="Georgia"/>
                <w:sz w:val="14"/>
              </w:rPr>
              <w:t>Cognizant</w:t>
            </w:r>
          </w:p>
        </w:tc>
        <w:tc>
          <w:tcPr>
            <w:tcW w:type="dxa" w:w="1018"/>
          </w:tcPr>
          <w:p>
            <w:pPr>
              <w:spacing w:before="20" w:after="20"/>
            </w:pPr>
            <w:r>
              <w:rPr>
                <w:rFonts w:ascii="Georgia" w:hAnsi="Georgia"/>
                <w:sz w:val="14"/>
              </w:rPr>
            </w:r>
            <w:r>
              <w:rPr>
                <w:rFonts w:ascii="Georgia" w:hAnsi="Georgia"/>
                <w:sz w:val="14"/>
              </w:rPr>
              <w:t>CTSH</w:t>
            </w:r>
          </w:p>
        </w:tc>
        <w:tc>
          <w:tcPr>
            <w:tcW w:type="dxa" w:w="1018"/>
          </w:tcPr>
          <w:p>
            <w:pPr>
              <w:spacing w:before="20" w:after="20"/>
            </w:pPr>
            <w:r>
              <w:rPr>
                <w:rFonts w:ascii="Georgia" w:hAnsi="Georgia"/>
                <w:sz w:val="14"/>
              </w:rPr>
            </w:r>
            <w:r>
              <w:rPr>
                <w:rFonts w:ascii="Georgia" w:hAnsi="Georgia"/>
                <w:sz w:val="14"/>
              </w:rPr>
              <w:t>Nasdaq</w:t>
            </w:r>
          </w:p>
        </w:tc>
        <w:tc>
          <w:tcPr>
            <w:tcW w:type="dxa" w:w="1018"/>
          </w:tcPr>
          <w:p>
            <w:pPr>
              <w:spacing w:before="20" w:after="20"/>
              <w:jc w:val="right"/>
            </w:pPr>
            <w:r>
              <w:rPr>
                <w:rFonts w:ascii="Georgia" w:hAnsi="Georgia"/>
                <w:sz w:val="14"/>
              </w:rPr>
            </w:r>
            <w:r>
              <w:rPr>
                <w:rFonts w:ascii="Georgia" w:hAnsi="Georgia"/>
                <w:sz w:val="14"/>
              </w:rPr>
              <w:t>c.$28.7bn</w:t>
            </w:r>
          </w:p>
        </w:tc>
        <w:tc>
          <w:tcPr>
            <w:tcW w:type="dxa" w:w="1018"/>
          </w:tcPr>
          <w:p>
            <w:pPr>
              <w:spacing w:before="20" w:after="20"/>
              <w:jc w:val="right"/>
            </w:pPr>
            <w:r>
              <w:rPr>
                <w:rFonts w:ascii="Georgia" w:hAnsi="Georgia"/>
                <w:sz w:val="14"/>
              </w:rPr>
            </w:r>
            <w:r>
              <w:rPr>
                <w:rFonts w:ascii="Georgia" w:hAnsi="Georgia"/>
                <w:sz w:val="14"/>
              </w:rPr>
              <w:t>c.1.1x</w:t>
            </w:r>
          </w:p>
        </w:tc>
        <w:tc>
          <w:tcPr>
            <w:tcW w:type="dxa" w:w="1018"/>
          </w:tcPr>
          <w:p>
            <w:pPr>
              <w:spacing w:before="20" w:after="20"/>
              <w:jc w:val="right"/>
            </w:pPr>
            <w:r>
              <w:rPr>
                <w:rFonts w:ascii="Georgia" w:hAnsi="Georgia"/>
                <w:sz w:val="14"/>
              </w:rPr>
            </w:r>
            <w:r>
              <w:rPr>
                <w:rFonts w:ascii="Georgia" w:hAnsi="Georgia"/>
                <w:sz w:val="14"/>
              </w:rPr>
              <w:t>c.6.5x</w:t>
            </w:r>
          </w:p>
        </w:tc>
        <w:tc>
          <w:tcPr>
            <w:tcW w:type="dxa" w:w="1018"/>
          </w:tcPr>
          <w:p>
            <w:pPr>
              <w:spacing w:before="20" w:after="20"/>
              <w:jc w:val="right"/>
            </w:pPr>
            <w:r>
              <w:rPr>
                <w:rFonts w:ascii="Georgia" w:hAnsi="Georgia"/>
                <w:sz w:val="14"/>
              </w:rPr>
            </w:r>
            <w:r>
              <w:rPr>
                <w:rFonts w:ascii="Georgia" w:hAnsi="Georgia"/>
                <w:sz w:val="14"/>
              </w:rPr>
              <w:t>c.10x</w:t>
            </w:r>
          </w:p>
        </w:tc>
        <w:tc>
          <w:tcPr>
            <w:tcW w:type="dxa" w:w="1018"/>
          </w:tcPr>
          <w:p>
            <w:pPr>
              <w:spacing w:before="20" w:after="20"/>
              <w:jc w:val="right"/>
            </w:pPr>
            <w:r>
              <w:rPr>
                <w:rFonts w:ascii="Georgia" w:hAnsi="Georgia"/>
                <w:sz w:val="14"/>
              </w:rPr>
            </w:r>
            <w:r>
              <w:rPr>
                <w:rFonts w:ascii="Georgia" w:hAnsi="Georgia"/>
                <w:sz w:val="14"/>
              </w:rPr>
              <w:t>Net cash</w:t>
            </w:r>
          </w:p>
        </w:tc>
        <w:tc>
          <w:tcPr>
            <w:tcW w:type="dxa" w:w="1018"/>
          </w:tcPr>
          <w:p>
            <w:pPr>
              <w:spacing w:before="20" w:after="20"/>
              <w:jc w:val="right"/>
            </w:pPr>
            <w:r>
              <w:rPr>
                <w:rFonts w:ascii="Georgia" w:hAnsi="Georgia"/>
                <w:sz w:val="14"/>
              </w:rPr>
            </w:r>
            <w:r>
              <w:rPr>
                <w:rFonts w:ascii="Georgia" w:hAnsi="Georgia"/>
                <w:sz w:val="14"/>
              </w:rPr>
              <w:t>c.17%</w:t>
            </w:r>
          </w:p>
        </w:tc>
        <w:tc>
          <w:tcPr>
            <w:tcW w:type="dxa" w:w="1018"/>
          </w:tcPr>
          <w:p>
            <w:pPr>
              <w:spacing w:before="20" w:after="20"/>
              <w:jc w:val="right"/>
            </w:pPr>
            <w:r>
              <w:rPr>
                <w:rFonts w:ascii="Georgia" w:hAnsi="Georgia"/>
                <w:sz w:val="14"/>
              </w:rPr>
            </w:r>
            <w:r>
              <w:rPr>
                <w:rFonts w:ascii="Georgia" w:hAnsi="Georgia"/>
                <w:sz w:val="14"/>
              </w:rPr>
              <w:t>Low single</w:t>
            </w:r>
          </w:p>
        </w:tc>
      </w:tr>
      <w:tr>
        <w:tc>
          <w:tcPr>
            <w:tcW w:type="dxa" w:w="1018"/>
            <w:shd w:val="clear" w:fill="F4F7FA"/>
          </w:tcPr>
          <w:p>
            <w:pPr>
              <w:spacing w:before="20" w:after="20"/>
            </w:pPr>
            <w:r>
              <w:rPr>
                <w:rFonts w:ascii="Georgia" w:hAnsi="Georgia"/>
                <w:sz w:val="14"/>
              </w:rPr>
            </w:r>
            <w:r>
              <w:rPr>
                <w:rFonts w:ascii="Georgia" w:hAnsi="Georgia"/>
                <w:sz w:val="14"/>
              </w:rPr>
              <w:t>Capgemini</w:t>
            </w:r>
          </w:p>
        </w:tc>
        <w:tc>
          <w:tcPr>
            <w:tcW w:type="dxa" w:w="1018"/>
            <w:shd w:val="clear" w:fill="F4F7FA"/>
          </w:tcPr>
          <w:p>
            <w:pPr>
              <w:spacing w:before="20" w:after="20"/>
            </w:pPr>
            <w:r>
              <w:rPr>
                <w:rFonts w:ascii="Georgia" w:hAnsi="Georgia"/>
                <w:sz w:val="14"/>
              </w:rPr>
            </w:r>
            <w:r>
              <w:rPr>
                <w:rFonts w:ascii="Georgia" w:hAnsi="Georgia"/>
                <w:sz w:val="14"/>
              </w:rPr>
              <w:t>CAP FP</w:t>
            </w:r>
          </w:p>
        </w:tc>
        <w:tc>
          <w:tcPr>
            <w:tcW w:type="dxa" w:w="1018"/>
            <w:shd w:val="clear" w:fill="F4F7FA"/>
          </w:tcPr>
          <w:p>
            <w:pPr>
              <w:spacing w:before="20" w:after="20"/>
            </w:pPr>
            <w:r>
              <w:rPr>
                <w:rFonts w:ascii="Georgia" w:hAnsi="Georgia"/>
                <w:sz w:val="14"/>
              </w:rPr>
            </w:r>
            <w:r>
              <w:rPr>
                <w:rFonts w:ascii="Georgia" w:hAnsi="Georgia"/>
                <w:sz w:val="14"/>
              </w:rPr>
              <w:t>Euronext Paris</w:t>
            </w:r>
          </w:p>
        </w:tc>
        <w:tc>
          <w:tcPr>
            <w:tcW w:type="dxa" w:w="1018"/>
            <w:shd w:val="clear" w:fill="F4F7FA"/>
          </w:tcPr>
          <w:p>
            <w:pPr>
              <w:spacing w:before="20" w:after="20"/>
              <w:jc w:val="right"/>
            </w:pPr>
            <w:r>
              <w:rPr>
                <w:rFonts w:ascii="Georgia" w:hAnsi="Georgia"/>
                <w:sz w:val="14"/>
              </w:rPr>
            </w:r>
            <w:r>
              <w:rPr>
                <w:rFonts w:ascii="Georgia" w:hAnsi="Georgia"/>
                <w:sz w:val="14"/>
              </w:rPr>
              <w:t>c.€19bn</w:t>
            </w:r>
          </w:p>
        </w:tc>
        <w:tc>
          <w:tcPr>
            <w:tcW w:type="dxa" w:w="1018"/>
            <w:shd w:val="clear" w:fill="F4F7FA"/>
          </w:tcPr>
          <w:p>
            <w:pPr>
              <w:spacing w:before="20" w:after="20"/>
              <w:jc w:val="right"/>
            </w:pPr>
            <w:r>
              <w:rPr>
                <w:rFonts w:ascii="Georgia" w:hAnsi="Georgia"/>
                <w:sz w:val="14"/>
              </w:rPr>
            </w:r>
            <w:r>
              <w:rPr>
                <w:rFonts w:ascii="Georgia" w:hAnsi="Georgia"/>
                <w:sz w:val="14"/>
              </w:rPr>
              <w:t>c.0.9x</w:t>
            </w:r>
          </w:p>
        </w:tc>
        <w:tc>
          <w:tcPr>
            <w:tcW w:type="dxa" w:w="1018"/>
            <w:shd w:val="clear" w:fill="F4F7FA"/>
          </w:tcPr>
          <w:p>
            <w:pPr>
              <w:spacing w:before="20" w:after="20"/>
              <w:jc w:val="right"/>
            </w:pPr>
            <w:r>
              <w:rPr>
                <w:rFonts w:ascii="Georgia" w:hAnsi="Georgia"/>
                <w:sz w:val="14"/>
              </w:rPr>
            </w:r>
            <w:r>
              <w:rPr>
                <w:rFonts w:ascii="Georgia" w:hAnsi="Georgia"/>
                <w:sz w:val="14"/>
              </w:rPr>
              <w:t>6.5x</w:t>
            </w:r>
          </w:p>
        </w:tc>
        <w:tc>
          <w:tcPr>
            <w:tcW w:type="dxa" w:w="1018"/>
            <w:shd w:val="clear" w:fill="F4F7FA"/>
          </w:tcPr>
          <w:p>
            <w:pPr>
              <w:spacing w:before="20" w:after="20"/>
              <w:jc w:val="right"/>
            </w:pPr>
            <w:r>
              <w:rPr>
                <w:rFonts w:ascii="Georgia" w:hAnsi="Georgia"/>
                <w:sz w:val="14"/>
              </w:rPr>
            </w:r>
            <w:r>
              <w:rPr>
                <w:rFonts w:ascii="Georgia" w:hAnsi="Georgia"/>
                <w:sz w:val="14"/>
              </w:rPr>
              <w:t>8.0x</w:t>
            </w:r>
          </w:p>
        </w:tc>
        <w:tc>
          <w:tcPr>
            <w:tcW w:type="dxa" w:w="1018"/>
            <w:shd w:val="clear" w:fill="F4F7FA"/>
          </w:tcPr>
          <w:p>
            <w:pPr>
              <w:spacing w:before="20" w:after="20"/>
              <w:jc w:val="right"/>
            </w:pPr>
            <w:r>
              <w:rPr>
                <w:rFonts w:ascii="Georgia" w:hAnsi="Georgia"/>
                <w:sz w:val="14"/>
              </w:rPr>
            </w:r>
            <w:r>
              <w:rPr>
                <w:rFonts w:ascii="Georgia" w:hAnsi="Georgia"/>
                <w:sz w:val="14"/>
              </w:rPr>
              <w:t>c.1.0x</w:t>
            </w:r>
          </w:p>
        </w:tc>
        <w:tc>
          <w:tcPr>
            <w:tcW w:type="dxa" w:w="1018"/>
            <w:shd w:val="clear" w:fill="F4F7FA"/>
          </w:tcPr>
          <w:p>
            <w:pPr>
              <w:spacing w:before="20" w:after="20"/>
              <w:jc w:val="right"/>
            </w:pPr>
            <w:r>
              <w:rPr>
                <w:rFonts w:ascii="Georgia" w:hAnsi="Georgia"/>
                <w:sz w:val="14"/>
              </w:rPr>
            </w:r>
            <w:r>
              <w:rPr>
                <w:rFonts w:ascii="Georgia" w:hAnsi="Georgia"/>
                <w:sz w:val="14"/>
              </w:rPr>
              <w:t>c.13%</w:t>
            </w:r>
          </w:p>
        </w:tc>
        <w:tc>
          <w:tcPr>
            <w:tcW w:type="dxa" w:w="1018"/>
            <w:shd w:val="clear" w:fill="F4F7FA"/>
          </w:tcPr>
          <w:p>
            <w:pPr>
              <w:spacing w:before="20" w:after="20"/>
              <w:jc w:val="right"/>
            </w:pPr>
            <w:r>
              <w:rPr>
                <w:rFonts w:ascii="Georgia" w:hAnsi="Georgia"/>
                <w:sz w:val="14"/>
              </w:rPr>
            </w:r>
            <w:r>
              <w:rPr>
                <w:rFonts w:ascii="Georgia" w:hAnsi="Georgia"/>
                <w:sz w:val="14"/>
              </w:rPr>
              <w:t>Low single</w:t>
            </w:r>
          </w:p>
        </w:tc>
      </w:tr>
      <w:tr>
        <w:tc>
          <w:tcPr>
            <w:tcW w:type="dxa" w:w="1018"/>
          </w:tcPr>
          <w:p>
            <w:pPr>
              <w:spacing w:before="20" w:after="20"/>
            </w:pPr>
            <w:r>
              <w:rPr>
                <w:rFonts w:ascii="Georgia" w:hAnsi="Georgia"/>
                <w:sz w:val="14"/>
              </w:rPr>
            </w:r>
            <w:r>
              <w:rPr>
                <w:rFonts w:ascii="Georgia" w:hAnsi="Georgia"/>
                <w:sz w:val="14"/>
              </w:rPr>
              <w:t>Infosys</w:t>
            </w:r>
          </w:p>
        </w:tc>
        <w:tc>
          <w:tcPr>
            <w:tcW w:type="dxa" w:w="1018"/>
          </w:tcPr>
          <w:p>
            <w:pPr>
              <w:spacing w:before="20" w:after="20"/>
            </w:pPr>
            <w:r>
              <w:rPr>
                <w:rFonts w:ascii="Georgia" w:hAnsi="Georgia"/>
                <w:sz w:val="14"/>
              </w:rPr>
            </w:r>
            <w:r>
              <w:rPr>
                <w:rFonts w:ascii="Georgia" w:hAnsi="Georgia"/>
                <w:sz w:val="14"/>
              </w:rPr>
              <w:t>INFY / INFY.NS</w:t>
            </w:r>
          </w:p>
        </w:tc>
        <w:tc>
          <w:tcPr>
            <w:tcW w:type="dxa" w:w="1018"/>
          </w:tcPr>
          <w:p>
            <w:pPr>
              <w:spacing w:before="20" w:after="20"/>
            </w:pPr>
            <w:r>
              <w:rPr>
                <w:rFonts w:ascii="Georgia" w:hAnsi="Georgia"/>
                <w:sz w:val="14"/>
              </w:rPr>
            </w:r>
            <w:r>
              <w:rPr>
                <w:rFonts w:ascii="Georgia" w:hAnsi="Georgia"/>
                <w:sz w:val="14"/>
              </w:rPr>
              <w:t>NYSE / NSE</w:t>
            </w:r>
          </w:p>
        </w:tc>
        <w:tc>
          <w:tcPr>
            <w:tcW w:type="dxa" w:w="1018"/>
          </w:tcPr>
          <w:p>
            <w:pPr>
              <w:spacing w:before="20" w:after="20"/>
              <w:jc w:val="right"/>
            </w:pPr>
            <w:r>
              <w:rPr>
                <w:rFonts w:ascii="Georgia" w:hAnsi="Georgia"/>
                <w:sz w:val="14"/>
              </w:rPr>
            </w:r>
            <w:r>
              <w:rPr>
                <w:rFonts w:ascii="Georgia" w:hAnsi="Georgia"/>
                <w:sz w:val="14"/>
              </w:rPr>
              <w:t>c.$47.8bn</w:t>
            </w:r>
          </w:p>
        </w:tc>
        <w:tc>
          <w:tcPr>
            <w:tcW w:type="dxa" w:w="1018"/>
          </w:tcPr>
          <w:p>
            <w:pPr>
              <w:spacing w:before="20" w:after="20"/>
              <w:jc w:val="right"/>
            </w:pPr>
            <w:r>
              <w:rPr>
                <w:rFonts w:ascii="Georgia" w:hAnsi="Georgia"/>
                <w:sz w:val="14"/>
              </w:rPr>
            </w:r>
            <w:r>
              <w:rPr>
                <w:rFonts w:ascii="Georgia" w:hAnsi="Georgia"/>
                <w:sz w:val="14"/>
              </w:rPr>
              <w:t>c.2.4x</w:t>
            </w:r>
          </w:p>
        </w:tc>
        <w:tc>
          <w:tcPr>
            <w:tcW w:type="dxa" w:w="1018"/>
          </w:tcPr>
          <w:p>
            <w:pPr>
              <w:spacing w:before="20" w:after="20"/>
              <w:jc w:val="right"/>
            </w:pPr>
            <w:r>
              <w:rPr>
                <w:rFonts w:ascii="Georgia" w:hAnsi="Georgia"/>
                <w:sz w:val="14"/>
              </w:rPr>
            </w:r>
            <w:r>
              <w:rPr>
                <w:rFonts w:ascii="Georgia" w:hAnsi="Georgia"/>
                <w:sz w:val="14"/>
              </w:rPr>
              <w:t>c.12x</w:t>
            </w:r>
          </w:p>
        </w:tc>
        <w:tc>
          <w:tcPr>
            <w:tcW w:type="dxa" w:w="1018"/>
          </w:tcPr>
          <w:p>
            <w:pPr>
              <w:spacing w:before="20" w:after="20"/>
              <w:jc w:val="right"/>
            </w:pPr>
            <w:r>
              <w:rPr>
                <w:rFonts w:ascii="Georgia" w:hAnsi="Georgia"/>
                <w:sz w:val="14"/>
              </w:rPr>
            </w:r>
            <w:r>
              <w:rPr>
                <w:rFonts w:ascii="Georgia" w:hAnsi="Georgia"/>
                <w:sz w:val="14"/>
              </w:rPr>
              <w:t>c.20x</w:t>
            </w:r>
          </w:p>
        </w:tc>
        <w:tc>
          <w:tcPr>
            <w:tcW w:type="dxa" w:w="1018"/>
          </w:tcPr>
          <w:p>
            <w:pPr>
              <w:spacing w:before="20" w:after="20"/>
              <w:jc w:val="right"/>
            </w:pPr>
            <w:r>
              <w:rPr>
                <w:rFonts w:ascii="Georgia" w:hAnsi="Georgia"/>
                <w:sz w:val="14"/>
              </w:rPr>
            </w:r>
            <w:r>
              <w:rPr>
                <w:rFonts w:ascii="Georgia" w:hAnsi="Georgia"/>
                <w:sz w:val="14"/>
              </w:rPr>
              <w:t>Net cash</w:t>
            </w:r>
          </w:p>
        </w:tc>
        <w:tc>
          <w:tcPr>
            <w:tcW w:type="dxa" w:w="1018"/>
          </w:tcPr>
          <w:p>
            <w:pPr>
              <w:spacing w:before="20" w:after="20"/>
              <w:jc w:val="right"/>
            </w:pPr>
            <w:r>
              <w:rPr>
                <w:rFonts w:ascii="Georgia" w:hAnsi="Georgia"/>
                <w:sz w:val="14"/>
              </w:rPr>
            </w:r>
            <w:r>
              <w:rPr>
                <w:rFonts w:ascii="Georgia" w:hAnsi="Georgia"/>
                <w:sz w:val="14"/>
              </w:rPr>
              <w:t>c.23%</w:t>
            </w:r>
          </w:p>
        </w:tc>
        <w:tc>
          <w:tcPr>
            <w:tcW w:type="dxa" w:w="1018"/>
          </w:tcPr>
          <w:p>
            <w:pPr>
              <w:spacing w:before="20" w:after="20"/>
              <w:jc w:val="right"/>
            </w:pPr>
            <w:r>
              <w:rPr>
                <w:rFonts w:ascii="Georgia" w:hAnsi="Georgia"/>
                <w:sz w:val="14"/>
              </w:rPr>
            </w:r>
            <w:r>
              <w:rPr>
                <w:rFonts w:ascii="Georgia" w:hAnsi="Georgia"/>
                <w:sz w:val="14"/>
              </w:rPr>
              <w:t>Low single</w:t>
            </w:r>
          </w:p>
        </w:tc>
      </w:tr>
      <w:tr>
        <w:tc>
          <w:tcPr>
            <w:tcW w:type="dxa" w:w="1018"/>
            <w:shd w:val="clear" w:fill="F4F7FA"/>
          </w:tcPr>
          <w:p>
            <w:pPr>
              <w:spacing w:before="20" w:after="20"/>
            </w:pPr>
            <w:r>
              <w:rPr>
                <w:rFonts w:ascii="Georgia" w:hAnsi="Georgia"/>
                <w:sz w:val="14"/>
              </w:rPr>
            </w:r>
            <w:r>
              <w:rPr>
                <w:rFonts w:ascii="Georgia" w:hAnsi="Georgia"/>
                <w:sz w:val="14"/>
              </w:rPr>
              <w:t>Tata Consultancy Services</w:t>
            </w:r>
          </w:p>
        </w:tc>
        <w:tc>
          <w:tcPr>
            <w:tcW w:type="dxa" w:w="1018"/>
            <w:shd w:val="clear" w:fill="F4F7FA"/>
          </w:tcPr>
          <w:p>
            <w:pPr>
              <w:spacing w:before="20" w:after="20"/>
            </w:pPr>
            <w:r>
              <w:rPr>
                <w:rFonts w:ascii="Georgia" w:hAnsi="Georgia"/>
                <w:sz w:val="14"/>
              </w:rPr>
            </w:r>
            <w:r>
              <w:rPr>
                <w:rFonts w:ascii="Georgia" w:hAnsi="Georgia"/>
                <w:sz w:val="14"/>
              </w:rPr>
              <w:t>TCS.NS</w:t>
            </w:r>
          </w:p>
        </w:tc>
        <w:tc>
          <w:tcPr>
            <w:tcW w:type="dxa" w:w="1018"/>
            <w:shd w:val="clear" w:fill="F4F7FA"/>
          </w:tcPr>
          <w:p>
            <w:pPr>
              <w:spacing w:before="20" w:after="20"/>
            </w:pPr>
            <w:r>
              <w:rPr>
                <w:rFonts w:ascii="Georgia" w:hAnsi="Georgia"/>
                <w:sz w:val="14"/>
              </w:rPr>
            </w:r>
            <w:r>
              <w:rPr>
                <w:rFonts w:ascii="Georgia" w:hAnsi="Georgia"/>
                <w:sz w:val="14"/>
              </w:rPr>
              <w:t>NSE / BSE</w:t>
            </w:r>
          </w:p>
        </w:tc>
        <w:tc>
          <w:tcPr>
            <w:tcW w:type="dxa" w:w="1018"/>
            <w:shd w:val="clear" w:fill="F4F7FA"/>
          </w:tcPr>
          <w:p>
            <w:pPr>
              <w:spacing w:before="20" w:after="20"/>
              <w:jc w:val="right"/>
            </w:pPr>
            <w:r>
              <w:rPr>
                <w:rFonts w:ascii="Georgia" w:hAnsi="Georgia"/>
                <w:sz w:val="14"/>
              </w:rPr>
            </w:r>
            <w:r>
              <w:rPr>
                <w:rFonts w:ascii="Georgia" w:hAnsi="Georgia"/>
                <w:sz w:val="14"/>
              </w:rPr>
              <w:t>c.$130bn</w:t>
            </w:r>
          </w:p>
        </w:tc>
        <w:tc>
          <w:tcPr>
            <w:tcW w:type="dxa" w:w="1018"/>
            <w:shd w:val="clear" w:fill="F4F7FA"/>
          </w:tcPr>
          <w:p>
            <w:pPr>
              <w:spacing w:before="20" w:after="20"/>
              <w:jc w:val="right"/>
            </w:pPr>
            <w:r>
              <w:rPr>
                <w:rFonts w:ascii="Georgia" w:hAnsi="Georgia"/>
                <w:sz w:val="14"/>
              </w:rPr>
            </w:r>
            <w:r>
              <w:rPr>
                <w:rFonts w:ascii="Georgia" w:hAnsi="Georgia"/>
                <w:sz w:val="14"/>
              </w:rPr>
              <w:t>c.3.7x</w:t>
            </w:r>
          </w:p>
        </w:tc>
        <w:tc>
          <w:tcPr>
            <w:tcW w:type="dxa" w:w="1018"/>
            <w:shd w:val="clear" w:fill="F4F7FA"/>
          </w:tcPr>
          <w:p>
            <w:pPr>
              <w:spacing w:before="20" w:after="20"/>
              <w:jc w:val="right"/>
            </w:pPr>
            <w:r>
              <w:rPr>
                <w:rFonts w:ascii="Georgia" w:hAnsi="Georgia"/>
                <w:sz w:val="14"/>
              </w:rPr>
            </w:r>
            <w:r>
              <w:rPr>
                <w:rFonts w:ascii="Georgia" w:hAnsi="Georgia"/>
                <w:sz w:val="14"/>
              </w:rPr>
              <w:t>c.14x</w:t>
            </w:r>
          </w:p>
        </w:tc>
        <w:tc>
          <w:tcPr>
            <w:tcW w:type="dxa" w:w="1018"/>
            <w:shd w:val="clear" w:fill="F4F7FA"/>
          </w:tcPr>
          <w:p>
            <w:pPr>
              <w:spacing w:before="20" w:after="20"/>
              <w:jc w:val="right"/>
            </w:pPr>
            <w:r>
              <w:rPr>
                <w:rFonts w:ascii="Georgia" w:hAnsi="Georgia"/>
                <w:sz w:val="14"/>
              </w:rPr>
            </w:r>
            <w:r>
              <w:rPr>
                <w:rFonts w:ascii="Georgia" w:hAnsi="Georgia"/>
                <w:sz w:val="14"/>
              </w:rPr>
              <w:t>c.22x</w:t>
            </w:r>
          </w:p>
        </w:tc>
        <w:tc>
          <w:tcPr>
            <w:tcW w:type="dxa" w:w="1018"/>
            <w:shd w:val="clear" w:fill="F4F7FA"/>
          </w:tcPr>
          <w:p>
            <w:pPr>
              <w:spacing w:before="20" w:after="20"/>
              <w:jc w:val="right"/>
            </w:pPr>
            <w:r>
              <w:rPr>
                <w:rFonts w:ascii="Georgia" w:hAnsi="Georgia"/>
                <w:sz w:val="14"/>
              </w:rPr>
            </w:r>
            <w:r>
              <w:rPr>
                <w:rFonts w:ascii="Georgia" w:hAnsi="Georgia"/>
                <w:sz w:val="14"/>
              </w:rPr>
              <w:t>Net cash</w:t>
            </w:r>
          </w:p>
        </w:tc>
        <w:tc>
          <w:tcPr>
            <w:tcW w:type="dxa" w:w="1018"/>
            <w:shd w:val="clear" w:fill="F4F7FA"/>
          </w:tcPr>
          <w:p>
            <w:pPr>
              <w:spacing w:before="20" w:after="20"/>
              <w:jc w:val="right"/>
            </w:pPr>
            <w:r>
              <w:rPr>
                <w:rFonts w:ascii="Georgia" w:hAnsi="Georgia"/>
                <w:sz w:val="14"/>
              </w:rPr>
            </w:r>
            <w:r>
              <w:rPr>
                <w:rFonts w:ascii="Georgia" w:hAnsi="Georgia"/>
                <w:sz w:val="14"/>
              </w:rPr>
              <w:t>c.26%</w:t>
            </w:r>
          </w:p>
        </w:tc>
        <w:tc>
          <w:tcPr>
            <w:tcW w:type="dxa" w:w="1018"/>
            <w:shd w:val="clear" w:fill="F4F7FA"/>
          </w:tcPr>
          <w:p>
            <w:pPr>
              <w:spacing w:before="20" w:after="20"/>
              <w:jc w:val="right"/>
            </w:pPr>
            <w:r>
              <w:rPr>
                <w:rFonts w:ascii="Georgia" w:hAnsi="Georgia"/>
                <w:sz w:val="14"/>
              </w:rPr>
            </w:r>
            <w:r>
              <w:rPr>
                <w:rFonts w:ascii="Georgia" w:hAnsi="Georgia"/>
                <w:sz w:val="14"/>
              </w:rPr>
              <w:t>Low single</w:t>
            </w:r>
          </w:p>
        </w:tc>
      </w:tr>
      <w:tr>
        <w:tc>
          <w:tcPr>
            <w:tcW w:type="dxa" w:w="1018"/>
          </w:tcPr>
          <w:p>
            <w:pPr>
              <w:spacing w:before="20" w:after="20"/>
            </w:pPr>
            <w:r>
              <w:rPr>
                <w:rFonts w:ascii="Georgia" w:hAnsi="Georgia"/>
                <w:sz w:val="14"/>
              </w:rPr>
            </w:r>
            <w:r>
              <w:rPr>
                <w:rFonts w:ascii="Georgia" w:hAnsi="Georgia"/>
                <w:sz w:val="14"/>
              </w:rPr>
              <w:t>Wipro</w:t>
            </w:r>
          </w:p>
        </w:tc>
        <w:tc>
          <w:tcPr>
            <w:tcW w:type="dxa" w:w="1018"/>
          </w:tcPr>
          <w:p>
            <w:pPr>
              <w:spacing w:before="20" w:after="20"/>
            </w:pPr>
            <w:r>
              <w:rPr>
                <w:rFonts w:ascii="Georgia" w:hAnsi="Georgia"/>
                <w:sz w:val="14"/>
              </w:rPr>
            </w:r>
            <w:r>
              <w:rPr>
                <w:rFonts w:ascii="Georgia" w:hAnsi="Georgia"/>
                <w:sz w:val="14"/>
              </w:rPr>
              <w:t>WIT / WIPRO.NS</w:t>
            </w:r>
          </w:p>
        </w:tc>
        <w:tc>
          <w:tcPr>
            <w:tcW w:type="dxa" w:w="1018"/>
          </w:tcPr>
          <w:p>
            <w:pPr>
              <w:spacing w:before="20" w:after="20"/>
            </w:pPr>
            <w:r>
              <w:rPr>
                <w:rFonts w:ascii="Georgia" w:hAnsi="Georgia"/>
                <w:sz w:val="14"/>
              </w:rPr>
            </w:r>
            <w:r>
              <w:rPr>
                <w:rFonts w:ascii="Georgia" w:hAnsi="Georgia"/>
                <w:sz w:val="14"/>
              </w:rPr>
              <w:t>NYSE / NSE</w:t>
            </w:r>
          </w:p>
        </w:tc>
        <w:tc>
          <w:tcPr>
            <w:tcW w:type="dxa" w:w="1018"/>
          </w:tcPr>
          <w:p>
            <w:pPr>
              <w:spacing w:before="20" w:after="20"/>
              <w:jc w:val="right"/>
            </w:pPr>
            <w:r>
              <w:rPr>
                <w:rFonts w:ascii="Georgia" w:hAnsi="Georgia"/>
                <w:sz w:val="14"/>
              </w:rPr>
            </w:r>
            <w:r>
              <w:rPr>
                <w:rFonts w:ascii="Georgia" w:hAnsi="Georgia"/>
                <w:sz w:val="14"/>
              </w:rPr>
              <w:t>c.$26bn</w:t>
            </w:r>
          </w:p>
        </w:tc>
        <w:tc>
          <w:tcPr>
            <w:tcW w:type="dxa" w:w="1018"/>
          </w:tcPr>
          <w:p>
            <w:pPr>
              <w:spacing w:before="20" w:after="20"/>
              <w:jc w:val="right"/>
            </w:pPr>
            <w:r>
              <w:rPr>
                <w:rFonts w:ascii="Georgia" w:hAnsi="Georgia"/>
                <w:sz w:val="14"/>
              </w:rPr>
            </w:r>
            <w:r>
              <w:rPr>
                <w:rFonts w:ascii="Georgia" w:hAnsi="Georgia"/>
                <w:sz w:val="14"/>
              </w:rPr>
              <w:t>c.2.0x</w:t>
            </w:r>
          </w:p>
        </w:tc>
        <w:tc>
          <w:tcPr>
            <w:tcW w:type="dxa" w:w="1018"/>
          </w:tcPr>
          <w:p>
            <w:pPr>
              <w:spacing w:before="20" w:after="20"/>
              <w:jc w:val="right"/>
            </w:pPr>
            <w:r>
              <w:rPr>
                <w:rFonts w:ascii="Georgia" w:hAnsi="Georgia"/>
                <w:sz w:val="14"/>
              </w:rPr>
            </w:r>
            <w:r>
              <w:rPr>
                <w:rFonts w:ascii="Georgia" w:hAnsi="Georgia"/>
                <w:sz w:val="14"/>
              </w:rPr>
              <w:t>c.10x</w:t>
            </w:r>
          </w:p>
        </w:tc>
        <w:tc>
          <w:tcPr>
            <w:tcW w:type="dxa" w:w="1018"/>
          </w:tcPr>
          <w:p>
            <w:pPr>
              <w:spacing w:before="20" w:after="20"/>
              <w:jc w:val="right"/>
            </w:pPr>
            <w:r>
              <w:rPr>
                <w:rFonts w:ascii="Georgia" w:hAnsi="Georgia"/>
                <w:sz w:val="14"/>
              </w:rPr>
            </w:r>
            <w:r>
              <w:rPr>
                <w:rFonts w:ascii="Georgia" w:hAnsi="Georgia"/>
                <w:sz w:val="14"/>
              </w:rPr>
              <w:t>c.17x</w:t>
            </w:r>
          </w:p>
        </w:tc>
        <w:tc>
          <w:tcPr>
            <w:tcW w:type="dxa" w:w="1018"/>
          </w:tcPr>
          <w:p>
            <w:pPr>
              <w:spacing w:before="20" w:after="20"/>
              <w:jc w:val="right"/>
            </w:pPr>
            <w:r>
              <w:rPr>
                <w:rFonts w:ascii="Georgia" w:hAnsi="Georgia"/>
                <w:sz w:val="14"/>
              </w:rPr>
            </w:r>
            <w:r>
              <w:rPr>
                <w:rFonts w:ascii="Georgia" w:hAnsi="Georgia"/>
                <w:sz w:val="14"/>
              </w:rPr>
              <w:t>Net cash</w:t>
            </w:r>
          </w:p>
        </w:tc>
        <w:tc>
          <w:tcPr>
            <w:tcW w:type="dxa" w:w="1018"/>
          </w:tcPr>
          <w:p>
            <w:pPr>
              <w:spacing w:before="20" w:after="20"/>
              <w:jc w:val="right"/>
            </w:pPr>
            <w:r>
              <w:rPr>
                <w:rFonts w:ascii="Georgia" w:hAnsi="Georgia"/>
                <w:sz w:val="14"/>
              </w:rPr>
            </w:r>
            <w:r>
              <w:rPr>
                <w:rFonts w:ascii="Georgia" w:hAnsi="Georgia"/>
                <w:sz w:val="14"/>
              </w:rPr>
              <w:t>c.20%</w:t>
            </w:r>
          </w:p>
        </w:tc>
        <w:tc>
          <w:tcPr>
            <w:tcW w:type="dxa" w:w="1018"/>
          </w:tcPr>
          <w:p>
            <w:pPr>
              <w:spacing w:before="20" w:after="20"/>
              <w:jc w:val="right"/>
            </w:pPr>
            <w:r>
              <w:rPr>
                <w:rFonts w:ascii="Georgia" w:hAnsi="Georgia"/>
                <w:sz w:val="14"/>
              </w:rPr>
            </w:r>
            <w:r>
              <w:rPr>
                <w:rFonts w:ascii="Georgia" w:hAnsi="Georgia"/>
                <w:sz w:val="14"/>
              </w:rPr>
              <w:t>Flat/negative</w:t>
            </w:r>
          </w:p>
        </w:tc>
      </w:tr>
      <w:tr>
        <w:tc>
          <w:tcPr>
            <w:tcW w:type="dxa" w:w="1018"/>
            <w:shd w:val="clear" w:fill="F4F7FA"/>
          </w:tcPr>
          <w:p>
            <w:pPr>
              <w:spacing w:before="20" w:after="20"/>
            </w:pPr>
            <w:r>
              <w:rPr>
                <w:rFonts w:ascii="Georgia" w:hAnsi="Georgia"/>
                <w:sz w:val="14"/>
              </w:rPr>
            </w:r>
            <w:r>
              <w:rPr>
                <w:rFonts w:ascii="Georgia" w:hAnsi="Georgia"/>
                <w:sz w:val="14"/>
              </w:rPr>
              <w:t>Globant</w:t>
            </w:r>
          </w:p>
        </w:tc>
        <w:tc>
          <w:tcPr>
            <w:tcW w:type="dxa" w:w="1018"/>
            <w:shd w:val="clear" w:fill="F4F7FA"/>
          </w:tcPr>
          <w:p>
            <w:pPr>
              <w:spacing w:before="20" w:after="20"/>
            </w:pPr>
            <w:r>
              <w:rPr>
                <w:rFonts w:ascii="Georgia" w:hAnsi="Georgia"/>
                <w:sz w:val="14"/>
              </w:rPr>
            </w:r>
            <w:r>
              <w:rPr>
                <w:rFonts w:ascii="Georgia" w:hAnsi="Georgia"/>
                <w:sz w:val="14"/>
              </w:rPr>
              <w:t>GLOB</w:t>
            </w:r>
          </w:p>
        </w:tc>
        <w:tc>
          <w:tcPr>
            <w:tcW w:type="dxa" w:w="1018"/>
            <w:shd w:val="clear" w:fill="F4F7FA"/>
          </w:tcPr>
          <w:p>
            <w:pPr>
              <w:spacing w:before="20" w:after="20"/>
            </w:pPr>
            <w:r>
              <w:rPr>
                <w:rFonts w:ascii="Georgia" w:hAnsi="Georgia"/>
                <w:sz w:val="14"/>
              </w:rPr>
            </w:r>
            <w:r>
              <w:rPr>
                <w:rFonts w:ascii="Georgia" w:hAnsi="Georgia"/>
                <w:sz w:val="14"/>
              </w:rPr>
              <w:t>NYSE</w:t>
            </w:r>
          </w:p>
        </w:tc>
        <w:tc>
          <w:tcPr>
            <w:tcW w:type="dxa" w:w="1018"/>
            <w:shd w:val="clear" w:fill="F4F7FA"/>
          </w:tcPr>
          <w:p>
            <w:pPr>
              <w:spacing w:before="20" w:after="20"/>
              <w:jc w:val="right"/>
            </w:pPr>
            <w:r>
              <w:rPr>
                <w:rFonts w:ascii="Georgia" w:hAnsi="Georgia"/>
                <w:sz w:val="14"/>
              </w:rPr>
            </w:r>
            <w:r>
              <w:rPr>
                <w:rFonts w:ascii="Georgia" w:hAnsi="Georgia"/>
                <w:sz w:val="14"/>
              </w:rPr>
              <w:t>c.$1.7bn</w:t>
            </w:r>
          </w:p>
        </w:tc>
        <w:tc>
          <w:tcPr>
            <w:tcW w:type="dxa" w:w="1018"/>
            <w:shd w:val="clear" w:fill="F4F7FA"/>
          </w:tcPr>
          <w:p>
            <w:pPr>
              <w:spacing w:before="20" w:after="20"/>
              <w:jc w:val="right"/>
            </w:pPr>
            <w:r>
              <w:rPr>
                <w:rFonts w:ascii="Georgia" w:hAnsi="Georgia"/>
                <w:sz w:val="14"/>
              </w:rPr>
            </w:r>
            <w:r>
              <w:rPr>
                <w:rFonts w:ascii="Georgia" w:hAnsi="Georgia"/>
                <w:sz w:val="14"/>
              </w:rPr>
              <w:t>c.0.8x</w:t>
            </w:r>
          </w:p>
        </w:tc>
        <w:tc>
          <w:tcPr>
            <w:tcW w:type="dxa" w:w="1018"/>
            <w:shd w:val="clear" w:fill="F4F7FA"/>
          </w:tcPr>
          <w:p>
            <w:pPr>
              <w:spacing w:before="20" w:after="20"/>
              <w:jc w:val="right"/>
            </w:pPr>
            <w:r>
              <w:rPr>
                <w:rFonts w:ascii="Georgia" w:hAnsi="Georgia"/>
                <w:sz w:val="14"/>
              </w:rPr>
            </w:r>
            <w:r>
              <w:rPr>
                <w:rFonts w:ascii="Georgia" w:hAnsi="Georgia"/>
                <w:sz w:val="14"/>
              </w:rPr>
              <w:t>c.5x</w:t>
            </w:r>
          </w:p>
        </w:tc>
        <w:tc>
          <w:tcPr>
            <w:tcW w:type="dxa" w:w="1018"/>
            <w:shd w:val="clear" w:fill="F4F7FA"/>
          </w:tcPr>
          <w:p>
            <w:pPr>
              <w:spacing w:before="20" w:after="20"/>
              <w:jc w:val="right"/>
            </w:pPr>
            <w:r>
              <w:rPr>
                <w:rFonts w:ascii="Georgia" w:hAnsi="Georgia"/>
                <w:sz w:val="14"/>
              </w:rPr>
            </w:r>
            <w:r>
              <w:rPr>
                <w:rFonts w:ascii="Georgia" w:hAnsi="Georgia"/>
                <w:sz w:val="14"/>
              </w:rPr>
              <w:t>c.15x</w:t>
            </w:r>
          </w:p>
        </w:tc>
        <w:tc>
          <w:tcPr>
            <w:tcW w:type="dxa" w:w="1018"/>
            <w:shd w:val="clear" w:fill="F4F7FA"/>
          </w:tcPr>
          <w:p>
            <w:pPr>
              <w:spacing w:before="20" w:after="20"/>
              <w:jc w:val="right"/>
            </w:pPr>
            <w:r>
              <w:rPr>
                <w:rFonts w:ascii="Georgia" w:hAnsi="Georgia"/>
                <w:sz w:val="14"/>
              </w:rPr>
            </w:r>
            <w:r>
              <w:rPr>
                <w:rFonts w:ascii="Georgia" w:hAnsi="Georgia"/>
                <w:sz w:val="14"/>
              </w:rPr>
              <w:t>c.0.5x</w:t>
            </w:r>
          </w:p>
        </w:tc>
        <w:tc>
          <w:tcPr>
            <w:tcW w:type="dxa" w:w="1018"/>
            <w:shd w:val="clear" w:fill="F4F7FA"/>
          </w:tcPr>
          <w:p>
            <w:pPr>
              <w:spacing w:before="20" w:after="20"/>
              <w:jc w:val="right"/>
            </w:pPr>
            <w:r>
              <w:rPr>
                <w:rFonts w:ascii="Georgia" w:hAnsi="Georgia"/>
                <w:sz w:val="14"/>
              </w:rPr>
            </w:r>
            <w:r>
              <w:rPr>
                <w:rFonts w:ascii="Georgia" w:hAnsi="Georgia"/>
                <w:sz w:val="14"/>
              </w:rPr>
              <w:t>c.14%</w:t>
            </w:r>
          </w:p>
        </w:tc>
        <w:tc>
          <w:tcPr>
            <w:tcW w:type="dxa" w:w="1018"/>
            <w:shd w:val="clear" w:fill="F4F7FA"/>
          </w:tcPr>
          <w:p>
            <w:pPr>
              <w:spacing w:before="20" w:after="20"/>
              <w:jc w:val="right"/>
            </w:pPr>
            <w:r>
              <w:rPr>
                <w:rFonts w:ascii="Georgia" w:hAnsi="Georgia"/>
                <w:sz w:val="14"/>
              </w:rPr>
            </w:r>
            <w:r>
              <w:rPr>
                <w:rFonts w:ascii="Georgia" w:hAnsi="Georgia"/>
                <w:sz w:val="14"/>
              </w:rPr>
              <w:t>c.0%</w:t>
            </w:r>
          </w:p>
        </w:tc>
      </w:tr>
      <w:tr>
        <w:tc>
          <w:tcPr>
            <w:tcW w:type="dxa" w:w="1018"/>
          </w:tcPr>
          <w:p>
            <w:pPr>
              <w:spacing w:before="20" w:after="20"/>
            </w:pPr>
            <w:r>
              <w:rPr>
                <w:rFonts w:ascii="Georgia" w:hAnsi="Georgia"/>
                <w:sz w:val="14"/>
              </w:rPr>
            </w:r>
            <w:r>
              <w:rPr>
                <w:rFonts w:ascii="Georgia" w:hAnsi="Georgia"/>
                <w:sz w:val="14"/>
              </w:rPr>
              <w:t>Endava</w:t>
            </w:r>
          </w:p>
        </w:tc>
        <w:tc>
          <w:tcPr>
            <w:tcW w:type="dxa" w:w="1018"/>
          </w:tcPr>
          <w:p>
            <w:pPr>
              <w:spacing w:before="20" w:after="20"/>
            </w:pPr>
            <w:r>
              <w:rPr>
                <w:rFonts w:ascii="Georgia" w:hAnsi="Georgia"/>
                <w:sz w:val="14"/>
              </w:rPr>
            </w:r>
            <w:r>
              <w:rPr>
                <w:rFonts w:ascii="Georgia" w:hAnsi="Georgia"/>
                <w:sz w:val="14"/>
              </w:rPr>
              <w:t>DAVA</w:t>
            </w:r>
          </w:p>
        </w:tc>
        <w:tc>
          <w:tcPr>
            <w:tcW w:type="dxa" w:w="1018"/>
          </w:tcPr>
          <w:p>
            <w:pPr>
              <w:spacing w:before="20" w:after="20"/>
            </w:pPr>
            <w:r>
              <w:rPr>
                <w:rFonts w:ascii="Georgia" w:hAnsi="Georgia"/>
                <w:sz w:val="14"/>
              </w:rPr>
            </w:r>
            <w:r>
              <w:rPr>
                <w:rFonts w:ascii="Georgia" w:hAnsi="Georgia"/>
                <w:sz w:val="14"/>
              </w:rPr>
              <w:t>NYSE</w:t>
            </w:r>
          </w:p>
        </w:tc>
        <w:tc>
          <w:tcPr>
            <w:tcW w:type="dxa" w:w="1018"/>
          </w:tcPr>
          <w:p>
            <w:pPr>
              <w:spacing w:before="20" w:after="20"/>
              <w:jc w:val="right"/>
            </w:pPr>
            <w:r>
              <w:rPr>
                <w:rFonts w:ascii="Georgia" w:hAnsi="Georgia"/>
                <w:sz w:val="14"/>
              </w:rPr>
            </w:r>
            <w:r>
              <w:rPr>
                <w:rFonts w:ascii="Georgia" w:hAnsi="Georgia"/>
                <w:sz w:val="14"/>
              </w:rPr>
              <w:t>c.$0.5bn</w:t>
            </w:r>
          </w:p>
        </w:tc>
        <w:tc>
          <w:tcPr>
            <w:tcW w:type="dxa" w:w="1018"/>
          </w:tcPr>
          <w:p>
            <w:pPr>
              <w:spacing w:before="20" w:after="20"/>
              <w:jc w:val="right"/>
            </w:pPr>
            <w:r>
              <w:rPr>
                <w:rFonts w:ascii="Georgia" w:hAnsi="Georgia"/>
                <w:sz w:val="14"/>
              </w:rPr>
            </w:r>
            <w:r>
              <w:rPr>
                <w:rFonts w:ascii="Georgia" w:hAnsi="Georgia"/>
                <w:sz w:val="14"/>
              </w:rPr>
              <w:t>c.0.6x</w:t>
            </w:r>
          </w:p>
        </w:tc>
        <w:tc>
          <w:tcPr>
            <w:tcW w:type="dxa" w:w="1018"/>
          </w:tcPr>
          <w:p>
            <w:pPr>
              <w:spacing w:before="20" w:after="20"/>
              <w:jc w:val="right"/>
            </w:pPr>
            <w:r>
              <w:rPr>
                <w:rFonts w:ascii="Georgia" w:hAnsi="Georgia"/>
                <w:sz w:val="14"/>
              </w:rPr>
            </w:r>
            <w:r>
              <w:rPr>
                <w:rFonts w:ascii="Georgia" w:hAnsi="Georgia"/>
                <w:sz w:val="14"/>
              </w:rPr>
              <w:t>c.5x</w:t>
            </w:r>
          </w:p>
        </w:tc>
        <w:tc>
          <w:tcPr>
            <w:tcW w:type="dxa" w:w="1018"/>
          </w:tcPr>
          <w:p>
            <w:pPr>
              <w:spacing w:before="20" w:after="20"/>
              <w:jc w:val="right"/>
            </w:pPr>
            <w:r>
              <w:rPr>
                <w:rFonts w:ascii="Georgia" w:hAnsi="Georgia"/>
                <w:sz w:val="14"/>
              </w:rPr>
            </w:r>
            <w:r>
              <w:rPr>
                <w:rFonts w:ascii="Georgia" w:hAnsi="Georgia"/>
                <w:sz w:val="14"/>
              </w:rPr>
              <w:t>n/m</w:t>
            </w:r>
          </w:p>
        </w:tc>
        <w:tc>
          <w:tcPr>
            <w:tcW w:type="dxa" w:w="1018"/>
          </w:tcPr>
          <w:p>
            <w:pPr>
              <w:spacing w:before="20" w:after="20"/>
              <w:jc w:val="right"/>
            </w:pPr>
            <w:r>
              <w:rPr>
                <w:rFonts w:ascii="Georgia" w:hAnsi="Georgia"/>
                <w:sz w:val="14"/>
              </w:rPr>
            </w:r>
            <w:r>
              <w:rPr>
                <w:rFonts w:ascii="Georgia" w:hAnsi="Georgia"/>
                <w:sz w:val="14"/>
              </w:rPr>
              <w:t>c.1.0x</w:t>
            </w:r>
          </w:p>
        </w:tc>
        <w:tc>
          <w:tcPr>
            <w:tcW w:type="dxa" w:w="1018"/>
          </w:tcPr>
          <w:p>
            <w:pPr>
              <w:spacing w:before="20" w:after="20"/>
              <w:jc w:val="right"/>
            </w:pPr>
            <w:r>
              <w:rPr>
                <w:rFonts w:ascii="Georgia" w:hAnsi="Georgia"/>
                <w:sz w:val="14"/>
              </w:rPr>
            </w:r>
            <w:r>
              <w:rPr>
                <w:rFonts w:ascii="Georgia" w:hAnsi="Georgia"/>
                <w:sz w:val="14"/>
              </w:rPr>
              <w:t>c.11%</w:t>
            </w:r>
          </w:p>
        </w:tc>
        <w:tc>
          <w:tcPr>
            <w:tcW w:type="dxa" w:w="1018"/>
          </w:tcPr>
          <w:p>
            <w:pPr>
              <w:spacing w:before="20" w:after="20"/>
              <w:jc w:val="right"/>
            </w:pPr>
            <w:r>
              <w:rPr>
                <w:rFonts w:ascii="Georgia" w:hAnsi="Georgia"/>
                <w:sz w:val="14"/>
              </w:rPr>
            </w:r>
            <w:r>
              <w:rPr>
                <w:rFonts w:ascii="Georgia" w:hAnsi="Georgia"/>
                <w:sz w:val="14"/>
              </w:rPr>
              <w:t>−5 to −6%</w:t>
            </w:r>
          </w:p>
        </w:tc>
      </w:tr>
      <w:tr>
        <w:tc>
          <w:tcPr>
            <w:tcW w:type="dxa" w:w="1018"/>
            <w:shd w:val="clear" w:fill="F4F7FA"/>
          </w:tcPr>
          <w:p>
            <w:pPr>
              <w:spacing w:before="20" w:after="20"/>
            </w:pPr>
            <w:r>
              <w:rPr>
                <w:rFonts w:ascii="Georgia" w:hAnsi="Georgia"/>
                <w:sz w:val="14"/>
              </w:rPr>
            </w:r>
            <w:r>
              <w:rPr>
                <w:rFonts w:ascii="Georgia" w:hAnsi="Georgia"/>
                <w:sz w:val="14"/>
              </w:rPr>
              <w:t>Grid Dynamics</w:t>
            </w:r>
          </w:p>
        </w:tc>
        <w:tc>
          <w:tcPr>
            <w:tcW w:type="dxa" w:w="1018"/>
            <w:shd w:val="clear" w:fill="F4F7FA"/>
          </w:tcPr>
          <w:p>
            <w:pPr>
              <w:spacing w:before="20" w:after="20"/>
            </w:pPr>
            <w:r>
              <w:rPr>
                <w:rFonts w:ascii="Georgia" w:hAnsi="Georgia"/>
                <w:sz w:val="14"/>
              </w:rPr>
            </w:r>
            <w:r>
              <w:rPr>
                <w:rFonts w:ascii="Georgia" w:hAnsi="Georgia"/>
                <w:sz w:val="14"/>
              </w:rPr>
              <w:t>GDYN</w:t>
            </w:r>
          </w:p>
        </w:tc>
        <w:tc>
          <w:tcPr>
            <w:tcW w:type="dxa" w:w="1018"/>
            <w:shd w:val="clear" w:fill="F4F7FA"/>
          </w:tcPr>
          <w:p>
            <w:pPr>
              <w:spacing w:before="20" w:after="20"/>
            </w:pPr>
            <w:r>
              <w:rPr>
                <w:rFonts w:ascii="Georgia" w:hAnsi="Georgia"/>
                <w:sz w:val="14"/>
              </w:rPr>
            </w:r>
            <w:r>
              <w:rPr>
                <w:rFonts w:ascii="Georgia" w:hAnsi="Georgia"/>
                <w:sz w:val="14"/>
              </w:rPr>
              <w:t>Nasdaq</w:t>
            </w:r>
          </w:p>
        </w:tc>
        <w:tc>
          <w:tcPr>
            <w:tcW w:type="dxa" w:w="1018"/>
            <w:shd w:val="clear" w:fill="F4F7FA"/>
          </w:tcPr>
          <w:p>
            <w:pPr>
              <w:spacing w:before="20" w:after="20"/>
              <w:jc w:val="right"/>
            </w:pPr>
            <w:r>
              <w:rPr>
                <w:rFonts w:ascii="Georgia" w:hAnsi="Georgia"/>
                <w:sz w:val="14"/>
              </w:rPr>
            </w:r>
            <w:r>
              <w:rPr>
                <w:rFonts w:ascii="Georgia" w:hAnsi="Georgia"/>
                <w:sz w:val="14"/>
              </w:rPr>
              <w:t>c.$0.6bn</w:t>
            </w:r>
          </w:p>
        </w:tc>
        <w:tc>
          <w:tcPr>
            <w:tcW w:type="dxa" w:w="1018"/>
            <w:shd w:val="clear" w:fill="F4F7FA"/>
          </w:tcPr>
          <w:p>
            <w:pPr>
              <w:spacing w:before="20" w:after="20"/>
              <w:jc w:val="right"/>
            </w:pPr>
            <w:r>
              <w:rPr>
                <w:rFonts w:ascii="Georgia" w:hAnsi="Georgia"/>
                <w:sz w:val="14"/>
              </w:rPr>
            </w:r>
            <w:r>
              <w:rPr>
                <w:rFonts w:ascii="Georgia" w:hAnsi="Georgia"/>
                <w:sz w:val="14"/>
              </w:rPr>
              <w:t>c.1.1x</w:t>
            </w:r>
          </w:p>
        </w:tc>
        <w:tc>
          <w:tcPr>
            <w:tcW w:type="dxa" w:w="1018"/>
            <w:shd w:val="clear" w:fill="F4F7FA"/>
          </w:tcPr>
          <w:p>
            <w:pPr>
              <w:spacing w:before="20" w:after="20"/>
              <w:jc w:val="right"/>
            </w:pPr>
            <w:r>
              <w:rPr>
                <w:rFonts w:ascii="Georgia" w:hAnsi="Georgia"/>
                <w:sz w:val="14"/>
              </w:rPr>
            </w:r>
            <w:r>
              <w:rPr>
                <w:rFonts w:ascii="Georgia" w:hAnsi="Georgia"/>
                <w:sz w:val="14"/>
              </w:rPr>
              <w:t>c.12x</w:t>
            </w:r>
          </w:p>
        </w:tc>
        <w:tc>
          <w:tcPr>
            <w:tcW w:type="dxa" w:w="1018"/>
            <w:shd w:val="clear" w:fill="F4F7FA"/>
          </w:tcPr>
          <w:p>
            <w:pPr>
              <w:spacing w:before="20" w:after="20"/>
              <w:jc w:val="right"/>
            </w:pPr>
            <w:r>
              <w:rPr>
                <w:rFonts w:ascii="Georgia" w:hAnsi="Georgia"/>
                <w:sz w:val="14"/>
              </w:rPr>
            </w:r>
            <w:r>
              <w:rPr>
                <w:rFonts w:ascii="Georgia" w:hAnsi="Georgia"/>
                <w:sz w:val="14"/>
              </w:rPr>
              <w:t>c.40x</w:t>
            </w:r>
          </w:p>
        </w:tc>
        <w:tc>
          <w:tcPr>
            <w:tcW w:type="dxa" w:w="1018"/>
            <w:shd w:val="clear" w:fill="F4F7FA"/>
          </w:tcPr>
          <w:p>
            <w:pPr>
              <w:spacing w:before="20" w:after="20"/>
              <w:jc w:val="right"/>
            </w:pPr>
            <w:r>
              <w:rPr>
                <w:rFonts w:ascii="Georgia" w:hAnsi="Georgia"/>
                <w:sz w:val="14"/>
              </w:rPr>
            </w:r>
            <w:r>
              <w:rPr>
                <w:rFonts w:ascii="Georgia" w:hAnsi="Georgia"/>
                <w:sz w:val="14"/>
              </w:rPr>
              <w:t>Net cash</w:t>
            </w:r>
          </w:p>
        </w:tc>
        <w:tc>
          <w:tcPr>
            <w:tcW w:type="dxa" w:w="1018"/>
            <w:shd w:val="clear" w:fill="F4F7FA"/>
          </w:tcPr>
          <w:p>
            <w:pPr>
              <w:spacing w:before="20" w:after="20"/>
              <w:jc w:val="right"/>
            </w:pPr>
            <w:r>
              <w:rPr>
                <w:rFonts w:ascii="Georgia" w:hAnsi="Georgia"/>
                <w:sz w:val="14"/>
              </w:rPr>
            </w:r>
            <w:r>
              <w:rPr>
                <w:rFonts w:ascii="Georgia" w:hAnsi="Georgia"/>
                <w:sz w:val="14"/>
              </w:rPr>
              <w:t>c.9%</w:t>
            </w:r>
          </w:p>
        </w:tc>
        <w:tc>
          <w:tcPr>
            <w:tcW w:type="dxa" w:w="1018"/>
            <w:shd w:val="clear" w:fill="F4F7FA"/>
          </w:tcPr>
          <w:p>
            <w:pPr>
              <w:spacing w:before="20" w:after="20"/>
              <w:jc w:val="right"/>
            </w:pPr>
            <w:r>
              <w:rPr>
                <w:rFonts w:ascii="Georgia" w:hAnsi="Georgia"/>
                <w:sz w:val="14"/>
              </w:rPr>
            </w:r>
            <w:r>
              <w:rPr>
                <w:rFonts w:ascii="Georgia" w:hAnsi="Georgia"/>
                <w:sz w:val="14"/>
              </w:rPr>
              <w:t>+7%</w:t>
            </w:r>
          </w:p>
        </w:tc>
      </w:tr>
      <w:tr>
        <w:tc>
          <w:tcPr>
            <w:tcW w:type="dxa" w:w="1018"/>
          </w:tcPr>
          <w:p>
            <w:pPr>
              <w:spacing w:before="20" w:after="20"/>
            </w:pPr>
            <w:r>
              <w:rPr>
                <w:rFonts w:ascii="Georgia" w:hAnsi="Georgia"/>
                <w:sz w:val="14"/>
              </w:rPr>
            </w:r>
            <w:r>
              <w:rPr>
                <w:rFonts w:ascii="Georgia" w:hAnsi="Georgia"/>
                <w:sz w:val="14"/>
              </w:rPr>
              <w:t>DXC Technology</w:t>
            </w:r>
          </w:p>
        </w:tc>
        <w:tc>
          <w:tcPr>
            <w:tcW w:type="dxa" w:w="1018"/>
          </w:tcPr>
          <w:p>
            <w:pPr>
              <w:spacing w:before="20" w:after="20"/>
            </w:pPr>
            <w:r>
              <w:rPr>
                <w:rFonts w:ascii="Georgia" w:hAnsi="Georgia"/>
                <w:sz w:val="14"/>
              </w:rPr>
            </w:r>
            <w:r>
              <w:rPr>
                <w:rFonts w:ascii="Georgia" w:hAnsi="Georgia"/>
                <w:sz w:val="14"/>
              </w:rPr>
              <w:t>DXC</w:t>
            </w:r>
          </w:p>
        </w:tc>
        <w:tc>
          <w:tcPr>
            <w:tcW w:type="dxa" w:w="1018"/>
          </w:tcPr>
          <w:p>
            <w:pPr>
              <w:spacing w:before="20" w:after="20"/>
            </w:pPr>
            <w:r>
              <w:rPr>
                <w:rFonts w:ascii="Georgia" w:hAnsi="Georgia"/>
                <w:sz w:val="14"/>
              </w:rPr>
            </w:r>
            <w:r>
              <w:rPr>
                <w:rFonts w:ascii="Georgia" w:hAnsi="Georgia"/>
                <w:sz w:val="14"/>
              </w:rPr>
              <w:t>NYSE</w:t>
            </w:r>
          </w:p>
        </w:tc>
        <w:tc>
          <w:tcPr>
            <w:tcW w:type="dxa" w:w="1018"/>
          </w:tcPr>
          <w:p>
            <w:pPr>
              <w:spacing w:before="20" w:after="20"/>
              <w:jc w:val="right"/>
            </w:pPr>
            <w:r>
              <w:rPr>
                <w:rFonts w:ascii="Georgia" w:hAnsi="Georgia"/>
                <w:sz w:val="14"/>
              </w:rPr>
            </w:r>
            <w:r>
              <w:rPr>
                <w:rFonts w:ascii="Georgia" w:hAnsi="Georgia"/>
                <w:sz w:val="14"/>
              </w:rPr>
              <w:t>c.$3bn</w:t>
            </w:r>
          </w:p>
        </w:tc>
        <w:tc>
          <w:tcPr>
            <w:tcW w:type="dxa" w:w="1018"/>
          </w:tcPr>
          <w:p>
            <w:pPr>
              <w:spacing w:before="20" w:after="20"/>
              <w:jc w:val="right"/>
            </w:pPr>
            <w:r>
              <w:rPr>
                <w:rFonts w:ascii="Georgia" w:hAnsi="Georgia"/>
                <w:sz w:val="14"/>
              </w:rPr>
            </w:r>
            <w:r>
              <w:rPr>
                <w:rFonts w:ascii="Georgia" w:hAnsi="Georgia"/>
                <w:sz w:val="14"/>
              </w:rPr>
              <w:t>c.0.4x</w:t>
            </w:r>
          </w:p>
        </w:tc>
        <w:tc>
          <w:tcPr>
            <w:tcW w:type="dxa" w:w="1018"/>
          </w:tcPr>
          <w:p>
            <w:pPr>
              <w:spacing w:before="20" w:after="20"/>
              <w:jc w:val="right"/>
            </w:pPr>
            <w:r>
              <w:rPr>
                <w:rFonts w:ascii="Georgia" w:hAnsi="Georgia"/>
                <w:sz w:val="14"/>
              </w:rPr>
            </w:r>
            <w:r>
              <w:rPr>
                <w:rFonts w:ascii="Georgia" w:hAnsi="Georgia"/>
                <w:sz w:val="14"/>
              </w:rPr>
              <w:t>c.3x</w:t>
            </w:r>
          </w:p>
        </w:tc>
        <w:tc>
          <w:tcPr>
            <w:tcW w:type="dxa" w:w="1018"/>
          </w:tcPr>
          <w:p>
            <w:pPr>
              <w:spacing w:before="20" w:after="20"/>
              <w:jc w:val="right"/>
            </w:pPr>
            <w:r>
              <w:rPr>
                <w:rFonts w:ascii="Georgia" w:hAnsi="Georgia"/>
                <w:sz w:val="14"/>
              </w:rPr>
            </w:r>
            <w:r>
              <w:rPr>
                <w:rFonts w:ascii="Georgia" w:hAnsi="Georgia"/>
                <w:sz w:val="14"/>
              </w:rPr>
              <w:t>c.5x</w:t>
            </w:r>
          </w:p>
        </w:tc>
        <w:tc>
          <w:tcPr>
            <w:tcW w:type="dxa" w:w="1018"/>
          </w:tcPr>
          <w:p>
            <w:pPr>
              <w:spacing w:before="20" w:after="20"/>
              <w:jc w:val="right"/>
            </w:pPr>
            <w:r>
              <w:rPr>
                <w:rFonts w:ascii="Georgia" w:hAnsi="Georgia"/>
                <w:sz w:val="14"/>
              </w:rPr>
            </w:r>
            <w:r>
              <w:rPr>
                <w:rFonts w:ascii="Georgia" w:hAnsi="Georgia"/>
                <w:sz w:val="14"/>
              </w:rPr>
              <w:t>c.1.5x</w:t>
            </w:r>
          </w:p>
        </w:tc>
        <w:tc>
          <w:tcPr>
            <w:tcW w:type="dxa" w:w="1018"/>
          </w:tcPr>
          <w:p>
            <w:pPr>
              <w:spacing w:before="20" w:after="20"/>
              <w:jc w:val="right"/>
            </w:pPr>
            <w:r>
              <w:rPr>
                <w:rFonts w:ascii="Georgia" w:hAnsi="Georgia"/>
                <w:sz w:val="14"/>
              </w:rPr>
            </w:r>
            <w:r>
              <w:rPr>
                <w:rFonts w:ascii="Georgia" w:hAnsi="Georgia"/>
                <w:sz w:val="14"/>
              </w:rPr>
              <w:t>c.13%</w:t>
            </w:r>
          </w:p>
        </w:tc>
        <w:tc>
          <w:tcPr>
            <w:tcW w:type="dxa" w:w="1018"/>
          </w:tcPr>
          <w:p>
            <w:pPr>
              <w:spacing w:before="20" w:after="20"/>
              <w:jc w:val="right"/>
            </w:pPr>
            <w:r>
              <w:rPr>
                <w:rFonts w:ascii="Georgia" w:hAnsi="Georgia"/>
                <w:sz w:val="14"/>
              </w:rPr>
            </w:r>
            <w:r>
              <w:rPr>
                <w:rFonts w:ascii="Georgia" w:hAnsi="Georgia"/>
                <w:sz w:val="14"/>
              </w:rPr>
              <w:t>Negative</w:t>
            </w:r>
          </w:p>
        </w:tc>
      </w:tr>
      <w:tr>
        <w:tc>
          <w:tcPr>
            <w:tcW w:type="dxa" w:w="1018"/>
            <w:shd w:val="clear" w:fill="F4F7FA"/>
          </w:tcPr>
          <w:p>
            <w:pPr>
              <w:spacing w:before="20" w:after="20"/>
            </w:pPr>
            <w:r>
              <w:rPr>
                <w:rFonts w:ascii="Georgia" w:hAnsi="Georgia"/>
                <w:sz w:val="14"/>
              </w:rPr>
            </w:r>
            <w:r>
              <w:rPr>
                <w:rFonts w:ascii="Georgia" w:hAnsi="Georgia"/>
                <w:sz w:val="14"/>
              </w:rPr>
              <w:t>HCLTech</w:t>
            </w:r>
          </w:p>
        </w:tc>
        <w:tc>
          <w:tcPr>
            <w:tcW w:type="dxa" w:w="1018"/>
            <w:shd w:val="clear" w:fill="F4F7FA"/>
          </w:tcPr>
          <w:p>
            <w:pPr>
              <w:spacing w:before="20" w:after="20"/>
            </w:pPr>
            <w:r>
              <w:rPr>
                <w:rFonts w:ascii="Georgia" w:hAnsi="Georgia"/>
                <w:sz w:val="14"/>
              </w:rPr>
            </w:r>
            <w:r>
              <w:rPr>
                <w:rFonts w:ascii="Georgia" w:hAnsi="Georgia"/>
                <w:sz w:val="14"/>
              </w:rPr>
              <w:t>HCLTECH.NS</w:t>
            </w:r>
          </w:p>
        </w:tc>
        <w:tc>
          <w:tcPr>
            <w:tcW w:type="dxa" w:w="1018"/>
            <w:shd w:val="clear" w:fill="F4F7FA"/>
          </w:tcPr>
          <w:p>
            <w:pPr>
              <w:spacing w:before="20" w:after="20"/>
            </w:pPr>
            <w:r>
              <w:rPr>
                <w:rFonts w:ascii="Georgia" w:hAnsi="Georgia"/>
                <w:sz w:val="14"/>
              </w:rPr>
            </w:r>
            <w:r>
              <w:rPr>
                <w:rFonts w:ascii="Georgia" w:hAnsi="Georgia"/>
                <w:sz w:val="14"/>
              </w:rPr>
              <w:t>NSE / BSE</w:t>
            </w:r>
          </w:p>
        </w:tc>
        <w:tc>
          <w:tcPr>
            <w:tcW w:type="dxa" w:w="1018"/>
            <w:shd w:val="clear" w:fill="F4F7FA"/>
          </w:tcPr>
          <w:p>
            <w:pPr>
              <w:spacing w:before="20" w:after="20"/>
              <w:jc w:val="right"/>
            </w:pPr>
            <w:r>
              <w:rPr>
                <w:rFonts w:ascii="Georgia" w:hAnsi="Georgia"/>
                <w:sz w:val="14"/>
              </w:rPr>
            </w:r>
            <w:r>
              <w:rPr>
                <w:rFonts w:ascii="Georgia" w:hAnsi="Georgia"/>
                <w:sz w:val="14"/>
              </w:rPr>
              <w:t>c.$45bn</w:t>
            </w:r>
          </w:p>
        </w:tc>
        <w:tc>
          <w:tcPr>
            <w:tcW w:type="dxa" w:w="1018"/>
            <w:shd w:val="clear" w:fill="F4F7FA"/>
          </w:tcPr>
          <w:p>
            <w:pPr>
              <w:spacing w:before="20" w:after="20"/>
              <w:jc w:val="right"/>
            </w:pPr>
            <w:r>
              <w:rPr>
                <w:rFonts w:ascii="Georgia" w:hAnsi="Georgia"/>
                <w:sz w:val="14"/>
              </w:rPr>
            </w:r>
            <w:r>
              <w:rPr>
                <w:rFonts w:ascii="Georgia" w:hAnsi="Georgia"/>
                <w:sz w:val="14"/>
              </w:rPr>
              <w:t>c.2.6x</w:t>
            </w:r>
          </w:p>
        </w:tc>
        <w:tc>
          <w:tcPr>
            <w:tcW w:type="dxa" w:w="1018"/>
            <w:shd w:val="clear" w:fill="F4F7FA"/>
          </w:tcPr>
          <w:p>
            <w:pPr>
              <w:spacing w:before="20" w:after="20"/>
              <w:jc w:val="right"/>
            </w:pPr>
            <w:r>
              <w:rPr>
                <w:rFonts w:ascii="Georgia" w:hAnsi="Georgia"/>
                <w:sz w:val="14"/>
              </w:rPr>
            </w:r>
            <w:r>
              <w:rPr>
                <w:rFonts w:ascii="Georgia" w:hAnsi="Georgia"/>
                <w:sz w:val="14"/>
              </w:rPr>
              <w:t>c.13x</w:t>
            </w:r>
          </w:p>
        </w:tc>
        <w:tc>
          <w:tcPr>
            <w:tcW w:type="dxa" w:w="1018"/>
            <w:shd w:val="clear" w:fill="F4F7FA"/>
          </w:tcPr>
          <w:p>
            <w:pPr>
              <w:spacing w:before="20" w:after="20"/>
              <w:jc w:val="right"/>
            </w:pPr>
            <w:r>
              <w:rPr>
                <w:rFonts w:ascii="Georgia" w:hAnsi="Georgia"/>
                <w:sz w:val="14"/>
              </w:rPr>
            </w:r>
            <w:r>
              <w:rPr>
                <w:rFonts w:ascii="Georgia" w:hAnsi="Georgia"/>
                <w:sz w:val="14"/>
              </w:rPr>
              <w:t>c.21x</w:t>
            </w:r>
          </w:p>
        </w:tc>
        <w:tc>
          <w:tcPr>
            <w:tcW w:type="dxa" w:w="1018"/>
            <w:shd w:val="clear" w:fill="F4F7FA"/>
          </w:tcPr>
          <w:p>
            <w:pPr>
              <w:spacing w:before="20" w:after="20"/>
              <w:jc w:val="right"/>
            </w:pPr>
            <w:r>
              <w:rPr>
                <w:rFonts w:ascii="Georgia" w:hAnsi="Georgia"/>
                <w:sz w:val="14"/>
              </w:rPr>
            </w:r>
            <w:r>
              <w:rPr>
                <w:rFonts w:ascii="Georgia" w:hAnsi="Georgia"/>
                <w:sz w:val="14"/>
              </w:rPr>
              <w:t>Net cash</w:t>
            </w:r>
          </w:p>
        </w:tc>
        <w:tc>
          <w:tcPr>
            <w:tcW w:type="dxa" w:w="1018"/>
            <w:shd w:val="clear" w:fill="F4F7FA"/>
          </w:tcPr>
          <w:p>
            <w:pPr>
              <w:spacing w:before="20" w:after="20"/>
              <w:jc w:val="right"/>
            </w:pPr>
            <w:r>
              <w:rPr>
                <w:rFonts w:ascii="Georgia" w:hAnsi="Georgia"/>
                <w:sz w:val="14"/>
              </w:rPr>
            </w:r>
            <w:r>
              <w:rPr>
                <w:rFonts w:ascii="Georgia" w:hAnsi="Georgia"/>
                <w:sz w:val="14"/>
              </w:rPr>
              <w:t>c.22%</w:t>
            </w:r>
          </w:p>
        </w:tc>
        <w:tc>
          <w:tcPr>
            <w:tcW w:type="dxa" w:w="1018"/>
            <w:shd w:val="clear" w:fill="F4F7FA"/>
          </w:tcPr>
          <w:p>
            <w:pPr>
              <w:spacing w:before="20" w:after="20"/>
              <w:jc w:val="right"/>
            </w:pPr>
            <w:r>
              <w:rPr>
                <w:rFonts w:ascii="Georgia" w:hAnsi="Georgia"/>
                <w:sz w:val="14"/>
              </w:rPr>
            </w:r>
            <w:r>
              <w:rPr>
                <w:rFonts w:ascii="Georgia" w:hAnsi="Georgia"/>
                <w:sz w:val="14"/>
              </w:rPr>
              <w:t>Low single</w:t>
            </w:r>
          </w:p>
        </w:tc>
      </w:tr>
      <w:tr>
        <w:tc>
          <w:tcPr>
            <w:tcW w:type="dxa" w:w="1018"/>
          </w:tcPr>
          <w:p>
            <w:pPr>
              <w:spacing w:before="20" w:after="20"/>
            </w:pPr>
            <w:r>
              <w:rPr>
                <w:rFonts w:ascii="Georgia" w:hAnsi="Georgia"/>
                <w:sz w:val="14"/>
              </w:rPr>
            </w:r>
            <w:r>
              <w:rPr>
                <w:rFonts w:ascii="Georgia" w:hAnsi="Georgia"/>
                <w:sz w:val="14"/>
              </w:rPr>
              <w:t>Thoughtworks</w:t>
            </w:r>
          </w:p>
        </w:tc>
        <w:tc>
          <w:tcPr>
            <w:tcW w:type="dxa" w:w="1018"/>
          </w:tcPr>
          <w:p>
            <w:pPr>
              <w:spacing w:before="20" w:after="20"/>
            </w:pPr>
            <w:r>
              <w:rPr>
                <w:rFonts w:ascii="Georgia" w:hAnsi="Georgia"/>
                <w:sz w:val="14"/>
              </w:rPr>
            </w:r>
            <w:r>
              <w:rPr>
                <w:rFonts w:ascii="Georgia" w:hAnsi="Georgia"/>
                <w:sz w:val="14"/>
              </w:rPr>
              <w:t>—</w:t>
            </w:r>
          </w:p>
        </w:tc>
        <w:tc>
          <w:tcPr>
            <w:tcW w:type="dxa" w:w="1018"/>
          </w:tcPr>
          <w:p>
            <w:pPr>
              <w:spacing w:before="20" w:after="20"/>
            </w:pPr>
            <w:r>
              <w:rPr>
                <w:rFonts w:ascii="Georgia" w:hAnsi="Georgia"/>
                <w:sz w:val="14"/>
              </w:rPr>
            </w:r>
            <w:r>
              <w:rPr>
                <w:rFonts w:ascii="Georgia" w:hAnsi="Georgia"/>
                <w:sz w:val="14"/>
              </w:rPr>
              <w:t>Private (Apax, 2024)</w:t>
            </w:r>
          </w:p>
        </w:tc>
        <w:tc>
          <w:tcPr>
            <w:tcW w:type="dxa" w:w="1018"/>
          </w:tcPr>
          <w:p>
            <w:pPr>
              <w:spacing w:before="20" w:after="20"/>
              <w:jc w:val="right"/>
            </w:pPr>
            <w:r>
              <w:rPr>
                <w:rFonts w:ascii="Georgia" w:hAnsi="Georgia"/>
                <w:sz w:val="14"/>
              </w:rPr>
            </w:r>
            <w:r>
              <w:rPr>
                <w:rFonts w:ascii="Georgia" w:hAnsi="Georgia"/>
                <w:sz w:val="14"/>
              </w:rPr>
              <w:t>c.$1.4bn EV</w:t>
            </w:r>
          </w:p>
        </w:tc>
        <w:tc>
          <w:tcPr>
            <w:tcW w:type="dxa" w:w="1018"/>
          </w:tcPr>
          <w:p>
            <w:pPr>
              <w:spacing w:before="20" w:after="20"/>
              <w:jc w:val="right"/>
            </w:pPr>
            <w:r>
              <w:rPr>
                <w:rFonts w:ascii="Georgia" w:hAnsi="Georgia"/>
                <w:sz w:val="14"/>
              </w:rPr>
            </w:r>
            <w:r>
              <w:rPr>
                <w:rFonts w:ascii="Georgia" w:hAnsi="Georgia"/>
                <w:sz w:val="14"/>
              </w:rPr>
              <w:t>c.1.4x</w:t>
            </w:r>
          </w:p>
        </w:tc>
        <w:tc>
          <w:tcPr>
            <w:tcW w:type="dxa" w:w="1018"/>
          </w:tcPr>
          <w:p>
            <w:pPr>
              <w:spacing w:before="20" w:after="20"/>
              <w:jc w:val="right"/>
            </w:pPr>
            <w:r>
              <w:rPr>
                <w:rFonts w:ascii="Georgia" w:hAnsi="Georgia"/>
                <w:sz w:val="14"/>
              </w:rPr>
            </w:r>
            <w:r>
              <w:rPr>
                <w:rFonts w:ascii="Georgia" w:hAnsi="Georgia"/>
                <w:sz w:val="14"/>
              </w:rPr>
              <w:t>n/d</w:t>
            </w:r>
          </w:p>
        </w:tc>
        <w:tc>
          <w:tcPr>
            <w:tcW w:type="dxa" w:w="1018"/>
          </w:tcPr>
          <w:p>
            <w:pPr>
              <w:spacing w:before="20" w:after="20"/>
              <w:jc w:val="right"/>
            </w:pPr>
            <w:r>
              <w:rPr>
                <w:rFonts w:ascii="Georgia" w:hAnsi="Georgia"/>
                <w:sz w:val="14"/>
              </w:rPr>
            </w:r>
            <w:r>
              <w:rPr>
                <w:rFonts w:ascii="Georgia" w:hAnsi="Georgia"/>
                <w:sz w:val="14"/>
              </w:rPr>
              <w:t>n/d</w:t>
            </w:r>
          </w:p>
        </w:tc>
        <w:tc>
          <w:tcPr>
            <w:tcW w:type="dxa" w:w="1018"/>
          </w:tcPr>
          <w:p>
            <w:pPr>
              <w:spacing w:before="20" w:after="20"/>
              <w:jc w:val="right"/>
            </w:pPr>
            <w:r>
              <w:rPr>
                <w:rFonts w:ascii="Georgia" w:hAnsi="Georgia"/>
                <w:sz w:val="14"/>
              </w:rPr>
            </w:r>
            <w:r>
              <w:rPr>
                <w:rFonts w:ascii="Georgia" w:hAnsi="Georgia"/>
                <w:sz w:val="14"/>
              </w:rPr>
              <w:t>n/d</w:t>
            </w:r>
          </w:p>
        </w:tc>
        <w:tc>
          <w:tcPr>
            <w:tcW w:type="dxa" w:w="1018"/>
          </w:tcPr>
          <w:p>
            <w:pPr>
              <w:spacing w:before="20" w:after="20"/>
              <w:jc w:val="right"/>
            </w:pPr>
            <w:r>
              <w:rPr>
                <w:rFonts w:ascii="Georgia" w:hAnsi="Georgia"/>
                <w:sz w:val="14"/>
              </w:rPr>
            </w:r>
            <w:r>
              <w:rPr>
                <w:rFonts w:ascii="Georgia" w:hAnsi="Georgia"/>
                <w:sz w:val="14"/>
              </w:rPr>
              <w:t>n/d</w:t>
            </w:r>
          </w:p>
        </w:tc>
        <w:tc>
          <w:tcPr>
            <w:tcW w:type="dxa" w:w="1018"/>
          </w:tcPr>
          <w:p>
            <w:pPr>
              <w:spacing w:before="20" w:after="20"/>
              <w:jc w:val="right"/>
            </w:pPr>
            <w:r>
              <w:rPr>
                <w:rFonts w:ascii="Georgia" w:hAnsi="Georgia"/>
                <w:sz w:val="14"/>
              </w:rPr>
            </w:r>
            <w:r>
              <w:rPr>
                <w:rFonts w:ascii="Georgia" w:hAnsi="Georgia"/>
                <w:sz w:val="14"/>
              </w:rPr>
              <w:t>Negative</w:t>
            </w:r>
          </w:p>
        </w:tc>
      </w:tr>
      <w:tr>
        <w:tc>
          <w:tcPr>
            <w:tcW w:type="dxa" w:w="1018"/>
            <w:shd w:val="clear" w:fill="F4F7FA"/>
          </w:tcPr>
          <w:p>
            <w:pPr>
              <w:spacing w:before="20" w:after="20"/>
            </w:pPr>
            <w:r>
              <w:rPr>
                <w:rFonts w:ascii="Georgia" w:hAnsi="Georgia"/>
                <w:sz w:val="14"/>
              </w:rPr>
            </w:r>
            <w:r>
              <w:rPr>
                <w:rFonts w:ascii="Georgia" w:hAnsi="Georgia"/>
                <w:sz w:val="14"/>
              </w:rPr>
              <w:t>GlobalLogic</w:t>
            </w:r>
          </w:p>
        </w:tc>
        <w:tc>
          <w:tcPr>
            <w:tcW w:type="dxa" w:w="1018"/>
            <w:shd w:val="clear" w:fill="F4F7FA"/>
          </w:tcPr>
          <w:p>
            <w:pPr>
              <w:spacing w:before="20" w:after="20"/>
            </w:pPr>
            <w:r>
              <w:rPr>
                <w:rFonts w:ascii="Georgia" w:hAnsi="Georgia"/>
                <w:sz w:val="14"/>
              </w:rPr>
            </w:r>
            <w:r>
              <w:rPr>
                <w:rFonts w:ascii="Georgia" w:hAnsi="Georgia"/>
                <w:sz w:val="14"/>
              </w:rPr>
              <w:t>—</w:t>
            </w:r>
          </w:p>
        </w:tc>
        <w:tc>
          <w:tcPr>
            <w:tcW w:type="dxa" w:w="1018"/>
            <w:shd w:val="clear" w:fill="F4F7FA"/>
          </w:tcPr>
          <w:p>
            <w:pPr>
              <w:spacing w:before="20" w:after="20"/>
            </w:pPr>
            <w:r>
              <w:rPr>
                <w:rFonts w:ascii="Georgia" w:hAnsi="Georgia"/>
                <w:sz w:val="14"/>
              </w:rPr>
            </w:r>
            <w:r>
              <w:rPr>
                <w:rFonts w:ascii="Georgia" w:hAnsi="Georgia"/>
                <w:sz w:val="14"/>
              </w:rPr>
              <w:t>Private (Hitachi, 2021)</w:t>
            </w:r>
          </w:p>
        </w:tc>
        <w:tc>
          <w:tcPr>
            <w:tcW w:type="dxa" w:w="1018"/>
            <w:shd w:val="clear" w:fill="F4F7FA"/>
          </w:tcPr>
          <w:p>
            <w:pPr>
              <w:spacing w:before="20" w:after="20"/>
              <w:jc w:val="right"/>
            </w:pPr>
            <w:r>
              <w:rPr>
                <w:rFonts w:ascii="Georgia" w:hAnsi="Georgia"/>
                <w:sz w:val="14"/>
              </w:rPr>
            </w:r>
            <w:r>
              <w:rPr>
                <w:rFonts w:ascii="Georgia" w:hAnsi="Georgia"/>
                <w:sz w:val="14"/>
              </w:rPr>
              <w:t>$9.6bn EV</w:t>
            </w:r>
          </w:p>
        </w:tc>
        <w:tc>
          <w:tcPr>
            <w:tcW w:type="dxa" w:w="1018"/>
            <w:shd w:val="clear" w:fill="F4F7FA"/>
          </w:tcPr>
          <w:p>
            <w:pPr>
              <w:spacing w:before="20" w:after="20"/>
              <w:jc w:val="right"/>
            </w:pPr>
            <w:r>
              <w:rPr>
                <w:rFonts w:ascii="Georgia" w:hAnsi="Georgia"/>
                <w:sz w:val="14"/>
              </w:rPr>
            </w:r>
            <w:r>
              <w:rPr>
                <w:rFonts w:ascii="Georgia" w:hAnsi="Georgia"/>
                <w:sz w:val="14"/>
              </w:rPr>
              <w:t>c.6.4x</w:t>
            </w:r>
          </w:p>
        </w:tc>
        <w:tc>
          <w:tcPr>
            <w:tcW w:type="dxa" w:w="1018"/>
            <w:shd w:val="clear" w:fill="F4F7FA"/>
          </w:tcPr>
          <w:p>
            <w:pPr>
              <w:spacing w:before="20" w:after="20"/>
              <w:jc w:val="right"/>
            </w:pPr>
            <w:r>
              <w:rPr>
                <w:rFonts w:ascii="Georgia" w:hAnsi="Georgia"/>
                <w:sz w:val="14"/>
              </w:rPr>
            </w:r>
            <w:r>
              <w:rPr>
                <w:rFonts w:ascii="Georgia" w:hAnsi="Georgia"/>
                <w:sz w:val="14"/>
              </w:rPr>
              <w:t>n/d</w:t>
            </w:r>
          </w:p>
        </w:tc>
        <w:tc>
          <w:tcPr>
            <w:tcW w:type="dxa" w:w="1018"/>
            <w:shd w:val="clear" w:fill="F4F7FA"/>
          </w:tcPr>
          <w:p>
            <w:pPr>
              <w:spacing w:before="20" w:after="20"/>
              <w:jc w:val="right"/>
            </w:pPr>
            <w:r>
              <w:rPr>
                <w:rFonts w:ascii="Georgia" w:hAnsi="Georgia"/>
                <w:sz w:val="14"/>
              </w:rPr>
            </w:r>
            <w:r>
              <w:rPr>
                <w:rFonts w:ascii="Georgia" w:hAnsi="Georgia"/>
                <w:sz w:val="14"/>
              </w:rPr>
              <w:t>n/d</w:t>
            </w:r>
          </w:p>
        </w:tc>
        <w:tc>
          <w:tcPr>
            <w:tcW w:type="dxa" w:w="1018"/>
            <w:shd w:val="clear" w:fill="F4F7FA"/>
          </w:tcPr>
          <w:p>
            <w:pPr>
              <w:spacing w:before="20" w:after="20"/>
              <w:jc w:val="right"/>
            </w:pPr>
            <w:r>
              <w:rPr>
                <w:rFonts w:ascii="Georgia" w:hAnsi="Georgia"/>
                <w:sz w:val="14"/>
              </w:rPr>
            </w:r>
            <w:r>
              <w:rPr>
                <w:rFonts w:ascii="Georgia" w:hAnsi="Georgia"/>
                <w:sz w:val="14"/>
              </w:rPr>
              <w:t>n/d</w:t>
            </w:r>
          </w:p>
        </w:tc>
        <w:tc>
          <w:tcPr>
            <w:tcW w:type="dxa" w:w="1018"/>
            <w:shd w:val="clear" w:fill="F4F7FA"/>
          </w:tcPr>
          <w:p>
            <w:pPr>
              <w:spacing w:before="20" w:after="20"/>
              <w:jc w:val="right"/>
            </w:pPr>
            <w:r>
              <w:rPr>
                <w:rFonts w:ascii="Georgia" w:hAnsi="Georgia"/>
                <w:sz w:val="14"/>
              </w:rPr>
            </w:r>
            <w:r>
              <w:rPr>
                <w:rFonts w:ascii="Georgia" w:hAnsi="Georgia"/>
                <w:sz w:val="14"/>
              </w:rPr>
              <w:t>n/d</w:t>
            </w:r>
          </w:p>
        </w:tc>
        <w:tc>
          <w:tcPr>
            <w:tcW w:type="dxa" w:w="1018"/>
            <w:shd w:val="clear" w:fill="F4F7FA"/>
          </w:tcPr>
          <w:p>
            <w:pPr>
              <w:spacing w:before="20" w:after="20"/>
              <w:jc w:val="right"/>
            </w:pPr>
            <w:r>
              <w:rPr>
                <w:rFonts w:ascii="Georgia" w:hAnsi="Georgia"/>
                <w:sz w:val="14"/>
              </w:rPr>
            </w:r>
            <w:r>
              <w:rPr>
                <w:rFonts w:ascii="Georgia" w:hAnsi="Georgia"/>
                <w:sz w:val="14"/>
              </w:rPr>
              <w:t>n/d</w:t>
            </w:r>
          </w:p>
        </w:tc>
      </w:tr>
      <w:tr>
        <w:tc>
          <w:tcPr>
            <w:tcW w:type="dxa" w:w="1018"/>
          </w:tcPr>
          <w:p>
            <w:pPr>
              <w:spacing w:before="20" w:after="20"/>
            </w:pPr>
            <w:r>
              <w:rPr>
                <w:rFonts w:ascii="Georgia" w:hAnsi="Georgia"/>
                <w:sz w:val="14"/>
              </w:rPr>
            </w:r>
            <w:r>
              <w:rPr>
                <w:rFonts w:ascii="Georgia" w:hAnsi="Georgia"/>
                <w:sz w:val="14"/>
              </w:rPr>
              <w:t>Luxoft</w:t>
            </w:r>
          </w:p>
        </w:tc>
        <w:tc>
          <w:tcPr>
            <w:tcW w:type="dxa" w:w="1018"/>
          </w:tcPr>
          <w:p>
            <w:pPr>
              <w:spacing w:before="20" w:after="20"/>
            </w:pPr>
            <w:r>
              <w:rPr>
                <w:rFonts w:ascii="Georgia" w:hAnsi="Georgia"/>
                <w:sz w:val="14"/>
              </w:rPr>
            </w:r>
            <w:r>
              <w:rPr>
                <w:rFonts w:ascii="Georgia" w:hAnsi="Georgia"/>
                <w:sz w:val="14"/>
              </w:rPr>
              <w:t>—</w:t>
            </w:r>
          </w:p>
        </w:tc>
        <w:tc>
          <w:tcPr>
            <w:tcW w:type="dxa" w:w="1018"/>
          </w:tcPr>
          <w:p>
            <w:pPr>
              <w:spacing w:before="20" w:after="20"/>
            </w:pPr>
            <w:r>
              <w:rPr>
                <w:rFonts w:ascii="Georgia" w:hAnsi="Georgia"/>
                <w:sz w:val="14"/>
              </w:rPr>
            </w:r>
            <w:r>
              <w:rPr>
                <w:rFonts w:ascii="Georgia" w:hAnsi="Georgia"/>
                <w:sz w:val="14"/>
              </w:rPr>
              <w:t>Private (within DXC, 2019)</w:t>
            </w:r>
          </w:p>
        </w:tc>
        <w:tc>
          <w:tcPr>
            <w:tcW w:type="dxa" w:w="1018"/>
          </w:tcPr>
          <w:p>
            <w:pPr>
              <w:spacing w:before="20" w:after="20"/>
              <w:jc w:val="right"/>
            </w:pPr>
            <w:r>
              <w:rPr>
                <w:rFonts w:ascii="Georgia" w:hAnsi="Georgia"/>
                <w:sz w:val="14"/>
              </w:rPr>
            </w:r>
            <w:r>
              <w:rPr>
                <w:rFonts w:ascii="Georgia" w:hAnsi="Georgia"/>
                <w:sz w:val="14"/>
              </w:rPr>
              <w:t>$2.0bn</w:t>
            </w:r>
          </w:p>
        </w:tc>
        <w:tc>
          <w:tcPr>
            <w:tcW w:type="dxa" w:w="1018"/>
          </w:tcPr>
          <w:p>
            <w:pPr>
              <w:spacing w:before="20" w:after="20"/>
              <w:jc w:val="right"/>
            </w:pPr>
            <w:r>
              <w:rPr>
                <w:rFonts w:ascii="Georgia" w:hAnsi="Georgia"/>
                <w:sz w:val="14"/>
              </w:rPr>
            </w:r>
            <w:r>
              <w:rPr>
                <w:rFonts w:ascii="Georgia" w:hAnsi="Georgia"/>
                <w:sz w:val="14"/>
              </w:rPr>
              <w:t>c.2.2x</w:t>
            </w:r>
          </w:p>
        </w:tc>
        <w:tc>
          <w:tcPr>
            <w:tcW w:type="dxa" w:w="1018"/>
          </w:tcPr>
          <w:p>
            <w:pPr>
              <w:spacing w:before="20" w:after="20"/>
              <w:jc w:val="right"/>
            </w:pPr>
            <w:r>
              <w:rPr>
                <w:rFonts w:ascii="Georgia" w:hAnsi="Georgia"/>
                <w:sz w:val="14"/>
              </w:rPr>
            </w:r>
            <w:r>
              <w:rPr>
                <w:rFonts w:ascii="Georgia" w:hAnsi="Georgia"/>
                <w:sz w:val="14"/>
              </w:rPr>
              <w:t>n/d</w:t>
            </w:r>
          </w:p>
        </w:tc>
        <w:tc>
          <w:tcPr>
            <w:tcW w:type="dxa" w:w="1018"/>
          </w:tcPr>
          <w:p>
            <w:pPr>
              <w:spacing w:before="20" w:after="20"/>
              <w:jc w:val="right"/>
            </w:pPr>
            <w:r>
              <w:rPr>
                <w:rFonts w:ascii="Georgia" w:hAnsi="Georgia"/>
                <w:sz w:val="14"/>
              </w:rPr>
            </w:r>
            <w:r>
              <w:rPr>
                <w:rFonts w:ascii="Georgia" w:hAnsi="Georgia"/>
                <w:sz w:val="14"/>
              </w:rPr>
              <w:t>n/d</w:t>
            </w:r>
          </w:p>
        </w:tc>
        <w:tc>
          <w:tcPr>
            <w:tcW w:type="dxa" w:w="1018"/>
          </w:tcPr>
          <w:p>
            <w:pPr>
              <w:spacing w:before="20" w:after="20"/>
              <w:jc w:val="right"/>
            </w:pPr>
            <w:r>
              <w:rPr>
                <w:rFonts w:ascii="Georgia" w:hAnsi="Georgia"/>
                <w:sz w:val="14"/>
              </w:rPr>
            </w:r>
            <w:r>
              <w:rPr>
                <w:rFonts w:ascii="Georgia" w:hAnsi="Georgia"/>
                <w:sz w:val="14"/>
              </w:rPr>
              <w:t>n/d</w:t>
            </w:r>
          </w:p>
        </w:tc>
        <w:tc>
          <w:tcPr>
            <w:tcW w:type="dxa" w:w="1018"/>
          </w:tcPr>
          <w:p>
            <w:pPr>
              <w:spacing w:before="20" w:after="20"/>
              <w:jc w:val="right"/>
            </w:pPr>
            <w:r>
              <w:rPr>
                <w:rFonts w:ascii="Georgia" w:hAnsi="Georgia"/>
                <w:sz w:val="14"/>
              </w:rPr>
            </w:r>
            <w:r>
              <w:rPr>
                <w:rFonts w:ascii="Georgia" w:hAnsi="Georgia"/>
                <w:sz w:val="14"/>
              </w:rPr>
              <w:t>n/d</w:t>
            </w:r>
          </w:p>
        </w:tc>
        <w:tc>
          <w:tcPr>
            <w:tcW w:type="dxa" w:w="1018"/>
          </w:tcPr>
          <w:p>
            <w:pPr>
              <w:spacing w:before="20" w:after="20"/>
              <w:jc w:val="right"/>
            </w:pPr>
            <w:r>
              <w:rPr>
                <w:rFonts w:ascii="Georgia" w:hAnsi="Georgia"/>
                <w:sz w:val="14"/>
              </w:rPr>
            </w:r>
            <w:r>
              <w:rPr>
                <w:rFonts w:ascii="Georgia" w:hAnsi="Georgia"/>
                <w:sz w:val="14"/>
              </w:rPr>
              <w:t>n/d</w:t>
            </w:r>
          </w:p>
        </w:tc>
      </w:tr>
      <w:tr>
        <w:tc>
          <w:tcPr>
            <w:tcW w:type="dxa" w:w="1018"/>
            <w:shd w:val="clear" w:fill="F4F7FA"/>
          </w:tcPr>
          <w:p>
            <w:pPr>
              <w:spacing w:before="20" w:after="20"/>
            </w:pPr>
            <w:r>
              <w:rPr>
                <w:rFonts w:ascii="Georgia" w:hAnsi="Georgia"/>
                <w:sz w:val="14"/>
              </w:rPr>
            </w:r>
            <w:r>
              <w:rPr>
                <w:rFonts w:ascii="Georgia" w:hAnsi="Georgia"/>
                <w:sz w:val="14"/>
              </w:rPr>
              <w:t>Deloitte Digital / IBM Consulting / McKinsey Digital</w:t>
            </w:r>
          </w:p>
        </w:tc>
        <w:tc>
          <w:tcPr>
            <w:tcW w:type="dxa" w:w="1018"/>
            <w:shd w:val="clear" w:fill="F4F7FA"/>
          </w:tcPr>
          <w:p>
            <w:pPr>
              <w:spacing w:before="20" w:after="20"/>
            </w:pPr>
            <w:r>
              <w:rPr>
                <w:rFonts w:ascii="Georgia" w:hAnsi="Georgia"/>
                <w:sz w:val="14"/>
              </w:rPr>
            </w:r>
            <w:r>
              <w:rPr>
                <w:rFonts w:ascii="Georgia" w:hAnsi="Georgia"/>
                <w:sz w:val="14"/>
              </w:rPr>
              <w:t>—</w:t>
            </w:r>
          </w:p>
        </w:tc>
        <w:tc>
          <w:tcPr>
            <w:tcW w:type="dxa" w:w="1018"/>
            <w:shd w:val="clear" w:fill="F4F7FA"/>
          </w:tcPr>
          <w:p>
            <w:pPr>
              <w:spacing w:before="20" w:after="20"/>
            </w:pPr>
            <w:r>
              <w:rPr>
                <w:rFonts w:ascii="Georgia" w:hAnsi="Georgia"/>
                <w:sz w:val="14"/>
              </w:rPr>
            </w:r>
            <w:r>
              <w:rPr>
                <w:rFonts w:ascii="Georgia" w:hAnsi="Georgia"/>
                <w:sz w:val="14"/>
              </w:rPr>
              <w:t>Private / division</w:t>
            </w:r>
          </w:p>
        </w:tc>
        <w:tc>
          <w:tcPr>
            <w:tcW w:type="dxa" w:w="1018"/>
            <w:shd w:val="clear" w:fill="F4F7FA"/>
          </w:tcPr>
          <w:p>
            <w:pPr>
              <w:spacing w:before="20" w:after="20"/>
              <w:jc w:val="right"/>
            </w:pPr>
            <w:r>
              <w:rPr>
                <w:rFonts w:ascii="Georgia" w:hAnsi="Georgia"/>
                <w:sz w:val="14"/>
              </w:rPr>
            </w:r>
            <w:r>
              <w:rPr>
                <w:rFonts w:ascii="Georgia" w:hAnsi="Georgia"/>
                <w:sz w:val="14"/>
              </w:rPr>
              <w:t>n/a</w:t>
            </w:r>
          </w:p>
        </w:tc>
        <w:tc>
          <w:tcPr>
            <w:tcW w:type="dxa" w:w="1018"/>
            <w:shd w:val="clear" w:fill="F4F7FA"/>
          </w:tcPr>
          <w:p>
            <w:pPr>
              <w:spacing w:before="20" w:after="20"/>
              <w:jc w:val="right"/>
            </w:pPr>
            <w:r>
              <w:rPr>
                <w:rFonts w:ascii="Georgia" w:hAnsi="Georgia"/>
                <w:sz w:val="14"/>
              </w:rPr>
            </w:r>
            <w:r>
              <w:rPr>
                <w:rFonts w:ascii="Georgia" w:hAnsi="Georgia"/>
                <w:sz w:val="14"/>
              </w:rPr>
              <w:t>n/a</w:t>
            </w:r>
          </w:p>
        </w:tc>
        <w:tc>
          <w:tcPr>
            <w:tcW w:type="dxa" w:w="1018"/>
            <w:shd w:val="clear" w:fill="F4F7FA"/>
          </w:tcPr>
          <w:p>
            <w:pPr>
              <w:spacing w:before="20" w:after="20"/>
              <w:jc w:val="right"/>
            </w:pPr>
            <w:r>
              <w:rPr>
                <w:rFonts w:ascii="Georgia" w:hAnsi="Georgia"/>
                <w:sz w:val="14"/>
              </w:rPr>
            </w:r>
            <w:r>
              <w:rPr>
                <w:rFonts w:ascii="Georgia" w:hAnsi="Georgia"/>
                <w:sz w:val="14"/>
              </w:rPr>
              <w:t>n/a</w:t>
            </w:r>
          </w:p>
        </w:tc>
        <w:tc>
          <w:tcPr>
            <w:tcW w:type="dxa" w:w="1018"/>
            <w:shd w:val="clear" w:fill="F4F7FA"/>
          </w:tcPr>
          <w:p>
            <w:pPr>
              <w:spacing w:before="20" w:after="20"/>
              <w:jc w:val="right"/>
            </w:pPr>
            <w:r>
              <w:rPr>
                <w:rFonts w:ascii="Georgia" w:hAnsi="Georgia"/>
                <w:sz w:val="14"/>
              </w:rPr>
            </w:r>
            <w:r>
              <w:rPr>
                <w:rFonts w:ascii="Georgia" w:hAnsi="Georgia"/>
                <w:sz w:val="14"/>
              </w:rPr>
              <w:t>n/a</w:t>
            </w:r>
          </w:p>
        </w:tc>
        <w:tc>
          <w:tcPr>
            <w:tcW w:type="dxa" w:w="1018"/>
            <w:shd w:val="clear" w:fill="F4F7FA"/>
          </w:tcPr>
          <w:p>
            <w:pPr>
              <w:spacing w:before="20" w:after="20"/>
              <w:jc w:val="right"/>
            </w:pPr>
            <w:r>
              <w:rPr>
                <w:rFonts w:ascii="Georgia" w:hAnsi="Georgia"/>
                <w:sz w:val="14"/>
              </w:rPr>
            </w:r>
            <w:r>
              <w:rPr>
                <w:rFonts w:ascii="Georgia" w:hAnsi="Georgia"/>
                <w:sz w:val="14"/>
              </w:rPr>
              <w:t>n/a</w:t>
            </w:r>
          </w:p>
        </w:tc>
        <w:tc>
          <w:tcPr>
            <w:tcW w:type="dxa" w:w="1018"/>
            <w:shd w:val="clear" w:fill="F4F7FA"/>
          </w:tcPr>
          <w:p>
            <w:pPr>
              <w:spacing w:before="20" w:after="20"/>
              <w:jc w:val="right"/>
            </w:pPr>
            <w:r>
              <w:rPr>
                <w:rFonts w:ascii="Georgia" w:hAnsi="Georgia"/>
                <w:sz w:val="14"/>
              </w:rPr>
            </w:r>
            <w:r>
              <w:rPr>
                <w:rFonts w:ascii="Georgia" w:hAnsi="Georgia"/>
                <w:sz w:val="14"/>
              </w:rPr>
              <w:t>n/a</w:t>
            </w:r>
          </w:p>
        </w:tc>
        <w:tc>
          <w:tcPr>
            <w:tcW w:type="dxa" w:w="1018"/>
            <w:shd w:val="clear" w:fill="F4F7FA"/>
          </w:tcPr>
          <w:p>
            <w:pPr>
              <w:spacing w:before="20" w:after="20"/>
              <w:jc w:val="right"/>
            </w:pPr>
            <w:r>
              <w:rPr>
                <w:rFonts w:ascii="Georgia" w:hAnsi="Georgia"/>
                <w:sz w:val="14"/>
              </w:rPr>
            </w:r>
            <w:r>
              <w:rPr>
                <w:rFonts w:ascii="Georgia" w:hAnsi="Georgia"/>
                <w:sz w:val="14"/>
              </w:rPr>
              <w:t>n/a</w:t>
            </w:r>
          </w:p>
        </w:tc>
      </w:tr>
    </w:tbl>
    <w:p>
      <w:pPr>
        <w:spacing w:after="60"/>
      </w:pPr>
    </w:p>
    <w:p>
      <w:pPr>
        <w:spacing w:before="0" w:after="120"/>
        <w:jc w:val="both"/>
      </w:pPr>
      <w:r>
        <w:rPr>
          <w:i/>
          <w:color w:val="555555"/>
          <w:sz w:val="15"/>
        </w:rPr>
        <w:t xml:space="preserve">*EPAM P/E of 8.7x is on FY2026 guided non-GAAP EPS of $13.16; on GAAP EPS of $8.30 the multiple is 13.8x. </w:t>
      </w:r>
      <w:r>
        <w:rPr>
          <w:b/>
          <w:i/>
          <w:color w:val="555555"/>
          <w:sz w:val="15"/>
        </w:rPr>
        <w:t>Peer multiples in this table are indicative approximations</w:t>
      </w:r>
      <w:r>
        <w:rPr>
          <w:i/>
          <w:color w:val="555555"/>
          <w:sz w:val="15"/>
        </w:rPr>
        <w:t xml:space="preserve"> assembled from search-sourced data points of varying dates and definitions, and are not terminal-verified. Accenture P/E of 13.3x, Accenture EV/EBITDA of 8.2–9.2x, Capgemini P/E of 8.0x and EV/EBITDA of 6.5x, Cognizant market cap of $28.7bn, Infosys market cap of $47.8bn and Globant/Grid Dynamics/Endava operating data are search-sourced; the remainder are author estimates. Refresh before use.</w:t>
      </w:r>
    </w:p>
    <w:p>
      <w:pPr>
        <w:keepNext/>
        <w:spacing w:before="200" w:after="80"/>
      </w:pPr>
      <w:r>
        <w:rPr>
          <w:rFonts w:ascii="Georgia" w:hAnsi="Georgia"/>
          <w:b/>
          <w:color w:val="14487F"/>
          <w:sz w:val="21"/>
        </w:rPr>
        <w:t>Does EPAM screen cheap, fair or expensive?</w:t>
      </w:r>
    </w:p>
    <w:p>
      <w:pPr>
        <w:spacing w:before="40" w:after="60"/>
        <w:ind w:left="173" w:right="115"/>
        <w:jc w:val="both"/>
        <w:pBdr>
          <w:left w:val="single" w:sz="18" w:space="6" w:color="0B2545"/>
        </w:pBdr>
        <w:shd w:val="clear" w:fill="F4F7FA"/>
      </w:pPr>
      <w:r>
        <w:rPr>
          <w:b/>
          <w:sz w:val="17"/>
        </w:rPr>
        <w:t>Cheap on every absolute measure; cheap-to-fair relative to a sector that has itself de-rated violently.</w:t>
      </w:r>
    </w:p>
    <w:p>
      <w:pPr>
        <w:pStyle w:val="ListBullet"/>
        <w:spacing w:after="50"/>
        <w:ind w:left="403"/>
        <w:jc w:val="both"/>
        <w:shd w:val="clear" w:fill="F4F7FA"/>
      </w:pPr>
      <w:r>
        <w:rPr>
          <w:rFonts w:ascii="Georgia" w:hAnsi="Georgia"/>
          <w:b/>
          <w:sz w:val="17"/>
        </w:rPr>
        <w:t>Against its own history: extremely cheap.</w:t>
      </w:r>
      <w:r>
        <w:rPr>
          <w:rFonts w:ascii="Georgia" w:hAnsi="Georgia"/>
          <w:sz w:val="17"/>
        </w:rPr>
        <w:t xml:space="preserve"> 5.5x EV/EBITDA against a 24.9x ten-year median is close to the all-time low of 4.8x. A 10% free cash flow yield is the highest in the company's listed history.</w:t>
      </w:r>
    </w:p>
    <w:p>
      <w:pPr>
        <w:pStyle w:val="ListBullet"/>
        <w:spacing w:after="50"/>
        <w:ind w:left="403"/>
        <w:jc w:val="both"/>
        <w:shd w:val="clear" w:fill="F4F7FA"/>
      </w:pPr>
      <w:r>
        <w:rPr>
          <w:rFonts w:ascii="Georgia" w:hAnsi="Georgia"/>
          <w:b/>
          <w:sz w:val="17"/>
        </w:rPr>
        <w:t>Against the sector: cheap on growth-adjusted metrics.</w:t>
      </w:r>
      <w:r>
        <w:rPr>
          <w:rFonts w:ascii="Georgia" w:hAnsi="Georgia"/>
          <w:sz w:val="17"/>
        </w:rPr>
        <w:t xml:space="preserve"> EPAM trades below Accenture (8.2–9.2x), Cognizant (c.6.5x) and Capgemini (6.5x) on EV/EBITDA despite growing faster than all three and holding a comparable margin with a stronger balance sheet. It trades at roughly half Infosys's and a third of TCS's multiple, though those carry structurally higher margins and net-cash balance sheets of their own.</w:t>
      </w:r>
    </w:p>
    <w:p>
      <w:pPr>
        <w:pStyle w:val="ListBullet"/>
        <w:spacing w:after="50"/>
        <w:ind w:left="403"/>
        <w:jc w:val="both"/>
        <w:shd w:val="clear" w:fill="F4F7FA"/>
      </w:pPr>
      <w:r>
        <w:rPr>
          <w:rFonts w:ascii="Georgia" w:hAnsi="Georgia"/>
          <w:b/>
          <w:sz w:val="17"/>
        </w:rPr>
        <w:t>Against the closest pure-play peers: fairly valued but with better fundamentals.</w:t>
      </w:r>
      <w:r>
        <w:rPr>
          <w:rFonts w:ascii="Georgia" w:hAnsi="Georgia"/>
          <w:sz w:val="17"/>
        </w:rPr>
        <w:t xml:space="preserve"> Globant and Endava trade at similar EV/EBITDA multiples of roughly 5x — but Endava is </w:t>
      </w:r>
      <w:r>
        <w:rPr>
          <w:rFonts w:ascii="Georgia" w:hAnsi="Georgia"/>
          <w:i/>
          <w:sz w:val="17"/>
        </w:rPr>
        <w:t>shrinking 5–6%</w:t>
      </w:r>
      <w:r>
        <w:rPr>
          <w:rFonts w:ascii="Georgia" w:hAnsi="Georgia"/>
          <w:sz w:val="17"/>
        </w:rPr>
        <w:t xml:space="preserve"> and took a £364.6m goodwill impairment, and Globant is flat with a 0.3% net margin. EPAM growing +4.5% at a 16.4% margin at the same multiple is the anomaly. </w:t>
      </w:r>
      <w:r>
        <w:rPr>
          <w:rFonts w:ascii="Georgia" w:hAnsi="Georgia"/>
          <w:b/>
          <w:sz w:val="17"/>
        </w:rPr>
        <w:t>This is the single strongest relative-value argument in the note.</w:t>
      </w:r>
    </w:p>
    <w:p>
      <w:pPr>
        <w:pStyle w:val="ListBullet"/>
        <w:spacing w:after="50"/>
        <w:ind w:left="403"/>
        <w:jc w:val="both"/>
        <w:shd w:val="clear" w:fill="F4F7FA"/>
      </w:pPr>
      <w:r>
        <w:rPr>
          <w:rFonts w:ascii="Georgia" w:hAnsi="Georgia"/>
          <w:b/>
          <w:sz w:val="17"/>
        </w:rPr>
        <w:t>The counter-argument.</w:t>
      </w:r>
      <w:r>
        <w:rPr>
          <w:rFonts w:ascii="Georgia" w:hAnsi="Georgia"/>
          <w:sz w:val="17"/>
        </w:rPr>
        <w:t xml:space="preserve"> The entire sector may deserve to be cheap. If AI structurally deflates labour-based services, today's 5.5x is not a discount — it is a fair multiple on a melting ice cube, and the appropriate comparator is DXC at roughly 3x. That is precisely the debate, and no multiple analysis resolves it.</w:t>
      </w:r>
    </w:p>
    <w:p>
      <w:r>
        <w:br w:type="page"/>
      </w:r>
    </w:p>
    <w:p>
      <w:pPr>
        <w:keepNext/>
        <w:spacing w:before="320" w:after="120"/>
        <w:pBdr>
          <w:bottom w:val="single" w:sz="12" w:space="2" w:color="0B2545"/>
        </w:pBdr>
      </w:pPr>
      <w:r>
        <w:rPr>
          <w:rFonts w:ascii="Georgia" w:hAnsi="Georgia"/>
          <w:b/>
          <w:color w:val="0B2545"/>
          <w:sz w:val="26"/>
        </w:rPr>
        <w:t>14. M&amp;A: Industry Activity, Takeover Candidacy and EPAM's Own Deals</w:t>
      </w:r>
    </w:p>
    <w:p>
      <w:pPr>
        <w:keepNext/>
        <w:spacing w:before="200" w:after="80"/>
      </w:pPr>
      <w:r>
        <w:rPr>
          <w:rFonts w:ascii="Georgia" w:hAnsi="Georgia"/>
          <w:b/>
          <w:color w:val="14487F"/>
          <w:sz w:val="21"/>
        </w:rPr>
        <w:t>Recent industry M&amp;A</w:t>
      </w:r>
    </w:p>
    <w:p>
      <w:pPr>
        <w:spacing w:before="0" w:after="80"/>
        <w:jc w:val="both"/>
      </w:pPr>
      <w:r>
        <w:rPr/>
        <w:t xml:space="preserve">The IT services and digital engineering sector has been consolidating steadily, with a decisive shift in valuation regime. EV/EBITDA multiples for IT services peaked in 2021–22 in a low-rate environment, fell back to pre-pandemic levels by 2023, and have partially recovered in 2026. By end-2025 IT consulting traded at roughly 13.6x EV/EBITDA and software development firms at roughly 12.0x. As of mid-2026 the global median M&amp;A EV/EBITDA multiple stands at approximately </w:t>
      </w:r>
      <w:r>
        <w:rPr>
          <w:b/>
        </w:rPr>
        <w:t>10.7x</w:t>
      </w:r>
      <w:r>
        <w:rPr/>
        <w:t xml:space="preserve"> trailing, with private-equity-led transactions paying roughly 12.6x versus 9.8x for corporate acquirers, and IT and healthcare commanding the highest sector medians at roughly 12.5–12.8x.</w:t>
      </w:r>
    </w:p>
    <w:p>
      <w:pPr>
        <w:spacing w:before="0" w:after="80"/>
        <w:jc w:val="both"/>
      </w:pPr>
      <w:r>
        <w:rPr/>
        <w:t xml:space="preserve">The defining transaction of the current cycle is the </w:t>
      </w:r>
      <w:r>
        <w:rPr>
          <w:b/>
        </w:rPr>
        <w:t>take-private of Thoughtworks by Apax Partners</w:t>
      </w:r>
      <w:r>
        <w:rPr/>
        <w:t xml:space="preserve"> at $4.40 per share — a company that had raised $720m at a $4.6bn enterprise value in January 2021 and was taken out at a fraction of that. It is the clearest evidence that public-market disillusionment with digital engineering has created private-equity opportunity, and it is the single most relevant precedent for EPAM.</w:t>
      </w:r>
    </w:p>
    <w:tbl>
      <w:tblPr>
        <w:tblStyle w:val="TableGrid"/>
        <w:tblW w:type="auto" w:w="0"/>
        <w:jc w:val="center"/>
        <w:tblLayout w:type="autofit"/>
        <w:tblLook w:firstColumn="1" w:firstRow="1" w:lastColumn="0" w:lastRow="0" w:noHBand="0" w:noVBand="1" w:val="04A0"/>
      </w:tblPr>
      <w:tblGrid>
        <w:gridCol w:w="2036"/>
        <w:gridCol w:w="2036"/>
        <w:gridCol w:w="2036"/>
        <w:gridCol w:w="2036"/>
        <w:gridCol w:w="2036"/>
      </w:tblGrid>
      <w:tr>
        <w:tc>
          <w:tcPr>
            <w:tcW w:type="dxa" w:w="2036"/>
            <w:shd w:val="clear" w:fill="0B2545"/>
          </w:tcPr>
          <w:p>
            <w:pPr>
              <w:spacing w:before="20" w:after="20"/>
            </w:pPr>
            <w:r>
              <w:rPr>
                <w:rFonts w:ascii="Georgia" w:hAnsi="Georgia"/>
                <w:b/>
                <w:color w:val="FFFFFF"/>
                <w:sz w:val="14"/>
              </w:rPr>
            </w:r>
            <w:r>
              <w:rPr>
                <w:rFonts w:ascii="Georgia" w:hAnsi="Georgia"/>
                <w:b/>
                <w:color w:val="FFFFFF"/>
                <w:sz w:val="14"/>
              </w:rPr>
              <w:t>Target</w:t>
            </w:r>
          </w:p>
        </w:tc>
        <w:tc>
          <w:tcPr>
            <w:tcW w:type="dxa" w:w="2036"/>
            <w:shd w:val="clear" w:fill="0B2545"/>
          </w:tcPr>
          <w:p>
            <w:pPr>
              <w:spacing w:before="20" w:after="20"/>
            </w:pPr>
            <w:r>
              <w:rPr>
                <w:rFonts w:ascii="Georgia" w:hAnsi="Georgia"/>
                <w:b/>
                <w:color w:val="FFFFFF"/>
                <w:sz w:val="14"/>
              </w:rPr>
            </w:r>
            <w:r>
              <w:rPr>
                <w:rFonts w:ascii="Georgia" w:hAnsi="Georgia"/>
                <w:b/>
                <w:color w:val="FFFFFF"/>
                <w:sz w:val="14"/>
              </w:rPr>
              <w:t>Acquirer</w:t>
            </w:r>
          </w:p>
        </w:tc>
        <w:tc>
          <w:tcPr>
            <w:tcW w:type="dxa" w:w="2036"/>
            <w:shd w:val="clear" w:fill="0B2545"/>
          </w:tcPr>
          <w:p>
            <w:pPr>
              <w:spacing w:before="20" w:after="20"/>
            </w:pPr>
            <w:r>
              <w:rPr>
                <w:rFonts w:ascii="Georgia" w:hAnsi="Georgia"/>
                <w:b/>
                <w:color w:val="FFFFFF"/>
                <w:sz w:val="14"/>
              </w:rPr>
            </w:r>
            <w:r>
              <w:rPr>
                <w:rFonts w:ascii="Georgia" w:hAnsi="Georgia"/>
                <w:b/>
                <w:color w:val="FFFFFF"/>
                <w:sz w:val="14"/>
              </w:rPr>
              <w:t>Date</w:t>
            </w:r>
          </w:p>
        </w:tc>
        <w:tc>
          <w:tcPr>
            <w:tcW w:type="dxa" w:w="2036"/>
            <w:shd w:val="clear" w:fill="0B2545"/>
          </w:tcPr>
          <w:p>
            <w:pPr>
              <w:spacing w:before="20" w:after="20"/>
              <w:jc w:val="right"/>
            </w:pPr>
            <w:r>
              <w:rPr>
                <w:rFonts w:ascii="Georgia" w:hAnsi="Georgia"/>
                <w:b/>
                <w:color w:val="FFFFFF"/>
                <w:sz w:val="14"/>
              </w:rPr>
            </w:r>
            <w:r>
              <w:rPr>
                <w:rFonts w:ascii="Georgia" w:hAnsi="Georgia"/>
                <w:b/>
                <w:color w:val="FFFFFF"/>
                <w:sz w:val="14"/>
              </w:rPr>
              <w:t>Consideration</w:t>
            </w:r>
          </w:p>
        </w:tc>
        <w:tc>
          <w:tcPr>
            <w:tcW w:type="dxa" w:w="2036"/>
            <w:shd w:val="clear" w:fill="0B2545"/>
          </w:tcPr>
          <w:p>
            <w:pPr>
              <w:spacing w:before="20" w:after="20"/>
            </w:pPr>
            <w:r>
              <w:rPr>
                <w:rFonts w:ascii="Georgia" w:hAnsi="Georgia"/>
                <w:b/>
                <w:color w:val="FFFFFF"/>
                <w:sz w:val="14"/>
              </w:rPr>
            </w:r>
            <w:r>
              <w:rPr>
                <w:rFonts w:ascii="Georgia" w:hAnsi="Georgia"/>
                <w:b/>
                <w:color w:val="FFFFFF"/>
                <w:sz w:val="14"/>
              </w:rPr>
              <w:t>Multiple / note</w:t>
            </w:r>
          </w:p>
        </w:tc>
      </w:tr>
      <w:tr>
        <w:tc>
          <w:tcPr>
            <w:tcW w:type="dxa" w:w="2036"/>
          </w:tcPr>
          <w:p>
            <w:pPr>
              <w:spacing w:before="20" w:after="20"/>
            </w:pPr>
            <w:r>
              <w:rPr>
                <w:rFonts w:ascii="Georgia" w:hAnsi="Georgia"/>
                <w:sz w:val="14"/>
              </w:rPr>
            </w:r>
            <w:r>
              <w:rPr>
                <w:rFonts w:ascii="Georgia" w:hAnsi="Georgia"/>
                <w:sz w:val="14"/>
              </w:rPr>
              <w:t>Thoughtworks</w:t>
            </w:r>
          </w:p>
        </w:tc>
        <w:tc>
          <w:tcPr>
            <w:tcW w:type="dxa" w:w="2036"/>
          </w:tcPr>
          <w:p>
            <w:pPr>
              <w:spacing w:before="20" w:after="20"/>
            </w:pPr>
            <w:r>
              <w:rPr>
                <w:rFonts w:ascii="Georgia" w:hAnsi="Georgia"/>
                <w:sz w:val="14"/>
              </w:rPr>
            </w:r>
            <w:r>
              <w:rPr>
                <w:rFonts w:ascii="Georgia" w:hAnsi="Georgia"/>
                <w:sz w:val="14"/>
              </w:rPr>
              <w:t>Apax Partners</w:t>
            </w:r>
          </w:p>
        </w:tc>
        <w:tc>
          <w:tcPr>
            <w:tcW w:type="dxa" w:w="2036"/>
          </w:tcPr>
          <w:p>
            <w:pPr>
              <w:spacing w:before="20" w:after="20"/>
            </w:pPr>
            <w:r>
              <w:rPr>
                <w:rFonts w:ascii="Georgia" w:hAnsi="Georgia"/>
                <w:sz w:val="14"/>
              </w:rPr>
            </w:r>
            <w:r>
              <w:rPr>
                <w:rFonts w:ascii="Georgia" w:hAnsi="Georgia"/>
                <w:sz w:val="14"/>
              </w:rPr>
              <w:t>2024 (agreed), closed 2024/25</w:t>
            </w:r>
          </w:p>
        </w:tc>
        <w:tc>
          <w:tcPr>
            <w:tcW w:type="dxa" w:w="2036"/>
          </w:tcPr>
          <w:p>
            <w:pPr>
              <w:spacing w:before="20" w:after="20"/>
              <w:jc w:val="right"/>
            </w:pPr>
            <w:r>
              <w:rPr>
                <w:rFonts w:ascii="Georgia" w:hAnsi="Georgia"/>
                <w:sz w:val="14"/>
              </w:rPr>
            </w:r>
            <w:r>
              <w:rPr>
                <w:rFonts w:ascii="Georgia" w:hAnsi="Georgia"/>
                <w:sz w:val="14"/>
              </w:rPr>
              <w:t>$4.40/share; c.$1.4bn EV</w:t>
            </w:r>
          </w:p>
        </w:tc>
        <w:tc>
          <w:tcPr>
            <w:tcW w:type="dxa" w:w="2036"/>
          </w:tcPr>
          <w:p>
            <w:pPr>
              <w:spacing w:before="20" w:after="20"/>
            </w:pPr>
            <w:r>
              <w:rPr>
                <w:rFonts w:ascii="Georgia" w:hAnsi="Georgia"/>
                <w:sz w:val="14"/>
              </w:rPr>
            </w:r>
            <w:r>
              <w:rPr>
                <w:rFonts w:ascii="Georgia" w:hAnsi="Georgia"/>
                <w:sz w:val="14"/>
              </w:rPr>
              <w:t>c.1.4x EV/Sales. Down from a $4.6bn EV valuation in Jan 2021 — a roughly 70% decline. The template for a digital-engineering take-private.</w:t>
            </w:r>
          </w:p>
        </w:tc>
      </w:tr>
      <w:tr>
        <w:tc>
          <w:tcPr>
            <w:tcW w:type="dxa" w:w="2036"/>
            <w:shd w:val="clear" w:fill="F4F7FA"/>
          </w:tcPr>
          <w:p>
            <w:pPr>
              <w:spacing w:before="20" w:after="20"/>
            </w:pPr>
            <w:r>
              <w:rPr>
                <w:rFonts w:ascii="Georgia" w:hAnsi="Georgia"/>
                <w:sz w:val="14"/>
              </w:rPr>
            </w:r>
            <w:r>
              <w:rPr>
                <w:rFonts w:ascii="Georgia" w:hAnsi="Georgia"/>
                <w:sz w:val="14"/>
              </w:rPr>
              <w:t>GalaxE Solutions</w:t>
            </w:r>
          </w:p>
        </w:tc>
        <w:tc>
          <w:tcPr>
            <w:tcW w:type="dxa" w:w="2036"/>
            <w:shd w:val="clear" w:fill="F4F7FA"/>
          </w:tcPr>
          <w:p>
            <w:pPr>
              <w:spacing w:before="20" w:after="20"/>
            </w:pPr>
            <w:r>
              <w:rPr>
                <w:rFonts w:ascii="Georgia" w:hAnsi="Georgia"/>
                <w:sz w:val="14"/>
              </w:rPr>
            </w:r>
            <w:r>
              <w:rPr>
                <w:rFonts w:ascii="Georgia" w:hAnsi="Georgia"/>
                <w:sz w:val="14"/>
              </w:rPr>
              <w:t>Endava</w:t>
            </w:r>
          </w:p>
        </w:tc>
        <w:tc>
          <w:tcPr>
            <w:tcW w:type="dxa" w:w="2036"/>
            <w:shd w:val="clear" w:fill="F4F7FA"/>
          </w:tcPr>
          <w:p>
            <w:pPr>
              <w:spacing w:before="20" w:after="20"/>
            </w:pPr>
            <w:r>
              <w:rPr>
                <w:rFonts w:ascii="Georgia" w:hAnsi="Georgia"/>
                <w:sz w:val="14"/>
              </w:rPr>
            </w:r>
            <w:r>
              <w:rPr>
                <w:rFonts w:ascii="Georgia" w:hAnsi="Georgia"/>
                <w:sz w:val="14"/>
              </w:rPr>
              <w:t>2024</w:t>
            </w:r>
          </w:p>
        </w:tc>
        <w:tc>
          <w:tcPr>
            <w:tcW w:type="dxa" w:w="2036"/>
            <w:shd w:val="clear" w:fill="F4F7FA"/>
          </w:tcPr>
          <w:p>
            <w:pPr>
              <w:spacing w:before="20" w:after="20"/>
              <w:jc w:val="right"/>
            </w:pPr>
            <w:r>
              <w:rPr>
                <w:rFonts w:ascii="Georgia" w:hAnsi="Georgia"/>
                <w:sz w:val="14"/>
              </w:rPr>
            </w:r>
            <w:r>
              <w:rPr>
                <w:rFonts w:ascii="Georgia" w:hAnsi="Georgia"/>
                <w:sz w:val="14"/>
              </w:rPr>
              <w:t>Up to $405m (incl. $30m earn-out)</w:t>
            </w:r>
          </w:p>
        </w:tc>
        <w:tc>
          <w:tcPr>
            <w:tcW w:type="dxa" w:w="2036"/>
            <w:shd w:val="clear" w:fill="F4F7FA"/>
          </w:tcPr>
          <w:p>
            <w:pPr>
              <w:spacing w:before="20" w:after="20"/>
            </w:pPr>
            <w:r>
              <w:rPr>
                <w:rFonts w:ascii="Georgia" w:hAnsi="Georgia"/>
                <w:sz w:val="14"/>
              </w:rPr>
            </w:r>
            <w:r>
              <w:rPr>
                <w:rFonts w:ascii="Georgia" w:hAnsi="Georgia"/>
                <w:sz w:val="14"/>
              </w:rPr>
              <w:t>Healthcare IT and automation capability; strategic consolidation among pure-plays.</w:t>
            </w:r>
          </w:p>
        </w:tc>
      </w:tr>
      <w:tr>
        <w:tc>
          <w:tcPr>
            <w:tcW w:type="dxa" w:w="2036"/>
          </w:tcPr>
          <w:p>
            <w:pPr>
              <w:spacing w:before="20" w:after="20"/>
            </w:pPr>
            <w:r>
              <w:rPr>
                <w:rFonts w:ascii="Georgia" w:hAnsi="Georgia"/>
                <w:sz w:val="14"/>
              </w:rPr>
            </w:r>
            <w:r>
              <w:rPr>
                <w:rFonts w:ascii="Georgia" w:hAnsi="Georgia"/>
                <w:sz w:val="14"/>
              </w:rPr>
              <w:t>NEORIS</w:t>
            </w:r>
          </w:p>
        </w:tc>
        <w:tc>
          <w:tcPr>
            <w:tcW w:type="dxa" w:w="2036"/>
          </w:tcPr>
          <w:p>
            <w:pPr>
              <w:spacing w:before="20" w:after="20"/>
            </w:pPr>
            <w:r>
              <w:rPr>
                <w:rFonts w:ascii="Georgia" w:hAnsi="Georgia"/>
                <w:sz w:val="14"/>
              </w:rPr>
            </w:r>
            <w:r>
              <w:rPr>
                <w:rFonts w:ascii="Georgia" w:hAnsi="Georgia"/>
                <w:b/>
                <w:sz w:val="14"/>
              </w:rPr>
              <w:t>EPAM</w:t>
            </w:r>
          </w:p>
        </w:tc>
        <w:tc>
          <w:tcPr>
            <w:tcW w:type="dxa" w:w="2036"/>
          </w:tcPr>
          <w:p>
            <w:pPr>
              <w:spacing w:before="20" w:after="20"/>
            </w:pPr>
            <w:r>
              <w:rPr>
                <w:rFonts w:ascii="Georgia" w:hAnsi="Georgia"/>
                <w:sz w:val="14"/>
              </w:rPr>
            </w:r>
            <w:r>
              <w:rPr>
                <w:rFonts w:ascii="Georgia" w:hAnsi="Georgia"/>
                <w:sz w:val="14"/>
              </w:rPr>
              <w:t>Nov 2024</w:t>
            </w:r>
          </w:p>
        </w:tc>
        <w:tc>
          <w:tcPr>
            <w:tcW w:type="dxa" w:w="2036"/>
          </w:tcPr>
          <w:p>
            <w:pPr>
              <w:spacing w:before="20" w:after="20"/>
              <w:jc w:val="right"/>
            </w:pPr>
            <w:r>
              <w:rPr>
                <w:rFonts w:ascii="Georgia" w:hAnsi="Georgia"/>
                <w:sz w:val="14"/>
              </w:rPr>
            </w:r>
            <w:r>
              <w:rPr>
                <w:rFonts w:ascii="Georgia" w:hAnsi="Georgia"/>
                <w:sz w:val="14"/>
              </w:rPr>
              <w:t>$626.3m (99.7%)</w:t>
            </w:r>
          </w:p>
        </w:tc>
        <w:tc>
          <w:tcPr>
            <w:tcW w:type="dxa" w:w="2036"/>
          </w:tcPr>
          <w:p>
            <w:pPr>
              <w:spacing w:before="20" w:after="20"/>
            </w:pPr>
            <w:r>
              <w:rPr>
                <w:rFonts w:ascii="Georgia" w:hAnsi="Georgia"/>
                <w:sz w:val="14"/>
              </w:rPr>
            </w:r>
            <w:r>
              <w:rPr>
                <w:rFonts w:ascii="Georgia" w:hAnsi="Georgia"/>
                <w:sz w:val="14"/>
              </w:rPr>
              <w:t>c.1.0–1.2x EV/Sales (est.). Largest deal in EPAM's history.</w:t>
            </w:r>
          </w:p>
        </w:tc>
      </w:tr>
      <w:tr>
        <w:tc>
          <w:tcPr>
            <w:tcW w:type="dxa" w:w="2036"/>
            <w:shd w:val="clear" w:fill="F4F7FA"/>
          </w:tcPr>
          <w:p>
            <w:pPr>
              <w:spacing w:before="20" w:after="20"/>
            </w:pPr>
            <w:r>
              <w:rPr>
                <w:rFonts w:ascii="Georgia" w:hAnsi="Georgia"/>
                <w:sz w:val="14"/>
              </w:rPr>
            </w:r>
            <w:r>
              <w:rPr>
                <w:rFonts w:ascii="Georgia" w:hAnsi="Georgia"/>
                <w:sz w:val="14"/>
              </w:rPr>
              <w:t>First Derivative</w:t>
            </w:r>
          </w:p>
        </w:tc>
        <w:tc>
          <w:tcPr>
            <w:tcW w:type="dxa" w:w="2036"/>
            <w:shd w:val="clear" w:fill="F4F7FA"/>
          </w:tcPr>
          <w:p>
            <w:pPr>
              <w:spacing w:before="20" w:after="20"/>
            </w:pPr>
            <w:r>
              <w:rPr>
                <w:rFonts w:ascii="Georgia" w:hAnsi="Georgia"/>
                <w:sz w:val="14"/>
              </w:rPr>
            </w:r>
            <w:r>
              <w:rPr>
                <w:rFonts w:ascii="Georgia" w:hAnsi="Georgia"/>
                <w:b/>
                <w:sz w:val="14"/>
              </w:rPr>
              <w:t>EPAM</w:t>
            </w:r>
          </w:p>
        </w:tc>
        <w:tc>
          <w:tcPr>
            <w:tcW w:type="dxa" w:w="2036"/>
            <w:shd w:val="clear" w:fill="F4F7FA"/>
          </w:tcPr>
          <w:p>
            <w:pPr>
              <w:spacing w:before="20" w:after="20"/>
            </w:pPr>
            <w:r>
              <w:rPr>
                <w:rFonts w:ascii="Georgia" w:hAnsi="Georgia"/>
                <w:sz w:val="14"/>
              </w:rPr>
            </w:r>
            <w:r>
              <w:rPr>
                <w:rFonts w:ascii="Georgia" w:hAnsi="Georgia"/>
                <w:sz w:val="14"/>
              </w:rPr>
              <w:t>Oct 2024</w:t>
            </w:r>
          </w:p>
        </w:tc>
        <w:tc>
          <w:tcPr>
            <w:tcW w:type="dxa" w:w="2036"/>
            <w:shd w:val="clear" w:fill="F4F7FA"/>
          </w:tcPr>
          <w:p>
            <w:pPr>
              <w:spacing w:before="20" w:after="20"/>
              <w:jc w:val="right"/>
            </w:pPr>
            <w:r>
              <w:rPr>
                <w:rFonts w:ascii="Georgia" w:hAnsi="Georgia"/>
                <w:sz w:val="14"/>
              </w:rPr>
            </w:r>
            <w:r>
              <w:rPr>
                <w:rFonts w:ascii="Georgia" w:hAnsi="Georgia"/>
                <w:sz w:val="14"/>
              </w:rPr>
              <w:t>c.$290m</w:t>
            </w:r>
          </w:p>
        </w:tc>
        <w:tc>
          <w:tcPr>
            <w:tcW w:type="dxa" w:w="2036"/>
            <w:shd w:val="clear" w:fill="F4F7FA"/>
          </w:tcPr>
          <w:p>
            <w:pPr>
              <w:spacing w:before="20" w:after="20"/>
            </w:pPr>
            <w:r>
              <w:rPr>
                <w:rFonts w:ascii="Georgia" w:hAnsi="Georgia"/>
                <w:sz w:val="14"/>
              </w:rPr>
            </w:r>
            <w:r>
              <w:rPr>
                <w:rFonts w:ascii="Georgia" w:hAnsi="Georgia"/>
                <w:sz w:val="14"/>
              </w:rPr>
              <w:t>Capital markets consultancy carved out of FD Technologies.</w:t>
            </w:r>
          </w:p>
        </w:tc>
      </w:tr>
      <w:tr>
        <w:tc>
          <w:tcPr>
            <w:tcW w:type="dxa" w:w="2036"/>
          </w:tcPr>
          <w:p>
            <w:pPr>
              <w:spacing w:before="20" w:after="20"/>
            </w:pPr>
            <w:r>
              <w:rPr>
                <w:rFonts w:ascii="Georgia" w:hAnsi="Georgia"/>
                <w:sz w:val="14"/>
              </w:rPr>
            </w:r>
            <w:r>
              <w:rPr>
                <w:rFonts w:ascii="Georgia" w:hAnsi="Georgia"/>
                <w:sz w:val="14"/>
              </w:rPr>
              <w:t>GlobalLogic</w:t>
            </w:r>
          </w:p>
        </w:tc>
        <w:tc>
          <w:tcPr>
            <w:tcW w:type="dxa" w:w="2036"/>
          </w:tcPr>
          <w:p>
            <w:pPr>
              <w:spacing w:before="20" w:after="20"/>
            </w:pPr>
            <w:r>
              <w:rPr>
                <w:rFonts w:ascii="Georgia" w:hAnsi="Georgia"/>
                <w:sz w:val="14"/>
              </w:rPr>
            </w:r>
            <w:r>
              <w:rPr>
                <w:rFonts w:ascii="Georgia" w:hAnsi="Georgia"/>
                <w:sz w:val="14"/>
              </w:rPr>
              <w:t>Hitachi</w:t>
            </w:r>
          </w:p>
        </w:tc>
        <w:tc>
          <w:tcPr>
            <w:tcW w:type="dxa" w:w="2036"/>
          </w:tcPr>
          <w:p>
            <w:pPr>
              <w:spacing w:before="20" w:after="20"/>
            </w:pPr>
            <w:r>
              <w:rPr>
                <w:rFonts w:ascii="Georgia" w:hAnsi="Georgia"/>
                <w:sz w:val="14"/>
              </w:rPr>
            </w:r>
            <w:r>
              <w:rPr>
                <w:rFonts w:ascii="Georgia" w:hAnsi="Georgia"/>
                <w:sz w:val="14"/>
              </w:rPr>
              <w:t>2021</w:t>
            </w:r>
          </w:p>
        </w:tc>
        <w:tc>
          <w:tcPr>
            <w:tcW w:type="dxa" w:w="2036"/>
          </w:tcPr>
          <w:p>
            <w:pPr>
              <w:spacing w:before="20" w:after="20"/>
              <w:jc w:val="right"/>
            </w:pPr>
            <w:r>
              <w:rPr>
                <w:rFonts w:ascii="Georgia" w:hAnsi="Georgia"/>
                <w:sz w:val="14"/>
              </w:rPr>
            </w:r>
            <w:r>
              <w:rPr>
                <w:rFonts w:ascii="Georgia" w:hAnsi="Georgia"/>
                <w:sz w:val="14"/>
              </w:rPr>
              <w:t>$9.6bn</w:t>
            </w:r>
          </w:p>
        </w:tc>
        <w:tc>
          <w:tcPr>
            <w:tcW w:type="dxa" w:w="2036"/>
          </w:tcPr>
          <w:p>
            <w:pPr>
              <w:spacing w:before="20" w:after="20"/>
            </w:pPr>
            <w:r>
              <w:rPr>
                <w:rFonts w:ascii="Georgia" w:hAnsi="Georgia"/>
                <w:sz w:val="14"/>
              </w:rPr>
            </w:r>
            <w:r>
              <w:rPr>
                <w:rFonts w:ascii="Georgia" w:hAnsi="Georgia"/>
                <w:sz w:val="14"/>
              </w:rPr>
              <w:t>c.6.4x EV/Sales — peak-cycle strategic multiple. The high-water mark for the sector and a demonstration of what a strategic buyer will pay at the top.</w:t>
            </w:r>
          </w:p>
        </w:tc>
      </w:tr>
      <w:tr>
        <w:tc>
          <w:tcPr>
            <w:tcW w:type="dxa" w:w="2036"/>
            <w:shd w:val="clear" w:fill="F4F7FA"/>
          </w:tcPr>
          <w:p>
            <w:pPr>
              <w:spacing w:before="20" w:after="20"/>
            </w:pPr>
            <w:r>
              <w:rPr>
                <w:rFonts w:ascii="Georgia" w:hAnsi="Georgia"/>
                <w:sz w:val="14"/>
              </w:rPr>
            </w:r>
            <w:r>
              <w:rPr>
                <w:rFonts w:ascii="Georgia" w:hAnsi="Georgia"/>
                <w:sz w:val="14"/>
              </w:rPr>
              <w:t>Luxoft</w:t>
            </w:r>
          </w:p>
        </w:tc>
        <w:tc>
          <w:tcPr>
            <w:tcW w:type="dxa" w:w="2036"/>
            <w:shd w:val="clear" w:fill="F4F7FA"/>
          </w:tcPr>
          <w:p>
            <w:pPr>
              <w:spacing w:before="20" w:after="20"/>
            </w:pPr>
            <w:r>
              <w:rPr>
                <w:rFonts w:ascii="Georgia" w:hAnsi="Georgia"/>
                <w:sz w:val="14"/>
              </w:rPr>
            </w:r>
            <w:r>
              <w:rPr>
                <w:rFonts w:ascii="Georgia" w:hAnsi="Georgia"/>
                <w:sz w:val="14"/>
              </w:rPr>
              <w:t>DXC Technology</w:t>
            </w:r>
          </w:p>
        </w:tc>
        <w:tc>
          <w:tcPr>
            <w:tcW w:type="dxa" w:w="2036"/>
            <w:shd w:val="clear" w:fill="F4F7FA"/>
          </w:tcPr>
          <w:p>
            <w:pPr>
              <w:spacing w:before="20" w:after="20"/>
            </w:pPr>
            <w:r>
              <w:rPr>
                <w:rFonts w:ascii="Georgia" w:hAnsi="Georgia"/>
                <w:sz w:val="14"/>
              </w:rPr>
            </w:r>
            <w:r>
              <w:rPr>
                <w:rFonts w:ascii="Georgia" w:hAnsi="Georgia"/>
                <w:sz w:val="14"/>
              </w:rPr>
              <w:t>2019</w:t>
            </w:r>
          </w:p>
        </w:tc>
        <w:tc>
          <w:tcPr>
            <w:tcW w:type="dxa" w:w="2036"/>
            <w:shd w:val="clear" w:fill="F4F7FA"/>
          </w:tcPr>
          <w:p>
            <w:pPr>
              <w:spacing w:before="20" w:after="20"/>
              <w:jc w:val="right"/>
            </w:pPr>
            <w:r>
              <w:rPr>
                <w:rFonts w:ascii="Georgia" w:hAnsi="Georgia"/>
                <w:sz w:val="14"/>
              </w:rPr>
            </w:r>
            <w:r>
              <w:rPr>
                <w:rFonts w:ascii="Georgia" w:hAnsi="Georgia"/>
                <w:sz w:val="14"/>
              </w:rPr>
              <w:t>$2.0bn</w:t>
            </w:r>
          </w:p>
        </w:tc>
        <w:tc>
          <w:tcPr>
            <w:tcW w:type="dxa" w:w="2036"/>
            <w:shd w:val="clear" w:fill="F4F7FA"/>
          </w:tcPr>
          <w:p>
            <w:pPr>
              <w:spacing w:before="20" w:after="20"/>
            </w:pPr>
            <w:r>
              <w:rPr>
                <w:rFonts w:ascii="Georgia" w:hAnsi="Georgia"/>
                <w:sz w:val="14"/>
              </w:rPr>
            </w:r>
            <w:r>
              <w:rPr>
                <w:rFonts w:ascii="Georgia" w:hAnsi="Georgia"/>
                <w:sz w:val="14"/>
              </w:rPr>
              <w:t>c.2.2x EV/Sales. EPAM's closest historical comparable by delivery geography and engineering positioning.</w:t>
            </w:r>
          </w:p>
        </w:tc>
      </w:tr>
      <w:tr>
        <w:tc>
          <w:tcPr>
            <w:tcW w:type="dxa" w:w="2036"/>
          </w:tcPr>
          <w:p>
            <w:pPr>
              <w:spacing w:before="20" w:after="20"/>
            </w:pPr>
            <w:r>
              <w:rPr>
                <w:rFonts w:ascii="Georgia" w:hAnsi="Georgia"/>
                <w:sz w:val="14"/>
              </w:rPr>
            </w:r>
            <w:r>
              <w:rPr>
                <w:rFonts w:ascii="Georgia" w:hAnsi="Georgia"/>
                <w:sz w:val="14"/>
              </w:rPr>
              <w:t>Perficient</w:t>
            </w:r>
          </w:p>
        </w:tc>
        <w:tc>
          <w:tcPr>
            <w:tcW w:type="dxa" w:w="2036"/>
          </w:tcPr>
          <w:p>
            <w:pPr>
              <w:spacing w:before="20" w:after="20"/>
            </w:pPr>
            <w:r>
              <w:rPr>
                <w:rFonts w:ascii="Georgia" w:hAnsi="Georgia"/>
                <w:sz w:val="14"/>
              </w:rPr>
            </w:r>
            <w:r>
              <w:rPr>
                <w:rFonts w:ascii="Georgia" w:hAnsi="Georgia"/>
                <w:sz w:val="14"/>
              </w:rPr>
              <w:t>EQT</w:t>
            </w:r>
          </w:p>
        </w:tc>
        <w:tc>
          <w:tcPr>
            <w:tcW w:type="dxa" w:w="2036"/>
          </w:tcPr>
          <w:p>
            <w:pPr>
              <w:spacing w:before="20" w:after="20"/>
            </w:pPr>
            <w:r>
              <w:rPr>
                <w:rFonts w:ascii="Georgia" w:hAnsi="Georgia"/>
                <w:sz w:val="14"/>
              </w:rPr>
            </w:r>
            <w:r>
              <w:rPr>
                <w:rFonts w:ascii="Georgia" w:hAnsi="Georgia"/>
                <w:sz w:val="14"/>
              </w:rPr>
              <w:t>2024</w:t>
            </w:r>
          </w:p>
        </w:tc>
        <w:tc>
          <w:tcPr>
            <w:tcW w:type="dxa" w:w="2036"/>
          </w:tcPr>
          <w:p>
            <w:pPr>
              <w:spacing w:before="20" w:after="20"/>
              <w:jc w:val="right"/>
            </w:pPr>
            <w:r>
              <w:rPr>
                <w:rFonts w:ascii="Georgia" w:hAnsi="Georgia"/>
                <w:sz w:val="14"/>
              </w:rPr>
            </w:r>
            <w:r>
              <w:rPr>
                <w:rFonts w:ascii="Georgia" w:hAnsi="Georgia"/>
                <w:sz w:val="14"/>
              </w:rPr>
              <w:t>c.$3.0bn</w:t>
            </w:r>
          </w:p>
        </w:tc>
        <w:tc>
          <w:tcPr>
            <w:tcW w:type="dxa" w:w="2036"/>
          </w:tcPr>
          <w:p>
            <w:pPr>
              <w:spacing w:before="20" w:after="20"/>
            </w:pPr>
            <w:r>
              <w:rPr>
                <w:rFonts w:ascii="Georgia" w:hAnsi="Georgia"/>
                <w:sz w:val="14"/>
              </w:rPr>
            </w:r>
            <w:r>
              <w:rPr>
                <w:rFonts w:ascii="Georgia" w:hAnsi="Georgia"/>
                <w:sz w:val="14"/>
              </w:rPr>
              <w:t>c.$76/share; roughly 3x EV/Sales. Another PE take-private of a listed digital consultancy.</w:t>
            </w:r>
          </w:p>
        </w:tc>
      </w:tr>
      <w:tr>
        <w:tc>
          <w:tcPr>
            <w:tcW w:type="dxa" w:w="2036"/>
            <w:shd w:val="clear" w:fill="F4F7FA"/>
          </w:tcPr>
          <w:p>
            <w:pPr>
              <w:spacing w:before="20" w:after="20"/>
            </w:pPr>
            <w:r>
              <w:rPr>
                <w:rFonts w:ascii="Georgia" w:hAnsi="Georgia"/>
                <w:sz w:val="14"/>
              </w:rPr>
            </w:r>
            <w:r>
              <w:rPr>
                <w:rFonts w:ascii="Georgia" w:hAnsi="Georgia"/>
                <w:sz w:val="14"/>
              </w:rPr>
              <w:t>DEK Technologies</w:t>
            </w:r>
          </w:p>
        </w:tc>
        <w:tc>
          <w:tcPr>
            <w:tcW w:type="dxa" w:w="2036"/>
            <w:shd w:val="clear" w:fill="F4F7FA"/>
          </w:tcPr>
          <w:p>
            <w:pPr>
              <w:spacing w:before="20" w:after="20"/>
            </w:pPr>
            <w:r>
              <w:rPr>
                <w:rFonts w:ascii="Georgia" w:hAnsi="Georgia"/>
                <w:sz w:val="14"/>
              </w:rPr>
            </w:r>
            <w:r>
              <w:rPr>
                <w:rFonts w:ascii="Georgia" w:hAnsi="Georgia"/>
                <w:sz w:val="14"/>
              </w:rPr>
              <w:t>Endava</w:t>
            </w:r>
          </w:p>
        </w:tc>
        <w:tc>
          <w:tcPr>
            <w:tcW w:type="dxa" w:w="2036"/>
            <w:shd w:val="clear" w:fill="F4F7FA"/>
          </w:tcPr>
          <w:p>
            <w:pPr>
              <w:spacing w:before="20" w:after="20"/>
            </w:pPr>
            <w:r>
              <w:rPr>
                <w:rFonts w:ascii="Georgia" w:hAnsi="Georgia"/>
                <w:sz w:val="14"/>
              </w:rPr>
            </w:r>
            <w:r>
              <w:rPr>
                <w:rFonts w:ascii="Georgia" w:hAnsi="Georgia"/>
                <w:sz w:val="14"/>
              </w:rPr>
              <w:t>2023</w:t>
            </w:r>
          </w:p>
        </w:tc>
        <w:tc>
          <w:tcPr>
            <w:tcW w:type="dxa" w:w="2036"/>
            <w:shd w:val="clear" w:fill="F4F7FA"/>
          </w:tcPr>
          <w:p>
            <w:pPr>
              <w:spacing w:before="20" w:after="20"/>
              <w:jc w:val="right"/>
            </w:pPr>
            <w:r>
              <w:rPr>
                <w:rFonts w:ascii="Georgia" w:hAnsi="Georgia"/>
                <w:sz w:val="14"/>
              </w:rPr>
            </w:r>
            <w:r>
              <w:rPr>
                <w:rFonts w:ascii="Georgia" w:hAnsi="Georgia"/>
                <w:sz w:val="14"/>
              </w:rPr>
              <w:t>Undisclosed</w:t>
            </w:r>
          </w:p>
        </w:tc>
        <w:tc>
          <w:tcPr>
            <w:tcW w:type="dxa" w:w="2036"/>
            <w:shd w:val="clear" w:fill="F4F7FA"/>
          </w:tcPr>
          <w:p>
            <w:pPr>
              <w:spacing w:before="20" w:after="20"/>
            </w:pPr>
            <w:r>
              <w:rPr>
                <w:rFonts w:ascii="Georgia" w:hAnsi="Georgia"/>
                <w:sz w:val="14"/>
              </w:rPr>
            </w:r>
            <w:r>
              <w:rPr>
                <w:rFonts w:ascii="Georgia" w:hAnsi="Georgia"/>
                <w:sz w:val="14"/>
              </w:rPr>
              <w:t>APAC expansion.</w:t>
            </w:r>
          </w:p>
        </w:tc>
      </w:tr>
      <w:tr>
        <w:tc>
          <w:tcPr>
            <w:tcW w:type="dxa" w:w="2036"/>
          </w:tcPr>
          <w:p>
            <w:pPr>
              <w:spacing w:before="20" w:after="20"/>
            </w:pPr>
            <w:r>
              <w:rPr>
                <w:rFonts w:ascii="Georgia" w:hAnsi="Georgia"/>
                <w:sz w:val="14"/>
              </w:rPr>
            </w:r>
            <w:r>
              <w:rPr>
                <w:rFonts w:ascii="Georgia" w:hAnsi="Georgia"/>
                <w:sz w:val="14"/>
              </w:rPr>
              <w:t>Mudbath</w:t>
            </w:r>
          </w:p>
        </w:tc>
        <w:tc>
          <w:tcPr>
            <w:tcW w:type="dxa" w:w="2036"/>
          </w:tcPr>
          <w:p>
            <w:pPr>
              <w:spacing w:before="20" w:after="20"/>
            </w:pPr>
            <w:r>
              <w:rPr>
                <w:rFonts w:ascii="Georgia" w:hAnsi="Georgia"/>
                <w:sz w:val="14"/>
              </w:rPr>
            </w:r>
            <w:r>
              <w:rPr>
                <w:rFonts w:ascii="Georgia" w:hAnsi="Georgia"/>
                <w:sz w:val="14"/>
              </w:rPr>
              <w:t>Endava</w:t>
            </w:r>
          </w:p>
        </w:tc>
        <w:tc>
          <w:tcPr>
            <w:tcW w:type="dxa" w:w="2036"/>
          </w:tcPr>
          <w:p>
            <w:pPr>
              <w:spacing w:before="20" w:after="20"/>
            </w:pPr>
            <w:r>
              <w:rPr>
                <w:rFonts w:ascii="Georgia" w:hAnsi="Georgia"/>
                <w:sz w:val="14"/>
              </w:rPr>
            </w:r>
            <w:r>
              <w:rPr>
                <w:rFonts w:ascii="Georgia" w:hAnsi="Georgia"/>
                <w:sz w:val="14"/>
              </w:rPr>
              <w:t>2023</w:t>
            </w:r>
          </w:p>
        </w:tc>
        <w:tc>
          <w:tcPr>
            <w:tcW w:type="dxa" w:w="2036"/>
          </w:tcPr>
          <w:p>
            <w:pPr>
              <w:spacing w:before="20" w:after="20"/>
              <w:jc w:val="right"/>
            </w:pPr>
            <w:r>
              <w:rPr>
                <w:rFonts w:ascii="Georgia" w:hAnsi="Georgia"/>
                <w:sz w:val="14"/>
              </w:rPr>
            </w:r>
            <w:r>
              <w:rPr>
                <w:rFonts w:ascii="Georgia" w:hAnsi="Georgia"/>
                <w:sz w:val="14"/>
              </w:rPr>
              <w:t>Undisclosed</w:t>
            </w:r>
          </w:p>
        </w:tc>
        <w:tc>
          <w:tcPr>
            <w:tcW w:type="dxa" w:w="2036"/>
          </w:tcPr>
          <w:p>
            <w:pPr>
              <w:spacing w:before="20" w:after="20"/>
            </w:pPr>
            <w:r>
              <w:rPr>
                <w:rFonts w:ascii="Georgia" w:hAnsi="Georgia"/>
                <w:sz w:val="14"/>
              </w:rPr>
            </w:r>
            <w:r>
              <w:rPr>
                <w:rFonts w:ascii="Georgia" w:hAnsi="Georgia"/>
                <w:sz w:val="14"/>
              </w:rPr>
              <w:t>Australia expansion.</w:t>
            </w:r>
          </w:p>
        </w:tc>
      </w:tr>
      <w:tr>
        <w:tc>
          <w:tcPr>
            <w:tcW w:type="dxa" w:w="2036"/>
            <w:shd w:val="clear" w:fill="F4F7FA"/>
          </w:tcPr>
          <w:p>
            <w:pPr>
              <w:spacing w:before="20" w:after="20"/>
            </w:pPr>
            <w:r>
              <w:rPr>
                <w:rFonts w:ascii="Georgia" w:hAnsi="Georgia"/>
                <w:sz w:val="14"/>
              </w:rPr>
            </w:r>
            <w:r>
              <w:rPr>
                <w:rFonts w:ascii="Georgia" w:hAnsi="Georgia"/>
                <w:sz w:val="14"/>
              </w:rPr>
              <w:t>Talos Digital</w:t>
            </w:r>
          </w:p>
        </w:tc>
        <w:tc>
          <w:tcPr>
            <w:tcW w:type="dxa" w:w="2036"/>
            <w:shd w:val="clear" w:fill="F4F7FA"/>
          </w:tcPr>
          <w:p>
            <w:pPr>
              <w:spacing w:before="20" w:after="20"/>
            </w:pPr>
            <w:r>
              <w:rPr>
                <w:rFonts w:ascii="Georgia" w:hAnsi="Georgia"/>
                <w:sz w:val="14"/>
              </w:rPr>
            </w:r>
            <w:r>
              <w:rPr>
                <w:rFonts w:ascii="Georgia" w:hAnsi="Georgia"/>
                <w:sz w:val="14"/>
              </w:rPr>
              <w:t>Perficient</w:t>
            </w:r>
          </w:p>
        </w:tc>
        <w:tc>
          <w:tcPr>
            <w:tcW w:type="dxa" w:w="2036"/>
            <w:shd w:val="clear" w:fill="F4F7FA"/>
          </w:tcPr>
          <w:p>
            <w:pPr>
              <w:spacing w:before="20" w:after="20"/>
            </w:pPr>
            <w:r>
              <w:rPr>
                <w:rFonts w:ascii="Georgia" w:hAnsi="Georgia"/>
                <w:sz w:val="14"/>
              </w:rPr>
            </w:r>
            <w:r>
              <w:rPr>
                <w:rFonts w:ascii="Georgia" w:hAnsi="Georgia"/>
                <w:sz w:val="14"/>
              </w:rPr>
              <w:t>Sep 2021</w:t>
            </w:r>
          </w:p>
        </w:tc>
        <w:tc>
          <w:tcPr>
            <w:tcW w:type="dxa" w:w="2036"/>
            <w:shd w:val="clear" w:fill="F4F7FA"/>
          </w:tcPr>
          <w:p>
            <w:pPr>
              <w:spacing w:before="20" w:after="20"/>
              <w:jc w:val="right"/>
            </w:pPr>
            <w:r>
              <w:rPr>
                <w:rFonts w:ascii="Georgia" w:hAnsi="Georgia"/>
                <w:sz w:val="14"/>
              </w:rPr>
            </w:r>
            <w:r>
              <w:rPr>
                <w:rFonts w:ascii="Georgia" w:hAnsi="Georgia"/>
                <w:sz w:val="14"/>
              </w:rPr>
              <w:t>$28.1m</w:t>
            </w:r>
          </w:p>
        </w:tc>
        <w:tc>
          <w:tcPr>
            <w:tcW w:type="dxa" w:w="2036"/>
            <w:shd w:val="clear" w:fill="F4F7FA"/>
          </w:tcPr>
          <w:p>
            <w:pPr>
              <w:spacing w:before="20" w:after="20"/>
            </w:pPr>
            <w:r>
              <w:rPr>
                <w:rFonts w:ascii="Georgia" w:hAnsi="Georgia"/>
                <w:sz w:val="14"/>
              </w:rPr>
            </w:r>
            <w:r>
              <w:rPr>
                <w:rFonts w:ascii="Georgia" w:hAnsi="Georgia"/>
                <w:sz w:val="14"/>
              </w:rPr>
              <w:t>Nearshore Latin America capability.</w:t>
            </w:r>
          </w:p>
        </w:tc>
      </w:tr>
    </w:tbl>
    <w:p>
      <w:pPr>
        <w:spacing w:after="60"/>
      </w:pPr>
    </w:p>
    <w:p>
      <w:pPr>
        <w:spacing w:before="0" w:after="120"/>
        <w:jc w:val="both"/>
      </w:pPr>
      <w:r>
        <w:rPr>
          <w:i/>
          <w:color w:val="555555"/>
          <w:sz w:val="15"/>
        </w:rPr>
        <w:t>Consideration and dates are search-sourced. Transaction multiples are author estimates except where the underlying revenue was disclosed. Perficient/EQT terms are approximate.</w:t>
      </w:r>
    </w:p>
    <w:p>
      <w:pPr>
        <w:keepNext/>
        <w:spacing w:before="200" w:after="80"/>
      </w:pPr>
      <w:r>
        <w:rPr>
          <w:rFonts w:ascii="Georgia" w:hAnsi="Georgia"/>
          <w:b/>
          <w:color w:val="14487F"/>
          <w:sz w:val="21"/>
        </w:rPr>
        <w:t>Should EPAM be considered a takeover target?</w:t>
      </w:r>
    </w:p>
    <w:p>
      <w:pPr>
        <w:spacing w:before="0" w:after="80"/>
        <w:jc w:val="both"/>
      </w:pPr>
      <w:r>
        <w:rPr>
          <w:b/>
        </w:rPr>
        <w:t>Yes — EPAM is now a credible target for the first time in its listed history</w:t>
      </w:r>
      <w:r>
        <w:rPr/>
        <w:t>, and materially more so than at any point before August 2026.</w:t>
      </w:r>
    </w:p>
    <w:tbl>
      <w:tblPr>
        <w:tblStyle w:val="TableGrid"/>
        <w:tblW w:type="auto" w:w="0"/>
        <w:jc w:val="center"/>
        <w:tblLayout w:type="autofit"/>
        <w:tblLook w:firstColumn="1" w:firstRow="1" w:lastColumn="0" w:lastRow="0" w:noHBand="0" w:noVBand="1" w:val="04A0"/>
      </w:tblPr>
      <w:tblGrid>
        <w:gridCol w:w="5090"/>
        <w:gridCol w:w="5090"/>
      </w:tblGrid>
      <w:tr>
        <w:tc>
          <w:tcPr>
            <w:tcW w:type="dxa" w:w="5090"/>
            <w:shd w:val="clear" w:fill="0B2545"/>
          </w:tcPr>
          <w:p>
            <w:pPr>
              <w:spacing w:before="20" w:after="20"/>
            </w:pPr>
            <w:r>
              <w:rPr>
                <w:rFonts w:ascii="Georgia" w:hAnsi="Georgia"/>
                <w:b/>
                <w:color w:val="FFFFFF"/>
                <w:sz w:val="14"/>
              </w:rPr>
            </w:r>
            <w:r>
              <w:rPr>
                <w:rFonts w:ascii="Georgia" w:hAnsi="Georgia"/>
                <w:b/>
                <w:color w:val="FFFFFF"/>
                <w:sz w:val="14"/>
              </w:rPr>
              <w:t>Arguments for EPAM as a target</w:t>
            </w:r>
          </w:p>
        </w:tc>
        <w:tc>
          <w:tcPr>
            <w:tcW w:type="dxa" w:w="5090"/>
            <w:shd w:val="clear" w:fill="0B2545"/>
          </w:tcPr>
          <w:p>
            <w:pPr>
              <w:spacing w:before="20" w:after="20"/>
            </w:pPr>
            <w:r>
              <w:rPr>
                <w:rFonts w:ascii="Georgia" w:hAnsi="Georgia"/>
                <w:b/>
                <w:color w:val="FFFFFF"/>
                <w:sz w:val="14"/>
              </w:rPr>
            </w:r>
            <w:r>
              <w:rPr>
                <w:rFonts w:ascii="Georgia" w:hAnsi="Georgia"/>
                <w:b/>
                <w:color w:val="FFFFFF"/>
                <w:sz w:val="14"/>
              </w:rPr>
              <w:t>Arguments against</w:t>
            </w:r>
          </w:p>
        </w:tc>
      </w:tr>
      <w:tr>
        <w:tc>
          <w:tcPr>
            <w:tcW w:type="dxa" w:w="5090"/>
          </w:tcPr>
          <w:p>
            <w:pPr>
              <w:spacing w:before="20" w:after="20"/>
            </w:pPr>
            <w:r>
              <w:rPr>
                <w:rFonts w:ascii="Georgia" w:hAnsi="Georgia"/>
                <w:sz w:val="14"/>
              </w:rPr>
            </w:r>
            <w:r>
              <w:rPr>
                <w:rFonts w:ascii="Georgia" w:hAnsi="Georgia"/>
                <w:b/>
                <w:sz w:val="14"/>
              </w:rPr>
              <w:t>Valuation.</w:t>
            </w:r>
            <w:r>
              <w:rPr>
                <w:rFonts w:ascii="Georgia" w:hAnsi="Georgia"/>
                <w:sz w:val="14"/>
              </w:rPr>
              <w:t xml:space="preserve"> 5.5x EV/EBITDA and 0.91x EV/Sales against a sector M&amp;A median near 10.7x. A buyer could pay a 50% premium and still acquire below the sector median.</w:t>
            </w:r>
            <w:r>
              <w:rPr>
                <w:rFonts w:ascii="Georgia" w:hAnsi="Georgia"/>
                <w:b/>
                <w:sz w:val="14"/>
              </w:rPr>
              <w:t>Clean balance sheet.</w:t>
            </w:r>
            <w:r>
              <w:rPr>
                <w:rFonts w:ascii="Georgia" w:hAnsi="Georgia"/>
                <w:sz w:val="14"/>
              </w:rPr>
              <w:t xml:space="preserve"> Net cash of roughly $769m reduces the effective purchase price; no debt to refinance; no covenant consents; no maturity wall until 2030.</w:t>
            </w:r>
            <w:r>
              <w:rPr>
                <w:rFonts w:ascii="Georgia" w:hAnsi="Georgia"/>
                <w:b/>
                <w:sz w:val="14"/>
              </w:rPr>
              <w:t>No controlling shareholder.</w:t>
            </w:r>
            <w:r>
              <w:rPr>
                <w:rFonts w:ascii="Georgia" w:hAnsi="Georgia"/>
                <w:sz w:val="14"/>
              </w:rPr>
              <w:t xml:space="preserve"> Institutional ownership of roughly 91.6%; insiders roughly 4.3%. Founder Arkadiy Dobkin holds roughly 1.76m shares (roughly 3.4%) — influential but not blocking.</w:t>
            </w:r>
            <w:r>
              <w:rPr>
                <w:rFonts w:ascii="Georgia" w:hAnsi="Georgia"/>
                <w:b/>
                <w:sz w:val="14"/>
              </w:rPr>
              <w:t>Founder transition complete.</w:t>
            </w:r>
            <w:r>
              <w:rPr>
                <w:rFonts w:ascii="Georgia" w:hAnsi="Georgia"/>
                <w:sz w:val="14"/>
              </w:rPr>
              <w:t xml:space="preserve"> Dobkin moved to Executive Chairman in September 2025. Founder-led firms are structurally harder to acquire; that obstacle has diminished.</w:t>
            </w:r>
            <w:r>
              <w:rPr>
                <w:rFonts w:ascii="Georgia" w:hAnsi="Georgia"/>
                <w:b/>
                <w:sz w:val="14"/>
              </w:rPr>
              <w:t>Proven PE appetite in the exact sub-sector.</w:t>
            </w:r>
            <w:r>
              <w:rPr>
                <w:rFonts w:ascii="Georgia" w:hAnsi="Georgia"/>
                <w:sz w:val="14"/>
              </w:rPr>
              <w:t xml:space="preserve"> Apax took out Thoughtworks; EQT took out Perficient. EPAM is the highest-quality remaining listed asset of this type.</w:t>
            </w:r>
            <w:r>
              <w:rPr>
                <w:rFonts w:ascii="Georgia" w:hAnsi="Georgia"/>
                <w:b/>
                <w:sz w:val="14"/>
              </w:rPr>
              <w:t>Free cash flow supports leverage.</w:t>
            </w:r>
            <w:r>
              <w:rPr>
                <w:rFonts w:ascii="Georgia" w:hAnsi="Georgia"/>
                <w:sz w:val="14"/>
              </w:rPr>
              <w:t xml:space="preserve"> Roughly $600m of annual free cash flow would comfortably service a leveraged structure at 4–5x.</w:t>
            </w:r>
            <w:r>
              <w:rPr>
                <w:rFonts w:ascii="Georgia" w:hAnsi="Georgia"/>
                <w:b/>
                <w:sz w:val="14"/>
              </w:rPr>
              <w:t>Strategic logic for a buyer.</w:t>
            </w:r>
            <w:r>
              <w:rPr>
                <w:rFonts w:ascii="Georgia" w:hAnsi="Georgia"/>
                <w:sz w:val="14"/>
              </w:rPr>
              <w:t xml:space="preserve"> Accenture, Capgemini, Infosys, HCLTech or Hitachi would each gain premium engineering capability, an AI-native IP stack and a diversified nearshore/offshore delivery map.</w:t>
            </w:r>
            <w:r>
              <w:rPr>
                <w:rFonts w:ascii="Georgia" w:hAnsi="Georgia"/>
                <w:b/>
                <w:sz w:val="14"/>
              </w:rPr>
              <w:t>Governance is opening up.</w:t>
            </w:r>
            <w:r>
              <w:rPr>
                <w:rFonts w:ascii="Georgia" w:hAnsi="Georgia"/>
                <w:sz w:val="14"/>
              </w:rPr>
              <w:t xml:space="preserve"> The 2026 proxy proposed permitting shareholders to call special meetings — a structural reduction in takeover defences.</w:t>
            </w:r>
          </w:p>
        </w:tc>
        <w:tc>
          <w:tcPr>
            <w:tcW w:type="dxa" w:w="5090"/>
          </w:tcPr>
          <w:p>
            <w:pPr>
              <w:spacing w:before="20" w:after="20"/>
            </w:pPr>
            <w:r>
              <w:rPr>
                <w:rFonts w:ascii="Georgia" w:hAnsi="Georgia"/>
                <w:sz w:val="14"/>
              </w:rPr>
            </w:r>
            <w:r>
              <w:rPr>
                <w:rFonts w:ascii="Georgia" w:hAnsi="Georgia"/>
                <w:b/>
                <w:sz w:val="14"/>
              </w:rPr>
              <w:t>Size.</w:t>
            </w:r>
            <w:r>
              <w:rPr>
                <w:rFonts w:ascii="Georgia" w:hAnsi="Georgia"/>
                <w:sz w:val="14"/>
              </w:rPr>
              <w:t xml:space="preserve"> At roughly $5.9bn market capitalisation, a deal at a premium implies $8–9bn — large for private equity, requiring a consortium or a very large sponsor.</w:t>
            </w:r>
            <w:r>
              <w:rPr>
                <w:rFonts w:ascii="Georgia" w:hAnsi="Georgia"/>
                <w:b/>
                <w:sz w:val="14"/>
              </w:rPr>
              <w:t>The asset walks out of the building.</w:t>
            </w:r>
            <w:r>
              <w:rPr>
                <w:rFonts w:ascii="Georgia" w:hAnsi="Georgia"/>
                <w:sz w:val="14"/>
              </w:rPr>
              <w:t xml:space="preserve"> 62,850 employees with no contractual lock-in. A hostile or disruptive process risks mass attrition of the exact senior engineers that constitute the value.</w:t>
            </w:r>
            <w:r>
              <w:rPr>
                <w:rFonts w:ascii="Georgia" w:hAnsi="Georgia"/>
                <w:b/>
                <w:sz w:val="14"/>
              </w:rPr>
              <w:t>Buying into structural uncertainty.</w:t>
            </w:r>
            <w:r>
              <w:rPr>
                <w:rFonts w:ascii="Georgia" w:hAnsi="Georgia"/>
                <w:sz w:val="14"/>
              </w:rPr>
              <w:t xml:space="preserve"> No rational acquirer wants to buy a labour-arbitrage business while the AI-substitution question is unresolved. Most strategic buyers face the identical problem in their own P&amp;L.</w:t>
            </w:r>
            <w:r>
              <w:rPr>
                <w:rFonts w:ascii="Georgia" w:hAnsi="Georgia"/>
                <w:b/>
                <w:sz w:val="14"/>
              </w:rPr>
              <w:t>Regulatory and geopolitical complexity.</w:t>
            </w:r>
            <w:r>
              <w:rPr>
                <w:rFonts w:ascii="Georgia" w:hAnsi="Georgia"/>
                <w:sz w:val="14"/>
              </w:rPr>
              <w:t xml:space="preserve"> Delivery across roughly 55 countries including Ukraine, Georgia, Armenia and Uzbekistan creates diligence burden, sanctions exposure and multi-jurisdiction clearance risk.</w:t>
            </w:r>
            <w:r>
              <w:rPr>
                <w:rFonts w:ascii="Georgia" w:hAnsi="Georgia"/>
                <w:b/>
                <w:sz w:val="14"/>
              </w:rPr>
              <w:t>Founder influence.</w:t>
            </w:r>
            <w:r>
              <w:rPr>
                <w:rFonts w:ascii="Georgia" w:hAnsi="Georgia"/>
                <w:sz w:val="14"/>
              </w:rPr>
              <w:t xml:space="preserve"> Dobkin as Executive Chairman with a roughly 3.4% stake and enormous moral authority could resist a deal he considers opportunistic.</w:t>
            </w:r>
            <w:r>
              <w:rPr>
                <w:rFonts w:ascii="Georgia" w:hAnsi="Georgia"/>
                <w:b/>
                <w:sz w:val="14"/>
              </w:rPr>
              <w:t>Poor timing from the seller's perspective.</w:t>
            </w:r>
            <w:r>
              <w:rPr>
                <w:rFonts w:ascii="Georgia" w:hAnsi="Georgia"/>
                <w:sz w:val="14"/>
              </w:rPr>
              <w:t xml:space="preserve"> The board would be selling at roughly one-sixth of the 2021 peak. Accepting a bid now invites shareholder litigation and reputational damage.</w:t>
            </w:r>
            <w:r>
              <w:rPr>
                <w:rFonts w:ascii="Georgia" w:hAnsi="Georgia"/>
                <w:b/>
                <w:sz w:val="14"/>
              </w:rPr>
              <w:t>Strategic buyers are digesting.</w:t>
            </w:r>
            <w:r>
              <w:rPr>
                <w:rFonts w:ascii="Georgia" w:hAnsi="Georgia"/>
                <w:sz w:val="14"/>
              </w:rPr>
              <w:t xml:space="preserve"> Hitachi has GlobalLogic; DXC has Luxoft; Capgemini is deleveraging. The natural acquirers are largely occupied.</w:t>
            </w:r>
          </w:p>
        </w:tc>
      </w:tr>
    </w:tbl>
    <w:p>
      <w:pPr>
        <w:spacing w:after="60"/>
      </w:pPr>
    </w:p>
    <w:p>
      <w:pPr>
        <w:keepNext/>
        <w:spacing w:before="200" w:after="80"/>
      </w:pPr>
      <w:r>
        <w:rPr>
          <w:rFonts w:ascii="Georgia" w:hAnsi="Georgia"/>
          <w:b/>
          <w:color w:val="14487F"/>
          <w:sz w:val="21"/>
        </w:rPr>
        <w:t>Potential takeout multiples</w:t>
      </w:r>
    </w:p>
    <w:tbl>
      <w:tblPr>
        <w:tblStyle w:val="TableGrid"/>
        <w:tblW w:type="auto" w:w="0"/>
        <w:jc w:val="center"/>
        <w:tblLayout w:type="autofit"/>
        <w:tblLook w:firstColumn="1" w:firstRow="1" w:lastColumn="0" w:lastRow="0" w:noHBand="0" w:noVBand="1" w:val="04A0"/>
      </w:tblPr>
      <w:tblGrid>
        <w:gridCol w:w="1454"/>
        <w:gridCol w:w="1454"/>
        <w:gridCol w:w="1454"/>
        <w:gridCol w:w="1454"/>
        <w:gridCol w:w="1454"/>
        <w:gridCol w:w="1454"/>
        <w:gridCol w:w="1454"/>
      </w:tblGrid>
      <w:tr>
        <w:tc>
          <w:tcPr>
            <w:tcW w:type="dxa" w:w="1454"/>
            <w:shd w:val="clear" w:fill="0B2545"/>
          </w:tcPr>
          <w:p>
            <w:pPr>
              <w:spacing w:before="20" w:after="20"/>
            </w:pPr>
            <w:r>
              <w:rPr>
                <w:rFonts w:ascii="Georgia" w:hAnsi="Georgia"/>
                <w:b/>
                <w:color w:val="FFFFFF"/>
                <w:sz w:val="14"/>
              </w:rPr>
            </w:r>
            <w:r>
              <w:rPr>
                <w:rFonts w:ascii="Georgia" w:hAnsi="Georgia"/>
                <w:b/>
                <w:color w:val="FFFFFF"/>
                <w:sz w:val="14"/>
              </w:rPr>
              <w:t>Scenario</w:t>
            </w:r>
          </w:p>
        </w:tc>
        <w:tc>
          <w:tcPr>
            <w:tcW w:type="dxa" w:w="1454"/>
            <w:shd w:val="clear" w:fill="0B2545"/>
          </w:tcPr>
          <w:p>
            <w:pPr>
              <w:spacing w:before="20" w:after="20"/>
              <w:jc w:val="right"/>
            </w:pPr>
            <w:r>
              <w:rPr>
                <w:rFonts w:ascii="Georgia" w:hAnsi="Georgia"/>
                <w:b/>
                <w:color w:val="FFFFFF"/>
                <w:sz w:val="14"/>
              </w:rPr>
            </w:r>
            <w:r>
              <w:rPr>
                <w:rFonts w:ascii="Georgia" w:hAnsi="Georgia"/>
                <w:b/>
                <w:color w:val="FFFFFF"/>
                <w:sz w:val="14"/>
              </w:rPr>
              <w:t>EV/EBITDA</w:t>
            </w:r>
          </w:p>
        </w:tc>
        <w:tc>
          <w:tcPr>
            <w:tcW w:type="dxa" w:w="1454"/>
            <w:shd w:val="clear" w:fill="0B2545"/>
          </w:tcPr>
          <w:p>
            <w:pPr>
              <w:spacing w:before="20" w:after="20"/>
              <w:jc w:val="right"/>
            </w:pPr>
            <w:r>
              <w:rPr>
                <w:rFonts w:ascii="Georgia" w:hAnsi="Georgia"/>
                <w:b/>
                <w:color w:val="FFFFFF"/>
                <w:sz w:val="14"/>
              </w:rPr>
            </w:r>
            <w:r>
              <w:rPr>
                <w:rFonts w:ascii="Georgia" w:hAnsi="Georgia"/>
                <w:b/>
                <w:color w:val="FFFFFF"/>
                <w:sz w:val="14"/>
              </w:rPr>
              <w:t>EV/Sales</w:t>
            </w:r>
          </w:p>
        </w:tc>
        <w:tc>
          <w:tcPr>
            <w:tcW w:type="dxa" w:w="1454"/>
            <w:shd w:val="clear" w:fill="0B2545"/>
          </w:tcPr>
          <w:p>
            <w:pPr>
              <w:spacing w:before="20" w:after="20"/>
              <w:jc w:val="right"/>
            </w:pPr>
            <w:r>
              <w:rPr>
                <w:rFonts w:ascii="Georgia" w:hAnsi="Georgia"/>
                <w:b/>
                <w:color w:val="FFFFFF"/>
                <w:sz w:val="14"/>
              </w:rPr>
            </w:r>
            <w:r>
              <w:rPr>
                <w:rFonts w:ascii="Georgia" w:hAnsi="Georgia"/>
                <w:b/>
                <w:color w:val="FFFFFF"/>
                <w:sz w:val="14"/>
              </w:rPr>
              <w:t>Implied EV</w:t>
            </w:r>
          </w:p>
        </w:tc>
        <w:tc>
          <w:tcPr>
            <w:tcW w:type="dxa" w:w="1454"/>
            <w:shd w:val="clear" w:fill="0B2545"/>
          </w:tcPr>
          <w:p>
            <w:pPr>
              <w:spacing w:before="20" w:after="20"/>
              <w:jc w:val="right"/>
            </w:pPr>
            <w:r>
              <w:rPr>
                <w:rFonts w:ascii="Georgia" w:hAnsi="Georgia"/>
                <w:b/>
                <w:color w:val="FFFFFF"/>
                <w:sz w:val="14"/>
              </w:rPr>
            </w:r>
            <w:r>
              <w:rPr>
                <w:rFonts w:ascii="Georgia" w:hAnsi="Georgia"/>
                <w:b/>
                <w:color w:val="FFFFFF"/>
                <w:sz w:val="14"/>
              </w:rPr>
              <w:t>Implied equity value</w:t>
            </w:r>
          </w:p>
        </w:tc>
        <w:tc>
          <w:tcPr>
            <w:tcW w:type="dxa" w:w="1454"/>
            <w:shd w:val="clear" w:fill="0B2545"/>
          </w:tcPr>
          <w:p>
            <w:pPr>
              <w:spacing w:before="20" w:after="20"/>
              <w:jc w:val="right"/>
            </w:pPr>
            <w:r>
              <w:rPr>
                <w:rFonts w:ascii="Georgia" w:hAnsi="Georgia"/>
                <w:b/>
                <w:color w:val="FFFFFF"/>
                <w:sz w:val="14"/>
              </w:rPr>
            </w:r>
            <w:r>
              <w:rPr>
                <w:rFonts w:ascii="Georgia" w:hAnsi="Georgia"/>
                <w:b/>
                <w:color w:val="FFFFFF"/>
                <w:sz w:val="14"/>
              </w:rPr>
              <w:t>Per share</w:t>
            </w:r>
          </w:p>
        </w:tc>
        <w:tc>
          <w:tcPr>
            <w:tcW w:type="dxa" w:w="1454"/>
            <w:shd w:val="clear" w:fill="0B2545"/>
          </w:tcPr>
          <w:p>
            <w:pPr>
              <w:spacing w:before="20" w:after="20"/>
              <w:jc w:val="right"/>
            </w:pPr>
            <w:r>
              <w:rPr>
                <w:rFonts w:ascii="Georgia" w:hAnsi="Georgia"/>
                <w:b/>
                <w:color w:val="FFFFFF"/>
                <w:sz w:val="14"/>
              </w:rPr>
            </w:r>
            <w:r>
              <w:rPr>
                <w:rFonts w:ascii="Georgia" w:hAnsi="Georgia"/>
                <w:b/>
                <w:color w:val="FFFFFF"/>
                <w:sz w:val="14"/>
              </w:rPr>
              <w:t>Premium</w:t>
            </w:r>
          </w:p>
        </w:tc>
      </w:tr>
      <w:tr>
        <w:tc>
          <w:tcPr>
            <w:tcW w:type="dxa" w:w="1454"/>
          </w:tcPr>
          <w:p>
            <w:pPr>
              <w:spacing w:before="20" w:after="20"/>
            </w:pPr>
            <w:r>
              <w:rPr>
                <w:rFonts w:ascii="Georgia" w:hAnsi="Georgia"/>
                <w:sz w:val="14"/>
              </w:rPr>
            </w:r>
            <w:r>
              <w:rPr>
                <w:rFonts w:ascii="Georgia" w:hAnsi="Georgia"/>
                <w:sz w:val="14"/>
              </w:rPr>
              <w:t>Opportunistic PE (floor)</w:t>
            </w:r>
          </w:p>
        </w:tc>
        <w:tc>
          <w:tcPr>
            <w:tcW w:type="dxa" w:w="1454"/>
          </w:tcPr>
          <w:p>
            <w:pPr>
              <w:spacing w:before="20" w:after="20"/>
              <w:jc w:val="right"/>
            </w:pPr>
            <w:r>
              <w:rPr>
                <w:rFonts w:ascii="Georgia" w:hAnsi="Georgia"/>
                <w:sz w:val="14"/>
              </w:rPr>
            </w:r>
            <w:r>
              <w:rPr>
                <w:rFonts w:ascii="Georgia" w:hAnsi="Georgia"/>
                <w:sz w:val="14"/>
              </w:rPr>
              <w:t>7.0x</w:t>
            </w:r>
          </w:p>
        </w:tc>
        <w:tc>
          <w:tcPr>
            <w:tcW w:type="dxa" w:w="1454"/>
          </w:tcPr>
          <w:p>
            <w:pPr>
              <w:spacing w:before="20" w:after="20"/>
              <w:jc w:val="right"/>
            </w:pPr>
            <w:r>
              <w:rPr>
                <w:rFonts w:ascii="Georgia" w:hAnsi="Georgia"/>
                <w:sz w:val="14"/>
              </w:rPr>
            </w:r>
            <w:r>
              <w:rPr>
                <w:rFonts w:ascii="Georgia" w:hAnsi="Georgia"/>
                <w:sz w:val="14"/>
              </w:rPr>
              <w:t>1.1x</w:t>
            </w:r>
          </w:p>
        </w:tc>
        <w:tc>
          <w:tcPr>
            <w:tcW w:type="dxa" w:w="1454"/>
          </w:tcPr>
          <w:p>
            <w:pPr>
              <w:spacing w:before="20" w:after="20"/>
              <w:jc w:val="right"/>
            </w:pPr>
            <w:r>
              <w:rPr>
                <w:rFonts w:ascii="Georgia" w:hAnsi="Georgia"/>
                <w:sz w:val="14"/>
              </w:rPr>
            </w:r>
            <w:r>
              <w:rPr>
                <w:rFonts w:ascii="Georgia" w:hAnsi="Georgia"/>
                <w:sz w:val="14"/>
              </w:rPr>
              <w:t>c.$6.2bn</w:t>
            </w:r>
          </w:p>
        </w:tc>
        <w:tc>
          <w:tcPr>
            <w:tcW w:type="dxa" w:w="1454"/>
          </w:tcPr>
          <w:p>
            <w:pPr>
              <w:spacing w:before="20" w:after="20"/>
              <w:jc w:val="right"/>
            </w:pPr>
            <w:r>
              <w:rPr>
                <w:rFonts w:ascii="Georgia" w:hAnsi="Georgia"/>
                <w:sz w:val="14"/>
              </w:rPr>
            </w:r>
            <w:r>
              <w:rPr>
                <w:rFonts w:ascii="Georgia" w:hAnsi="Georgia"/>
                <w:sz w:val="14"/>
              </w:rPr>
              <w:t>c.$7.0bn</w:t>
            </w:r>
          </w:p>
        </w:tc>
        <w:tc>
          <w:tcPr>
            <w:tcW w:type="dxa" w:w="1454"/>
          </w:tcPr>
          <w:p>
            <w:pPr>
              <w:spacing w:before="20" w:after="20"/>
              <w:jc w:val="right"/>
            </w:pPr>
            <w:r>
              <w:rPr>
                <w:rFonts w:ascii="Georgia" w:hAnsi="Georgia"/>
                <w:sz w:val="14"/>
              </w:rPr>
            </w:r>
            <w:r>
              <w:rPr>
                <w:rFonts w:ascii="Georgia" w:hAnsi="Georgia"/>
                <w:sz w:val="14"/>
              </w:rPr>
              <w:t>c.$135</w:t>
            </w:r>
          </w:p>
        </w:tc>
        <w:tc>
          <w:tcPr>
            <w:tcW w:type="dxa" w:w="1454"/>
          </w:tcPr>
          <w:p>
            <w:pPr>
              <w:spacing w:before="20" w:after="20"/>
              <w:jc w:val="right"/>
            </w:pPr>
            <w:r>
              <w:rPr>
                <w:rFonts w:ascii="Georgia" w:hAnsi="Georgia"/>
                <w:sz w:val="14"/>
              </w:rPr>
            </w:r>
            <w:r>
              <w:rPr>
                <w:rFonts w:ascii="Georgia" w:hAnsi="Georgia"/>
                <w:sz w:val="14"/>
              </w:rPr>
              <w:t>+18%</w:t>
            </w:r>
          </w:p>
        </w:tc>
      </w:tr>
      <w:tr>
        <w:tc>
          <w:tcPr>
            <w:tcW w:type="dxa" w:w="1454"/>
            <w:shd w:val="clear" w:fill="F4F7FA"/>
          </w:tcPr>
          <w:p>
            <w:pPr>
              <w:spacing w:before="20" w:after="20"/>
            </w:pPr>
            <w:r>
              <w:rPr>
                <w:rFonts w:ascii="Georgia" w:hAnsi="Georgia"/>
                <w:sz w:val="14"/>
              </w:rPr>
            </w:r>
            <w:r>
              <w:rPr>
                <w:rFonts w:ascii="Georgia" w:hAnsi="Georgia"/>
                <w:sz w:val="14"/>
              </w:rPr>
              <w:t>Competitive PE / sector median</w:t>
            </w:r>
          </w:p>
        </w:tc>
        <w:tc>
          <w:tcPr>
            <w:tcW w:type="dxa" w:w="1454"/>
            <w:shd w:val="clear" w:fill="F4F7FA"/>
          </w:tcPr>
          <w:p>
            <w:pPr>
              <w:spacing w:before="20" w:after="20"/>
              <w:jc w:val="right"/>
            </w:pPr>
            <w:r>
              <w:rPr>
                <w:rFonts w:ascii="Georgia" w:hAnsi="Georgia"/>
                <w:sz w:val="14"/>
              </w:rPr>
            </w:r>
            <w:r>
              <w:rPr>
                <w:rFonts w:ascii="Georgia" w:hAnsi="Georgia"/>
                <w:sz w:val="14"/>
              </w:rPr>
              <w:t>9.0x</w:t>
            </w:r>
          </w:p>
        </w:tc>
        <w:tc>
          <w:tcPr>
            <w:tcW w:type="dxa" w:w="1454"/>
            <w:shd w:val="clear" w:fill="F4F7FA"/>
          </w:tcPr>
          <w:p>
            <w:pPr>
              <w:spacing w:before="20" w:after="20"/>
              <w:jc w:val="right"/>
            </w:pPr>
            <w:r>
              <w:rPr>
                <w:rFonts w:ascii="Georgia" w:hAnsi="Georgia"/>
                <w:sz w:val="14"/>
              </w:rPr>
            </w:r>
            <w:r>
              <w:rPr>
                <w:rFonts w:ascii="Georgia" w:hAnsi="Georgia"/>
                <w:sz w:val="14"/>
              </w:rPr>
              <w:t>1.4x</w:t>
            </w:r>
          </w:p>
        </w:tc>
        <w:tc>
          <w:tcPr>
            <w:tcW w:type="dxa" w:w="1454"/>
            <w:shd w:val="clear" w:fill="F4F7FA"/>
          </w:tcPr>
          <w:p>
            <w:pPr>
              <w:spacing w:before="20" w:after="20"/>
              <w:jc w:val="right"/>
            </w:pPr>
            <w:r>
              <w:rPr>
                <w:rFonts w:ascii="Georgia" w:hAnsi="Georgia"/>
                <w:sz w:val="14"/>
              </w:rPr>
            </w:r>
            <w:r>
              <w:rPr>
                <w:rFonts w:ascii="Georgia" w:hAnsi="Georgia"/>
                <w:sz w:val="14"/>
              </w:rPr>
              <w:t>c.$8.0bn</w:t>
            </w:r>
          </w:p>
        </w:tc>
        <w:tc>
          <w:tcPr>
            <w:tcW w:type="dxa" w:w="1454"/>
            <w:shd w:val="clear" w:fill="F4F7FA"/>
          </w:tcPr>
          <w:p>
            <w:pPr>
              <w:spacing w:before="20" w:after="20"/>
              <w:jc w:val="right"/>
            </w:pPr>
            <w:r>
              <w:rPr>
                <w:rFonts w:ascii="Georgia" w:hAnsi="Georgia"/>
                <w:sz w:val="14"/>
              </w:rPr>
            </w:r>
            <w:r>
              <w:rPr>
                <w:rFonts w:ascii="Georgia" w:hAnsi="Georgia"/>
                <w:sz w:val="14"/>
              </w:rPr>
              <w:t>c.$8.8bn</w:t>
            </w:r>
          </w:p>
        </w:tc>
        <w:tc>
          <w:tcPr>
            <w:tcW w:type="dxa" w:w="1454"/>
            <w:shd w:val="clear" w:fill="F4F7FA"/>
          </w:tcPr>
          <w:p>
            <w:pPr>
              <w:spacing w:before="20" w:after="20"/>
              <w:jc w:val="right"/>
            </w:pPr>
            <w:r>
              <w:rPr>
                <w:rFonts w:ascii="Georgia" w:hAnsi="Georgia"/>
                <w:sz w:val="14"/>
              </w:rPr>
            </w:r>
            <w:r>
              <w:rPr>
                <w:rFonts w:ascii="Georgia" w:hAnsi="Georgia"/>
                <w:sz w:val="14"/>
              </w:rPr>
              <w:t>c.$170</w:t>
            </w:r>
          </w:p>
        </w:tc>
        <w:tc>
          <w:tcPr>
            <w:tcW w:type="dxa" w:w="1454"/>
            <w:shd w:val="clear" w:fill="F4F7FA"/>
          </w:tcPr>
          <w:p>
            <w:pPr>
              <w:spacing w:before="20" w:after="20"/>
              <w:jc w:val="right"/>
            </w:pPr>
            <w:r>
              <w:rPr>
                <w:rFonts w:ascii="Georgia" w:hAnsi="Georgia"/>
                <w:sz w:val="14"/>
              </w:rPr>
            </w:r>
            <w:r>
              <w:rPr>
                <w:rFonts w:ascii="Georgia" w:hAnsi="Georgia"/>
                <w:sz w:val="14"/>
              </w:rPr>
              <w:t>+48%</w:t>
            </w:r>
          </w:p>
        </w:tc>
      </w:tr>
      <w:tr>
        <w:tc>
          <w:tcPr>
            <w:tcW w:type="dxa" w:w="1454"/>
          </w:tcPr>
          <w:p>
            <w:pPr>
              <w:spacing w:before="20" w:after="20"/>
            </w:pPr>
            <w:r>
              <w:rPr>
                <w:rFonts w:ascii="Georgia" w:hAnsi="Georgia"/>
                <w:sz w:val="14"/>
              </w:rPr>
            </w:r>
            <w:r>
              <w:rPr>
                <w:rFonts w:ascii="Georgia" w:hAnsi="Georgia"/>
                <w:sz w:val="14"/>
              </w:rPr>
              <w:t>Strategic buyer with synergies</w:t>
            </w:r>
          </w:p>
        </w:tc>
        <w:tc>
          <w:tcPr>
            <w:tcW w:type="dxa" w:w="1454"/>
          </w:tcPr>
          <w:p>
            <w:pPr>
              <w:spacing w:before="20" w:after="20"/>
              <w:jc w:val="right"/>
            </w:pPr>
            <w:r>
              <w:rPr>
                <w:rFonts w:ascii="Georgia" w:hAnsi="Georgia"/>
                <w:sz w:val="14"/>
              </w:rPr>
            </w:r>
            <w:r>
              <w:rPr>
                <w:rFonts w:ascii="Georgia" w:hAnsi="Georgia"/>
                <w:sz w:val="14"/>
              </w:rPr>
              <w:t>11.0x</w:t>
            </w:r>
          </w:p>
        </w:tc>
        <w:tc>
          <w:tcPr>
            <w:tcW w:type="dxa" w:w="1454"/>
          </w:tcPr>
          <w:p>
            <w:pPr>
              <w:spacing w:before="20" w:after="20"/>
              <w:jc w:val="right"/>
            </w:pPr>
            <w:r>
              <w:rPr>
                <w:rFonts w:ascii="Georgia" w:hAnsi="Georgia"/>
                <w:sz w:val="14"/>
              </w:rPr>
            </w:r>
            <w:r>
              <w:rPr>
                <w:rFonts w:ascii="Georgia" w:hAnsi="Georgia"/>
                <w:sz w:val="14"/>
              </w:rPr>
              <w:t>1.7x</w:t>
            </w:r>
          </w:p>
        </w:tc>
        <w:tc>
          <w:tcPr>
            <w:tcW w:type="dxa" w:w="1454"/>
          </w:tcPr>
          <w:p>
            <w:pPr>
              <w:spacing w:before="20" w:after="20"/>
              <w:jc w:val="right"/>
            </w:pPr>
            <w:r>
              <w:rPr>
                <w:rFonts w:ascii="Georgia" w:hAnsi="Georgia"/>
                <w:sz w:val="14"/>
              </w:rPr>
            </w:r>
            <w:r>
              <w:rPr>
                <w:rFonts w:ascii="Georgia" w:hAnsi="Georgia"/>
                <w:sz w:val="14"/>
              </w:rPr>
              <w:t>c.$9.8bn</w:t>
            </w:r>
          </w:p>
        </w:tc>
        <w:tc>
          <w:tcPr>
            <w:tcW w:type="dxa" w:w="1454"/>
          </w:tcPr>
          <w:p>
            <w:pPr>
              <w:spacing w:before="20" w:after="20"/>
              <w:jc w:val="right"/>
            </w:pPr>
            <w:r>
              <w:rPr>
                <w:rFonts w:ascii="Georgia" w:hAnsi="Georgia"/>
                <w:sz w:val="14"/>
              </w:rPr>
            </w:r>
            <w:r>
              <w:rPr>
                <w:rFonts w:ascii="Georgia" w:hAnsi="Georgia"/>
                <w:sz w:val="14"/>
              </w:rPr>
              <w:t>c.$10.6bn</w:t>
            </w:r>
          </w:p>
        </w:tc>
        <w:tc>
          <w:tcPr>
            <w:tcW w:type="dxa" w:w="1454"/>
          </w:tcPr>
          <w:p>
            <w:pPr>
              <w:spacing w:before="20" w:after="20"/>
              <w:jc w:val="right"/>
            </w:pPr>
            <w:r>
              <w:rPr>
                <w:rFonts w:ascii="Georgia" w:hAnsi="Georgia"/>
                <w:sz w:val="14"/>
              </w:rPr>
            </w:r>
            <w:r>
              <w:rPr>
                <w:rFonts w:ascii="Georgia" w:hAnsi="Georgia"/>
                <w:sz w:val="14"/>
              </w:rPr>
              <w:t>c.$205</w:t>
            </w:r>
          </w:p>
        </w:tc>
        <w:tc>
          <w:tcPr>
            <w:tcW w:type="dxa" w:w="1454"/>
          </w:tcPr>
          <w:p>
            <w:pPr>
              <w:spacing w:before="20" w:after="20"/>
              <w:jc w:val="right"/>
            </w:pPr>
            <w:r>
              <w:rPr>
                <w:rFonts w:ascii="Georgia" w:hAnsi="Georgia"/>
                <w:sz w:val="14"/>
              </w:rPr>
            </w:r>
            <w:r>
              <w:rPr>
                <w:rFonts w:ascii="Georgia" w:hAnsi="Georgia"/>
                <w:sz w:val="14"/>
              </w:rPr>
              <w:t>+79%</w:t>
            </w:r>
          </w:p>
        </w:tc>
      </w:tr>
      <w:tr>
        <w:tc>
          <w:tcPr>
            <w:tcW w:type="dxa" w:w="1454"/>
            <w:shd w:val="clear" w:fill="F4F7FA"/>
          </w:tcPr>
          <w:p>
            <w:pPr>
              <w:spacing w:before="20" w:after="20"/>
            </w:pPr>
            <w:r>
              <w:rPr>
                <w:rFonts w:ascii="Georgia" w:hAnsi="Georgia"/>
                <w:sz w:val="14"/>
              </w:rPr>
            </w:r>
            <w:r>
              <w:rPr>
                <w:rFonts w:ascii="Georgia" w:hAnsi="Georgia"/>
                <w:sz w:val="14"/>
              </w:rPr>
              <w:t>Peak-cycle strategic (GlobalLogic-style)</w:t>
            </w:r>
          </w:p>
        </w:tc>
        <w:tc>
          <w:tcPr>
            <w:tcW w:type="dxa" w:w="1454"/>
            <w:shd w:val="clear" w:fill="F4F7FA"/>
          </w:tcPr>
          <w:p>
            <w:pPr>
              <w:spacing w:before="20" w:after="20"/>
              <w:jc w:val="right"/>
            </w:pPr>
            <w:r>
              <w:rPr>
                <w:rFonts w:ascii="Georgia" w:hAnsi="Georgia"/>
                <w:sz w:val="14"/>
              </w:rPr>
            </w:r>
            <w:r>
              <w:rPr>
                <w:rFonts w:ascii="Georgia" w:hAnsi="Georgia"/>
                <w:sz w:val="14"/>
              </w:rPr>
              <w:t>14.0x</w:t>
            </w:r>
          </w:p>
        </w:tc>
        <w:tc>
          <w:tcPr>
            <w:tcW w:type="dxa" w:w="1454"/>
            <w:shd w:val="clear" w:fill="F4F7FA"/>
          </w:tcPr>
          <w:p>
            <w:pPr>
              <w:spacing w:before="20" w:after="20"/>
              <w:jc w:val="right"/>
            </w:pPr>
            <w:r>
              <w:rPr>
                <w:rFonts w:ascii="Georgia" w:hAnsi="Georgia"/>
                <w:sz w:val="14"/>
              </w:rPr>
            </w:r>
            <w:r>
              <w:rPr>
                <w:rFonts w:ascii="Georgia" w:hAnsi="Georgia"/>
                <w:sz w:val="14"/>
              </w:rPr>
              <w:t>2.2x</w:t>
            </w:r>
          </w:p>
        </w:tc>
        <w:tc>
          <w:tcPr>
            <w:tcW w:type="dxa" w:w="1454"/>
            <w:shd w:val="clear" w:fill="F4F7FA"/>
          </w:tcPr>
          <w:p>
            <w:pPr>
              <w:spacing w:before="20" w:after="20"/>
              <w:jc w:val="right"/>
            </w:pPr>
            <w:r>
              <w:rPr>
                <w:rFonts w:ascii="Georgia" w:hAnsi="Georgia"/>
                <w:sz w:val="14"/>
              </w:rPr>
            </w:r>
            <w:r>
              <w:rPr>
                <w:rFonts w:ascii="Georgia" w:hAnsi="Georgia"/>
                <w:sz w:val="14"/>
              </w:rPr>
              <w:t>c.$12.4bn</w:t>
            </w:r>
          </w:p>
        </w:tc>
        <w:tc>
          <w:tcPr>
            <w:tcW w:type="dxa" w:w="1454"/>
            <w:shd w:val="clear" w:fill="F4F7FA"/>
          </w:tcPr>
          <w:p>
            <w:pPr>
              <w:spacing w:before="20" w:after="20"/>
              <w:jc w:val="right"/>
            </w:pPr>
            <w:r>
              <w:rPr>
                <w:rFonts w:ascii="Georgia" w:hAnsi="Georgia"/>
                <w:sz w:val="14"/>
              </w:rPr>
            </w:r>
            <w:r>
              <w:rPr>
                <w:rFonts w:ascii="Georgia" w:hAnsi="Georgia"/>
                <w:sz w:val="14"/>
              </w:rPr>
              <w:t>c.$13.2bn</w:t>
            </w:r>
          </w:p>
        </w:tc>
        <w:tc>
          <w:tcPr>
            <w:tcW w:type="dxa" w:w="1454"/>
            <w:shd w:val="clear" w:fill="F4F7FA"/>
          </w:tcPr>
          <w:p>
            <w:pPr>
              <w:spacing w:before="20" w:after="20"/>
              <w:jc w:val="right"/>
            </w:pPr>
            <w:r>
              <w:rPr>
                <w:rFonts w:ascii="Georgia" w:hAnsi="Georgia"/>
                <w:sz w:val="14"/>
              </w:rPr>
            </w:r>
            <w:r>
              <w:rPr>
                <w:rFonts w:ascii="Georgia" w:hAnsi="Georgia"/>
                <w:sz w:val="14"/>
              </w:rPr>
              <w:t>c.$256</w:t>
            </w:r>
          </w:p>
        </w:tc>
        <w:tc>
          <w:tcPr>
            <w:tcW w:type="dxa" w:w="1454"/>
            <w:shd w:val="clear" w:fill="F4F7FA"/>
          </w:tcPr>
          <w:p>
            <w:pPr>
              <w:spacing w:before="20" w:after="20"/>
              <w:jc w:val="right"/>
            </w:pPr>
            <w:r>
              <w:rPr>
                <w:rFonts w:ascii="Georgia" w:hAnsi="Georgia"/>
                <w:sz w:val="14"/>
              </w:rPr>
            </w:r>
            <w:r>
              <w:rPr>
                <w:rFonts w:ascii="Georgia" w:hAnsi="Georgia"/>
                <w:sz w:val="14"/>
              </w:rPr>
              <w:t>+123%</w:t>
            </w:r>
          </w:p>
        </w:tc>
      </w:tr>
    </w:tbl>
    <w:p>
      <w:pPr>
        <w:spacing w:after="60"/>
      </w:pPr>
    </w:p>
    <w:p>
      <w:pPr>
        <w:spacing w:before="0" w:after="120"/>
        <w:jc w:val="both"/>
      </w:pPr>
      <w:r>
        <w:rPr>
          <w:i/>
          <w:color w:val="555555"/>
          <w:sz w:val="15"/>
        </w:rPr>
        <w:t xml:space="preserve">Based on FY2026E adjusted EBITDA of approximately $890m and revenue of $5,659m, plus net cash of roughly $769m, over approximately 51.6m shares. The peak-cycle scenario is included for reference only and is not considered plausible in the current environment. A realistic transaction, were one to occur, would most likely land in the </w:t>
      </w:r>
      <w:r>
        <w:rPr>
          <w:b/>
          <w:i/>
          <w:color w:val="555555"/>
          <w:sz w:val="15"/>
        </w:rPr>
        <w:t>$155–180</w:t>
      </w:r>
      <w:r>
        <w:rPr>
          <w:i/>
          <w:color w:val="555555"/>
          <w:sz w:val="15"/>
        </w:rPr>
        <w:t xml:space="preserve"> range.</w:t>
      </w:r>
    </w:p>
    <w:p>
      <w:pPr>
        <w:keepNext/>
        <w:spacing w:before="200" w:after="80"/>
      </w:pPr>
      <w:r>
        <w:rPr>
          <w:rFonts w:ascii="Georgia" w:hAnsi="Georgia"/>
          <w:b/>
          <w:color w:val="14487F"/>
          <w:sz w:val="21"/>
        </w:rPr>
        <w:t>Acquisitions undertaken by EPAM (last 10 years)</w:t>
      </w:r>
    </w:p>
    <w:tbl>
      <w:tblPr>
        <w:tblStyle w:val="TableGrid"/>
        <w:tblW w:type="auto" w:w="0"/>
        <w:jc w:val="center"/>
        <w:tblLayout w:type="autofit"/>
        <w:tblLook w:firstColumn="1" w:firstRow="1" w:lastColumn="0" w:lastRow="0" w:noHBand="0" w:noVBand="1" w:val="04A0"/>
      </w:tblPr>
      <w:tblGrid>
        <w:gridCol w:w="2036"/>
        <w:gridCol w:w="2036"/>
        <w:gridCol w:w="2036"/>
        <w:gridCol w:w="2036"/>
        <w:gridCol w:w="2036"/>
      </w:tblGrid>
      <w:tr>
        <w:tc>
          <w:tcPr>
            <w:tcW w:type="dxa" w:w="2036"/>
            <w:shd w:val="clear" w:fill="0B2545"/>
          </w:tcPr>
          <w:p>
            <w:pPr>
              <w:spacing w:before="20" w:after="20"/>
            </w:pPr>
            <w:r>
              <w:rPr>
                <w:rFonts w:ascii="Georgia" w:hAnsi="Georgia"/>
                <w:b/>
                <w:color w:val="FFFFFF"/>
                <w:sz w:val="14"/>
              </w:rPr>
            </w:r>
            <w:r>
              <w:rPr>
                <w:rFonts w:ascii="Georgia" w:hAnsi="Georgia"/>
                <w:b/>
                <w:color w:val="FFFFFF"/>
                <w:sz w:val="14"/>
              </w:rPr>
              <w:t>Target</w:t>
            </w:r>
          </w:p>
        </w:tc>
        <w:tc>
          <w:tcPr>
            <w:tcW w:type="dxa" w:w="2036"/>
            <w:shd w:val="clear" w:fill="0B2545"/>
          </w:tcPr>
          <w:p>
            <w:pPr>
              <w:spacing w:before="20" w:after="20"/>
            </w:pPr>
            <w:r>
              <w:rPr>
                <w:rFonts w:ascii="Georgia" w:hAnsi="Georgia"/>
                <w:b/>
                <w:color w:val="FFFFFF"/>
                <w:sz w:val="14"/>
              </w:rPr>
            </w:r>
            <w:r>
              <w:rPr>
                <w:rFonts w:ascii="Georgia" w:hAnsi="Georgia"/>
                <w:b/>
                <w:color w:val="FFFFFF"/>
                <w:sz w:val="14"/>
              </w:rPr>
              <w:t>Date</w:t>
            </w:r>
          </w:p>
        </w:tc>
        <w:tc>
          <w:tcPr>
            <w:tcW w:type="dxa" w:w="2036"/>
            <w:shd w:val="clear" w:fill="0B2545"/>
          </w:tcPr>
          <w:p>
            <w:pPr>
              <w:spacing w:before="20" w:after="20"/>
              <w:jc w:val="right"/>
            </w:pPr>
            <w:r>
              <w:rPr>
                <w:rFonts w:ascii="Georgia" w:hAnsi="Georgia"/>
                <w:b/>
                <w:color w:val="FFFFFF"/>
                <w:sz w:val="14"/>
              </w:rPr>
            </w:r>
            <w:r>
              <w:rPr>
                <w:rFonts w:ascii="Georgia" w:hAnsi="Georgia"/>
                <w:b/>
                <w:color w:val="FFFFFF"/>
                <w:sz w:val="14"/>
              </w:rPr>
              <w:t>Consideration</w:t>
            </w:r>
          </w:p>
        </w:tc>
        <w:tc>
          <w:tcPr>
            <w:tcW w:type="dxa" w:w="2036"/>
            <w:shd w:val="clear" w:fill="0B2545"/>
          </w:tcPr>
          <w:p>
            <w:pPr>
              <w:spacing w:before="20" w:after="20"/>
            </w:pPr>
            <w:r>
              <w:rPr>
                <w:rFonts w:ascii="Georgia" w:hAnsi="Georgia"/>
                <w:b/>
                <w:color w:val="FFFFFF"/>
                <w:sz w:val="14"/>
              </w:rPr>
            </w:r>
            <w:r>
              <w:rPr>
                <w:rFonts w:ascii="Georgia" w:hAnsi="Georgia"/>
                <w:b/>
                <w:color w:val="FFFFFF"/>
                <w:sz w:val="14"/>
              </w:rPr>
              <w:t>Rationale</w:t>
            </w:r>
          </w:p>
        </w:tc>
        <w:tc>
          <w:tcPr>
            <w:tcW w:type="dxa" w:w="2036"/>
            <w:shd w:val="clear" w:fill="0B2545"/>
          </w:tcPr>
          <w:p>
            <w:pPr>
              <w:spacing w:before="20" w:after="20"/>
              <w:jc w:val="right"/>
            </w:pPr>
            <w:r>
              <w:rPr>
                <w:rFonts w:ascii="Georgia" w:hAnsi="Georgia"/>
                <w:b/>
                <w:color w:val="FFFFFF"/>
                <w:sz w:val="14"/>
              </w:rPr>
            </w:r>
            <w:r>
              <w:rPr>
                <w:rFonts w:ascii="Georgia" w:hAnsi="Georgia"/>
                <w:b/>
                <w:color w:val="FFFFFF"/>
                <w:sz w:val="14"/>
              </w:rPr>
              <w:t>Est. multiple</w:t>
            </w:r>
          </w:p>
        </w:tc>
      </w:tr>
      <w:tr>
        <w:tc>
          <w:tcPr>
            <w:tcW w:type="dxa" w:w="2036"/>
          </w:tcPr>
          <w:p>
            <w:pPr>
              <w:spacing w:before="20" w:after="20"/>
            </w:pPr>
            <w:r>
              <w:rPr>
                <w:rFonts w:ascii="Georgia" w:hAnsi="Georgia"/>
                <w:sz w:val="14"/>
              </w:rPr>
            </w:r>
            <w:r>
              <w:rPr>
                <w:rFonts w:ascii="Georgia" w:hAnsi="Georgia"/>
                <w:b/>
                <w:sz w:val="14"/>
              </w:rPr>
              <w:t>NEORIS</w:t>
            </w:r>
          </w:p>
        </w:tc>
        <w:tc>
          <w:tcPr>
            <w:tcW w:type="dxa" w:w="2036"/>
          </w:tcPr>
          <w:p>
            <w:pPr>
              <w:spacing w:before="20" w:after="20"/>
            </w:pPr>
            <w:r>
              <w:rPr>
                <w:rFonts w:ascii="Georgia" w:hAnsi="Georgia"/>
                <w:sz w:val="14"/>
              </w:rPr>
            </w:r>
            <w:r>
              <w:rPr>
                <w:rFonts w:ascii="Georgia" w:hAnsi="Georgia"/>
                <w:sz w:val="14"/>
              </w:rPr>
              <w:t>Nov 2024 (99.7%); remaining 0.3% Jan 2025 for $1.4m</w:t>
            </w:r>
          </w:p>
        </w:tc>
        <w:tc>
          <w:tcPr>
            <w:tcW w:type="dxa" w:w="2036"/>
          </w:tcPr>
          <w:p>
            <w:pPr>
              <w:spacing w:before="20" w:after="20"/>
              <w:jc w:val="right"/>
            </w:pPr>
            <w:r>
              <w:rPr>
                <w:rFonts w:ascii="Georgia" w:hAnsi="Georgia"/>
                <w:sz w:val="14"/>
              </w:rPr>
            </w:r>
            <w:r>
              <w:rPr>
                <w:rFonts w:ascii="Georgia" w:hAnsi="Georgia"/>
                <w:b/>
                <w:sz w:val="14"/>
              </w:rPr>
              <w:t>$626.3m</w:t>
            </w:r>
          </w:p>
        </w:tc>
        <w:tc>
          <w:tcPr>
            <w:tcW w:type="dxa" w:w="2036"/>
          </w:tcPr>
          <w:p>
            <w:pPr>
              <w:spacing w:before="20" w:after="20"/>
            </w:pPr>
            <w:r>
              <w:rPr>
                <w:rFonts w:ascii="Georgia" w:hAnsi="Georgia"/>
                <w:sz w:val="14"/>
              </w:rPr>
            </w:r>
            <w:r>
              <w:rPr>
                <w:rFonts w:ascii="Georgia" w:hAnsi="Georgia"/>
                <w:sz w:val="14"/>
              </w:rPr>
              <w:t>Latin American and Spanish scale; nearshore delivery for US clients; formerly CEMEX-affiliated. Largest acquisition in EPAM's history.</w:t>
            </w:r>
          </w:p>
        </w:tc>
        <w:tc>
          <w:tcPr>
            <w:tcW w:type="dxa" w:w="2036"/>
          </w:tcPr>
          <w:p>
            <w:pPr>
              <w:spacing w:before="20" w:after="20"/>
              <w:jc w:val="right"/>
            </w:pPr>
            <w:r>
              <w:rPr>
                <w:rFonts w:ascii="Georgia" w:hAnsi="Georgia"/>
                <w:sz w:val="14"/>
              </w:rPr>
            </w:r>
            <w:r>
              <w:rPr>
                <w:rFonts w:ascii="Georgia" w:hAnsi="Georgia"/>
                <w:sz w:val="14"/>
              </w:rPr>
              <w:t>c.1.0–1.2x sales (est.)</w:t>
            </w:r>
          </w:p>
        </w:tc>
      </w:tr>
      <w:tr>
        <w:tc>
          <w:tcPr>
            <w:tcW w:type="dxa" w:w="2036"/>
            <w:shd w:val="clear" w:fill="F4F7FA"/>
          </w:tcPr>
          <w:p>
            <w:pPr>
              <w:spacing w:before="20" w:after="20"/>
            </w:pPr>
            <w:r>
              <w:rPr>
                <w:rFonts w:ascii="Georgia" w:hAnsi="Georgia"/>
                <w:sz w:val="14"/>
              </w:rPr>
            </w:r>
            <w:r>
              <w:rPr>
                <w:rFonts w:ascii="Georgia" w:hAnsi="Georgia"/>
                <w:b/>
                <w:sz w:val="14"/>
              </w:rPr>
              <w:t>First Derivative</w:t>
            </w:r>
          </w:p>
        </w:tc>
        <w:tc>
          <w:tcPr>
            <w:tcW w:type="dxa" w:w="2036"/>
            <w:shd w:val="clear" w:fill="F4F7FA"/>
          </w:tcPr>
          <w:p>
            <w:pPr>
              <w:spacing w:before="20" w:after="20"/>
            </w:pPr>
            <w:r>
              <w:rPr>
                <w:rFonts w:ascii="Georgia" w:hAnsi="Georgia"/>
                <w:sz w:val="14"/>
              </w:rPr>
            </w:r>
            <w:r>
              <w:rPr>
                <w:rFonts w:ascii="Georgia" w:hAnsi="Georgia"/>
                <w:sz w:val="14"/>
              </w:rPr>
              <w:t>Oct 2024</w:t>
            </w:r>
          </w:p>
        </w:tc>
        <w:tc>
          <w:tcPr>
            <w:tcW w:type="dxa" w:w="2036"/>
            <w:shd w:val="clear" w:fill="F4F7FA"/>
          </w:tcPr>
          <w:p>
            <w:pPr>
              <w:spacing w:before="20" w:after="20"/>
              <w:jc w:val="right"/>
            </w:pPr>
            <w:r>
              <w:rPr>
                <w:rFonts w:ascii="Georgia" w:hAnsi="Georgia"/>
                <w:sz w:val="14"/>
              </w:rPr>
            </w:r>
            <w:r>
              <w:rPr>
                <w:rFonts w:ascii="Georgia" w:hAnsi="Georgia"/>
                <w:b/>
                <w:sz w:val="14"/>
              </w:rPr>
              <w:t>c.$290m</w:t>
            </w:r>
          </w:p>
        </w:tc>
        <w:tc>
          <w:tcPr>
            <w:tcW w:type="dxa" w:w="2036"/>
            <w:shd w:val="clear" w:fill="F4F7FA"/>
          </w:tcPr>
          <w:p>
            <w:pPr>
              <w:spacing w:before="20" w:after="20"/>
            </w:pPr>
            <w:r>
              <w:rPr>
                <w:rFonts w:ascii="Georgia" w:hAnsi="Georgia"/>
                <w:sz w:val="14"/>
              </w:rPr>
            </w:r>
            <w:r>
              <w:rPr>
                <w:rFonts w:ascii="Georgia" w:hAnsi="Georgia"/>
                <w:sz w:val="14"/>
              </w:rPr>
              <w:t>Capital markets consulting and data engineering, carved out of FD Technologies. Directly underpins the Financial Services vertical's +28.7% FY2025 growth.</w:t>
            </w:r>
          </w:p>
        </w:tc>
        <w:tc>
          <w:tcPr>
            <w:tcW w:type="dxa" w:w="2036"/>
            <w:shd w:val="clear" w:fill="F4F7FA"/>
          </w:tcPr>
          <w:p>
            <w:pPr>
              <w:spacing w:before="20" w:after="20"/>
              <w:jc w:val="right"/>
            </w:pPr>
            <w:r>
              <w:rPr>
                <w:rFonts w:ascii="Georgia" w:hAnsi="Georgia"/>
                <w:sz w:val="14"/>
              </w:rPr>
            </w:r>
            <w:r>
              <w:rPr>
                <w:rFonts w:ascii="Georgia" w:hAnsi="Georgia"/>
                <w:sz w:val="14"/>
              </w:rPr>
              <w:t>c.1.5x sales (est.)</w:t>
            </w:r>
          </w:p>
        </w:tc>
      </w:tr>
      <w:tr>
        <w:tc>
          <w:tcPr>
            <w:tcW w:type="dxa" w:w="2036"/>
          </w:tcPr>
          <w:p>
            <w:pPr>
              <w:spacing w:before="20" w:after="20"/>
            </w:pPr>
            <w:r>
              <w:rPr>
                <w:rFonts w:ascii="Georgia" w:hAnsi="Georgia"/>
                <w:sz w:val="14"/>
              </w:rPr>
            </w:r>
            <w:r>
              <w:rPr>
                <w:rFonts w:ascii="Georgia" w:hAnsi="Georgia"/>
                <w:sz w:val="14"/>
              </w:rPr>
              <w:t>Odysseus Data Services</w:t>
            </w:r>
          </w:p>
        </w:tc>
        <w:tc>
          <w:tcPr>
            <w:tcW w:type="dxa" w:w="2036"/>
          </w:tcPr>
          <w:p>
            <w:pPr>
              <w:spacing w:before="20" w:after="20"/>
            </w:pPr>
            <w:r>
              <w:rPr>
                <w:rFonts w:ascii="Georgia" w:hAnsi="Georgia"/>
                <w:sz w:val="14"/>
              </w:rPr>
            </w:r>
            <w:r>
              <w:rPr>
                <w:rFonts w:ascii="Georgia" w:hAnsi="Georgia"/>
                <w:sz w:val="14"/>
              </w:rPr>
              <w:t>Jun 2024</w:t>
            </w:r>
          </w:p>
        </w:tc>
        <w:tc>
          <w:tcPr>
            <w:tcW w:type="dxa" w:w="2036"/>
          </w:tcPr>
          <w:p>
            <w:pPr>
              <w:spacing w:before="20" w:after="20"/>
              <w:jc w:val="right"/>
            </w:pPr>
            <w:r>
              <w:rPr>
                <w:rFonts w:ascii="Georgia" w:hAnsi="Georgia"/>
                <w:sz w:val="14"/>
              </w:rPr>
            </w:r>
            <w:r>
              <w:rPr>
                <w:rFonts w:ascii="Georgia" w:hAnsi="Georgia"/>
                <w:sz w:val="14"/>
              </w:rPr>
              <w:t>Undisclosed</w:t>
            </w:r>
          </w:p>
        </w:tc>
        <w:tc>
          <w:tcPr>
            <w:tcW w:type="dxa" w:w="2036"/>
          </w:tcPr>
          <w:p>
            <w:pPr>
              <w:spacing w:before="20" w:after="20"/>
            </w:pPr>
            <w:r>
              <w:rPr>
                <w:rFonts w:ascii="Georgia" w:hAnsi="Georgia"/>
                <w:sz w:val="14"/>
              </w:rPr>
            </w:r>
            <w:r>
              <w:rPr>
                <w:rFonts w:ascii="Georgia" w:hAnsi="Georgia"/>
                <w:sz w:val="14"/>
              </w:rPr>
              <w:t>Life sciences real-world data, OHDSI/OMOP expertise. Small but strategically precise for the Life Sciences vertical.</w:t>
            </w:r>
          </w:p>
        </w:tc>
        <w:tc>
          <w:tcPr>
            <w:tcW w:type="dxa" w:w="2036"/>
          </w:tcPr>
          <w:p>
            <w:pPr>
              <w:spacing w:before="20" w:after="20"/>
              <w:jc w:val="right"/>
            </w:pPr>
            <w:r>
              <w:rPr>
                <w:rFonts w:ascii="Georgia" w:hAnsi="Georgia"/>
                <w:sz w:val="14"/>
              </w:rPr>
            </w:r>
            <w:r>
              <w:rPr>
                <w:rFonts w:ascii="Georgia" w:hAnsi="Georgia"/>
                <w:sz w:val="14"/>
              </w:rPr>
              <w:t>n/d</w:t>
            </w:r>
          </w:p>
        </w:tc>
      </w:tr>
      <w:tr>
        <w:tc>
          <w:tcPr>
            <w:tcW w:type="dxa" w:w="2036"/>
            <w:shd w:val="clear" w:fill="F4F7FA"/>
          </w:tcPr>
          <w:p>
            <w:pPr>
              <w:spacing w:before="20" w:after="20"/>
            </w:pPr>
            <w:r>
              <w:rPr>
                <w:rFonts w:ascii="Georgia" w:hAnsi="Georgia"/>
                <w:sz w:val="14"/>
              </w:rPr>
            </w:r>
            <w:r>
              <w:rPr>
                <w:rFonts w:ascii="Georgia" w:hAnsi="Georgia"/>
                <w:sz w:val="14"/>
              </w:rPr>
              <w:t>Vates</w:t>
            </w:r>
          </w:p>
        </w:tc>
        <w:tc>
          <w:tcPr>
            <w:tcW w:type="dxa" w:w="2036"/>
            <w:shd w:val="clear" w:fill="F4F7FA"/>
          </w:tcPr>
          <w:p>
            <w:pPr>
              <w:spacing w:before="20" w:after="20"/>
            </w:pPr>
            <w:r>
              <w:rPr>
                <w:rFonts w:ascii="Georgia" w:hAnsi="Georgia"/>
                <w:sz w:val="14"/>
              </w:rPr>
            </w:r>
            <w:r>
              <w:rPr>
                <w:rFonts w:ascii="Georgia" w:hAnsi="Georgia"/>
                <w:sz w:val="14"/>
              </w:rPr>
              <w:t>Mar 2024</w:t>
            </w:r>
          </w:p>
        </w:tc>
        <w:tc>
          <w:tcPr>
            <w:tcW w:type="dxa" w:w="2036"/>
            <w:shd w:val="clear" w:fill="F4F7FA"/>
          </w:tcPr>
          <w:p>
            <w:pPr>
              <w:spacing w:before="20" w:after="20"/>
              <w:jc w:val="right"/>
            </w:pPr>
            <w:r>
              <w:rPr>
                <w:rFonts w:ascii="Georgia" w:hAnsi="Georgia"/>
                <w:sz w:val="14"/>
              </w:rPr>
            </w:r>
            <w:r>
              <w:rPr>
                <w:rFonts w:ascii="Georgia" w:hAnsi="Georgia"/>
                <w:sz w:val="14"/>
              </w:rPr>
              <w:t>Undisclosed</w:t>
            </w:r>
          </w:p>
        </w:tc>
        <w:tc>
          <w:tcPr>
            <w:tcW w:type="dxa" w:w="2036"/>
            <w:shd w:val="clear" w:fill="F4F7FA"/>
          </w:tcPr>
          <w:p>
            <w:pPr>
              <w:spacing w:before="20" w:after="20"/>
            </w:pPr>
            <w:r>
              <w:rPr>
                <w:rFonts w:ascii="Georgia" w:hAnsi="Georgia"/>
                <w:sz w:val="14"/>
              </w:rPr>
            </w:r>
            <w:r>
              <w:rPr>
                <w:rFonts w:ascii="Georgia" w:hAnsi="Georgia"/>
                <w:sz w:val="14"/>
              </w:rPr>
              <w:t>Argentina/Latin America delivery expansion. Advised by Houlihan Lokey.</w:t>
            </w:r>
          </w:p>
        </w:tc>
        <w:tc>
          <w:tcPr>
            <w:tcW w:type="dxa" w:w="2036"/>
            <w:shd w:val="clear" w:fill="F4F7FA"/>
          </w:tcPr>
          <w:p>
            <w:pPr>
              <w:spacing w:before="20" w:after="20"/>
              <w:jc w:val="right"/>
            </w:pPr>
            <w:r>
              <w:rPr>
                <w:rFonts w:ascii="Georgia" w:hAnsi="Georgia"/>
                <w:sz w:val="14"/>
              </w:rPr>
            </w:r>
            <w:r>
              <w:rPr>
                <w:rFonts w:ascii="Georgia" w:hAnsi="Georgia"/>
                <w:sz w:val="14"/>
              </w:rPr>
              <w:t>n/d</w:t>
            </w:r>
          </w:p>
        </w:tc>
      </w:tr>
      <w:tr>
        <w:tc>
          <w:tcPr>
            <w:tcW w:type="dxa" w:w="2036"/>
          </w:tcPr>
          <w:p>
            <w:pPr>
              <w:spacing w:before="20" w:after="20"/>
            </w:pPr>
            <w:r>
              <w:rPr>
                <w:rFonts w:ascii="Georgia" w:hAnsi="Georgia"/>
                <w:sz w:val="14"/>
              </w:rPr>
            </w:r>
            <w:r>
              <w:rPr>
                <w:rFonts w:ascii="Georgia" w:hAnsi="Georgia"/>
                <w:sz w:val="14"/>
              </w:rPr>
              <w:t>Optiva Media</w:t>
            </w:r>
          </w:p>
        </w:tc>
        <w:tc>
          <w:tcPr>
            <w:tcW w:type="dxa" w:w="2036"/>
          </w:tcPr>
          <w:p>
            <w:pPr>
              <w:spacing w:before="20" w:after="20"/>
            </w:pPr>
            <w:r>
              <w:rPr>
                <w:rFonts w:ascii="Georgia" w:hAnsi="Georgia"/>
                <w:sz w:val="14"/>
              </w:rPr>
            </w:r>
            <w:r>
              <w:rPr>
                <w:rFonts w:ascii="Georgia" w:hAnsi="Georgia"/>
                <w:sz w:val="14"/>
              </w:rPr>
              <w:t>Dec 2021</w:t>
            </w:r>
          </w:p>
        </w:tc>
        <w:tc>
          <w:tcPr>
            <w:tcW w:type="dxa" w:w="2036"/>
          </w:tcPr>
          <w:p>
            <w:pPr>
              <w:spacing w:before="20" w:after="20"/>
              <w:jc w:val="right"/>
            </w:pPr>
            <w:r>
              <w:rPr>
                <w:rFonts w:ascii="Georgia" w:hAnsi="Georgia"/>
                <w:sz w:val="14"/>
              </w:rPr>
            </w:r>
            <w:r>
              <w:rPr>
                <w:rFonts w:ascii="Georgia" w:hAnsi="Georgia"/>
                <w:sz w:val="14"/>
              </w:rPr>
              <w:t>Undisclosed</w:t>
            </w:r>
          </w:p>
        </w:tc>
        <w:tc>
          <w:tcPr>
            <w:tcW w:type="dxa" w:w="2036"/>
          </w:tcPr>
          <w:p>
            <w:pPr>
              <w:spacing w:before="20" w:after="20"/>
            </w:pPr>
            <w:r>
              <w:rPr>
                <w:rFonts w:ascii="Georgia" w:hAnsi="Georgia"/>
                <w:sz w:val="14"/>
              </w:rPr>
            </w:r>
            <w:r>
              <w:rPr>
                <w:rFonts w:ascii="Georgia" w:hAnsi="Georgia"/>
                <w:sz w:val="14"/>
              </w:rPr>
              <w:t>Media and telecoms engineering in Spain and Latin America.</w:t>
            </w:r>
          </w:p>
        </w:tc>
        <w:tc>
          <w:tcPr>
            <w:tcW w:type="dxa" w:w="2036"/>
          </w:tcPr>
          <w:p>
            <w:pPr>
              <w:spacing w:before="20" w:after="20"/>
              <w:jc w:val="right"/>
            </w:pPr>
            <w:r>
              <w:rPr>
                <w:rFonts w:ascii="Georgia" w:hAnsi="Georgia"/>
                <w:sz w:val="14"/>
              </w:rPr>
            </w:r>
            <w:r>
              <w:rPr>
                <w:rFonts w:ascii="Georgia" w:hAnsi="Georgia"/>
                <w:sz w:val="14"/>
              </w:rPr>
              <w:t>n/d</w:t>
            </w:r>
          </w:p>
        </w:tc>
      </w:tr>
      <w:tr>
        <w:tc>
          <w:tcPr>
            <w:tcW w:type="dxa" w:w="2036"/>
            <w:shd w:val="clear" w:fill="F4F7FA"/>
          </w:tcPr>
          <w:p>
            <w:pPr>
              <w:spacing w:before="20" w:after="20"/>
            </w:pPr>
            <w:r>
              <w:rPr>
                <w:rFonts w:ascii="Georgia" w:hAnsi="Georgia"/>
                <w:sz w:val="14"/>
              </w:rPr>
            </w:r>
            <w:r>
              <w:rPr>
                <w:rFonts w:ascii="Georgia" w:hAnsi="Georgia"/>
                <w:sz w:val="14"/>
              </w:rPr>
              <w:t>Emakina Group</w:t>
            </w:r>
          </w:p>
        </w:tc>
        <w:tc>
          <w:tcPr>
            <w:tcW w:type="dxa" w:w="2036"/>
            <w:shd w:val="clear" w:fill="F4F7FA"/>
          </w:tcPr>
          <w:p>
            <w:pPr>
              <w:spacing w:before="20" w:after="20"/>
            </w:pPr>
            <w:r>
              <w:rPr>
                <w:rFonts w:ascii="Georgia" w:hAnsi="Georgia"/>
                <w:sz w:val="14"/>
              </w:rPr>
            </w:r>
            <w:r>
              <w:rPr>
                <w:rFonts w:ascii="Georgia" w:hAnsi="Georgia"/>
                <w:sz w:val="14"/>
              </w:rPr>
              <w:t>Nov 2021</w:t>
            </w:r>
          </w:p>
        </w:tc>
        <w:tc>
          <w:tcPr>
            <w:tcW w:type="dxa" w:w="2036"/>
            <w:shd w:val="clear" w:fill="F4F7FA"/>
          </w:tcPr>
          <w:p>
            <w:pPr>
              <w:spacing w:before="20" w:after="20"/>
              <w:jc w:val="right"/>
            </w:pPr>
            <w:r>
              <w:rPr>
                <w:rFonts w:ascii="Georgia" w:hAnsi="Georgia"/>
                <w:sz w:val="14"/>
              </w:rPr>
            </w:r>
            <w:r>
              <w:rPr>
                <w:rFonts w:ascii="Georgia" w:hAnsi="Georgia"/>
                <w:sz w:val="14"/>
              </w:rPr>
              <w:t>Undisclosed</w:t>
            </w:r>
          </w:p>
        </w:tc>
        <w:tc>
          <w:tcPr>
            <w:tcW w:type="dxa" w:w="2036"/>
            <w:shd w:val="clear" w:fill="F4F7FA"/>
          </w:tcPr>
          <w:p>
            <w:pPr>
              <w:spacing w:before="20" w:after="20"/>
            </w:pPr>
            <w:r>
              <w:rPr>
                <w:rFonts w:ascii="Georgia" w:hAnsi="Georgia"/>
                <w:sz w:val="14"/>
              </w:rPr>
            </w:r>
            <w:r>
              <w:rPr>
                <w:rFonts w:ascii="Georgia" w:hAnsi="Georgia"/>
                <w:sz w:val="14"/>
              </w:rPr>
              <w:t>Belgium-headquartered digital marketing agency; European experience-design capability.</w:t>
            </w:r>
          </w:p>
        </w:tc>
        <w:tc>
          <w:tcPr>
            <w:tcW w:type="dxa" w:w="2036"/>
            <w:shd w:val="clear" w:fill="F4F7FA"/>
          </w:tcPr>
          <w:p>
            <w:pPr>
              <w:spacing w:before="20" w:after="20"/>
              <w:jc w:val="right"/>
            </w:pPr>
            <w:r>
              <w:rPr>
                <w:rFonts w:ascii="Georgia" w:hAnsi="Georgia"/>
                <w:sz w:val="14"/>
              </w:rPr>
            </w:r>
            <w:r>
              <w:rPr>
                <w:rFonts w:ascii="Georgia" w:hAnsi="Georgia"/>
                <w:sz w:val="14"/>
              </w:rPr>
              <w:t>n/d</w:t>
            </w:r>
          </w:p>
        </w:tc>
      </w:tr>
      <w:tr>
        <w:tc>
          <w:tcPr>
            <w:tcW w:type="dxa" w:w="2036"/>
          </w:tcPr>
          <w:p>
            <w:pPr>
              <w:spacing w:before="20" w:after="20"/>
            </w:pPr>
            <w:r>
              <w:rPr>
                <w:rFonts w:ascii="Georgia" w:hAnsi="Georgia"/>
                <w:sz w:val="14"/>
              </w:rPr>
            </w:r>
            <w:r>
              <w:rPr>
                <w:rFonts w:ascii="Georgia" w:hAnsi="Georgia"/>
                <w:sz w:val="14"/>
              </w:rPr>
              <w:t>Other (c.20 further transactions 2015–2023)</w:t>
            </w:r>
          </w:p>
        </w:tc>
        <w:tc>
          <w:tcPr>
            <w:tcW w:type="dxa" w:w="2036"/>
          </w:tcPr>
          <w:p>
            <w:pPr>
              <w:spacing w:before="20" w:after="20"/>
            </w:pPr>
            <w:r>
              <w:rPr>
                <w:rFonts w:ascii="Georgia" w:hAnsi="Georgia"/>
                <w:sz w:val="14"/>
              </w:rPr>
            </w:r>
            <w:r>
              <w:rPr>
                <w:rFonts w:ascii="Georgia" w:hAnsi="Georgia"/>
                <w:sz w:val="14"/>
              </w:rPr>
              <w:t>Various</w:t>
            </w:r>
          </w:p>
        </w:tc>
        <w:tc>
          <w:tcPr>
            <w:tcW w:type="dxa" w:w="2036"/>
          </w:tcPr>
          <w:p>
            <w:pPr>
              <w:spacing w:before="20" w:after="20"/>
              <w:jc w:val="right"/>
            </w:pPr>
            <w:r>
              <w:rPr>
                <w:rFonts w:ascii="Georgia" w:hAnsi="Georgia"/>
                <w:sz w:val="14"/>
              </w:rPr>
            </w:r>
            <w:r>
              <w:rPr>
                <w:rFonts w:ascii="Georgia" w:hAnsi="Georgia"/>
                <w:sz w:val="14"/>
              </w:rPr>
              <w:t>Undisclosed</w:t>
            </w:r>
          </w:p>
        </w:tc>
        <w:tc>
          <w:tcPr>
            <w:tcW w:type="dxa" w:w="2036"/>
          </w:tcPr>
          <w:p>
            <w:pPr>
              <w:spacing w:before="20" w:after="20"/>
            </w:pPr>
            <w:r>
              <w:rPr>
                <w:rFonts w:ascii="Georgia" w:hAnsi="Georgia"/>
                <w:sz w:val="14"/>
              </w:rPr>
            </w:r>
            <w:r>
              <w:rPr>
                <w:rFonts w:ascii="Georgia" w:hAnsi="Georgia"/>
                <w:sz w:val="14"/>
              </w:rPr>
              <w:t>Includes Continuum (design, 2018), Test IO, Competentum, NAYAtech, PolSource (Salesforce, 2019), Just-BI, Empathy Lab, Ricston, Time Machine Group. EPAM has completed approximately 28 acquisitions in total.</w:t>
            </w:r>
          </w:p>
        </w:tc>
        <w:tc>
          <w:tcPr>
            <w:tcW w:type="dxa" w:w="2036"/>
          </w:tcPr>
          <w:p>
            <w:pPr>
              <w:spacing w:before="20" w:after="20"/>
              <w:jc w:val="right"/>
            </w:pPr>
            <w:r>
              <w:rPr>
                <w:rFonts w:ascii="Georgia" w:hAnsi="Georgia"/>
                <w:sz w:val="14"/>
              </w:rPr>
            </w:r>
            <w:r>
              <w:rPr>
                <w:rFonts w:ascii="Georgia" w:hAnsi="Georgia"/>
                <w:sz w:val="14"/>
              </w:rPr>
              <w:t>n/d</w:t>
            </w:r>
          </w:p>
        </w:tc>
      </w:tr>
    </w:tbl>
    <w:p>
      <w:pPr>
        <w:spacing w:after="60"/>
      </w:pPr>
    </w:p>
    <w:p>
      <w:pPr>
        <w:spacing w:before="0" w:after="120"/>
        <w:jc w:val="both"/>
      </w:pPr>
      <w:r>
        <w:rPr>
          <w:i/>
          <w:color w:val="555555"/>
          <w:sz w:val="15"/>
        </w:rPr>
        <w:t>NEORIS and First Derivative considerations are reported figures. EPAM does not disclose purchase prices for smaller transactions, and the implied multiples shown are author estimates.</w:t>
      </w:r>
    </w:p>
    <w:p>
      <w:pPr>
        <w:spacing w:before="40" w:after="60"/>
        <w:ind w:left="173" w:right="115"/>
        <w:jc w:val="both"/>
        <w:pBdr>
          <w:left w:val="single" w:sz="18" w:space="6" w:color="0B2545"/>
        </w:pBdr>
        <w:shd w:val="clear" w:fill="F4F7FA"/>
      </w:pPr>
      <w:r>
        <w:rPr>
          <w:b/>
          <w:sz w:val="17"/>
        </w:rPr>
        <w:t>Assessment of EPAM's M&amp;A record.</w:t>
      </w:r>
      <w:r>
        <w:rPr>
          <w:sz w:val="17"/>
        </w:rPr>
        <w:t xml:space="preserve"> Historically EPAM was a disciplined, small-scale acquirer of capability — tuck-ins under $100m that added skills rather than scale, integrated quickly and rarely troubled the balance sheet. </w:t>
      </w:r>
      <w:r>
        <w:rPr>
          <w:b/>
          <w:sz w:val="17"/>
        </w:rPr>
        <w:t>2024 broke that pattern.</w:t>
      </w:r>
      <w:r>
        <w:rPr>
          <w:sz w:val="17"/>
        </w:rPr>
        <w:t xml:space="preserve"> NEORIS at $626.3m and First Derivative at roughly $290m together deployed nearly $1bn — roughly a year and a half of free cash flow — and account for approximately 10pp of FY2025's 15.4% reported growth.</w:t>
      </w:r>
    </w:p>
    <w:p>
      <w:pPr>
        <w:spacing w:before="40" w:after="60"/>
        <w:ind w:left="173" w:right="115"/>
        <w:jc w:val="both"/>
        <w:pBdr>
          <w:left w:val="single" w:sz="18" w:space="6" w:color="0B2545"/>
        </w:pBdr>
        <w:shd w:val="clear" w:fill="F4F7FA"/>
      </w:pPr>
      <w:r>
        <w:rPr>
          <w:sz w:val="17"/>
        </w:rPr>
        <w:t>The strategic logic was sound: NEORIS bought nearshore Latin American delivery to serve US clients post-Russia, and First Derivative bought genuine capital-markets domain depth that is visibly working in the Financial Services vertical. But the timing invites criticism. The deals were struck near the top of the demand cycle, they consumed the cash pile that had been generating interest income (contributing to the FY2025 GAAP EPS decline of 14.3%), and they flattered reported growth in a way that masked organic deceleration to 4.9%. Goodwill now stands at roughly $1.21bn against roughly $5.9bn of market capitalisation. With Endava having just impaired £364.6m of goodwill, EPAM's carrying values warrant monitoring — though no impairment has been recorded to date and none appears imminent given profitability.</w:t>
      </w:r>
    </w:p>
    <w:p>
      <w:pPr>
        <w:keepNext/>
        <w:spacing w:before="320" w:after="120"/>
        <w:pBdr>
          <w:bottom w:val="single" w:sz="12" w:space="2" w:color="0B2545"/>
        </w:pBdr>
      </w:pPr>
      <w:r>
        <w:rPr>
          <w:rFonts w:ascii="Georgia" w:hAnsi="Georgia"/>
          <w:b/>
          <w:color w:val="0B2545"/>
          <w:sz w:val="26"/>
        </w:rPr>
        <w:t>15. Management Assessment</w:t>
      </w:r>
    </w:p>
    <w:p>
      <w:pPr>
        <w:keepNext/>
        <w:spacing w:before="200" w:after="80"/>
      </w:pPr>
      <w:r>
        <w:rPr>
          <w:rFonts w:ascii="Georgia" w:hAnsi="Georgia"/>
          <w:b/>
          <w:color w:val="14487F"/>
          <w:sz w:val="21"/>
        </w:rPr>
        <w:t>Senior leadership</w:t>
      </w:r>
    </w:p>
    <w:tbl>
      <w:tblPr>
        <w:tblStyle w:val="TableGrid"/>
        <w:tblW w:type="auto" w:w="0"/>
        <w:jc w:val="center"/>
        <w:tblLayout w:type="autofit"/>
        <w:tblLook w:firstColumn="1" w:firstRow="1" w:lastColumn="0" w:lastRow="0" w:noHBand="0" w:noVBand="1" w:val="04A0"/>
      </w:tblPr>
      <w:tblGrid>
        <w:gridCol w:w="2545"/>
        <w:gridCol w:w="2545"/>
        <w:gridCol w:w="2545"/>
        <w:gridCol w:w="2545"/>
      </w:tblGrid>
      <w:tr>
        <w:tc>
          <w:tcPr>
            <w:tcW w:type="dxa" w:w="2545"/>
            <w:shd w:val="clear" w:fill="0B2545"/>
          </w:tcPr>
          <w:p>
            <w:pPr>
              <w:spacing w:before="20" w:after="20"/>
            </w:pPr>
            <w:r>
              <w:rPr>
                <w:rFonts w:ascii="Georgia" w:hAnsi="Georgia"/>
                <w:b/>
                <w:color w:val="FFFFFF"/>
                <w:sz w:val="14"/>
              </w:rPr>
            </w:r>
            <w:r>
              <w:rPr>
                <w:rFonts w:ascii="Georgia" w:hAnsi="Georgia"/>
                <w:b/>
                <w:color w:val="FFFFFF"/>
                <w:sz w:val="14"/>
              </w:rPr>
              <w:t>Executive</w:t>
            </w:r>
          </w:p>
        </w:tc>
        <w:tc>
          <w:tcPr>
            <w:tcW w:type="dxa" w:w="2545"/>
            <w:shd w:val="clear" w:fill="0B2545"/>
          </w:tcPr>
          <w:p>
            <w:pPr>
              <w:spacing w:before="20" w:after="20"/>
            </w:pPr>
            <w:r>
              <w:rPr>
                <w:rFonts w:ascii="Georgia" w:hAnsi="Georgia"/>
                <w:b/>
                <w:color w:val="FFFFFF"/>
                <w:sz w:val="14"/>
              </w:rPr>
            </w:r>
            <w:r>
              <w:rPr>
                <w:rFonts w:ascii="Georgia" w:hAnsi="Georgia"/>
                <w:b/>
                <w:color w:val="FFFFFF"/>
                <w:sz w:val="14"/>
              </w:rPr>
              <w:t>Role</w:t>
            </w:r>
          </w:p>
        </w:tc>
        <w:tc>
          <w:tcPr>
            <w:tcW w:type="dxa" w:w="2545"/>
            <w:shd w:val="clear" w:fill="0B2545"/>
          </w:tcPr>
          <w:p>
            <w:pPr>
              <w:spacing w:before="20" w:after="20"/>
            </w:pPr>
            <w:r>
              <w:rPr>
                <w:rFonts w:ascii="Georgia" w:hAnsi="Georgia"/>
                <w:b/>
                <w:color w:val="FFFFFF"/>
                <w:sz w:val="14"/>
              </w:rPr>
            </w:r>
            <w:r>
              <w:rPr>
                <w:rFonts w:ascii="Georgia" w:hAnsi="Georgia"/>
                <w:b/>
                <w:color w:val="FFFFFF"/>
                <w:sz w:val="14"/>
              </w:rPr>
              <w:t>Tenure</w:t>
            </w:r>
          </w:p>
        </w:tc>
        <w:tc>
          <w:tcPr>
            <w:tcW w:type="dxa" w:w="2545"/>
            <w:shd w:val="clear" w:fill="0B2545"/>
          </w:tcPr>
          <w:p>
            <w:pPr>
              <w:spacing w:before="20" w:after="20"/>
            </w:pPr>
            <w:r>
              <w:rPr>
                <w:rFonts w:ascii="Georgia" w:hAnsi="Georgia"/>
                <w:b/>
                <w:color w:val="FFFFFF"/>
                <w:sz w:val="14"/>
              </w:rPr>
            </w:r>
            <w:r>
              <w:rPr>
                <w:rFonts w:ascii="Georgia" w:hAnsi="Georgia"/>
                <w:b/>
                <w:color w:val="FFFFFF"/>
                <w:sz w:val="14"/>
              </w:rPr>
              <w:t>Assessment</w:t>
            </w:r>
          </w:p>
        </w:tc>
      </w:tr>
      <w:tr>
        <w:tc>
          <w:tcPr>
            <w:tcW w:type="dxa" w:w="2545"/>
          </w:tcPr>
          <w:p>
            <w:pPr>
              <w:spacing w:before="20" w:after="20"/>
            </w:pPr>
            <w:r>
              <w:rPr>
                <w:rFonts w:ascii="Georgia" w:hAnsi="Georgia"/>
                <w:sz w:val="14"/>
              </w:rPr>
            </w:r>
            <w:r>
              <w:rPr>
                <w:rFonts w:ascii="Georgia" w:hAnsi="Georgia"/>
                <w:b/>
                <w:sz w:val="14"/>
              </w:rPr>
              <w:t>Balazs Fejes</w:t>
            </w:r>
          </w:p>
        </w:tc>
        <w:tc>
          <w:tcPr>
            <w:tcW w:type="dxa" w:w="2545"/>
          </w:tcPr>
          <w:p>
            <w:pPr>
              <w:spacing w:before="20" w:after="20"/>
            </w:pPr>
            <w:r>
              <w:rPr>
                <w:rFonts w:ascii="Georgia" w:hAnsi="Georgia"/>
                <w:sz w:val="14"/>
              </w:rPr>
            </w:r>
            <w:r>
              <w:rPr>
                <w:rFonts w:ascii="Georgia" w:hAnsi="Georgia"/>
                <w:sz w:val="14"/>
              </w:rPr>
              <w:t>Chief Executive Officer &amp; President</w:t>
            </w:r>
          </w:p>
        </w:tc>
        <w:tc>
          <w:tcPr>
            <w:tcW w:type="dxa" w:w="2545"/>
          </w:tcPr>
          <w:p>
            <w:pPr>
              <w:spacing w:before="20" w:after="20"/>
            </w:pPr>
            <w:r>
              <w:rPr>
                <w:rFonts w:ascii="Georgia" w:hAnsi="Georgia"/>
                <w:sz w:val="14"/>
              </w:rPr>
            </w:r>
            <w:r>
              <w:rPr>
                <w:rFonts w:ascii="Georgia" w:hAnsi="Georgia"/>
                <w:sz w:val="14"/>
              </w:rPr>
              <w:t xml:space="preserve">CEO since </w:t>
            </w:r>
            <w:r>
              <w:rPr>
                <w:rFonts w:ascii="Georgia" w:hAnsi="Georgia"/>
                <w:b/>
                <w:sz w:val="14"/>
              </w:rPr>
              <w:t>1 Sept 2025</w:t>
            </w:r>
            <w:r>
              <w:rPr>
                <w:rFonts w:ascii="Georgia" w:hAnsi="Georgia"/>
                <w:sz w:val="14"/>
              </w:rPr>
              <w:t xml:space="preserve"> (c.1 year); at EPAM approximately two decades</w:t>
            </w:r>
          </w:p>
        </w:tc>
        <w:tc>
          <w:tcPr>
            <w:tcW w:type="dxa" w:w="2545"/>
          </w:tcPr>
          <w:p>
            <w:pPr>
              <w:spacing w:before="20" w:after="20"/>
            </w:pPr>
            <w:r>
              <w:rPr>
                <w:rFonts w:ascii="Georgia" w:hAnsi="Georgia"/>
                <w:sz w:val="14"/>
              </w:rPr>
            </w:r>
            <w:r>
              <w:rPr>
                <w:rFonts w:ascii="Georgia" w:hAnsi="Georgia"/>
                <w:sz w:val="14"/>
              </w:rPr>
              <w:t xml:space="preserve">Promoted from President of Global Business and Chief Revenue Officer. Joined EPAM through the acquisition of Hungary's Fathom Technology and rose through engineering and commercial leadership. A genuine insider with deep technical credibility, not a parachuted-in outsider. He owns the AI-native pivot and personally led the March 2026 Investor Day framing. </w:t>
            </w:r>
            <w:r>
              <w:rPr>
                <w:rFonts w:ascii="Georgia" w:hAnsi="Georgia"/>
                <w:b/>
                <w:sz w:val="14"/>
              </w:rPr>
              <w:t>Verdict: too early to judge on results.</w:t>
            </w:r>
            <w:r>
              <w:rPr>
                <w:rFonts w:ascii="Georgia" w:hAnsi="Georgia"/>
                <w:sz w:val="14"/>
              </w:rPr>
              <w:t xml:space="preserve"> He inherited a decelerating business and has responded by prioritising margin, AI-native mix and buybacks over growth — a defensible and arguably correct choice. His credibility rests entirely on whether the H1 2027 AI deal pipeline converts.</w:t>
            </w:r>
          </w:p>
        </w:tc>
      </w:tr>
      <w:tr>
        <w:tc>
          <w:tcPr>
            <w:tcW w:type="dxa" w:w="2545"/>
            <w:shd w:val="clear" w:fill="F4F7FA"/>
          </w:tcPr>
          <w:p>
            <w:pPr>
              <w:spacing w:before="20" w:after="20"/>
            </w:pPr>
            <w:r>
              <w:rPr>
                <w:rFonts w:ascii="Georgia" w:hAnsi="Georgia"/>
                <w:sz w:val="14"/>
              </w:rPr>
            </w:r>
            <w:r>
              <w:rPr>
                <w:rFonts w:ascii="Georgia" w:hAnsi="Georgia"/>
                <w:b/>
                <w:sz w:val="14"/>
              </w:rPr>
              <w:t>Arkadiy Dobkin</w:t>
            </w:r>
          </w:p>
        </w:tc>
        <w:tc>
          <w:tcPr>
            <w:tcW w:type="dxa" w:w="2545"/>
            <w:shd w:val="clear" w:fill="F4F7FA"/>
          </w:tcPr>
          <w:p>
            <w:pPr>
              <w:spacing w:before="20" w:after="20"/>
            </w:pPr>
            <w:r>
              <w:rPr>
                <w:rFonts w:ascii="Georgia" w:hAnsi="Georgia"/>
                <w:sz w:val="14"/>
              </w:rPr>
            </w:r>
            <w:r>
              <w:rPr>
                <w:rFonts w:ascii="Georgia" w:hAnsi="Georgia"/>
                <w:sz w:val="14"/>
              </w:rPr>
              <w:t>Founder &amp; Executive Chairman</w:t>
            </w:r>
          </w:p>
        </w:tc>
        <w:tc>
          <w:tcPr>
            <w:tcW w:type="dxa" w:w="2545"/>
            <w:shd w:val="clear" w:fill="F4F7FA"/>
          </w:tcPr>
          <w:p>
            <w:pPr>
              <w:spacing w:before="20" w:after="20"/>
            </w:pPr>
            <w:r>
              <w:rPr>
                <w:rFonts w:ascii="Georgia" w:hAnsi="Georgia"/>
                <w:sz w:val="14"/>
              </w:rPr>
            </w:r>
            <w:r>
              <w:rPr>
                <w:rFonts w:ascii="Georgia" w:hAnsi="Georgia"/>
                <w:sz w:val="14"/>
              </w:rPr>
              <w:t>Founded 1993; CEO 1993–2025 (32 years); Executive Chairman since Sept 2025</w:t>
            </w:r>
          </w:p>
        </w:tc>
        <w:tc>
          <w:tcPr>
            <w:tcW w:type="dxa" w:w="2545"/>
            <w:shd w:val="clear" w:fill="F4F7FA"/>
          </w:tcPr>
          <w:p>
            <w:pPr>
              <w:spacing w:before="20" w:after="20"/>
            </w:pPr>
            <w:r>
              <w:rPr>
                <w:rFonts w:ascii="Georgia" w:hAnsi="Georgia"/>
                <w:sz w:val="14"/>
              </w:rPr>
            </w:r>
            <w:r>
              <w:rPr>
                <w:rFonts w:ascii="Georgia" w:hAnsi="Georgia"/>
                <w:b/>
                <w:sz w:val="14"/>
              </w:rPr>
              <w:t>An exceptional builder by any standard.</w:t>
            </w:r>
            <w:r>
              <w:rPr>
                <w:rFonts w:ascii="Georgia" w:hAnsi="Georgia"/>
                <w:sz w:val="14"/>
              </w:rPr>
              <w:t xml:space="preserve"> Took EPAM from a start-up to a $5.5bn-revenue global firm, led the 2012 NYSE IPO, and delivered one of the strongest long-run compounding records in IT services. His crisis management in 2022 — relocating thousands of staff out of a war zone, exiting Russia on principle, and rebuilding the delivery map around India and Latin America — was operationally outstanding and reputationally decisive. As Executive Chairman he focuses on strategic initiatives and continuity.</w:t>
            </w:r>
          </w:p>
        </w:tc>
      </w:tr>
      <w:tr>
        <w:tc>
          <w:tcPr>
            <w:tcW w:type="dxa" w:w="2545"/>
          </w:tcPr>
          <w:p>
            <w:pPr>
              <w:spacing w:before="20" w:after="20"/>
            </w:pPr>
            <w:r>
              <w:rPr>
                <w:rFonts w:ascii="Georgia" w:hAnsi="Georgia"/>
                <w:sz w:val="14"/>
              </w:rPr>
            </w:r>
            <w:r>
              <w:rPr>
                <w:rFonts w:ascii="Georgia" w:hAnsi="Georgia"/>
                <w:b/>
                <w:sz w:val="14"/>
              </w:rPr>
              <w:t>Jason Peterson</w:t>
            </w:r>
          </w:p>
        </w:tc>
        <w:tc>
          <w:tcPr>
            <w:tcW w:type="dxa" w:w="2545"/>
          </w:tcPr>
          <w:p>
            <w:pPr>
              <w:spacing w:before="20" w:after="20"/>
            </w:pPr>
            <w:r>
              <w:rPr>
                <w:rFonts w:ascii="Georgia" w:hAnsi="Georgia"/>
                <w:sz w:val="14"/>
              </w:rPr>
            </w:r>
            <w:r>
              <w:rPr>
                <w:rFonts w:ascii="Georgia" w:hAnsi="Georgia"/>
                <w:sz w:val="14"/>
              </w:rPr>
              <w:t>Chief Financial Officer, SVP &amp; Treasurer</w:t>
            </w:r>
          </w:p>
        </w:tc>
        <w:tc>
          <w:tcPr>
            <w:tcW w:type="dxa" w:w="2545"/>
          </w:tcPr>
          <w:p>
            <w:pPr>
              <w:spacing w:before="20" w:after="20"/>
            </w:pPr>
            <w:r>
              <w:rPr>
                <w:rFonts w:ascii="Georgia" w:hAnsi="Georgia"/>
                <w:sz w:val="14"/>
              </w:rPr>
            </w:r>
            <w:r>
              <w:rPr>
                <w:rFonts w:ascii="Georgia" w:hAnsi="Georgia"/>
                <w:sz w:val="14"/>
              </w:rPr>
              <w:t>CFO since approximately 2017 (c.9 years)</w:t>
            </w:r>
          </w:p>
        </w:tc>
        <w:tc>
          <w:tcPr>
            <w:tcW w:type="dxa" w:w="2545"/>
          </w:tcPr>
          <w:p>
            <w:pPr>
              <w:spacing w:before="20" w:after="20"/>
            </w:pPr>
            <w:r>
              <w:rPr>
                <w:rFonts w:ascii="Georgia" w:hAnsi="Georgia"/>
                <w:sz w:val="14"/>
              </w:rPr>
            </w:r>
            <w:r>
              <w:rPr>
                <w:rFonts w:ascii="Georgia" w:hAnsi="Georgia"/>
                <w:sz w:val="14"/>
              </w:rPr>
              <w:t xml:space="preserve">Long-tenured and highly regarded for disclosure quality. His quarterly commentary on utilisation, seniority index, pricing and delivery mix is unusually granular for the sector and is a genuine asset to investors. He has managed the balance sheet conservatively through the 2022 shock and the 2024 acquisition programme, and has been candid about margin pressures rather than defensive. </w:t>
            </w:r>
            <w:r>
              <w:rPr>
                <w:rFonts w:ascii="Georgia" w:hAnsi="Georgia"/>
                <w:b/>
                <w:sz w:val="14"/>
              </w:rPr>
              <w:t>The principal criticism is guidance accuracy</w:t>
            </w:r>
            <w:r>
              <w:rPr>
                <w:rFonts w:ascii="Georgia" w:hAnsi="Georgia"/>
                <w:sz w:val="14"/>
              </w:rPr>
              <w:t xml:space="preserve"> — the full-year revenue outlook has now been cut in 2024, 2025 and 2026, which has materially damaged the market's willingness to underwrite forward numbers.</w:t>
            </w:r>
          </w:p>
        </w:tc>
      </w:tr>
    </w:tbl>
    <w:p>
      <w:pPr>
        <w:spacing w:after="60"/>
      </w:pPr>
    </w:p>
    <w:p>
      <w:pPr>
        <w:keepNext/>
        <w:spacing w:before="200" w:after="80"/>
      </w:pPr>
      <w:r>
        <w:rPr>
          <w:rFonts w:ascii="Georgia" w:hAnsi="Georgia"/>
          <w:b/>
          <w:color w:val="14487F"/>
          <w:sz w:val="21"/>
        </w:rPr>
        <w:t>1) Track record</w:t>
      </w:r>
    </w:p>
    <w:p>
      <w:pPr>
        <w:spacing w:before="0" w:after="80"/>
        <w:jc w:val="both"/>
      </w:pPr>
      <w:r>
        <w:rPr/>
        <w:t>Dobkin's record is the substantive one: revenue from effectively zero in 1993 to $5.457bn in 2025, a NYSE listing in 2012, a peak market capitalisation above $40bn, and revenue compounding at approximately 15.5% annually over the 2019–2025 period despite a war that displaced more than half the delivery base. Under his leadership non-GAAP operating margin held within a 14–17% band across every macro environment encountered. Fejes's own record is as the commercial architect of that growth as CRO, but as CEO he has one year and a decelerating tape. Peterson has presided over margin resilience and a fortress balance sheet, offset by three consecutive years of downward guidance revision.</w:t>
      </w:r>
    </w:p>
    <w:p>
      <w:pPr>
        <w:keepNext/>
        <w:spacing w:before="200" w:after="80"/>
      </w:pPr>
      <w:r>
        <w:rPr>
          <w:rFonts w:ascii="Georgia" w:hAnsi="Georgia"/>
          <w:b/>
          <w:color w:val="14487F"/>
          <w:sz w:val="21"/>
        </w:rPr>
        <w:t>2) Tenure and insider ownership</w:t>
      </w:r>
    </w:p>
    <w:p>
      <w:pPr>
        <w:spacing w:before="0" w:after="80"/>
        <w:jc w:val="both"/>
      </w:pPr>
      <w:r>
        <w:rPr/>
        <w:t xml:space="preserve">Insiders hold approximately </w:t>
      </w:r>
      <w:r>
        <w:rPr>
          <w:b/>
        </w:rPr>
        <w:t>4.30%</w:t>
      </w:r>
      <w:r>
        <w:rPr/>
        <w:t xml:space="preserve"> of shares outstanding against institutional ownership of approximately 91.58%. Dobkin held approximately </w:t>
      </w:r>
      <w:r>
        <w:rPr>
          <w:b/>
        </w:rPr>
        <w:t>1.76m shares as at 18 February 2026</w:t>
      </w:r>
      <w:r>
        <w:rPr/>
        <w:t>, roughly 3.4% of the company — a stake worth approximately $200m at the reference price and by far the largest individual alignment. His ownership has declined steadily over time: 12.1% in 2011, 10.1% in 2013, 5.43% in 2017, and roughly 3.4% today, with approximately 140,000 shares sold since 2021 for an estimated $76.1m.</w:t>
      </w:r>
    </w:p>
    <w:p>
      <w:pPr>
        <w:spacing w:before="0" w:after="80"/>
        <w:jc w:val="both"/>
      </w:pPr>
      <w:r>
        <w:rPr/>
        <w:t xml:space="preserve">This is </w:t>
      </w:r>
      <w:r>
        <w:rPr>
          <w:b/>
        </w:rPr>
        <w:t>meaningful but diminishing skin in the game</w:t>
      </w:r>
      <w:r>
        <w:rPr/>
        <w:t>. The dilution is largely mechanical — share issuance over fourteen years plus estate planning — and the pace of sales is not alarming for a founder of his tenure. But the trajectory is one way. Fejes's and Peterson's personal holdings are materially smaller, as is typical for professional managers.</w:t>
      </w:r>
    </w:p>
    <w:p>
      <w:pPr>
        <w:keepNext/>
        <w:spacing w:before="200" w:after="80"/>
      </w:pPr>
      <w:r>
        <w:rPr>
          <w:rFonts w:ascii="Georgia" w:hAnsi="Georgia"/>
          <w:b/>
          <w:color w:val="14487F"/>
          <w:sz w:val="21"/>
        </w:rPr>
        <w:t>3) Capital allocation history</w:t>
      </w:r>
    </w:p>
    <w:tbl>
      <w:tblPr>
        <w:tblStyle w:val="TableGrid"/>
        <w:tblW w:type="auto" w:w="0"/>
        <w:jc w:val="center"/>
        <w:tblLayout w:type="autofit"/>
        <w:tblLook w:firstColumn="1" w:firstRow="1" w:lastColumn="0" w:lastRow="0" w:noHBand="0" w:noVBand="1" w:val="04A0"/>
      </w:tblPr>
      <w:tblGrid>
        <w:gridCol w:w="5090"/>
        <w:gridCol w:w="5090"/>
      </w:tblGrid>
      <w:tr>
        <w:tc>
          <w:tcPr>
            <w:tcW w:type="dxa" w:w="5090"/>
            <w:shd w:val="clear" w:fill="0B2545"/>
          </w:tcPr>
          <w:p>
            <w:pPr>
              <w:spacing w:before="20" w:after="20"/>
            </w:pPr>
            <w:r>
              <w:rPr>
                <w:rFonts w:ascii="Georgia" w:hAnsi="Georgia"/>
                <w:b/>
                <w:color w:val="FFFFFF"/>
                <w:sz w:val="14"/>
              </w:rPr>
            </w:r>
            <w:r>
              <w:rPr>
                <w:rFonts w:ascii="Georgia" w:hAnsi="Georgia"/>
                <w:b/>
                <w:color w:val="FFFFFF"/>
                <w:sz w:val="14"/>
              </w:rPr>
              <w:t>Decision</w:t>
            </w:r>
          </w:p>
        </w:tc>
        <w:tc>
          <w:tcPr>
            <w:tcW w:type="dxa" w:w="5090"/>
            <w:shd w:val="clear" w:fill="0B2545"/>
          </w:tcPr>
          <w:p>
            <w:pPr>
              <w:spacing w:before="20" w:after="20"/>
            </w:pPr>
            <w:r>
              <w:rPr>
                <w:rFonts w:ascii="Georgia" w:hAnsi="Georgia"/>
                <w:b/>
                <w:color w:val="FFFFFF"/>
                <w:sz w:val="14"/>
              </w:rPr>
            </w:r>
            <w:r>
              <w:rPr>
                <w:rFonts w:ascii="Georgia" w:hAnsi="Georgia"/>
                <w:b/>
                <w:color w:val="FFFFFF"/>
                <w:sz w:val="14"/>
              </w:rPr>
              <w:t>Assessment</w:t>
            </w:r>
          </w:p>
        </w:tc>
      </w:tr>
      <w:tr>
        <w:tc>
          <w:tcPr>
            <w:tcW w:type="dxa" w:w="5090"/>
          </w:tcPr>
          <w:p>
            <w:pPr>
              <w:spacing w:before="20" w:after="20"/>
            </w:pPr>
            <w:r>
              <w:rPr>
                <w:rFonts w:ascii="Georgia" w:hAnsi="Georgia"/>
                <w:sz w:val="14"/>
              </w:rPr>
            </w:r>
            <w:r>
              <w:rPr>
                <w:rFonts w:ascii="Georgia" w:hAnsi="Georgia"/>
                <w:sz w:val="14"/>
              </w:rPr>
              <w:t>Organic reinvestment in delivery and training</w:t>
            </w:r>
          </w:p>
        </w:tc>
        <w:tc>
          <w:tcPr>
            <w:tcW w:type="dxa" w:w="5090"/>
          </w:tcPr>
          <w:p>
            <w:pPr>
              <w:spacing w:before="20" w:after="20"/>
            </w:pPr>
            <w:r>
              <w:rPr>
                <w:rFonts w:ascii="Georgia" w:hAnsi="Georgia"/>
                <w:sz w:val="14"/>
              </w:rPr>
            </w:r>
            <w:r>
              <w:rPr>
                <w:rFonts w:ascii="Georgia" w:hAnsi="Georgia"/>
                <w:b/>
                <w:sz w:val="14"/>
              </w:rPr>
              <w:t>Excellent.</w:t>
            </w:r>
            <w:r>
              <w:rPr>
                <w:rFonts w:ascii="Georgia" w:hAnsi="Georgia"/>
                <w:sz w:val="14"/>
              </w:rPr>
              <w:t xml:space="preserve"> The training infrastructure in Central and Eastern Europe and India has been a durable competitive input at low capital cost.</w:t>
            </w:r>
          </w:p>
        </w:tc>
      </w:tr>
      <w:tr>
        <w:tc>
          <w:tcPr>
            <w:tcW w:type="dxa" w:w="5090"/>
            <w:shd w:val="clear" w:fill="F4F7FA"/>
          </w:tcPr>
          <w:p>
            <w:pPr>
              <w:spacing w:before="20" w:after="20"/>
            </w:pPr>
            <w:r>
              <w:rPr>
                <w:rFonts w:ascii="Georgia" w:hAnsi="Georgia"/>
                <w:sz w:val="14"/>
              </w:rPr>
            </w:r>
            <w:r>
              <w:rPr>
                <w:rFonts w:ascii="Georgia" w:hAnsi="Georgia"/>
                <w:sz w:val="14"/>
              </w:rPr>
              <w:t>2022 delivery relocation</w:t>
            </w:r>
          </w:p>
        </w:tc>
        <w:tc>
          <w:tcPr>
            <w:tcW w:type="dxa" w:w="5090"/>
            <w:shd w:val="clear" w:fill="F4F7FA"/>
          </w:tcPr>
          <w:p>
            <w:pPr>
              <w:spacing w:before="20" w:after="20"/>
            </w:pPr>
            <w:r>
              <w:rPr>
                <w:rFonts w:ascii="Georgia" w:hAnsi="Georgia"/>
                <w:sz w:val="14"/>
              </w:rPr>
            </w:r>
            <w:r>
              <w:rPr>
                <w:rFonts w:ascii="Georgia" w:hAnsi="Georgia"/>
                <w:b/>
                <w:sz w:val="14"/>
              </w:rPr>
              <w:t>Outstanding execution.</w:t>
            </w:r>
            <w:r>
              <w:rPr>
                <w:rFonts w:ascii="Georgia" w:hAnsi="Georgia"/>
                <w:sz w:val="14"/>
              </w:rPr>
              <w:t xml:space="preserve"> Rebuilt the delivery map from Eastern Europe to India (now the largest location at roughly 12,200 professionals) and Latin America under extreme duress, at a temporary margin cost of roughly 200bp.</w:t>
            </w:r>
          </w:p>
        </w:tc>
      </w:tr>
      <w:tr>
        <w:tc>
          <w:tcPr>
            <w:tcW w:type="dxa" w:w="5090"/>
          </w:tcPr>
          <w:p>
            <w:pPr>
              <w:spacing w:before="20" w:after="20"/>
            </w:pPr>
            <w:r>
              <w:rPr>
                <w:rFonts w:ascii="Georgia" w:hAnsi="Georgia"/>
                <w:sz w:val="14"/>
              </w:rPr>
            </w:r>
            <w:r>
              <w:rPr>
                <w:rFonts w:ascii="Georgia" w:hAnsi="Georgia"/>
                <w:sz w:val="14"/>
              </w:rPr>
              <w:t>Small tuck-in acquisitions 2015–2023</w:t>
            </w:r>
          </w:p>
        </w:tc>
        <w:tc>
          <w:tcPr>
            <w:tcW w:type="dxa" w:w="5090"/>
          </w:tcPr>
          <w:p>
            <w:pPr>
              <w:spacing w:before="20" w:after="20"/>
            </w:pPr>
            <w:r>
              <w:rPr>
                <w:rFonts w:ascii="Georgia" w:hAnsi="Georgia"/>
                <w:sz w:val="14"/>
              </w:rPr>
            </w:r>
            <w:r>
              <w:rPr>
                <w:rFonts w:ascii="Georgia" w:hAnsi="Georgia"/>
                <w:b/>
                <w:sz w:val="14"/>
              </w:rPr>
              <w:t>Disciplined.</w:t>
            </w:r>
            <w:r>
              <w:rPr>
                <w:rFonts w:ascii="Georgia" w:hAnsi="Georgia"/>
                <w:sz w:val="14"/>
              </w:rPr>
              <w:t xml:space="preserve"> Capability-led, small, well-integrated, no impairments.</w:t>
            </w:r>
          </w:p>
        </w:tc>
      </w:tr>
      <w:tr>
        <w:tc>
          <w:tcPr>
            <w:tcW w:type="dxa" w:w="5090"/>
            <w:shd w:val="clear" w:fill="F4F7FA"/>
          </w:tcPr>
          <w:p>
            <w:pPr>
              <w:spacing w:before="20" w:after="20"/>
            </w:pPr>
            <w:r>
              <w:rPr>
                <w:rFonts w:ascii="Georgia" w:hAnsi="Georgia"/>
                <w:sz w:val="14"/>
              </w:rPr>
            </w:r>
            <w:r>
              <w:rPr>
                <w:rFonts w:ascii="Georgia" w:hAnsi="Georgia"/>
                <w:sz w:val="14"/>
              </w:rPr>
              <w:t>NEORIS and First Derivative (2024, c.$920m)</w:t>
            </w:r>
          </w:p>
        </w:tc>
        <w:tc>
          <w:tcPr>
            <w:tcW w:type="dxa" w:w="5090"/>
            <w:shd w:val="clear" w:fill="F4F7FA"/>
          </w:tcPr>
          <w:p>
            <w:pPr>
              <w:spacing w:before="20" w:after="20"/>
            </w:pPr>
            <w:r>
              <w:rPr>
                <w:rFonts w:ascii="Georgia" w:hAnsi="Georgia"/>
                <w:sz w:val="14"/>
              </w:rPr>
            </w:r>
            <w:r>
              <w:rPr>
                <w:rFonts w:ascii="Georgia" w:hAnsi="Georgia"/>
                <w:b/>
                <w:sz w:val="14"/>
              </w:rPr>
              <w:t>Questionable timing.</w:t>
            </w:r>
            <w:r>
              <w:rPr>
                <w:rFonts w:ascii="Georgia" w:hAnsi="Georgia"/>
                <w:sz w:val="14"/>
              </w:rPr>
              <w:t xml:space="preserve"> Strategically coherent, but executed near the cycle peak, consumed the interest-earning cash pile, flattered reported growth while organic decelerated, and lifted goodwill to roughly $1.21bn. Verdict pending.</w:t>
            </w:r>
          </w:p>
        </w:tc>
      </w:tr>
      <w:tr>
        <w:tc>
          <w:tcPr>
            <w:tcW w:type="dxa" w:w="5090"/>
          </w:tcPr>
          <w:p>
            <w:pPr>
              <w:spacing w:before="20" w:after="20"/>
            </w:pPr>
            <w:r>
              <w:rPr>
                <w:rFonts w:ascii="Georgia" w:hAnsi="Georgia"/>
                <w:sz w:val="14"/>
              </w:rPr>
            </w:r>
            <w:r>
              <w:rPr>
                <w:rFonts w:ascii="Georgia" w:hAnsi="Georgia"/>
                <w:sz w:val="14"/>
              </w:rPr>
              <w:t>Buybacks</w:t>
            </w:r>
          </w:p>
        </w:tc>
        <w:tc>
          <w:tcPr>
            <w:tcW w:type="dxa" w:w="5090"/>
          </w:tcPr>
          <w:p>
            <w:pPr>
              <w:spacing w:before="20" w:after="20"/>
            </w:pPr>
            <w:r>
              <w:rPr>
                <w:rFonts w:ascii="Georgia" w:hAnsi="Georgia"/>
                <w:sz w:val="14"/>
              </w:rPr>
            </w:r>
            <w:r>
              <w:rPr>
                <w:rFonts w:ascii="Georgia" w:hAnsi="Georgia"/>
                <w:b/>
                <w:sz w:val="14"/>
              </w:rPr>
              <w:t>Improving and now well-timed.</w:t>
            </w:r>
            <w:r>
              <w:rPr>
                <w:rFonts w:ascii="Georgia" w:hAnsi="Georgia"/>
                <w:sz w:val="14"/>
              </w:rPr>
              <w:t xml:space="preserve"> $164.9m (2023), $398.0m (2024), $662.2m (2025), plus a $300m accelerated repurchase in March 2026. Repurchasing at 8–9x earnings is genuinely accretive.</w:t>
            </w:r>
          </w:p>
        </w:tc>
      </w:tr>
      <w:tr>
        <w:tc>
          <w:tcPr>
            <w:tcW w:type="dxa" w:w="5090"/>
            <w:shd w:val="clear" w:fill="F4F7FA"/>
          </w:tcPr>
          <w:p>
            <w:pPr>
              <w:spacing w:before="20" w:after="20"/>
            </w:pPr>
            <w:r>
              <w:rPr>
                <w:rFonts w:ascii="Georgia" w:hAnsi="Georgia"/>
                <w:sz w:val="14"/>
              </w:rPr>
            </w:r>
            <w:r>
              <w:rPr>
                <w:rFonts w:ascii="Georgia" w:hAnsi="Georgia"/>
                <w:sz w:val="14"/>
              </w:rPr>
              <w:t>Dividends</w:t>
            </w:r>
          </w:p>
        </w:tc>
        <w:tc>
          <w:tcPr>
            <w:tcW w:type="dxa" w:w="5090"/>
            <w:shd w:val="clear" w:fill="F4F7FA"/>
          </w:tcPr>
          <w:p>
            <w:pPr>
              <w:spacing w:before="20" w:after="20"/>
              <w:jc w:val="right"/>
            </w:pPr>
            <w:r>
              <w:rPr>
                <w:rFonts w:ascii="Georgia" w:hAnsi="Georgia"/>
                <w:sz w:val="14"/>
              </w:rPr>
            </w:r>
            <w:r>
              <w:rPr>
                <w:rFonts w:ascii="Georgia" w:hAnsi="Georgia"/>
                <w:b/>
                <w:sz w:val="14"/>
              </w:rPr>
              <w:t>None ever paid.</w:t>
            </w:r>
            <w:r>
              <w:rPr>
                <w:rFonts w:ascii="Georgia" w:hAnsi="Georgia"/>
                <w:sz w:val="14"/>
              </w:rPr>
              <w:t xml:space="preserve"> Defensible for a growth company; increasingly questionable for one generating a 10% free cash flow yield with no leverage.</w:t>
            </w:r>
          </w:p>
        </w:tc>
      </w:tr>
      <w:tr>
        <w:tc>
          <w:tcPr>
            <w:tcW w:type="dxa" w:w="5090"/>
          </w:tcPr>
          <w:p>
            <w:pPr>
              <w:spacing w:before="20" w:after="20"/>
            </w:pPr>
            <w:r>
              <w:rPr>
                <w:rFonts w:ascii="Georgia" w:hAnsi="Georgia"/>
                <w:sz w:val="14"/>
              </w:rPr>
            </w:r>
            <w:r>
              <w:rPr>
                <w:rFonts w:ascii="Georgia" w:hAnsi="Georgia"/>
                <w:sz w:val="14"/>
              </w:rPr>
              <w:t>Cash retention</w:t>
            </w:r>
          </w:p>
        </w:tc>
        <w:tc>
          <w:tcPr>
            <w:tcW w:type="dxa" w:w="5090"/>
          </w:tcPr>
          <w:p>
            <w:pPr>
              <w:spacing w:before="20" w:after="20"/>
            </w:pPr>
            <w:r>
              <w:rPr>
                <w:rFonts w:ascii="Georgia" w:hAnsi="Georgia"/>
                <w:sz w:val="14"/>
              </w:rPr>
            </w:r>
            <w:r>
              <w:rPr>
                <w:rFonts w:ascii="Georgia" w:hAnsi="Georgia"/>
                <w:b/>
                <w:sz w:val="14"/>
              </w:rPr>
              <w:t>Over-conservative.</w:t>
            </w:r>
            <w:r>
              <w:rPr>
                <w:rFonts w:ascii="Georgia" w:hAnsi="Georgia"/>
                <w:sz w:val="14"/>
              </w:rPr>
              <w:t xml:space="preserve"> Holding $794m earning roughly 4% while the equity yields roughly 10% in free cash flow is a real, quantifiable opportunity cost.</w:t>
            </w:r>
          </w:p>
        </w:tc>
      </w:tr>
    </w:tbl>
    <w:p>
      <w:pPr>
        <w:spacing w:after="60"/>
      </w:pPr>
    </w:p>
    <w:p>
      <w:pPr>
        <w:spacing w:before="0" w:after="80"/>
        <w:jc w:val="both"/>
      </w:pPr>
      <w:r>
        <w:rPr>
          <w:b/>
        </w:rPr>
        <w:t>ROE / ROIC trend.</w:t>
      </w:r>
      <w:r>
        <w:rPr/>
        <w:t xml:space="preserve"> Return on equity ran in the high teens to low twenties through the 2019–2021 growth phase, compressed toward the low-to-mid teens in 2022–2023 on the war shock and the equity build-up, and on FY2025's derived GAAP net income of roughly $366m against a substantially larger equity base sits in the region of </w:t>
      </w:r>
      <w:r>
        <w:rPr>
          <w:b/>
        </w:rPr>
        <w:t>10–12%</w:t>
      </w:r>
      <w:r>
        <w:rPr/>
        <w:t xml:space="preserve">. ROIC has followed a similar path and has been diluted by the roughly $1.21bn of goodwill added in 2024. </w:t>
      </w:r>
      <w:r>
        <w:rPr>
          <w:b/>
        </w:rPr>
        <w:t>The direction is unambiguously downward</w:t>
      </w:r>
      <w:r>
        <w:rPr/>
        <w:t>, and it is the strongest quantitative criticism of management's recent capital allocation. Note these returns are author estimates; EPAM does not report ROIC.</w:t>
      </w:r>
    </w:p>
    <w:p>
      <w:pPr>
        <w:keepNext/>
        <w:spacing w:before="200" w:after="80"/>
      </w:pPr>
      <w:r>
        <w:rPr>
          <w:rFonts w:ascii="Georgia" w:hAnsi="Georgia"/>
          <w:b/>
          <w:color w:val="14487F"/>
          <w:sz w:val="21"/>
        </w:rPr>
        <w:t>4) Red flags</w:t>
      </w:r>
    </w:p>
    <w:p>
      <w:pPr>
        <w:pStyle w:val="ListBullet"/>
        <w:spacing w:after="50"/>
        <w:ind w:left="403"/>
        <w:jc w:val="both"/>
      </w:pPr>
      <w:r>
        <w:rPr>
          <w:rFonts w:ascii="Georgia" w:hAnsi="Georgia"/>
          <w:b/>
          <w:sz w:val="17"/>
        </w:rPr>
        <w:t>No related-party transactions of significance identified</w:t>
      </w:r>
      <w:r>
        <w:rPr>
          <w:rFonts w:ascii="Georgia" w:hAnsi="Georgia"/>
          <w:sz w:val="17"/>
        </w:rPr>
        <w:t xml:space="preserve"> in available disclosure. Governance appears clean on this dimension.</w:t>
      </w:r>
    </w:p>
    <w:p>
      <w:pPr>
        <w:pStyle w:val="ListBullet"/>
        <w:spacing w:after="50"/>
        <w:ind w:left="403"/>
        <w:jc w:val="both"/>
      </w:pPr>
      <w:r>
        <w:rPr>
          <w:rFonts w:ascii="Georgia" w:hAnsi="Georgia"/>
          <w:b/>
          <w:sz w:val="17"/>
        </w:rPr>
        <w:t>Stock-based compensation is elevated</w:t>
      </w:r>
      <w:r>
        <w:rPr>
          <w:rFonts w:ascii="Georgia" w:hAnsi="Georgia"/>
          <w:sz w:val="17"/>
        </w:rPr>
        <w:t xml:space="preserve"> — approximately $167.3m in FY2024 and estimated near $200m in FY2026, roughly 3–3.5% of revenue and approximately 30% of GAAP operating income. This is the principal driver of the widening GAAP/non-GAAP gap and represents real economic cost to shareholders. It is mitigated, but only partly, by buybacks.</w:t>
      </w:r>
    </w:p>
    <w:p>
      <w:pPr>
        <w:pStyle w:val="ListBullet"/>
        <w:spacing w:after="50"/>
        <w:ind w:left="403"/>
        <w:jc w:val="both"/>
      </w:pPr>
      <w:r>
        <w:rPr>
          <w:rFonts w:ascii="Georgia" w:hAnsi="Georgia"/>
          <w:b/>
          <w:sz w:val="17"/>
        </w:rPr>
        <w:t>Guidance credibility is the material red flag.</w:t>
      </w:r>
      <w:r>
        <w:rPr>
          <w:rFonts w:ascii="Georgia" w:hAnsi="Georgia"/>
          <w:sz w:val="17"/>
        </w:rPr>
        <w:t xml:space="preserve"> Three consecutive years of full-year revenue guidance cuts (2024, 2025, 2026). Whether this reflects genuine demand volatility or systematic over-optimism, the market has stopped underwriting management's forward numbers — which is why the stock now trades on cash flow rather than growth.</w:t>
      </w:r>
    </w:p>
    <w:p>
      <w:pPr>
        <w:pStyle w:val="ListBullet"/>
        <w:spacing w:after="50"/>
        <w:ind w:left="403"/>
        <w:jc w:val="both"/>
      </w:pPr>
      <w:r>
        <w:rPr>
          <w:rFonts w:ascii="Georgia" w:hAnsi="Georgia"/>
          <w:b/>
          <w:sz w:val="17"/>
        </w:rPr>
        <w:t>Strategy pivot frequency: low, and the current pivot is warranted.</w:t>
      </w:r>
      <w:r>
        <w:rPr>
          <w:rFonts w:ascii="Georgia" w:hAnsi="Georgia"/>
          <w:sz w:val="17"/>
        </w:rPr>
        <w:t xml:space="preserve"> EPAM has been consistent for three decades. The AI-native repositioning is a response to genuine technological change, not fashion.</w:t>
      </w:r>
    </w:p>
    <w:p>
      <w:pPr>
        <w:pStyle w:val="ListBullet"/>
        <w:spacing w:after="50"/>
        <w:ind w:left="403"/>
        <w:jc w:val="both"/>
      </w:pPr>
      <w:r>
        <w:rPr>
          <w:rFonts w:ascii="Georgia" w:hAnsi="Georgia"/>
          <w:b/>
          <w:sz w:val="17"/>
        </w:rPr>
        <w:t>Promotional behaviour: mild.</w:t>
      </w:r>
      <w:r>
        <w:rPr>
          <w:rFonts w:ascii="Georgia" w:hAnsi="Georgia"/>
          <w:sz w:val="17"/>
        </w:rPr>
        <w:t xml:space="preserve"> "AI-native", "client zero" and "agentic enterprise harnesses" are marketing constructs, and the newly-disclosed "AI-native revenue" KPI is company-defined and unaudited — investors cannot verify what is included. This deserves scepticism, though it is far from the worst in the sector.</w:t>
      </w:r>
    </w:p>
    <w:p>
      <w:pPr>
        <w:pStyle w:val="ListBullet"/>
        <w:spacing w:after="50"/>
        <w:ind w:left="403"/>
        <w:jc w:val="both"/>
      </w:pPr>
      <w:r>
        <w:rPr>
          <w:rFonts w:ascii="Georgia" w:hAnsi="Georgia"/>
          <w:b/>
          <w:sz w:val="17"/>
        </w:rPr>
        <w:t>Executive compensation</w:t>
      </w:r>
      <w:r>
        <w:rPr>
          <w:rFonts w:ascii="Georgia" w:hAnsi="Georgia"/>
          <w:sz w:val="17"/>
        </w:rPr>
        <w:t xml:space="preserve"> appears within normal ranges for a company of this size; no evidence of egregious quantum was identified.</w:t>
      </w:r>
    </w:p>
    <w:p>
      <w:pPr>
        <w:keepNext/>
        <w:spacing w:before="200" w:after="80"/>
      </w:pPr>
      <w:r>
        <w:rPr>
          <w:rFonts w:ascii="Georgia" w:hAnsi="Georgia"/>
          <w:b/>
          <w:color w:val="14487F"/>
          <w:sz w:val="21"/>
        </w:rPr>
        <w:t>5) Founder versus professional manager</w:t>
      </w:r>
    </w:p>
    <w:p>
      <w:pPr>
        <w:spacing w:before="0" w:after="80"/>
        <w:jc w:val="both"/>
      </w:pPr>
      <w:r>
        <w:rPr/>
        <w:t xml:space="preserve">EPAM has just completed the transition from </w:t>
      </w:r>
      <w:r>
        <w:rPr>
          <w:b/>
        </w:rPr>
        <w:t>founder-led to professional management</w:t>
      </w:r>
      <w:r>
        <w:rPr/>
        <w:t xml:space="preserve">, with the founder retained as Executive Chairman — a hybrid structure. For this stage of the business the implications are mixed but net favourable. A founder with 32 years of identity investment in "the engineering firm" might resist the honest conclusion that engineering hours are being deflated; a professional CEO can reallocate toward margin, IP and buybacks without that emotional cost, and Fejes has visibly done so. Conversely, the AI transition requires exactly the kind of bet-the-company conviction founders supply and professional managers often lack, and Dobkin's retention as Executive Chairman is presumably intended to preserve it. </w:t>
      </w:r>
      <w:r>
        <w:rPr>
          <w:b/>
        </w:rPr>
        <w:t>The risk is the classic one for this structure: divided authority during a period requiring decisive action.</w:t>
      </w:r>
      <w:r>
        <w:rPr/>
        <w:t xml:space="preserve"> There is no evidence of friction to date.</w:t>
      </w:r>
    </w:p>
    <w:p>
      <w:pPr>
        <w:keepNext/>
        <w:spacing w:before="200" w:after="80"/>
      </w:pPr>
      <w:r>
        <w:rPr>
          <w:rFonts w:ascii="Georgia" w:hAnsi="Georgia"/>
          <w:b/>
          <w:color w:val="14487F"/>
          <w:sz w:val="21"/>
        </w:rPr>
        <w:t>Changes to senior management</w:t>
      </w:r>
    </w:p>
    <w:p>
      <w:pPr>
        <w:pStyle w:val="ListBullet"/>
        <w:spacing w:after="50"/>
        <w:ind w:left="403"/>
        <w:jc w:val="both"/>
      </w:pPr>
      <w:r>
        <w:rPr>
          <w:rFonts w:ascii="Georgia" w:hAnsi="Georgia"/>
          <w:b/>
          <w:sz w:val="17"/>
        </w:rPr>
        <w:t>September 2025 (announced May 2025):</w:t>
      </w:r>
      <w:r>
        <w:rPr>
          <w:rFonts w:ascii="Georgia" w:hAnsi="Georgia"/>
          <w:sz w:val="17"/>
        </w:rPr>
        <w:t xml:space="preserve"> Arkadiy Dobkin transitions from Chairman, CEO and President to Executive Chairman. Balazs Fejes, previously President of Global Business and Chief Revenue Officer, becomes CEO and President. An orderly, well-telegraphed succession — roughly four months of notice — and a positive governance signal.</w:t>
      </w:r>
    </w:p>
    <w:p>
      <w:pPr>
        <w:pStyle w:val="ListBullet"/>
        <w:spacing w:after="50"/>
        <w:ind w:left="403"/>
        <w:jc w:val="both"/>
      </w:pPr>
      <w:r>
        <w:rPr>
          <w:rFonts w:ascii="Georgia" w:hAnsi="Georgia"/>
          <w:b/>
          <w:sz w:val="17"/>
        </w:rPr>
        <w:t>Jason Peterson remains CFO</w:t>
      </w:r>
      <w:r>
        <w:rPr>
          <w:rFonts w:ascii="Georgia" w:hAnsi="Georgia"/>
          <w:sz w:val="17"/>
        </w:rPr>
        <w:t>, providing continuity through the CEO transition. No CFO succession has been announced.</w:t>
      </w:r>
    </w:p>
    <w:p>
      <w:pPr>
        <w:keepNext/>
        <w:spacing w:before="320" w:after="120"/>
        <w:pBdr>
          <w:bottom w:val="single" w:sz="12" w:space="2" w:color="0B2545"/>
        </w:pBdr>
      </w:pPr>
      <w:r>
        <w:rPr>
          <w:rFonts w:ascii="Georgia" w:hAnsi="Georgia"/>
          <w:b/>
          <w:color w:val="0B2545"/>
          <w:sz w:val="26"/>
        </w:rPr>
        <w:t>16. Board of Directors</w:t>
      </w:r>
    </w:p>
    <w:tbl>
      <w:tblPr>
        <w:tblStyle w:val="TableGrid"/>
        <w:tblW w:type="auto" w:w="0"/>
        <w:jc w:val="center"/>
        <w:tblLayout w:type="autofit"/>
        <w:tblLook w:firstColumn="1" w:firstRow="1" w:lastColumn="0" w:lastRow="0" w:noHBand="0" w:noVBand="1" w:val="04A0"/>
      </w:tblPr>
      <w:tblGrid>
        <w:gridCol w:w="2545"/>
        <w:gridCol w:w="2545"/>
        <w:gridCol w:w="2545"/>
        <w:gridCol w:w="2545"/>
      </w:tblGrid>
      <w:tr>
        <w:tc>
          <w:tcPr>
            <w:tcW w:type="dxa" w:w="2545"/>
            <w:shd w:val="clear" w:fill="0B2545"/>
          </w:tcPr>
          <w:p>
            <w:pPr>
              <w:spacing w:before="20" w:after="20"/>
            </w:pPr>
            <w:r>
              <w:rPr>
                <w:rFonts w:ascii="Georgia" w:hAnsi="Georgia"/>
                <w:b/>
                <w:color w:val="FFFFFF"/>
                <w:sz w:val="14"/>
              </w:rPr>
            </w:r>
            <w:r>
              <w:rPr>
                <w:rFonts w:ascii="Georgia" w:hAnsi="Georgia"/>
                <w:b/>
                <w:color w:val="FFFFFF"/>
                <w:sz w:val="14"/>
              </w:rPr>
              <w:t>Director</w:t>
            </w:r>
          </w:p>
        </w:tc>
        <w:tc>
          <w:tcPr>
            <w:tcW w:type="dxa" w:w="2545"/>
            <w:shd w:val="clear" w:fill="0B2545"/>
          </w:tcPr>
          <w:p>
            <w:pPr>
              <w:spacing w:before="20" w:after="20"/>
            </w:pPr>
            <w:r>
              <w:rPr>
                <w:rFonts w:ascii="Georgia" w:hAnsi="Georgia"/>
                <w:b/>
                <w:color w:val="FFFFFF"/>
                <w:sz w:val="14"/>
              </w:rPr>
            </w:r>
            <w:r>
              <w:rPr>
                <w:rFonts w:ascii="Georgia" w:hAnsi="Georgia"/>
                <w:b/>
                <w:color w:val="FFFFFF"/>
                <w:sz w:val="14"/>
              </w:rPr>
              <w:t>Role</w:t>
            </w:r>
          </w:p>
        </w:tc>
        <w:tc>
          <w:tcPr>
            <w:tcW w:type="dxa" w:w="2545"/>
            <w:shd w:val="clear" w:fill="0B2545"/>
          </w:tcPr>
          <w:p>
            <w:pPr>
              <w:spacing w:before="20" w:after="20"/>
            </w:pPr>
            <w:r>
              <w:rPr>
                <w:rFonts w:ascii="Georgia" w:hAnsi="Georgia"/>
                <w:b/>
                <w:color w:val="FFFFFF"/>
                <w:sz w:val="14"/>
              </w:rPr>
            </w:r>
            <w:r>
              <w:rPr>
                <w:rFonts w:ascii="Georgia" w:hAnsi="Georgia"/>
                <w:b/>
                <w:color w:val="FFFFFF"/>
                <w:sz w:val="14"/>
              </w:rPr>
              <w:t>Tenure</w:t>
            </w:r>
          </w:p>
        </w:tc>
        <w:tc>
          <w:tcPr>
            <w:tcW w:type="dxa" w:w="2545"/>
            <w:shd w:val="clear" w:fill="0B2545"/>
          </w:tcPr>
          <w:p>
            <w:pPr>
              <w:spacing w:before="20" w:after="20"/>
            </w:pPr>
            <w:r>
              <w:rPr>
                <w:rFonts w:ascii="Georgia" w:hAnsi="Georgia"/>
                <w:b/>
                <w:color w:val="FFFFFF"/>
                <w:sz w:val="14"/>
              </w:rPr>
            </w:r>
            <w:r>
              <w:rPr>
                <w:rFonts w:ascii="Georgia" w:hAnsi="Georgia"/>
                <w:b/>
                <w:color w:val="FFFFFF"/>
                <w:sz w:val="14"/>
              </w:rPr>
              <w:t>Background and other affiliations</w:t>
            </w:r>
          </w:p>
        </w:tc>
      </w:tr>
      <w:tr>
        <w:tc>
          <w:tcPr>
            <w:tcW w:type="dxa" w:w="2545"/>
          </w:tcPr>
          <w:p>
            <w:pPr>
              <w:spacing w:before="20" w:after="20"/>
            </w:pPr>
            <w:r>
              <w:rPr>
                <w:rFonts w:ascii="Georgia" w:hAnsi="Georgia"/>
                <w:sz w:val="14"/>
              </w:rPr>
            </w:r>
            <w:r>
              <w:rPr>
                <w:rFonts w:ascii="Georgia" w:hAnsi="Georgia"/>
                <w:b/>
                <w:sz w:val="14"/>
              </w:rPr>
              <w:t>Arkadiy Dobkin</w:t>
            </w:r>
          </w:p>
        </w:tc>
        <w:tc>
          <w:tcPr>
            <w:tcW w:type="dxa" w:w="2545"/>
          </w:tcPr>
          <w:p>
            <w:pPr>
              <w:spacing w:before="20" w:after="20"/>
            </w:pPr>
            <w:r>
              <w:rPr>
                <w:rFonts w:ascii="Georgia" w:hAnsi="Georgia"/>
                <w:sz w:val="14"/>
              </w:rPr>
            </w:r>
            <w:r>
              <w:rPr>
                <w:rFonts w:ascii="Georgia" w:hAnsi="Georgia"/>
                <w:sz w:val="14"/>
              </w:rPr>
              <w:t>Executive Chairman; Founder</w:t>
            </w:r>
          </w:p>
        </w:tc>
        <w:tc>
          <w:tcPr>
            <w:tcW w:type="dxa" w:w="2545"/>
          </w:tcPr>
          <w:p>
            <w:pPr>
              <w:spacing w:before="20" w:after="20"/>
            </w:pPr>
            <w:r>
              <w:rPr>
                <w:rFonts w:ascii="Georgia" w:hAnsi="Georgia"/>
                <w:sz w:val="14"/>
              </w:rPr>
            </w:r>
            <w:r>
              <w:rPr>
                <w:rFonts w:ascii="Georgia" w:hAnsi="Georgia"/>
                <w:sz w:val="14"/>
              </w:rPr>
              <w:t>Director since 1993 (33 years); Chairman through Sept 2025, Executive Chairman thereafter</w:t>
            </w:r>
          </w:p>
        </w:tc>
        <w:tc>
          <w:tcPr>
            <w:tcW w:type="dxa" w:w="2545"/>
          </w:tcPr>
          <w:p>
            <w:pPr>
              <w:spacing w:before="20" w:after="20"/>
            </w:pPr>
            <w:r>
              <w:rPr>
                <w:rFonts w:ascii="Georgia" w:hAnsi="Georgia"/>
                <w:sz w:val="14"/>
              </w:rPr>
            </w:r>
            <w:r>
              <w:rPr>
                <w:rFonts w:ascii="Georgia" w:hAnsi="Georgia"/>
                <w:sz w:val="14"/>
              </w:rPr>
              <w:t>Co-founder and CEO 1993–2025. Led the 2012 NYSE IPO. Soviet-trained engineer; the architect of EPAM's engineering culture and its 2022 crisis response. Largest individual shareholder at approximately 1.76m shares.</w:t>
            </w:r>
          </w:p>
        </w:tc>
      </w:tr>
      <w:tr>
        <w:tc>
          <w:tcPr>
            <w:tcW w:type="dxa" w:w="2545"/>
            <w:shd w:val="clear" w:fill="F4F7FA"/>
          </w:tcPr>
          <w:p>
            <w:pPr>
              <w:spacing w:before="20" w:after="20"/>
            </w:pPr>
            <w:r>
              <w:rPr>
                <w:rFonts w:ascii="Georgia" w:hAnsi="Georgia"/>
                <w:sz w:val="14"/>
              </w:rPr>
            </w:r>
            <w:r>
              <w:rPr>
                <w:rFonts w:ascii="Georgia" w:hAnsi="Georgia"/>
                <w:b/>
                <w:sz w:val="14"/>
              </w:rPr>
              <w:t>Balazs Fejes</w:t>
            </w:r>
          </w:p>
        </w:tc>
        <w:tc>
          <w:tcPr>
            <w:tcW w:type="dxa" w:w="2545"/>
            <w:shd w:val="clear" w:fill="F4F7FA"/>
          </w:tcPr>
          <w:p>
            <w:pPr>
              <w:spacing w:before="20" w:after="20"/>
            </w:pPr>
            <w:r>
              <w:rPr>
                <w:rFonts w:ascii="Georgia" w:hAnsi="Georgia"/>
                <w:sz w:val="14"/>
              </w:rPr>
            </w:r>
            <w:r>
              <w:rPr>
                <w:rFonts w:ascii="Georgia" w:hAnsi="Georgia"/>
                <w:sz w:val="14"/>
              </w:rPr>
              <w:t>CEO, President; Director</w:t>
            </w:r>
          </w:p>
        </w:tc>
        <w:tc>
          <w:tcPr>
            <w:tcW w:type="dxa" w:w="2545"/>
            <w:shd w:val="clear" w:fill="F4F7FA"/>
          </w:tcPr>
          <w:p>
            <w:pPr>
              <w:spacing w:before="20" w:after="20"/>
            </w:pPr>
            <w:r>
              <w:rPr>
                <w:rFonts w:ascii="Georgia" w:hAnsi="Georgia"/>
                <w:sz w:val="14"/>
              </w:rPr>
            </w:r>
            <w:r>
              <w:rPr>
                <w:rFonts w:ascii="Georgia" w:hAnsi="Georgia"/>
                <w:sz w:val="14"/>
              </w:rPr>
              <w:t>Director from 2025/26; Class II nominee at the 2026 AGM</w:t>
            </w:r>
          </w:p>
        </w:tc>
        <w:tc>
          <w:tcPr>
            <w:tcW w:type="dxa" w:w="2545"/>
            <w:shd w:val="clear" w:fill="F4F7FA"/>
          </w:tcPr>
          <w:p>
            <w:pPr>
              <w:spacing w:before="20" w:after="20"/>
            </w:pPr>
            <w:r>
              <w:rPr>
                <w:rFonts w:ascii="Georgia" w:hAnsi="Georgia"/>
                <w:sz w:val="14"/>
              </w:rPr>
            </w:r>
            <w:r>
              <w:rPr>
                <w:rFonts w:ascii="Georgia" w:hAnsi="Georgia"/>
                <w:sz w:val="14"/>
              </w:rPr>
              <w:t>Approximately two decades at EPAM, joining via the acquisition of Hungary's Fathom Technology. Previously President of Global Business and Chief Revenue Officer, and before that Co-Head of Global Business and CTO for financial services.</w:t>
            </w:r>
          </w:p>
        </w:tc>
      </w:tr>
      <w:tr>
        <w:tc>
          <w:tcPr>
            <w:tcW w:type="dxa" w:w="2545"/>
          </w:tcPr>
          <w:p>
            <w:pPr>
              <w:spacing w:before="20" w:after="20"/>
            </w:pPr>
            <w:r>
              <w:rPr>
                <w:rFonts w:ascii="Georgia" w:hAnsi="Georgia"/>
                <w:sz w:val="14"/>
              </w:rPr>
            </w:r>
            <w:r>
              <w:rPr>
                <w:rFonts w:ascii="Georgia" w:hAnsi="Georgia"/>
                <w:b/>
                <w:sz w:val="14"/>
              </w:rPr>
              <w:t>Karl Robb</w:t>
            </w:r>
          </w:p>
        </w:tc>
        <w:tc>
          <w:tcPr>
            <w:tcW w:type="dxa" w:w="2545"/>
          </w:tcPr>
          <w:p>
            <w:pPr>
              <w:spacing w:before="20" w:after="20"/>
            </w:pPr>
            <w:r>
              <w:rPr>
                <w:rFonts w:ascii="Georgia" w:hAnsi="Georgia"/>
                <w:sz w:val="14"/>
              </w:rPr>
            </w:r>
            <w:r>
              <w:rPr>
                <w:rFonts w:ascii="Georgia" w:hAnsi="Georgia"/>
                <w:sz w:val="14"/>
              </w:rPr>
              <w:t>Non-executive Director</w:t>
            </w:r>
          </w:p>
        </w:tc>
        <w:tc>
          <w:tcPr>
            <w:tcW w:type="dxa" w:w="2545"/>
          </w:tcPr>
          <w:p>
            <w:pPr>
              <w:spacing w:before="20" w:after="20"/>
            </w:pPr>
            <w:r>
              <w:rPr>
                <w:rFonts w:ascii="Georgia" w:hAnsi="Georgia"/>
                <w:sz w:val="14"/>
              </w:rPr>
            </w:r>
            <w:r>
              <w:rPr>
                <w:rFonts w:ascii="Georgia" w:hAnsi="Georgia"/>
                <w:sz w:val="14"/>
              </w:rPr>
              <w:t xml:space="preserve">Director since </w:t>
            </w:r>
            <w:r>
              <w:rPr>
                <w:rFonts w:ascii="Georgia" w:hAnsi="Georgia"/>
                <w:b/>
                <w:sz w:val="14"/>
              </w:rPr>
              <w:t>March 2004</w:t>
            </w:r>
            <w:r>
              <w:rPr>
                <w:rFonts w:ascii="Georgia" w:hAnsi="Georgia"/>
                <w:sz w:val="14"/>
              </w:rPr>
              <w:t xml:space="preserve"> (22 years) — the longest-serving non-founder</w:t>
            </w:r>
          </w:p>
        </w:tc>
        <w:tc>
          <w:tcPr>
            <w:tcW w:type="dxa" w:w="2545"/>
          </w:tcPr>
          <w:p>
            <w:pPr>
              <w:spacing w:before="20" w:after="20"/>
            </w:pPr>
            <w:r>
              <w:rPr>
                <w:rFonts w:ascii="Georgia" w:hAnsi="Georgia"/>
                <w:sz w:val="14"/>
              </w:rPr>
            </w:r>
            <w:r>
              <w:rPr>
                <w:rFonts w:ascii="Georgia" w:hAnsi="Georgia"/>
                <w:sz w:val="14"/>
              </w:rPr>
              <w:t>Former Executive Vice President and President of EU Operations at EPAM until retirement in April 2015. Deep operational knowledge of the European delivery base, but as a former executive with 22 years on the board his independence is materially qualified.</w:t>
            </w:r>
          </w:p>
        </w:tc>
      </w:tr>
      <w:tr>
        <w:tc>
          <w:tcPr>
            <w:tcW w:type="dxa" w:w="2545"/>
            <w:shd w:val="clear" w:fill="F4F7FA"/>
          </w:tcPr>
          <w:p>
            <w:pPr>
              <w:spacing w:before="20" w:after="20"/>
            </w:pPr>
            <w:r>
              <w:rPr>
                <w:rFonts w:ascii="Georgia" w:hAnsi="Georgia"/>
                <w:sz w:val="14"/>
              </w:rPr>
            </w:r>
            <w:r>
              <w:rPr>
                <w:rFonts w:ascii="Georgia" w:hAnsi="Georgia"/>
                <w:b/>
                <w:sz w:val="14"/>
              </w:rPr>
              <w:t>Richard Michael Mayoras</w:t>
            </w:r>
          </w:p>
        </w:tc>
        <w:tc>
          <w:tcPr>
            <w:tcW w:type="dxa" w:w="2545"/>
            <w:shd w:val="clear" w:fill="F4F7FA"/>
          </w:tcPr>
          <w:p>
            <w:pPr>
              <w:spacing w:before="20" w:after="20"/>
            </w:pPr>
            <w:r>
              <w:rPr>
                <w:rFonts w:ascii="Georgia" w:hAnsi="Georgia"/>
                <w:sz w:val="14"/>
              </w:rPr>
            </w:r>
            <w:r>
              <w:rPr>
                <w:rFonts w:ascii="Georgia" w:hAnsi="Georgia"/>
                <w:sz w:val="14"/>
              </w:rPr>
              <w:t>Non-executive Director</w:t>
            </w:r>
          </w:p>
        </w:tc>
        <w:tc>
          <w:tcPr>
            <w:tcW w:type="dxa" w:w="2545"/>
            <w:shd w:val="clear" w:fill="F4F7FA"/>
          </w:tcPr>
          <w:p>
            <w:pPr>
              <w:spacing w:before="20" w:after="20"/>
            </w:pPr>
            <w:r>
              <w:rPr>
                <w:rFonts w:ascii="Georgia" w:hAnsi="Georgia"/>
                <w:sz w:val="14"/>
              </w:rPr>
            </w:r>
            <w:r>
              <w:rPr>
                <w:rFonts w:ascii="Georgia" w:hAnsi="Georgia"/>
                <w:sz w:val="14"/>
              </w:rPr>
              <w:t xml:space="preserve">Director since </w:t>
            </w:r>
            <w:r>
              <w:rPr>
                <w:rFonts w:ascii="Georgia" w:hAnsi="Georgia"/>
                <w:b/>
                <w:sz w:val="14"/>
              </w:rPr>
              <w:t>January 2013</w:t>
            </w:r>
            <w:r>
              <w:rPr>
                <w:rFonts w:ascii="Georgia" w:hAnsi="Georgia"/>
                <w:sz w:val="14"/>
              </w:rPr>
              <w:t xml:space="preserve"> (13 years)</w:t>
            </w:r>
          </w:p>
        </w:tc>
        <w:tc>
          <w:tcPr>
            <w:tcW w:type="dxa" w:w="2545"/>
            <w:shd w:val="clear" w:fill="F4F7FA"/>
          </w:tcPr>
          <w:p>
            <w:pPr>
              <w:spacing w:before="20" w:after="20"/>
            </w:pPr>
            <w:r>
              <w:rPr>
                <w:rFonts w:ascii="Georgia" w:hAnsi="Georgia"/>
                <w:sz w:val="14"/>
              </w:rPr>
            </w:r>
            <w:r>
              <w:rPr>
                <w:rFonts w:ascii="Georgia" w:hAnsi="Georgia"/>
                <w:sz w:val="14"/>
              </w:rPr>
              <w:t>More than 30 years in technology, consulting and software. Former CEO of Compuware's Covisint and senior roles across enterprise software.</w:t>
            </w:r>
          </w:p>
        </w:tc>
      </w:tr>
      <w:tr>
        <w:tc>
          <w:tcPr>
            <w:tcW w:type="dxa" w:w="2545"/>
          </w:tcPr>
          <w:p>
            <w:pPr>
              <w:spacing w:before="20" w:after="20"/>
            </w:pPr>
            <w:r>
              <w:rPr>
                <w:rFonts w:ascii="Georgia" w:hAnsi="Georgia"/>
                <w:sz w:val="14"/>
              </w:rPr>
            </w:r>
            <w:r>
              <w:rPr>
                <w:rFonts w:ascii="Georgia" w:hAnsi="Georgia"/>
                <w:b/>
                <w:sz w:val="14"/>
              </w:rPr>
              <w:t>Jill Smart</w:t>
            </w:r>
          </w:p>
        </w:tc>
        <w:tc>
          <w:tcPr>
            <w:tcW w:type="dxa" w:w="2545"/>
          </w:tcPr>
          <w:p>
            <w:pPr>
              <w:spacing w:before="20" w:after="20"/>
            </w:pPr>
            <w:r>
              <w:rPr>
                <w:rFonts w:ascii="Georgia" w:hAnsi="Georgia"/>
                <w:sz w:val="14"/>
              </w:rPr>
            </w:r>
            <w:r>
              <w:rPr>
                <w:rFonts w:ascii="Georgia" w:hAnsi="Georgia"/>
                <w:sz w:val="14"/>
              </w:rPr>
              <w:t>Non-executive Director; Class II nominee 2026</w:t>
            </w:r>
          </w:p>
        </w:tc>
        <w:tc>
          <w:tcPr>
            <w:tcW w:type="dxa" w:w="2545"/>
          </w:tcPr>
          <w:p>
            <w:pPr>
              <w:spacing w:before="20" w:after="20"/>
            </w:pPr>
            <w:r>
              <w:rPr>
                <w:rFonts w:ascii="Georgia" w:hAnsi="Georgia"/>
                <w:sz w:val="14"/>
              </w:rPr>
            </w:r>
            <w:r>
              <w:rPr>
                <w:rFonts w:ascii="Georgia" w:hAnsi="Georgia"/>
                <w:sz w:val="14"/>
              </w:rPr>
              <w:t>Multi-year</w:t>
            </w:r>
          </w:p>
        </w:tc>
        <w:tc>
          <w:tcPr>
            <w:tcW w:type="dxa" w:w="2545"/>
          </w:tcPr>
          <w:p>
            <w:pPr>
              <w:spacing w:before="20" w:after="20"/>
            </w:pPr>
            <w:r>
              <w:rPr>
                <w:rFonts w:ascii="Georgia" w:hAnsi="Georgia"/>
                <w:sz w:val="14"/>
              </w:rPr>
            </w:r>
            <w:r>
              <w:rPr>
                <w:rFonts w:ascii="Georgia" w:hAnsi="Georgia"/>
                <w:sz w:val="14"/>
              </w:rPr>
              <w:t>Former Chief Human Resources Officer of Accenture (33-year career). President of the National Academy of Human Resources. Directly relevant expertise for a company whose principal asset is 62,850 people. Also serves on other public boards including AlixPartners and HireRight.</w:t>
            </w:r>
          </w:p>
        </w:tc>
      </w:tr>
      <w:tr>
        <w:tc>
          <w:tcPr>
            <w:tcW w:type="dxa" w:w="2545"/>
            <w:shd w:val="clear" w:fill="F4F7FA"/>
          </w:tcPr>
          <w:p>
            <w:pPr>
              <w:spacing w:before="20" w:after="20"/>
            </w:pPr>
            <w:r>
              <w:rPr>
                <w:rFonts w:ascii="Georgia" w:hAnsi="Georgia"/>
                <w:sz w:val="14"/>
              </w:rPr>
            </w:r>
            <w:r>
              <w:rPr>
                <w:rFonts w:ascii="Georgia" w:hAnsi="Georgia"/>
                <w:b/>
                <w:sz w:val="14"/>
              </w:rPr>
              <w:t>Ronald P. Vargo</w:t>
            </w:r>
          </w:p>
        </w:tc>
        <w:tc>
          <w:tcPr>
            <w:tcW w:type="dxa" w:w="2545"/>
            <w:shd w:val="clear" w:fill="F4F7FA"/>
          </w:tcPr>
          <w:p>
            <w:pPr>
              <w:spacing w:before="20" w:after="20"/>
            </w:pPr>
            <w:r>
              <w:rPr>
                <w:rFonts w:ascii="Georgia" w:hAnsi="Georgia"/>
                <w:sz w:val="14"/>
              </w:rPr>
            </w:r>
            <w:r>
              <w:rPr>
                <w:rFonts w:ascii="Georgia" w:hAnsi="Georgia"/>
                <w:sz w:val="14"/>
              </w:rPr>
              <w:t>Non-executive Director; Class II nominee 2026</w:t>
            </w:r>
          </w:p>
        </w:tc>
        <w:tc>
          <w:tcPr>
            <w:tcW w:type="dxa" w:w="2545"/>
            <w:shd w:val="clear" w:fill="F4F7FA"/>
          </w:tcPr>
          <w:p>
            <w:pPr>
              <w:spacing w:before="20" w:after="20"/>
            </w:pPr>
            <w:r>
              <w:rPr>
                <w:rFonts w:ascii="Georgia" w:hAnsi="Georgia"/>
                <w:sz w:val="14"/>
              </w:rPr>
            </w:r>
            <w:r>
              <w:rPr>
                <w:rFonts w:ascii="Georgia" w:hAnsi="Georgia"/>
                <w:sz w:val="14"/>
              </w:rPr>
              <w:t>Multi-year</w:t>
            </w:r>
          </w:p>
        </w:tc>
        <w:tc>
          <w:tcPr>
            <w:tcW w:type="dxa" w:w="2545"/>
            <w:shd w:val="clear" w:fill="F4F7FA"/>
          </w:tcPr>
          <w:p>
            <w:pPr>
              <w:spacing w:before="20" w:after="20"/>
            </w:pPr>
            <w:r>
              <w:rPr>
                <w:rFonts w:ascii="Georgia" w:hAnsi="Georgia"/>
                <w:sz w:val="14"/>
              </w:rPr>
            </w:r>
            <w:r>
              <w:rPr>
                <w:rFonts w:ascii="Georgia" w:hAnsi="Georgia"/>
                <w:sz w:val="14"/>
              </w:rPr>
              <w:t>Former Chief Financial Officer of ICG Group and of Electronic Data Systems (EDS). Financial-expert profile; typically the audit committee anchor.</w:t>
            </w:r>
          </w:p>
        </w:tc>
      </w:tr>
      <w:tr>
        <w:tc>
          <w:tcPr>
            <w:tcW w:type="dxa" w:w="2545"/>
          </w:tcPr>
          <w:p>
            <w:pPr>
              <w:spacing w:before="20" w:after="20"/>
            </w:pPr>
            <w:r>
              <w:rPr>
                <w:rFonts w:ascii="Georgia" w:hAnsi="Georgia"/>
                <w:sz w:val="14"/>
              </w:rPr>
            </w:r>
            <w:r>
              <w:rPr>
                <w:rFonts w:ascii="Georgia" w:hAnsi="Georgia"/>
                <w:b/>
                <w:sz w:val="14"/>
              </w:rPr>
              <w:t>Eugene Roman</w:t>
            </w:r>
          </w:p>
        </w:tc>
        <w:tc>
          <w:tcPr>
            <w:tcW w:type="dxa" w:w="2545"/>
          </w:tcPr>
          <w:p>
            <w:pPr>
              <w:spacing w:before="20" w:after="20"/>
            </w:pPr>
            <w:r>
              <w:rPr>
                <w:rFonts w:ascii="Georgia" w:hAnsi="Georgia"/>
                <w:sz w:val="14"/>
              </w:rPr>
            </w:r>
            <w:r>
              <w:rPr>
                <w:rFonts w:ascii="Georgia" w:hAnsi="Georgia"/>
                <w:sz w:val="14"/>
              </w:rPr>
              <w:t>Non-executive Director; Class II nominee 2026</w:t>
            </w:r>
          </w:p>
        </w:tc>
        <w:tc>
          <w:tcPr>
            <w:tcW w:type="dxa" w:w="2545"/>
          </w:tcPr>
          <w:p>
            <w:pPr>
              <w:spacing w:before="20" w:after="20"/>
            </w:pPr>
            <w:r>
              <w:rPr>
                <w:rFonts w:ascii="Georgia" w:hAnsi="Georgia"/>
                <w:sz w:val="14"/>
              </w:rPr>
            </w:r>
            <w:r>
              <w:rPr>
                <w:rFonts w:ascii="Georgia" w:hAnsi="Georgia"/>
                <w:sz w:val="14"/>
              </w:rPr>
              <w:t>Multi-year</w:t>
            </w:r>
          </w:p>
        </w:tc>
        <w:tc>
          <w:tcPr>
            <w:tcW w:type="dxa" w:w="2545"/>
          </w:tcPr>
          <w:p>
            <w:pPr>
              <w:spacing w:before="20" w:after="20"/>
            </w:pPr>
            <w:r>
              <w:rPr>
                <w:rFonts w:ascii="Georgia" w:hAnsi="Georgia"/>
                <w:sz w:val="14"/>
              </w:rPr>
            </w:r>
            <w:r>
              <w:rPr>
                <w:rFonts w:ascii="Georgia" w:hAnsi="Georgia"/>
                <w:sz w:val="14"/>
              </w:rPr>
              <w:t>Former Chief Technology Officer of Canadian Tire and of Bell Canada. Client-side technology leadership perspective.</w:t>
            </w:r>
          </w:p>
        </w:tc>
      </w:tr>
      <w:tr>
        <w:tc>
          <w:tcPr>
            <w:tcW w:type="dxa" w:w="2545"/>
            <w:shd w:val="clear" w:fill="F4F7FA"/>
          </w:tcPr>
          <w:p>
            <w:pPr>
              <w:spacing w:before="20" w:after="20"/>
            </w:pPr>
            <w:r>
              <w:rPr>
                <w:rFonts w:ascii="Georgia" w:hAnsi="Georgia"/>
                <w:sz w:val="14"/>
              </w:rPr>
            </w:r>
            <w:r>
              <w:rPr>
                <w:rFonts w:ascii="Georgia" w:hAnsi="Georgia"/>
                <w:b/>
                <w:sz w:val="14"/>
              </w:rPr>
              <w:t>Helen Shan</w:t>
            </w:r>
          </w:p>
        </w:tc>
        <w:tc>
          <w:tcPr>
            <w:tcW w:type="dxa" w:w="2545"/>
            <w:shd w:val="clear" w:fill="F4F7FA"/>
          </w:tcPr>
          <w:p>
            <w:pPr>
              <w:spacing w:before="20" w:after="20"/>
            </w:pPr>
            <w:r>
              <w:rPr>
                <w:rFonts w:ascii="Georgia" w:hAnsi="Georgia"/>
                <w:sz w:val="14"/>
              </w:rPr>
            </w:r>
            <w:r>
              <w:rPr>
                <w:rFonts w:ascii="Georgia" w:hAnsi="Georgia"/>
                <w:sz w:val="14"/>
              </w:rPr>
              <w:t>Non-executive Director; Class I</w:t>
            </w:r>
          </w:p>
        </w:tc>
        <w:tc>
          <w:tcPr>
            <w:tcW w:type="dxa" w:w="2545"/>
            <w:shd w:val="clear" w:fill="F4F7FA"/>
          </w:tcPr>
          <w:p>
            <w:pPr>
              <w:spacing w:before="20" w:after="20"/>
            </w:pPr>
            <w:r>
              <w:rPr>
                <w:rFonts w:ascii="Georgia" w:hAnsi="Georgia"/>
                <w:sz w:val="14"/>
              </w:rPr>
            </w:r>
            <w:r>
              <w:rPr>
                <w:rFonts w:ascii="Georgia" w:hAnsi="Georgia"/>
                <w:sz w:val="14"/>
              </w:rPr>
              <w:t>Multi-year</w:t>
            </w:r>
          </w:p>
        </w:tc>
        <w:tc>
          <w:tcPr>
            <w:tcW w:type="dxa" w:w="2545"/>
            <w:shd w:val="clear" w:fill="F4F7FA"/>
          </w:tcPr>
          <w:p>
            <w:pPr>
              <w:spacing w:before="20" w:after="20"/>
            </w:pPr>
            <w:r>
              <w:rPr>
                <w:rFonts w:ascii="Georgia" w:hAnsi="Georgia"/>
                <w:sz w:val="14"/>
              </w:rPr>
            </w:r>
            <w:r>
              <w:rPr>
                <w:rFonts w:ascii="Georgia" w:hAnsi="Georgia"/>
                <w:sz w:val="14"/>
              </w:rPr>
              <w:t>Chief Revenue Officer and former Chief Financial Officer of FactSet Research Systems; previously CFO of Marsh. Combined finance and commercial expertise in information services.</w:t>
            </w:r>
          </w:p>
        </w:tc>
      </w:tr>
      <w:tr>
        <w:tc>
          <w:tcPr>
            <w:tcW w:type="dxa" w:w="2545"/>
          </w:tcPr>
          <w:p>
            <w:pPr>
              <w:spacing w:before="20" w:after="20"/>
            </w:pPr>
            <w:r>
              <w:rPr>
                <w:rFonts w:ascii="Georgia" w:hAnsi="Georgia"/>
                <w:sz w:val="14"/>
              </w:rPr>
            </w:r>
            <w:r>
              <w:rPr>
                <w:rFonts w:ascii="Georgia" w:hAnsi="Georgia"/>
                <w:b/>
                <w:sz w:val="14"/>
              </w:rPr>
              <w:t>Robert E. Segert</w:t>
            </w:r>
          </w:p>
        </w:tc>
        <w:tc>
          <w:tcPr>
            <w:tcW w:type="dxa" w:w="2545"/>
          </w:tcPr>
          <w:p>
            <w:pPr>
              <w:spacing w:before="20" w:after="20"/>
            </w:pPr>
            <w:r>
              <w:rPr>
                <w:rFonts w:ascii="Georgia" w:hAnsi="Georgia"/>
                <w:sz w:val="14"/>
              </w:rPr>
            </w:r>
            <w:r>
              <w:rPr>
                <w:rFonts w:ascii="Georgia" w:hAnsi="Georgia"/>
                <w:sz w:val="14"/>
              </w:rPr>
              <w:t>Non-executive Director</w:t>
            </w:r>
          </w:p>
        </w:tc>
        <w:tc>
          <w:tcPr>
            <w:tcW w:type="dxa" w:w="2545"/>
          </w:tcPr>
          <w:p>
            <w:pPr>
              <w:spacing w:before="20" w:after="20"/>
            </w:pPr>
            <w:r>
              <w:rPr>
                <w:rFonts w:ascii="Georgia" w:hAnsi="Georgia"/>
                <w:sz w:val="14"/>
              </w:rPr>
            </w:r>
            <w:r>
              <w:rPr>
                <w:rFonts w:ascii="Georgia" w:hAnsi="Georgia"/>
                <w:sz w:val="14"/>
              </w:rPr>
              <w:t>Multi-year</w:t>
            </w:r>
          </w:p>
        </w:tc>
        <w:tc>
          <w:tcPr>
            <w:tcW w:type="dxa" w:w="2545"/>
          </w:tcPr>
          <w:p>
            <w:pPr>
              <w:spacing w:before="20" w:after="20"/>
            </w:pPr>
            <w:r>
              <w:rPr>
                <w:rFonts w:ascii="Georgia" w:hAnsi="Georgia"/>
                <w:sz w:val="14"/>
              </w:rPr>
            </w:r>
            <w:r>
              <w:rPr>
                <w:rFonts w:ascii="Georgia" w:hAnsi="Georgia"/>
                <w:sz w:val="14"/>
              </w:rPr>
              <w:t>Chairman and CEO of athenahealth; previously CEO of Emdeon and of ProQuest. Healthcare technology and private-equity-backed operating experience.</w:t>
            </w:r>
          </w:p>
        </w:tc>
      </w:tr>
    </w:tbl>
    <w:p>
      <w:pPr>
        <w:spacing w:after="60"/>
      </w:pPr>
    </w:p>
    <w:p>
      <w:pPr>
        <w:spacing w:before="0" w:after="120"/>
        <w:jc w:val="both"/>
      </w:pPr>
      <w:r>
        <w:rPr>
          <w:i/>
          <w:color w:val="555555"/>
          <w:sz w:val="15"/>
        </w:rPr>
        <w:t xml:space="preserve">Board composition is assembled from search-sourced proxy and company data. The 2026 definitive proxy (filed and distributed on or about 6 April 2026, for the virtual AGM held 21 May 2026) nominated </w:t>
      </w:r>
      <w:r>
        <w:rPr>
          <w:b/>
          <w:i/>
          <w:color w:val="555555"/>
          <w:sz w:val="15"/>
        </w:rPr>
        <w:t>Balazs Fejes, Eugene Roman, Jill Smart and Ronald Vargo</w:t>
      </w:r>
      <w:r>
        <w:rPr>
          <w:i/>
          <w:color w:val="555555"/>
          <w:sz w:val="15"/>
        </w:rPr>
        <w:t xml:space="preserve"> as Class II directors for one-year terms; Richard Michael Mayoras, Karl Robb and Helen Shan were elected as Class I directors. Individual tenure dates other than those for Dobkin, Robb and Mayoras could not be verified in this environment and are shown as "multi-year". This table should be verified against the DEF 14A before use.</w:t>
      </w:r>
    </w:p>
    <w:p>
      <w:pPr>
        <w:keepNext/>
        <w:spacing w:before="140" w:after="60"/>
      </w:pPr>
      <w:r>
        <w:rPr>
          <w:rFonts w:ascii="Georgia" w:hAnsi="Georgia"/>
          <w:b/>
          <w:color w:val="333333"/>
          <w:sz w:val="19"/>
        </w:rPr>
        <w:t>Changes in the last five years</w:t>
      </w:r>
    </w:p>
    <w:p>
      <w:pPr>
        <w:pStyle w:val="ListBullet"/>
        <w:spacing w:after="50"/>
        <w:ind w:left="403"/>
        <w:jc w:val="both"/>
      </w:pPr>
      <w:r>
        <w:rPr>
          <w:rFonts w:ascii="Georgia" w:hAnsi="Georgia"/>
          <w:b/>
          <w:sz w:val="17"/>
        </w:rPr>
        <w:t>2025–26:</w:t>
      </w:r>
      <w:r>
        <w:rPr>
          <w:rFonts w:ascii="Georgia" w:hAnsi="Georgia"/>
          <w:sz w:val="17"/>
        </w:rPr>
        <w:t xml:space="preserve"> Balazs Fejes joins the board in connection with his appointment as CEO; Dobkin's role changes from Chairman/CEO to Executive Chairman.</w:t>
      </w:r>
    </w:p>
    <w:p>
      <w:pPr>
        <w:pStyle w:val="ListBullet"/>
        <w:spacing w:after="50"/>
        <w:ind w:left="403"/>
        <w:jc w:val="both"/>
      </w:pPr>
      <w:r>
        <w:rPr>
          <w:rFonts w:ascii="Georgia" w:hAnsi="Georgia"/>
          <w:b/>
          <w:sz w:val="17"/>
        </w:rPr>
        <w:t>Board declassification in progress.</w:t>
      </w:r>
      <w:r>
        <w:rPr>
          <w:rFonts w:ascii="Georgia" w:hAnsi="Georgia"/>
          <w:sz w:val="17"/>
        </w:rPr>
        <w:t xml:space="preserve"> The staggered structure is being unwound — Class II directors were nominated for </w:t>
      </w:r>
      <w:r>
        <w:rPr>
          <w:rFonts w:ascii="Georgia" w:hAnsi="Georgia"/>
          <w:i/>
          <w:sz w:val="17"/>
        </w:rPr>
        <w:t>one-year</w:t>
      </w:r>
      <w:r>
        <w:rPr>
          <w:rFonts w:ascii="Georgia" w:hAnsi="Georgia"/>
          <w:sz w:val="17"/>
        </w:rPr>
        <w:t xml:space="preserve"> terms at the 2026 AGM, indicating a transition to annual election of all directors. A clear governance improvement.</w:t>
      </w:r>
    </w:p>
    <w:p>
      <w:pPr>
        <w:pStyle w:val="ListBullet"/>
        <w:spacing w:after="50"/>
        <w:ind w:left="403"/>
        <w:jc w:val="both"/>
      </w:pPr>
      <w:r>
        <w:rPr>
          <w:rFonts w:ascii="Georgia" w:hAnsi="Georgia"/>
          <w:b/>
          <w:sz w:val="17"/>
        </w:rPr>
        <w:t>Special-meeting rights.</w:t>
      </w:r>
      <w:r>
        <w:rPr>
          <w:rFonts w:ascii="Georgia" w:hAnsi="Georgia"/>
          <w:sz w:val="17"/>
        </w:rPr>
        <w:t xml:space="preserve"> The 2026 proxy proposed amending the certificate of incorporation to permit shareholders to call special meetings, while recommending against a competing shareholder proposal seeking a lower 10% ownership threshold. Board-initiated liberalisation, but on the board's own terms.</w:t>
      </w:r>
    </w:p>
    <w:p>
      <w:pPr>
        <w:pStyle w:val="ListBullet"/>
        <w:spacing w:after="50"/>
        <w:ind w:left="403"/>
        <w:jc w:val="both"/>
      </w:pPr>
      <w:r>
        <w:rPr>
          <w:rFonts w:ascii="Georgia" w:hAnsi="Georgia"/>
          <w:b/>
          <w:sz w:val="17"/>
        </w:rPr>
        <w:t>Composition and independence concerns.</w:t>
      </w:r>
      <w:r>
        <w:rPr>
          <w:rFonts w:ascii="Georgia" w:hAnsi="Georgia"/>
          <w:sz w:val="17"/>
        </w:rPr>
        <w:t xml:space="preserve"> Karl Robb's 22-year tenure and prior executive role, alongside Dobkin's 33 years, mean two of nine directors are long-tenured insiders. The board would benefit from fresh appointments with direct AI/ML platform experience — a notable gap given the strategy now rests entirely on that transition.</w:t>
      </w:r>
    </w:p>
    <w:p>
      <w:r>
        <w:br w:type="page"/>
      </w:r>
    </w:p>
    <w:p>
      <w:pPr>
        <w:keepNext/>
        <w:spacing w:before="320" w:after="120"/>
        <w:pBdr>
          <w:bottom w:val="single" w:sz="12" w:space="2" w:color="0B2545"/>
        </w:pBdr>
      </w:pPr>
      <w:r>
        <w:rPr>
          <w:rFonts w:ascii="Georgia" w:hAnsi="Georgia"/>
          <w:b/>
          <w:color w:val="0B2545"/>
          <w:sz w:val="26"/>
        </w:rPr>
        <w:t>17. Shareholders, Activism and Short Interest</w:t>
      </w:r>
    </w:p>
    <w:p>
      <w:pPr>
        <w:keepNext/>
        <w:spacing w:before="200" w:after="80"/>
      </w:pPr>
      <w:r>
        <w:rPr>
          <w:rFonts w:ascii="Georgia" w:hAnsi="Georgia"/>
          <w:b/>
          <w:color w:val="14487F"/>
          <w:sz w:val="21"/>
        </w:rPr>
        <w:t>Top 10 shareholders</w:t>
      </w:r>
    </w:p>
    <w:tbl>
      <w:tblPr>
        <w:tblStyle w:val="TableGrid"/>
        <w:tblW w:type="auto" w:w="0"/>
        <w:jc w:val="center"/>
        <w:tblLayout w:type="autofit"/>
        <w:tblLook w:firstColumn="1" w:firstRow="1" w:lastColumn="0" w:lastRow="0" w:noHBand="0" w:noVBand="1" w:val="04A0"/>
      </w:tblPr>
      <w:tblGrid>
        <w:gridCol w:w="2036"/>
        <w:gridCol w:w="2036"/>
        <w:gridCol w:w="2036"/>
        <w:gridCol w:w="2036"/>
        <w:gridCol w:w="2036"/>
      </w:tblGrid>
      <w:tr>
        <w:tc>
          <w:tcPr>
            <w:tcW w:type="dxa" w:w="2036"/>
            <w:shd w:val="clear" w:fill="0B2545"/>
          </w:tcPr>
          <w:p>
            <w:pPr>
              <w:spacing w:before="20" w:after="20"/>
            </w:pPr>
            <w:r>
              <w:rPr>
                <w:rFonts w:ascii="Georgia" w:hAnsi="Georgia"/>
                <w:b/>
                <w:color w:val="FFFFFF"/>
                <w:sz w:val="14"/>
              </w:rPr>
            </w:r>
            <w:r>
              <w:rPr>
                <w:rFonts w:ascii="Georgia" w:hAnsi="Georgia"/>
                <w:b/>
                <w:color w:val="FFFFFF"/>
                <w:sz w:val="14"/>
              </w:rPr>
              <w:t>#</w:t>
            </w:r>
          </w:p>
        </w:tc>
        <w:tc>
          <w:tcPr>
            <w:tcW w:type="dxa" w:w="2036"/>
            <w:shd w:val="clear" w:fill="0B2545"/>
          </w:tcPr>
          <w:p>
            <w:pPr>
              <w:spacing w:before="20" w:after="20"/>
            </w:pPr>
            <w:r>
              <w:rPr>
                <w:rFonts w:ascii="Georgia" w:hAnsi="Georgia"/>
                <w:b/>
                <w:color w:val="FFFFFF"/>
                <w:sz w:val="14"/>
              </w:rPr>
            </w:r>
            <w:r>
              <w:rPr>
                <w:rFonts w:ascii="Georgia" w:hAnsi="Georgia"/>
                <w:b/>
                <w:color w:val="FFFFFF"/>
                <w:sz w:val="14"/>
              </w:rPr>
              <w:t>Holder</w:t>
            </w:r>
          </w:p>
        </w:tc>
        <w:tc>
          <w:tcPr>
            <w:tcW w:type="dxa" w:w="2036"/>
            <w:shd w:val="clear" w:fill="0B2545"/>
          </w:tcPr>
          <w:p>
            <w:pPr>
              <w:spacing w:before="20" w:after="20"/>
            </w:pPr>
            <w:r>
              <w:rPr>
                <w:rFonts w:ascii="Georgia" w:hAnsi="Georgia"/>
                <w:b/>
                <w:color w:val="FFFFFF"/>
                <w:sz w:val="14"/>
              </w:rPr>
            </w:r>
            <w:r>
              <w:rPr>
                <w:rFonts w:ascii="Georgia" w:hAnsi="Georgia"/>
                <w:b/>
                <w:color w:val="FFFFFF"/>
                <w:sz w:val="14"/>
              </w:rPr>
              <w:t>Type</w:t>
            </w:r>
          </w:p>
        </w:tc>
        <w:tc>
          <w:tcPr>
            <w:tcW w:type="dxa" w:w="2036"/>
            <w:shd w:val="clear" w:fill="0B2545"/>
          </w:tcPr>
          <w:p>
            <w:pPr>
              <w:spacing w:before="20" w:after="20"/>
              <w:jc w:val="right"/>
            </w:pPr>
            <w:r>
              <w:rPr>
                <w:rFonts w:ascii="Georgia" w:hAnsi="Georgia"/>
                <w:b/>
                <w:color w:val="FFFFFF"/>
                <w:sz w:val="14"/>
              </w:rPr>
            </w:r>
            <w:r>
              <w:rPr>
                <w:rFonts w:ascii="Georgia" w:hAnsi="Georgia"/>
                <w:b/>
                <w:color w:val="FFFFFF"/>
                <w:sz w:val="14"/>
              </w:rPr>
              <w:t>Est. stake</w:t>
            </w:r>
          </w:p>
        </w:tc>
        <w:tc>
          <w:tcPr>
            <w:tcW w:type="dxa" w:w="2036"/>
            <w:shd w:val="clear" w:fill="0B2545"/>
          </w:tcPr>
          <w:p>
            <w:pPr>
              <w:spacing w:before="20" w:after="20"/>
            </w:pPr>
            <w:r>
              <w:rPr>
                <w:rFonts w:ascii="Georgia" w:hAnsi="Georgia"/>
                <w:b/>
                <w:color w:val="FFFFFF"/>
                <w:sz w:val="14"/>
              </w:rPr>
            </w:r>
            <w:r>
              <w:rPr>
                <w:rFonts w:ascii="Georgia" w:hAnsi="Georgia"/>
                <w:b/>
                <w:color w:val="FFFFFF"/>
                <w:sz w:val="14"/>
              </w:rPr>
              <w:t>Comment</w:t>
            </w:r>
          </w:p>
        </w:tc>
      </w:tr>
      <w:tr>
        <w:tc>
          <w:tcPr>
            <w:tcW w:type="dxa" w:w="2036"/>
          </w:tcPr>
          <w:p>
            <w:pPr>
              <w:spacing w:before="20" w:after="20"/>
            </w:pPr>
            <w:r>
              <w:rPr>
                <w:rFonts w:ascii="Georgia" w:hAnsi="Georgia"/>
                <w:sz w:val="14"/>
              </w:rPr>
            </w:r>
            <w:r>
              <w:rPr>
                <w:rFonts w:ascii="Georgia" w:hAnsi="Georgia"/>
                <w:sz w:val="14"/>
              </w:rPr>
              <w:t>1</w:t>
            </w:r>
          </w:p>
        </w:tc>
        <w:tc>
          <w:tcPr>
            <w:tcW w:type="dxa" w:w="2036"/>
          </w:tcPr>
          <w:p>
            <w:pPr>
              <w:spacing w:before="20" w:after="20"/>
            </w:pPr>
            <w:r>
              <w:rPr>
                <w:rFonts w:ascii="Georgia" w:hAnsi="Georgia"/>
                <w:sz w:val="14"/>
              </w:rPr>
            </w:r>
            <w:r>
              <w:rPr>
                <w:rFonts w:ascii="Georgia" w:hAnsi="Georgia"/>
                <w:sz w:val="14"/>
              </w:rPr>
              <w:t>The Vanguard Group</w:t>
            </w:r>
          </w:p>
        </w:tc>
        <w:tc>
          <w:tcPr>
            <w:tcW w:type="dxa" w:w="2036"/>
          </w:tcPr>
          <w:p>
            <w:pPr>
              <w:spacing w:before="20" w:after="20"/>
            </w:pPr>
            <w:r>
              <w:rPr>
                <w:rFonts w:ascii="Georgia" w:hAnsi="Georgia"/>
                <w:sz w:val="14"/>
              </w:rPr>
            </w:r>
            <w:r>
              <w:rPr>
                <w:rFonts w:ascii="Georgia" w:hAnsi="Georgia"/>
                <w:sz w:val="14"/>
              </w:rPr>
              <w:t>Institutional — passive/index</w:t>
            </w:r>
          </w:p>
        </w:tc>
        <w:tc>
          <w:tcPr>
            <w:tcW w:type="dxa" w:w="2036"/>
          </w:tcPr>
          <w:p>
            <w:pPr>
              <w:spacing w:before="20" w:after="20"/>
              <w:jc w:val="right"/>
            </w:pPr>
            <w:r>
              <w:rPr>
                <w:rFonts w:ascii="Georgia" w:hAnsi="Georgia"/>
                <w:sz w:val="14"/>
              </w:rPr>
            </w:r>
            <w:r>
              <w:rPr>
                <w:rFonts w:ascii="Georgia" w:hAnsi="Georgia"/>
                <w:sz w:val="14"/>
              </w:rPr>
              <w:t>c.11–13%</w:t>
            </w:r>
          </w:p>
        </w:tc>
        <w:tc>
          <w:tcPr>
            <w:tcW w:type="dxa" w:w="2036"/>
          </w:tcPr>
          <w:p>
            <w:pPr>
              <w:spacing w:before="20" w:after="20"/>
            </w:pPr>
            <w:r>
              <w:rPr>
                <w:rFonts w:ascii="Georgia" w:hAnsi="Georgia"/>
                <w:sz w:val="14"/>
              </w:rPr>
            </w:r>
            <w:r>
              <w:rPr>
                <w:rFonts w:ascii="Georgia" w:hAnsi="Georgia"/>
                <w:sz w:val="14"/>
              </w:rPr>
              <w:t>Largest holder. Index-driven; a non-discretionary, permanent holder.</w:t>
            </w:r>
          </w:p>
        </w:tc>
      </w:tr>
      <w:tr>
        <w:tc>
          <w:tcPr>
            <w:tcW w:type="dxa" w:w="2036"/>
            <w:shd w:val="clear" w:fill="F4F7FA"/>
          </w:tcPr>
          <w:p>
            <w:pPr>
              <w:spacing w:before="20" w:after="20"/>
            </w:pPr>
            <w:r>
              <w:rPr>
                <w:rFonts w:ascii="Georgia" w:hAnsi="Georgia"/>
                <w:sz w:val="14"/>
              </w:rPr>
            </w:r>
            <w:r>
              <w:rPr>
                <w:rFonts w:ascii="Georgia" w:hAnsi="Georgia"/>
                <w:sz w:val="14"/>
              </w:rPr>
              <w:t>2</w:t>
            </w:r>
          </w:p>
        </w:tc>
        <w:tc>
          <w:tcPr>
            <w:tcW w:type="dxa" w:w="2036"/>
            <w:shd w:val="clear" w:fill="F4F7FA"/>
          </w:tcPr>
          <w:p>
            <w:pPr>
              <w:spacing w:before="20" w:after="20"/>
            </w:pPr>
            <w:r>
              <w:rPr>
                <w:rFonts w:ascii="Georgia" w:hAnsi="Georgia"/>
                <w:sz w:val="14"/>
              </w:rPr>
            </w:r>
            <w:r>
              <w:rPr>
                <w:rFonts w:ascii="Georgia" w:hAnsi="Georgia"/>
                <w:sz w:val="14"/>
              </w:rPr>
              <w:t>BlackRock, Inc. (incl. iShares)</w:t>
            </w:r>
          </w:p>
        </w:tc>
        <w:tc>
          <w:tcPr>
            <w:tcW w:type="dxa" w:w="2036"/>
            <w:shd w:val="clear" w:fill="F4F7FA"/>
          </w:tcPr>
          <w:p>
            <w:pPr>
              <w:spacing w:before="20" w:after="20"/>
            </w:pPr>
            <w:r>
              <w:rPr>
                <w:rFonts w:ascii="Georgia" w:hAnsi="Georgia"/>
                <w:sz w:val="14"/>
              </w:rPr>
            </w:r>
            <w:r>
              <w:rPr>
                <w:rFonts w:ascii="Georgia" w:hAnsi="Georgia"/>
                <w:sz w:val="14"/>
              </w:rPr>
              <w:t>Institutional — passive/index</w:t>
            </w:r>
          </w:p>
        </w:tc>
        <w:tc>
          <w:tcPr>
            <w:tcW w:type="dxa" w:w="2036"/>
            <w:shd w:val="clear" w:fill="F4F7FA"/>
          </w:tcPr>
          <w:p>
            <w:pPr>
              <w:spacing w:before="20" w:after="20"/>
              <w:jc w:val="right"/>
            </w:pPr>
            <w:r>
              <w:rPr>
                <w:rFonts w:ascii="Georgia" w:hAnsi="Georgia"/>
                <w:sz w:val="14"/>
              </w:rPr>
            </w:r>
            <w:r>
              <w:rPr>
                <w:rFonts w:ascii="Georgia" w:hAnsi="Georgia"/>
                <w:sz w:val="14"/>
              </w:rPr>
              <w:t>c.7.7–8.2%</w:t>
            </w:r>
          </w:p>
        </w:tc>
        <w:tc>
          <w:tcPr>
            <w:tcW w:type="dxa" w:w="2036"/>
            <w:shd w:val="clear" w:fill="F4F7FA"/>
          </w:tcPr>
          <w:p>
            <w:pPr>
              <w:spacing w:before="20" w:after="20"/>
            </w:pPr>
            <w:r>
              <w:rPr>
                <w:rFonts w:ascii="Georgia" w:hAnsi="Georgia"/>
                <w:sz w:val="14"/>
              </w:rPr>
            </w:r>
            <w:r>
              <w:rPr>
                <w:rFonts w:ascii="Georgia" w:hAnsi="Georgia"/>
                <w:sz w:val="14"/>
              </w:rPr>
              <w:t>Second-largest; index-driven.</w:t>
            </w:r>
          </w:p>
        </w:tc>
      </w:tr>
      <w:tr>
        <w:tc>
          <w:tcPr>
            <w:tcW w:type="dxa" w:w="2036"/>
          </w:tcPr>
          <w:p>
            <w:pPr>
              <w:spacing w:before="20" w:after="20"/>
            </w:pPr>
            <w:r>
              <w:rPr>
                <w:rFonts w:ascii="Georgia" w:hAnsi="Georgia"/>
                <w:sz w:val="14"/>
              </w:rPr>
            </w:r>
            <w:r>
              <w:rPr>
                <w:rFonts w:ascii="Georgia" w:hAnsi="Georgia"/>
                <w:sz w:val="14"/>
              </w:rPr>
              <w:t>3</w:t>
            </w:r>
          </w:p>
        </w:tc>
        <w:tc>
          <w:tcPr>
            <w:tcW w:type="dxa" w:w="2036"/>
          </w:tcPr>
          <w:p>
            <w:pPr>
              <w:spacing w:before="20" w:after="20"/>
            </w:pPr>
            <w:r>
              <w:rPr>
                <w:rFonts w:ascii="Georgia" w:hAnsi="Georgia"/>
                <w:sz w:val="14"/>
              </w:rPr>
            </w:r>
            <w:r>
              <w:rPr>
                <w:rFonts w:ascii="Georgia" w:hAnsi="Georgia"/>
                <w:sz w:val="14"/>
              </w:rPr>
              <w:t>Capital World Investors (Capital Group)</w:t>
            </w:r>
          </w:p>
        </w:tc>
        <w:tc>
          <w:tcPr>
            <w:tcW w:type="dxa" w:w="2036"/>
          </w:tcPr>
          <w:p>
            <w:pPr>
              <w:spacing w:before="20" w:after="20"/>
            </w:pPr>
            <w:r>
              <w:rPr>
                <w:rFonts w:ascii="Georgia" w:hAnsi="Georgia"/>
                <w:sz w:val="14"/>
              </w:rPr>
            </w:r>
            <w:r>
              <w:rPr>
                <w:rFonts w:ascii="Georgia" w:hAnsi="Georgia"/>
                <w:sz w:val="14"/>
              </w:rPr>
              <w:t>Institutional — active</w:t>
            </w:r>
          </w:p>
        </w:tc>
        <w:tc>
          <w:tcPr>
            <w:tcW w:type="dxa" w:w="2036"/>
          </w:tcPr>
          <w:p>
            <w:pPr>
              <w:spacing w:before="20" w:after="20"/>
              <w:jc w:val="right"/>
            </w:pPr>
            <w:r>
              <w:rPr>
                <w:rFonts w:ascii="Georgia" w:hAnsi="Georgia"/>
                <w:sz w:val="14"/>
              </w:rPr>
            </w:r>
            <w:r>
              <w:rPr>
                <w:rFonts w:ascii="Georgia" w:hAnsi="Georgia"/>
                <w:sz w:val="14"/>
              </w:rPr>
              <w:t>c.4–6%</w:t>
            </w:r>
          </w:p>
        </w:tc>
        <w:tc>
          <w:tcPr>
            <w:tcW w:type="dxa" w:w="2036"/>
          </w:tcPr>
          <w:p>
            <w:pPr>
              <w:spacing w:before="20" w:after="20"/>
            </w:pPr>
            <w:r>
              <w:rPr>
                <w:rFonts w:ascii="Georgia" w:hAnsi="Georgia"/>
                <w:sz w:val="14"/>
              </w:rPr>
            </w:r>
            <w:r>
              <w:rPr>
                <w:rFonts w:ascii="Georgia" w:hAnsi="Georgia"/>
                <w:sz w:val="14"/>
              </w:rPr>
              <w:t>Large active manager. A meaningful active vote of confidence; watch for reductions.</w:t>
            </w:r>
          </w:p>
        </w:tc>
      </w:tr>
      <w:tr>
        <w:tc>
          <w:tcPr>
            <w:tcW w:type="dxa" w:w="2036"/>
            <w:shd w:val="clear" w:fill="F4F7FA"/>
          </w:tcPr>
          <w:p>
            <w:pPr>
              <w:spacing w:before="20" w:after="20"/>
            </w:pPr>
            <w:r>
              <w:rPr>
                <w:rFonts w:ascii="Georgia" w:hAnsi="Georgia"/>
                <w:sz w:val="14"/>
              </w:rPr>
            </w:r>
            <w:r>
              <w:rPr>
                <w:rFonts w:ascii="Georgia" w:hAnsi="Georgia"/>
                <w:sz w:val="14"/>
              </w:rPr>
              <w:t>4</w:t>
            </w:r>
          </w:p>
        </w:tc>
        <w:tc>
          <w:tcPr>
            <w:tcW w:type="dxa" w:w="2036"/>
            <w:shd w:val="clear" w:fill="F4F7FA"/>
          </w:tcPr>
          <w:p>
            <w:pPr>
              <w:spacing w:before="20" w:after="20"/>
            </w:pPr>
            <w:r>
              <w:rPr>
                <w:rFonts w:ascii="Georgia" w:hAnsi="Georgia"/>
                <w:sz w:val="14"/>
              </w:rPr>
            </w:r>
            <w:r>
              <w:rPr>
                <w:rFonts w:ascii="Georgia" w:hAnsi="Georgia"/>
                <w:b/>
                <w:sz w:val="14"/>
              </w:rPr>
              <w:t>Arkadiy Dobkin</w:t>
            </w:r>
          </w:p>
        </w:tc>
        <w:tc>
          <w:tcPr>
            <w:tcW w:type="dxa" w:w="2036"/>
            <w:shd w:val="clear" w:fill="F4F7FA"/>
          </w:tcPr>
          <w:p>
            <w:pPr>
              <w:spacing w:before="20" w:after="20"/>
            </w:pPr>
            <w:r>
              <w:rPr>
                <w:rFonts w:ascii="Georgia" w:hAnsi="Georgia"/>
                <w:sz w:val="14"/>
              </w:rPr>
            </w:r>
            <w:r>
              <w:rPr>
                <w:rFonts w:ascii="Georgia" w:hAnsi="Georgia"/>
                <w:b/>
                <w:sz w:val="14"/>
              </w:rPr>
              <w:t>Insider — Founder / Executive Chairman</w:t>
            </w:r>
          </w:p>
        </w:tc>
        <w:tc>
          <w:tcPr>
            <w:tcW w:type="dxa" w:w="2036"/>
            <w:shd w:val="clear" w:fill="F4F7FA"/>
          </w:tcPr>
          <w:p>
            <w:pPr>
              <w:spacing w:before="20" w:after="20"/>
              <w:jc w:val="right"/>
            </w:pPr>
            <w:r>
              <w:rPr>
                <w:rFonts w:ascii="Georgia" w:hAnsi="Georgia"/>
                <w:sz w:val="14"/>
              </w:rPr>
            </w:r>
            <w:r>
              <w:rPr>
                <w:rFonts w:ascii="Georgia" w:hAnsi="Georgia"/>
                <w:sz w:val="14"/>
              </w:rPr>
              <w:t>c.3.4% (1.76m shares)</w:t>
            </w:r>
          </w:p>
        </w:tc>
        <w:tc>
          <w:tcPr>
            <w:tcW w:type="dxa" w:w="2036"/>
            <w:shd w:val="clear" w:fill="F4F7FA"/>
          </w:tcPr>
          <w:p>
            <w:pPr>
              <w:spacing w:before="20" w:after="20"/>
            </w:pPr>
            <w:r>
              <w:rPr>
                <w:rFonts w:ascii="Georgia" w:hAnsi="Georgia"/>
                <w:sz w:val="14"/>
              </w:rPr>
            </w:r>
            <w:r>
              <w:rPr>
                <w:rFonts w:ascii="Georgia" w:hAnsi="Georgia"/>
                <w:sz w:val="14"/>
              </w:rPr>
              <w:t>Largest individual holder. Stake has declined from 12.1% (2011) to roughly 3.4% today.</w:t>
            </w:r>
          </w:p>
        </w:tc>
      </w:tr>
      <w:tr>
        <w:tc>
          <w:tcPr>
            <w:tcW w:type="dxa" w:w="2036"/>
          </w:tcPr>
          <w:p>
            <w:pPr>
              <w:spacing w:before="20" w:after="20"/>
            </w:pPr>
            <w:r>
              <w:rPr>
                <w:rFonts w:ascii="Georgia" w:hAnsi="Georgia"/>
                <w:sz w:val="14"/>
              </w:rPr>
            </w:r>
            <w:r>
              <w:rPr>
                <w:rFonts w:ascii="Georgia" w:hAnsi="Georgia"/>
                <w:sz w:val="14"/>
              </w:rPr>
              <w:t>5</w:t>
            </w:r>
          </w:p>
        </w:tc>
        <w:tc>
          <w:tcPr>
            <w:tcW w:type="dxa" w:w="2036"/>
          </w:tcPr>
          <w:p>
            <w:pPr>
              <w:spacing w:before="20" w:after="20"/>
            </w:pPr>
            <w:r>
              <w:rPr>
                <w:rFonts w:ascii="Georgia" w:hAnsi="Georgia"/>
                <w:sz w:val="14"/>
              </w:rPr>
            </w:r>
            <w:r>
              <w:rPr>
                <w:rFonts w:ascii="Georgia" w:hAnsi="Georgia"/>
                <w:sz w:val="14"/>
              </w:rPr>
              <w:t>Invesco Ltd.</w:t>
            </w:r>
          </w:p>
        </w:tc>
        <w:tc>
          <w:tcPr>
            <w:tcW w:type="dxa" w:w="2036"/>
          </w:tcPr>
          <w:p>
            <w:pPr>
              <w:spacing w:before="20" w:after="20"/>
            </w:pPr>
            <w:r>
              <w:rPr>
                <w:rFonts w:ascii="Georgia" w:hAnsi="Georgia"/>
                <w:sz w:val="14"/>
              </w:rPr>
            </w:r>
            <w:r>
              <w:rPr>
                <w:rFonts w:ascii="Georgia" w:hAnsi="Georgia"/>
                <w:sz w:val="14"/>
              </w:rPr>
              <w:t>Institutional — active/passive mix</w:t>
            </w:r>
          </w:p>
        </w:tc>
        <w:tc>
          <w:tcPr>
            <w:tcW w:type="dxa" w:w="2036"/>
          </w:tcPr>
          <w:p>
            <w:pPr>
              <w:spacing w:before="20" w:after="20"/>
              <w:jc w:val="right"/>
            </w:pPr>
            <w:r>
              <w:rPr>
                <w:rFonts w:ascii="Georgia" w:hAnsi="Georgia"/>
                <w:sz w:val="14"/>
              </w:rPr>
            </w:r>
            <w:r>
              <w:rPr>
                <w:rFonts w:ascii="Georgia" w:hAnsi="Georgia"/>
                <w:sz w:val="14"/>
              </w:rPr>
              <w:t>c.3–5%</w:t>
            </w:r>
          </w:p>
        </w:tc>
        <w:tc>
          <w:tcPr>
            <w:tcW w:type="dxa" w:w="2036"/>
          </w:tcPr>
          <w:p>
            <w:pPr>
              <w:spacing w:before="20" w:after="20"/>
            </w:pPr>
            <w:r>
              <w:rPr>
                <w:rFonts w:ascii="Georgia" w:hAnsi="Georgia"/>
                <w:sz w:val="14"/>
              </w:rPr>
            </w:r>
            <w:r>
              <w:rPr>
                <w:rFonts w:ascii="Georgia" w:hAnsi="Georgia"/>
                <w:sz w:val="14"/>
              </w:rPr>
              <w:t>Appears consistently among the largest holders.</w:t>
            </w:r>
          </w:p>
        </w:tc>
      </w:tr>
      <w:tr>
        <w:tc>
          <w:tcPr>
            <w:tcW w:type="dxa" w:w="2036"/>
            <w:shd w:val="clear" w:fill="F4F7FA"/>
          </w:tcPr>
          <w:p>
            <w:pPr>
              <w:spacing w:before="20" w:after="20"/>
            </w:pPr>
            <w:r>
              <w:rPr>
                <w:rFonts w:ascii="Georgia" w:hAnsi="Georgia"/>
                <w:sz w:val="14"/>
              </w:rPr>
            </w:r>
            <w:r>
              <w:rPr>
                <w:rFonts w:ascii="Georgia" w:hAnsi="Georgia"/>
                <w:sz w:val="14"/>
              </w:rPr>
              <w:t>6</w:t>
            </w:r>
          </w:p>
        </w:tc>
        <w:tc>
          <w:tcPr>
            <w:tcW w:type="dxa" w:w="2036"/>
            <w:shd w:val="clear" w:fill="F4F7FA"/>
          </w:tcPr>
          <w:p>
            <w:pPr>
              <w:spacing w:before="20" w:after="20"/>
            </w:pPr>
            <w:r>
              <w:rPr>
                <w:rFonts w:ascii="Georgia" w:hAnsi="Georgia"/>
                <w:sz w:val="14"/>
              </w:rPr>
            </w:r>
            <w:r>
              <w:rPr>
                <w:rFonts w:ascii="Georgia" w:hAnsi="Georgia"/>
                <w:sz w:val="14"/>
              </w:rPr>
              <w:t>State Street Corporation</w:t>
            </w:r>
          </w:p>
        </w:tc>
        <w:tc>
          <w:tcPr>
            <w:tcW w:type="dxa" w:w="2036"/>
            <w:shd w:val="clear" w:fill="F4F7FA"/>
          </w:tcPr>
          <w:p>
            <w:pPr>
              <w:spacing w:before="20" w:after="20"/>
            </w:pPr>
            <w:r>
              <w:rPr>
                <w:rFonts w:ascii="Georgia" w:hAnsi="Georgia"/>
                <w:sz w:val="14"/>
              </w:rPr>
            </w:r>
            <w:r>
              <w:rPr>
                <w:rFonts w:ascii="Georgia" w:hAnsi="Georgia"/>
                <w:sz w:val="14"/>
              </w:rPr>
              <w:t>Institutional — passive/index</w:t>
            </w:r>
          </w:p>
        </w:tc>
        <w:tc>
          <w:tcPr>
            <w:tcW w:type="dxa" w:w="2036"/>
            <w:shd w:val="clear" w:fill="F4F7FA"/>
          </w:tcPr>
          <w:p>
            <w:pPr>
              <w:spacing w:before="20" w:after="20"/>
              <w:jc w:val="right"/>
            </w:pPr>
            <w:r>
              <w:rPr>
                <w:rFonts w:ascii="Georgia" w:hAnsi="Georgia"/>
                <w:sz w:val="14"/>
              </w:rPr>
            </w:r>
            <w:r>
              <w:rPr>
                <w:rFonts w:ascii="Georgia" w:hAnsi="Georgia"/>
                <w:sz w:val="14"/>
              </w:rPr>
              <w:t>c.3–4%</w:t>
            </w:r>
          </w:p>
        </w:tc>
        <w:tc>
          <w:tcPr>
            <w:tcW w:type="dxa" w:w="2036"/>
            <w:shd w:val="clear" w:fill="F4F7FA"/>
          </w:tcPr>
          <w:p>
            <w:pPr>
              <w:spacing w:before="20" w:after="20"/>
            </w:pPr>
            <w:r>
              <w:rPr>
                <w:rFonts w:ascii="Georgia" w:hAnsi="Georgia"/>
                <w:sz w:val="14"/>
              </w:rPr>
            </w:r>
            <w:r>
              <w:rPr>
                <w:rFonts w:ascii="Georgia" w:hAnsi="Georgia"/>
                <w:sz w:val="14"/>
              </w:rPr>
              <w:t>Completes the "Big Three" index complex.</w:t>
            </w:r>
          </w:p>
        </w:tc>
      </w:tr>
      <w:tr>
        <w:tc>
          <w:tcPr>
            <w:tcW w:type="dxa" w:w="2036"/>
          </w:tcPr>
          <w:p>
            <w:pPr>
              <w:spacing w:before="20" w:after="20"/>
            </w:pPr>
            <w:r>
              <w:rPr>
                <w:rFonts w:ascii="Georgia" w:hAnsi="Georgia"/>
                <w:sz w:val="14"/>
              </w:rPr>
            </w:r>
            <w:r>
              <w:rPr>
                <w:rFonts w:ascii="Georgia" w:hAnsi="Georgia"/>
                <w:sz w:val="14"/>
              </w:rPr>
              <w:t>7</w:t>
            </w:r>
          </w:p>
        </w:tc>
        <w:tc>
          <w:tcPr>
            <w:tcW w:type="dxa" w:w="2036"/>
          </w:tcPr>
          <w:p>
            <w:pPr>
              <w:spacing w:before="20" w:after="20"/>
            </w:pPr>
            <w:r>
              <w:rPr>
                <w:rFonts w:ascii="Georgia" w:hAnsi="Georgia"/>
                <w:sz w:val="14"/>
              </w:rPr>
            </w:r>
            <w:r>
              <w:rPr>
                <w:rFonts w:ascii="Georgia" w:hAnsi="Georgia"/>
                <w:sz w:val="14"/>
              </w:rPr>
              <w:t>Ameriprise Financial / Columbia Threadneedle</w:t>
            </w:r>
          </w:p>
        </w:tc>
        <w:tc>
          <w:tcPr>
            <w:tcW w:type="dxa" w:w="2036"/>
          </w:tcPr>
          <w:p>
            <w:pPr>
              <w:spacing w:before="20" w:after="20"/>
            </w:pPr>
            <w:r>
              <w:rPr>
                <w:rFonts w:ascii="Georgia" w:hAnsi="Georgia"/>
                <w:sz w:val="14"/>
              </w:rPr>
            </w:r>
            <w:r>
              <w:rPr>
                <w:rFonts w:ascii="Georgia" w:hAnsi="Georgia"/>
                <w:sz w:val="14"/>
              </w:rPr>
              <w:t>Institutional — active</w:t>
            </w:r>
          </w:p>
        </w:tc>
        <w:tc>
          <w:tcPr>
            <w:tcW w:type="dxa" w:w="2036"/>
          </w:tcPr>
          <w:p>
            <w:pPr>
              <w:spacing w:before="20" w:after="20"/>
              <w:jc w:val="right"/>
            </w:pPr>
            <w:r>
              <w:rPr>
                <w:rFonts w:ascii="Georgia" w:hAnsi="Georgia"/>
                <w:sz w:val="14"/>
              </w:rPr>
            </w:r>
            <w:r>
              <w:rPr>
                <w:rFonts w:ascii="Georgia" w:hAnsi="Georgia"/>
                <w:sz w:val="14"/>
              </w:rPr>
              <w:t>c.2–3%</w:t>
            </w:r>
          </w:p>
        </w:tc>
        <w:tc>
          <w:tcPr>
            <w:tcW w:type="dxa" w:w="2036"/>
          </w:tcPr>
          <w:p>
            <w:pPr>
              <w:spacing w:before="20" w:after="20"/>
            </w:pPr>
            <w:r>
              <w:rPr>
                <w:rFonts w:ascii="Georgia" w:hAnsi="Georgia"/>
                <w:sz w:val="14"/>
              </w:rPr>
            </w:r>
            <w:r>
              <w:rPr>
                <w:rFonts w:ascii="Georgia" w:hAnsi="Georgia"/>
                <w:sz w:val="14"/>
              </w:rPr>
              <w:t>Active asset manager.</w:t>
            </w:r>
          </w:p>
        </w:tc>
      </w:tr>
      <w:tr>
        <w:tc>
          <w:tcPr>
            <w:tcW w:type="dxa" w:w="2036"/>
            <w:shd w:val="clear" w:fill="F4F7FA"/>
          </w:tcPr>
          <w:p>
            <w:pPr>
              <w:spacing w:before="20" w:after="20"/>
            </w:pPr>
            <w:r>
              <w:rPr>
                <w:rFonts w:ascii="Georgia" w:hAnsi="Georgia"/>
                <w:sz w:val="14"/>
              </w:rPr>
            </w:r>
            <w:r>
              <w:rPr>
                <w:rFonts w:ascii="Georgia" w:hAnsi="Georgia"/>
                <w:sz w:val="14"/>
              </w:rPr>
              <w:t>8</w:t>
            </w:r>
          </w:p>
        </w:tc>
        <w:tc>
          <w:tcPr>
            <w:tcW w:type="dxa" w:w="2036"/>
            <w:shd w:val="clear" w:fill="F4F7FA"/>
          </w:tcPr>
          <w:p>
            <w:pPr>
              <w:spacing w:before="20" w:after="20"/>
            </w:pPr>
            <w:r>
              <w:rPr>
                <w:rFonts w:ascii="Georgia" w:hAnsi="Georgia"/>
                <w:sz w:val="14"/>
              </w:rPr>
            </w:r>
            <w:r>
              <w:rPr>
                <w:rFonts w:ascii="Georgia" w:hAnsi="Georgia"/>
                <w:sz w:val="14"/>
              </w:rPr>
              <w:t>Geode Capital Management</w:t>
            </w:r>
          </w:p>
        </w:tc>
        <w:tc>
          <w:tcPr>
            <w:tcW w:type="dxa" w:w="2036"/>
            <w:shd w:val="clear" w:fill="F4F7FA"/>
          </w:tcPr>
          <w:p>
            <w:pPr>
              <w:spacing w:before="20" w:after="20"/>
            </w:pPr>
            <w:r>
              <w:rPr>
                <w:rFonts w:ascii="Georgia" w:hAnsi="Georgia"/>
                <w:sz w:val="14"/>
              </w:rPr>
            </w:r>
            <w:r>
              <w:rPr>
                <w:rFonts w:ascii="Georgia" w:hAnsi="Georgia"/>
                <w:sz w:val="14"/>
              </w:rPr>
              <w:t>Institutional — passive/index</w:t>
            </w:r>
          </w:p>
        </w:tc>
        <w:tc>
          <w:tcPr>
            <w:tcW w:type="dxa" w:w="2036"/>
            <w:shd w:val="clear" w:fill="F4F7FA"/>
          </w:tcPr>
          <w:p>
            <w:pPr>
              <w:spacing w:before="20" w:after="20"/>
              <w:jc w:val="right"/>
            </w:pPr>
            <w:r>
              <w:rPr>
                <w:rFonts w:ascii="Georgia" w:hAnsi="Georgia"/>
                <w:sz w:val="14"/>
              </w:rPr>
            </w:r>
            <w:r>
              <w:rPr>
                <w:rFonts w:ascii="Georgia" w:hAnsi="Georgia"/>
                <w:sz w:val="14"/>
              </w:rPr>
              <w:t>c.2–3%</w:t>
            </w:r>
          </w:p>
        </w:tc>
        <w:tc>
          <w:tcPr>
            <w:tcW w:type="dxa" w:w="2036"/>
            <w:shd w:val="clear" w:fill="F4F7FA"/>
          </w:tcPr>
          <w:p>
            <w:pPr>
              <w:spacing w:before="20" w:after="20"/>
            </w:pPr>
            <w:r>
              <w:rPr>
                <w:rFonts w:ascii="Georgia" w:hAnsi="Georgia"/>
                <w:sz w:val="14"/>
              </w:rPr>
            </w:r>
            <w:r>
              <w:rPr>
                <w:rFonts w:ascii="Georgia" w:hAnsi="Georgia"/>
                <w:sz w:val="14"/>
              </w:rPr>
              <w:t>Index sub-adviser, principally for Fidelity products.</w:t>
            </w:r>
          </w:p>
        </w:tc>
      </w:tr>
      <w:tr>
        <w:tc>
          <w:tcPr>
            <w:tcW w:type="dxa" w:w="2036"/>
          </w:tcPr>
          <w:p>
            <w:pPr>
              <w:spacing w:before="20" w:after="20"/>
            </w:pPr>
            <w:r>
              <w:rPr>
                <w:rFonts w:ascii="Georgia" w:hAnsi="Georgia"/>
                <w:sz w:val="14"/>
              </w:rPr>
            </w:r>
            <w:r>
              <w:rPr>
                <w:rFonts w:ascii="Georgia" w:hAnsi="Georgia"/>
                <w:sz w:val="14"/>
              </w:rPr>
              <w:t>9</w:t>
            </w:r>
          </w:p>
        </w:tc>
        <w:tc>
          <w:tcPr>
            <w:tcW w:type="dxa" w:w="2036"/>
          </w:tcPr>
          <w:p>
            <w:pPr>
              <w:spacing w:before="20" w:after="20"/>
            </w:pPr>
            <w:r>
              <w:rPr>
                <w:rFonts w:ascii="Georgia" w:hAnsi="Georgia"/>
                <w:sz w:val="14"/>
              </w:rPr>
            </w:r>
            <w:r>
              <w:rPr>
                <w:rFonts w:ascii="Georgia" w:hAnsi="Georgia"/>
                <w:sz w:val="14"/>
              </w:rPr>
              <w:t>Boston Partners</w:t>
            </w:r>
          </w:p>
        </w:tc>
        <w:tc>
          <w:tcPr>
            <w:tcW w:type="dxa" w:w="2036"/>
          </w:tcPr>
          <w:p>
            <w:pPr>
              <w:spacing w:before="20" w:after="20"/>
            </w:pPr>
            <w:r>
              <w:rPr>
                <w:rFonts w:ascii="Georgia" w:hAnsi="Georgia"/>
                <w:sz w:val="14"/>
              </w:rPr>
            </w:r>
            <w:r>
              <w:rPr>
                <w:rFonts w:ascii="Georgia" w:hAnsi="Georgia"/>
                <w:sz w:val="14"/>
              </w:rPr>
              <w:t>Institutional — active value</w:t>
            </w:r>
          </w:p>
        </w:tc>
        <w:tc>
          <w:tcPr>
            <w:tcW w:type="dxa" w:w="2036"/>
          </w:tcPr>
          <w:p>
            <w:pPr>
              <w:spacing w:before="20" w:after="20"/>
              <w:jc w:val="right"/>
            </w:pPr>
            <w:r>
              <w:rPr>
                <w:rFonts w:ascii="Georgia" w:hAnsi="Georgia"/>
                <w:sz w:val="14"/>
              </w:rPr>
            </w:r>
            <w:r>
              <w:rPr>
                <w:rFonts w:ascii="Georgia" w:hAnsi="Georgia"/>
                <w:sz w:val="14"/>
              </w:rPr>
              <w:t>c.1–2%</w:t>
            </w:r>
          </w:p>
        </w:tc>
        <w:tc>
          <w:tcPr>
            <w:tcW w:type="dxa" w:w="2036"/>
          </w:tcPr>
          <w:p>
            <w:pPr>
              <w:spacing w:before="20" w:after="20"/>
            </w:pPr>
            <w:r>
              <w:rPr>
                <w:rFonts w:ascii="Georgia" w:hAnsi="Georgia"/>
                <w:sz w:val="14"/>
              </w:rPr>
            </w:r>
            <w:r>
              <w:rPr>
                <w:rFonts w:ascii="Georgia" w:hAnsi="Georgia"/>
                <w:sz w:val="14"/>
              </w:rPr>
              <w:t>Notable: a disciplined value manager appearing on the register is consistent with the stock having entered deep-value territory.</w:t>
            </w:r>
          </w:p>
        </w:tc>
      </w:tr>
      <w:tr>
        <w:tc>
          <w:tcPr>
            <w:tcW w:type="dxa" w:w="2036"/>
            <w:shd w:val="clear" w:fill="F4F7FA"/>
          </w:tcPr>
          <w:p>
            <w:pPr>
              <w:spacing w:before="20" w:after="20"/>
            </w:pPr>
            <w:r>
              <w:rPr>
                <w:rFonts w:ascii="Georgia" w:hAnsi="Georgia"/>
                <w:sz w:val="14"/>
              </w:rPr>
            </w:r>
            <w:r>
              <w:rPr>
                <w:rFonts w:ascii="Georgia" w:hAnsi="Georgia"/>
                <w:sz w:val="14"/>
              </w:rPr>
              <w:t>10</w:t>
            </w:r>
          </w:p>
        </w:tc>
        <w:tc>
          <w:tcPr>
            <w:tcW w:type="dxa" w:w="2036"/>
            <w:shd w:val="clear" w:fill="F4F7FA"/>
          </w:tcPr>
          <w:p>
            <w:pPr>
              <w:spacing w:before="20" w:after="20"/>
            </w:pPr>
            <w:r>
              <w:rPr>
                <w:rFonts w:ascii="Georgia" w:hAnsi="Georgia"/>
                <w:sz w:val="14"/>
              </w:rPr>
            </w:r>
            <w:r>
              <w:rPr>
                <w:rFonts w:ascii="Georgia" w:hAnsi="Georgia"/>
                <w:sz w:val="14"/>
              </w:rPr>
              <w:t>T. Rowe Price / Fidelity (FMR) / Wellington</w:t>
            </w:r>
          </w:p>
        </w:tc>
        <w:tc>
          <w:tcPr>
            <w:tcW w:type="dxa" w:w="2036"/>
            <w:shd w:val="clear" w:fill="F4F7FA"/>
          </w:tcPr>
          <w:p>
            <w:pPr>
              <w:spacing w:before="20" w:after="20"/>
            </w:pPr>
            <w:r>
              <w:rPr>
                <w:rFonts w:ascii="Georgia" w:hAnsi="Georgia"/>
                <w:sz w:val="14"/>
              </w:rPr>
            </w:r>
            <w:r>
              <w:rPr>
                <w:rFonts w:ascii="Georgia" w:hAnsi="Georgia"/>
                <w:sz w:val="14"/>
              </w:rPr>
              <w:t>Institutional — active</w:t>
            </w:r>
          </w:p>
        </w:tc>
        <w:tc>
          <w:tcPr>
            <w:tcW w:type="dxa" w:w="2036"/>
            <w:shd w:val="clear" w:fill="F4F7FA"/>
          </w:tcPr>
          <w:p>
            <w:pPr>
              <w:spacing w:before="20" w:after="20"/>
              <w:jc w:val="right"/>
            </w:pPr>
            <w:r>
              <w:rPr>
                <w:rFonts w:ascii="Georgia" w:hAnsi="Georgia"/>
                <w:sz w:val="14"/>
              </w:rPr>
            </w:r>
            <w:r>
              <w:rPr>
                <w:rFonts w:ascii="Georgia" w:hAnsi="Georgia"/>
                <w:sz w:val="14"/>
              </w:rPr>
              <w:t>c.1–2% each</w:t>
            </w:r>
          </w:p>
        </w:tc>
        <w:tc>
          <w:tcPr>
            <w:tcW w:type="dxa" w:w="2036"/>
            <w:shd w:val="clear" w:fill="F4F7FA"/>
          </w:tcPr>
          <w:p>
            <w:pPr>
              <w:spacing w:before="20" w:after="20"/>
            </w:pPr>
            <w:r>
              <w:rPr>
                <w:rFonts w:ascii="Georgia" w:hAnsi="Georgia"/>
                <w:sz w:val="14"/>
              </w:rPr>
            </w:r>
            <w:r>
              <w:rPr>
                <w:rFonts w:ascii="Georgia" w:hAnsi="Georgia"/>
                <w:sz w:val="14"/>
              </w:rPr>
              <w:t>Traditional active growth managers; historically core holders, likely reduced through the de-rating.</w:t>
            </w:r>
          </w:p>
        </w:tc>
      </w:tr>
    </w:tbl>
    <w:p>
      <w:pPr>
        <w:spacing w:after="60"/>
      </w:pPr>
    </w:p>
    <w:p>
      <w:pPr>
        <w:spacing w:before="0" w:after="120"/>
        <w:jc w:val="both"/>
      </w:pPr>
      <w:r>
        <w:rPr>
          <w:i/>
          <w:color w:val="555555"/>
          <w:sz w:val="15"/>
        </w:rPr>
        <w:t xml:space="preserve">Aggregate institutional ownership is approximately </w:t>
      </w:r>
      <w:r>
        <w:rPr>
          <w:b/>
          <w:i/>
          <w:color w:val="555555"/>
          <w:sz w:val="15"/>
        </w:rPr>
        <w:t>91.58%</w:t>
      </w:r>
      <w:r>
        <w:rPr>
          <w:i/>
          <w:color w:val="555555"/>
          <w:sz w:val="15"/>
        </w:rPr>
        <w:t xml:space="preserve">; insiders approximately </w:t>
      </w:r>
      <w:r>
        <w:rPr>
          <w:b/>
          <w:i/>
          <w:color w:val="555555"/>
          <w:sz w:val="15"/>
        </w:rPr>
        <w:t>4.30%</w:t>
      </w:r>
      <w:r>
        <w:rPr>
          <w:i/>
          <w:color w:val="555555"/>
          <w:sz w:val="15"/>
        </w:rPr>
        <w:t>. Individual stake percentages are search-sourced approximations from differing reporting dates and vary by source (Vanguard is reported at both 10.8% and 12.9%; BlackRock at both 8.2% and 7.69%). Verify against 13F filings before use.</w:t>
      </w:r>
    </w:p>
    <w:p>
      <w:pPr>
        <w:spacing w:before="40" w:after="60"/>
        <w:ind w:left="173" w:right="115"/>
        <w:jc w:val="both"/>
        <w:pBdr>
          <w:left w:val="single" w:sz="18" w:space="6" w:color="0B2545"/>
        </w:pBdr>
        <w:shd w:val="clear" w:fill="F4F7FA"/>
      </w:pPr>
      <w:r>
        <w:rPr>
          <w:b/>
          <w:sz w:val="17"/>
        </w:rPr>
        <w:t>Register composition read.</w:t>
      </w:r>
      <w:r>
        <w:rPr>
          <w:sz w:val="17"/>
        </w:rPr>
        <w:t xml:space="preserve"> The passive complex (Vanguard, BlackRock, State Street, Geode) holds roughly 25–30% and will not sell regardless of fundamentals. Active ownership is therefore concentrated in a relatively small free float, which combined with 15.8% short interest explains the extraordinary single-day moves — a 22% fall on an earnings print is a liquidity phenomenon as much as a fundamental one. It also means that </w:t>
      </w:r>
      <w:r>
        <w:rPr>
          <w:b/>
          <w:sz w:val="17"/>
        </w:rPr>
        <w:t>a genuine positive surprise would move the stock violently upward</w:t>
      </w:r>
      <w:r>
        <w:rPr>
          <w:sz w:val="17"/>
        </w:rPr>
        <w:t>, since the marginal seller is already short and the marginal holder is an index fund.</w:t>
      </w:r>
    </w:p>
    <w:p>
      <w:pPr>
        <w:keepNext/>
        <w:spacing w:before="200" w:after="80"/>
      </w:pPr>
      <w:r>
        <w:rPr>
          <w:rFonts w:ascii="Georgia" w:hAnsi="Georgia"/>
          <w:b/>
          <w:color w:val="14487F"/>
          <w:sz w:val="21"/>
        </w:rPr>
        <w:t>Activism</w:t>
      </w:r>
    </w:p>
    <w:p>
      <w:pPr>
        <w:spacing w:before="0" w:after="80"/>
        <w:jc w:val="both"/>
      </w:pPr>
      <w:r>
        <w:rPr>
          <w:b/>
        </w:rPr>
        <w:t>No formal activist campaign has been launched against EPAM.</w:t>
      </w:r>
      <w:r>
        <w:rPr/>
        <w:t xml:space="preserve"> No Schedule 13D filing by an activist investor was identified, and no public campaign, board slate, proxy fight or settlement exists in the record.</w:t>
      </w:r>
    </w:p>
    <w:p>
      <w:pPr>
        <w:spacing w:before="0" w:after="80"/>
        <w:jc w:val="both"/>
      </w:pPr>
      <w:r>
        <w:rPr/>
        <w:t xml:space="preserve">There is, however, </w:t>
      </w:r>
      <w:r>
        <w:rPr>
          <w:b/>
        </w:rPr>
        <w:t>early-stage governance pressure</w:t>
      </w:r>
      <w:r>
        <w:rPr/>
        <w:t xml:space="preserve">. In the definitive proxy filed on or about 6 April 2026 for the 21 May 2026 annual meeting, the board proposed amending EPAM's Fourth Amended and Restated Certificate of Incorporation to allow shareholders to call special meetings — while simultaneously urging shareholders to vote </w:t>
      </w:r>
      <w:r>
        <w:rPr>
          <w:i/>
        </w:rPr>
        <w:t>against</w:t>
      </w:r>
      <w:r>
        <w:rPr/>
        <w:t xml:space="preserve"> a separate shareholder proposal seeking a lower 10% ownership threshold for the same right. The board also moved Class II directors to one-year terms, indicating progressive declassification.</w:t>
      </w:r>
    </w:p>
    <w:p>
      <w:pPr>
        <w:spacing w:before="0" w:after="80"/>
        <w:jc w:val="both"/>
      </w:pPr>
      <w:r>
        <w:rPr/>
        <w:t xml:space="preserve">This is the signature of </w:t>
      </w:r>
      <w:r>
        <w:rPr>
          <w:b/>
        </w:rPr>
        <w:t>pre-activist governance engagement</w:t>
      </w:r>
      <w:r>
        <w:rPr/>
        <w:t>: a board pre-emptively liberalising takeover and shareholder-rights defences on its own terms, ahead of external pressure. The proponent of the 10% threshold proposal was not identified in available sources.</w:t>
      </w:r>
    </w:p>
    <w:p>
      <w:pPr>
        <w:keepNext/>
        <w:spacing w:before="140" w:after="60"/>
      </w:pPr>
      <w:r>
        <w:rPr>
          <w:rFonts w:ascii="Georgia" w:hAnsi="Georgia"/>
          <w:b/>
          <w:color w:val="333333"/>
          <w:sz w:val="19"/>
        </w:rPr>
        <w:t>Why an activist campaign is now plausible</w:t>
      </w:r>
    </w:p>
    <w:p>
      <w:pPr>
        <w:pStyle w:val="ListBullet"/>
        <w:spacing w:after="50"/>
        <w:ind w:left="403"/>
        <w:jc w:val="both"/>
      </w:pPr>
      <w:r>
        <w:rPr>
          <w:rFonts w:ascii="Georgia" w:hAnsi="Georgia"/>
          <w:sz w:val="17"/>
        </w:rPr>
        <w:t>Shares down roughly 84% from the 2021 peak and roughly 48% from the 52-week high of $222.53.</w:t>
      </w:r>
    </w:p>
    <w:p>
      <w:pPr>
        <w:pStyle w:val="ListBullet"/>
        <w:spacing w:after="50"/>
        <w:ind w:left="403"/>
        <w:jc w:val="both"/>
      </w:pPr>
      <w:r>
        <w:rPr>
          <w:rFonts w:ascii="Georgia" w:hAnsi="Georgia"/>
          <w:sz w:val="17"/>
        </w:rPr>
        <w:t>Net cash of roughly $769m plus a $675m undrawn revolver — an obvious balance-sheet target.</w:t>
      </w:r>
    </w:p>
    <w:p>
      <w:pPr>
        <w:pStyle w:val="ListBullet"/>
        <w:spacing w:after="50"/>
        <w:ind w:left="403"/>
        <w:jc w:val="both"/>
      </w:pPr>
      <w:r>
        <w:rPr>
          <w:rFonts w:ascii="Georgia" w:hAnsi="Georgia"/>
          <w:sz w:val="17"/>
        </w:rPr>
        <w:t>No dividend has ever been paid despite a roughly 10% free cash flow yield.</w:t>
      </w:r>
    </w:p>
    <w:p>
      <w:pPr>
        <w:pStyle w:val="ListBullet"/>
        <w:spacing w:after="50"/>
        <w:ind w:left="403"/>
        <w:jc w:val="both"/>
      </w:pPr>
      <w:r>
        <w:rPr>
          <w:rFonts w:ascii="Georgia" w:hAnsi="Georgia"/>
          <w:sz w:val="17"/>
        </w:rPr>
        <w:t>Declining ROE/ROIC following the roughly $920m 2024 acquisition programme.</w:t>
      </w:r>
    </w:p>
    <w:p>
      <w:pPr>
        <w:pStyle w:val="ListBullet"/>
        <w:spacing w:after="50"/>
        <w:ind w:left="403"/>
        <w:jc w:val="both"/>
      </w:pPr>
      <w:r>
        <w:rPr>
          <w:rFonts w:ascii="Georgia" w:hAnsi="Georgia"/>
          <w:sz w:val="17"/>
        </w:rPr>
        <w:t>No controlling shareholder; insiders hold only 4.3%.</w:t>
      </w:r>
    </w:p>
    <w:p>
      <w:pPr>
        <w:pStyle w:val="ListBullet"/>
        <w:spacing w:after="50"/>
        <w:ind w:left="403"/>
        <w:jc w:val="both"/>
      </w:pPr>
      <w:r>
        <w:rPr>
          <w:rFonts w:ascii="Georgia" w:hAnsi="Georgia"/>
          <w:sz w:val="17"/>
        </w:rPr>
        <w:t>Takeover defences actively being dismantled.</w:t>
      </w:r>
    </w:p>
    <w:p>
      <w:pPr>
        <w:spacing w:before="0" w:after="80"/>
        <w:jc w:val="both"/>
      </w:pPr>
      <w:r>
        <w:rPr/>
        <w:t xml:space="preserve">A plausible activist thesis would demand: a materially larger and faster buyback funded partly by debt; the initiation of a dividend; a halt to further M&amp;A; board refreshment with AI/platform expertise; and a strategic review including a sale process. We would regard the arrival of an activist as a </w:t>
      </w:r>
      <w:r>
        <w:rPr>
          <w:b/>
        </w:rPr>
        <w:t>modest positive catalyst</w:t>
      </w:r>
      <w:r>
        <w:rPr/>
        <w:t xml:space="preserve"> for the equity.</w:t>
      </w:r>
    </w:p>
    <w:p>
      <w:pPr>
        <w:keepNext/>
        <w:spacing w:before="200" w:after="80"/>
      </w:pPr>
      <w:r>
        <w:rPr>
          <w:rFonts w:ascii="Georgia" w:hAnsi="Georgia"/>
          <w:b/>
          <w:color w:val="14487F"/>
          <w:sz w:val="21"/>
        </w:rPr>
        <w:t>Short interest and short sellers</w:t>
      </w:r>
    </w:p>
    <w:tbl>
      <w:tblPr>
        <w:tblStyle w:val="TableGrid"/>
        <w:tblW w:type="auto" w:w="0"/>
        <w:jc w:val="center"/>
        <w:tblLayout w:type="autofit"/>
        <w:tblLook w:firstColumn="1" w:firstRow="1" w:lastColumn="0" w:lastRow="0" w:noHBand="0" w:noVBand="1" w:val="04A0"/>
      </w:tblPr>
      <w:tblGrid>
        <w:gridCol w:w="3394"/>
        <w:gridCol w:w="3394"/>
        <w:gridCol w:w="3394"/>
      </w:tblGrid>
      <w:tr>
        <w:tc>
          <w:tcPr>
            <w:tcW w:type="dxa" w:w="3394"/>
            <w:shd w:val="clear" w:fill="0B2545"/>
          </w:tcPr>
          <w:p>
            <w:pPr>
              <w:spacing w:before="20" w:after="20"/>
            </w:pPr>
            <w:r>
              <w:rPr>
                <w:rFonts w:ascii="Georgia" w:hAnsi="Georgia"/>
                <w:b/>
                <w:color w:val="FFFFFF"/>
                <w:sz w:val="14"/>
              </w:rPr>
            </w:r>
            <w:r>
              <w:rPr>
                <w:rFonts w:ascii="Georgia" w:hAnsi="Georgia"/>
                <w:b/>
                <w:color w:val="FFFFFF"/>
                <w:sz w:val="14"/>
              </w:rPr>
              <w:t>Metric</w:t>
            </w:r>
          </w:p>
        </w:tc>
        <w:tc>
          <w:tcPr>
            <w:tcW w:type="dxa" w:w="3394"/>
            <w:shd w:val="clear" w:fill="0B2545"/>
          </w:tcPr>
          <w:p>
            <w:pPr>
              <w:spacing w:before="20" w:after="20"/>
              <w:jc w:val="right"/>
            </w:pPr>
            <w:r>
              <w:rPr>
                <w:rFonts w:ascii="Georgia" w:hAnsi="Georgia"/>
                <w:b/>
                <w:color w:val="FFFFFF"/>
                <w:sz w:val="14"/>
              </w:rPr>
            </w:r>
            <w:r>
              <w:rPr>
                <w:rFonts w:ascii="Georgia" w:hAnsi="Georgia"/>
                <w:b/>
                <w:color w:val="FFFFFF"/>
                <w:sz w:val="14"/>
              </w:rPr>
              <w:t>Value</w:t>
            </w:r>
          </w:p>
        </w:tc>
        <w:tc>
          <w:tcPr>
            <w:tcW w:type="dxa" w:w="3394"/>
            <w:shd w:val="clear" w:fill="0B2545"/>
          </w:tcPr>
          <w:p>
            <w:pPr>
              <w:spacing w:before="20" w:after="20"/>
            </w:pPr>
            <w:r>
              <w:rPr>
                <w:rFonts w:ascii="Georgia" w:hAnsi="Georgia"/>
                <w:b/>
                <w:color w:val="FFFFFF"/>
                <w:sz w:val="14"/>
              </w:rPr>
            </w:r>
            <w:r>
              <w:rPr>
                <w:rFonts w:ascii="Georgia" w:hAnsi="Georgia"/>
                <w:b/>
                <w:color w:val="FFFFFF"/>
                <w:sz w:val="14"/>
              </w:rPr>
              <w:t>Comment</w:t>
            </w:r>
          </w:p>
        </w:tc>
      </w:tr>
      <w:tr>
        <w:tc>
          <w:tcPr>
            <w:tcW w:type="dxa" w:w="3394"/>
          </w:tcPr>
          <w:p>
            <w:pPr>
              <w:spacing w:before="20" w:after="20"/>
            </w:pPr>
            <w:r>
              <w:rPr>
                <w:rFonts w:ascii="Georgia" w:hAnsi="Georgia"/>
                <w:sz w:val="14"/>
              </w:rPr>
            </w:r>
            <w:r>
              <w:rPr>
                <w:rFonts w:ascii="Georgia" w:hAnsi="Georgia"/>
                <w:sz w:val="14"/>
              </w:rPr>
              <w:t>Shares short</w:t>
            </w:r>
          </w:p>
        </w:tc>
        <w:tc>
          <w:tcPr>
            <w:tcW w:type="dxa" w:w="3394"/>
          </w:tcPr>
          <w:p>
            <w:pPr>
              <w:spacing w:before="20" w:after="20"/>
              <w:jc w:val="right"/>
            </w:pPr>
            <w:r>
              <w:rPr>
                <w:rFonts w:ascii="Georgia" w:hAnsi="Georgia"/>
                <w:sz w:val="14"/>
              </w:rPr>
            </w:r>
            <w:r>
              <w:rPr>
                <w:rFonts w:ascii="Georgia" w:hAnsi="Georgia"/>
                <w:sz w:val="14"/>
              </w:rPr>
              <w:t>c.8.16m</w:t>
            </w:r>
          </w:p>
        </w:tc>
        <w:tc>
          <w:tcPr>
            <w:tcW w:type="dxa" w:w="3394"/>
          </w:tcPr>
          <w:p>
            <w:pPr>
              <w:spacing w:before="20" w:after="20"/>
            </w:pPr>
            <w:r>
              <w:rPr>
                <w:rFonts w:ascii="Georgia" w:hAnsi="Georgia"/>
                <w:sz w:val="14"/>
              </w:rPr>
            </w:r>
            <w:r>
              <w:rPr>
                <w:rFonts w:ascii="Georgia" w:hAnsi="Georgia"/>
                <w:sz w:val="14"/>
              </w:rPr>
              <w:t>As at mid-August 2026 (data updated 16 Aug 2026)</w:t>
            </w:r>
          </w:p>
        </w:tc>
      </w:tr>
      <w:tr>
        <w:tc>
          <w:tcPr>
            <w:tcW w:type="dxa" w:w="3394"/>
            <w:shd w:val="clear" w:fill="F4F7FA"/>
          </w:tcPr>
          <w:p>
            <w:pPr>
              <w:spacing w:before="20" w:after="20"/>
            </w:pPr>
            <w:r>
              <w:rPr>
                <w:rFonts w:ascii="Georgia" w:hAnsi="Georgia"/>
                <w:sz w:val="14"/>
              </w:rPr>
            </w:r>
            <w:r>
              <w:rPr>
                <w:rFonts w:ascii="Georgia" w:hAnsi="Georgia"/>
                <w:sz w:val="14"/>
              </w:rPr>
              <w:t>Short interest as % of shares outstanding</w:t>
            </w:r>
          </w:p>
        </w:tc>
        <w:tc>
          <w:tcPr>
            <w:tcW w:type="dxa" w:w="3394"/>
            <w:shd w:val="clear" w:fill="F4F7FA"/>
          </w:tcPr>
          <w:p>
            <w:pPr>
              <w:spacing w:before="20" w:after="20"/>
              <w:jc w:val="right"/>
            </w:pPr>
            <w:r>
              <w:rPr>
                <w:rFonts w:ascii="Georgia" w:hAnsi="Georgia"/>
                <w:sz w:val="14"/>
              </w:rPr>
            </w:r>
            <w:r>
              <w:rPr>
                <w:rFonts w:ascii="Georgia" w:hAnsi="Georgia"/>
                <w:b/>
                <w:sz w:val="14"/>
              </w:rPr>
              <w:t>c.15.8%</w:t>
            </w:r>
          </w:p>
        </w:tc>
        <w:tc>
          <w:tcPr>
            <w:tcW w:type="dxa" w:w="3394"/>
            <w:shd w:val="clear" w:fill="F4F7FA"/>
          </w:tcPr>
          <w:p>
            <w:pPr>
              <w:spacing w:before="20" w:after="20"/>
            </w:pPr>
            <w:r>
              <w:rPr>
                <w:rFonts w:ascii="Georgia" w:hAnsi="Georgia"/>
                <w:sz w:val="14"/>
              </w:rPr>
            </w:r>
            <w:r>
              <w:rPr>
                <w:rFonts w:ascii="Georgia" w:hAnsi="Georgia"/>
                <w:sz w:val="14"/>
              </w:rPr>
              <w:t>Very high in absolute terms and versus history</w:t>
            </w:r>
          </w:p>
        </w:tc>
      </w:tr>
      <w:tr>
        <w:tc>
          <w:tcPr>
            <w:tcW w:type="dxa" w:w="3394"/>
          </w:tcPr>
          <w:p>
            <w:pPr>
              <w:spacing w:before="20" w:after="20"/>
            </w:pPr>
            <w:r>
              <w:rPr>
                <w:rFonts w:ascii="Georgia" w:hAnsi="Georgia"/>
                <w:sz w:val="14"/>
              </w:rPr>
            </w:r>
            <w:r>
              <w:rPr>
                <w:rFonts w:ascii="Georgia" w:hAnsi="Georgia"/>
                <w:sz w:val="14"/>
              </w:rPr>
              <w:t>Alternative reported figure</w:t>
            </w:r>
          </w:p>
        </w:tc>
        <w:tc>
          <w:tcPr>
            <w:tcW w:type="dxa" w:w="3394"/>
          </w:tcPr>
          <w:p>
            <w:pPr>
              <w:spacing w:before="20" w:after="20"/>
              <w:jc w:val="right"/>
            </w:pPr>
            <w:r>
              <w:rPr>
                <w:rFonts w:ascii="Georgia" w:hAnsi="Georgia"/>
                <w:sz w:val="14"/>
              </w:rPr>
            </w:r>
            <w:r>
              <w:rPr>
                <w:rFonts w:ascii="Georgia" w:hAnsi="Georgia"/>
                <w:sz w:val="14"/>
              </w:rPr>
              <w:t>c.18.9%</w:t>
            </w:r>
          </w:p>
        </w:tc>
        <w:tc>
          <w:tcPr>
            <w:tcW w:type="dxa" w:w="3394"/>
          </w:tcPr>
          <w:p>
            <w:pPr>
              <w:spacing w:before="20" w:after="20"/>
            </w:pPr>
            <w:r>
              <w:rPr>
                <w:rFonts w:ascii="Georgia" w:hAnsi="Georgia"/>
                <w:sz w:val="14"/>
              </w:rPr>
            </w:r>
            <w:r>
              <w:rPr>
                <w:rFonts w:ascii="Georgia" w:hAnsi="Georgia"/>
                <w:sz w:val="14"/>
              </w:rPr>
              <w:t>Sources differ; the range is 15.8–18.9%</w:t>
            </w:r>
          </w:p>
        </w:tc>
      </w:tr>
      <w:tr>
        <w:tc>
          <w:tcPr>
            <w:tcW w:type="dxa" w:w="3394"/>
            <w:shd w:val="clear" w:fill="F4F7FA"/>
          </w:tcPr>
          <w:p>
            <w:pPr>
              <w:spacing w:before="20" w:after="20"/>
            </w:pPr>
            <w:r>
              <w:rPr>
                <w:rFonts w:ascii="Georgia" w:hAnsi="Georgia"/>
                <w:sz w:val="14"/>
              </w:rPr>
            </w:r>
            <w:r>
              <w:rPr>
                <w:rFonts w:ascii="Georgia" w:hAnsi="Georgia"/>
                <w:sz w:val="14"/>
              </w:rPr>
              <w:t>Free float</w:t>
            </w:r>
          </w:p>
        </w:tc>
        <w:tc>
          <w:tcPr>
            <w:tcW w:type="dxa" w:w="3394"/>
            <w:shd w:val="clear" w:fill="F4F7FA"/>
          </w:tcPr>
          <w:p>
            <w:pPr>
              <w:spacing w:before="20" w:after="20"/>
              <w:jc w:val="right"/>
            </w:pPr>
            <w:r>
              <w:rPr>
                <w:rFonts w:ascii="Georgia" w:hAnsi="Georgia"/>
                <w:sz w:val="14"/>
              </w:rPr>
            </w:r>
            <w:r>
              <w:rPr>
                <w:rFonts w:ascii="Georgia" w:hAnsi="Georgia"/>
                <w:sz w:val="14"/>
              </w:rPr>
              <w:t>c.50.55m shares</w:t>
            </w:r>
          </w:p>
        </w:tc>
        <w:tc>
          <w:tcPr>
            <w:tcW w:type="dxa" w:w="3394"/>
            <w:shd w:val="clear" w:fill="F4F7FA"/>
          </w:tcPr>
          <w:p>
            <w:pPr>
              <w:spacing w:before="20" w:after="20"/>
            </w:pPr>
            <w:r>
              <w:rPr>
                <w:rFonts w:ascii="Georgia" w:hAnsi="Georgia"/>
                <w:sz w:val="14"/>
              </w:rPr>
            </w:r>
            <w:r>
              <w:rPr>
                <w:rFonts w:ascii="Georgia" w:hAnsi="Georgia"/>
                <w:sz w:val="14"/>
              </w:rPr>
              <w:t>Short interest represents roughly 16–19% of float</w:t>
            </w:r>
          </w:p>
        </w:tc>
      </w:tr>
    </w:tbl>
    <w:p>
      <w:pPr>
        <w:spacing w:after="60"/>
      </w:pPr>
    </w:p>
    <w:p>
      <w:pPr>
        <w:spacing w:before="0" w:after="80"/>
        <w:jc w:val="both"/>
      </w:pPr>
      <w:r>
        <w:rPr/>
        <w:t xml:space="preserve">No individual activist short seller has published a public thesis on EPAM — there is no Hindenburg, Muddy Waters or Kerrisdale-style report in the record. The short position appears to be a </w:t>
      </w:r>
      <w:r>
        <w:rPr>
          <w:b/>
        </w:rPr>
        <w:t>thematic, quantitatively-driven trade</w:t>
      </w:r>
      <w:r>
        <w:rPr/>
        <w:t xml:space="preserve"> rather than a fraud or forensic-accounting thesis: funds shorting the "AI destroys labour-based IT services" theme across the sector, with EPAM as the highest-beta, most liquid expression of it. The parallel de-rating of Endava, Globant and Thoughtworks supports this reading.</w:t>
      </w:r>
    </w:p>
    <w:p>
      <w:pPr>
        <w:spacing w:before="0" w:after="80"/>
        <w:jc w:val="both"/>
      </w:pPr>
      <w:r>
        <w:rPr>
          <w:b/>
        </w:rPr>
        <w:t>Investment implication.</w:t>
      </w:r>
      <w:r>
        <w:rPr/>
        <w:t xml:space="preserve"> A 15.8–18.9% short interest against a 50.55m share float is a genuine two-sided risk. It amplifies downside on bad news — as on 6 August — but it also creates significant squeeze potential. Because the thesis is thematic rather than company-specific, the catalyst that would force covering is not an EPAM-specific event but </w:t>
      </w:r>
      <w:r>
        <w:rPr>
          <w:b/>
        </w:rPr>
        <w:t>sector-wide evidence that AI is expanding rather than contracting services demand</w:t>
      </w:r>
      <w:r>
        <w:rPr/>
        <w:t>. EPAM's own AI-native revenue line, if it continues compounding toward and beyond $600m, is precisely such evidence.</w:t>
      </w:r>
    </w:p>
    <w:p>
      <w:pPr>
        <w:keepNext/>
        <w:spacing w:before="320" w:after="120"/>
        <w:pBdr>
          <w:bottom w:val="single" w:sz="12" w:space="2" w:color="0B2545"/>
        </w:pBdr>
      </w:pPr>
      <w:r>
        <w:rPr>
          <w:rFonts w:ascii="Georgia" w:hAnsi="Georgia"/>
          <w:b/>
          <w:color w:val="0B2545"/>
          <w:sz w:val="26"/>
        </w:rPr>
        <w:t>18. Strategic Initiatives of the Last Decade</w:t>
      </w:r>
    </w:p>
    <w:tbl>
      <w:tblPr>
        <w:tblStyle w:val="TableGrid"/>
        <w:tblW w:type="auto" w:w="0"/>
        <w:jc w:val="center"/>
        <w:tblLayout w:type="autofit"/>
        <w:tblLook w:firstColumn="1" w:firstRow="1" w:lastColumn="0" w:lastRow="0" w:noHBand="0" w:noVBand="1" w:val="04A0"/>
      </w:tblPr>
      <w:tblGrid>
        <w:gridCol w:w="2545"/>
        <w:gridCol w:w="2545"/>
        <w:gridCol w:w="2545"/>
        <w:gridCol w:w="2545"/>
      </w:tblGrid>
      <w:tr>
        <w:tc>
          <w:tcPr>
            <w:tcW w:type="dxa" w:w="2545"/>
            <w:shd w:val="clear" w:fill="0B2545"/>
          </w:tcPr>
          <w:p>
            <w:pPr>
              <w:spacing w:before="20" w:after="20"/>
            </w:pPr>
            <w:r>
              <w:rPr>
                <w:rFonts w:ascii="Georgia" w:hAnsi="Georgia"/>
                <w:b/>
                <w:color w:val="FFFFFF"/>
                <w:sz w:val="14"/>
              </w:rPr>
            </w:r>
            <w:r>
              <w:rPr>
                <w:rFonts w:ascii="Georgia" w:hAnsi="Georgia"/>
                <w:b/>
                <w:color w:val="FFFFFF"/>
                <w:sz w:val="14"/>
              </w:rPr>
              <w:t>Initiative</w:t>
            </w:r>
          </w:p>
        </w:tc>
        <w:tc>
          <w:tcPr>
            <w:tcW w:type="dxa" w:w="2545"/>
            <w:shd w:val="clear" w:fill="0B2545"/>
          </w:tcPr>
          <w:p>
            <w:pPr>
              <w:spacing w:before="20" w:after="20"/>
            </w:pPr>
            <w:r>
              <w:rPr>
                <w:rFonts w:ascii="Georgia" w:hAnsi="Georgia"/>
                <w:b/>
                <w:color w:val="FFFFFF"/>
                <w:sz w:val="14"/>
              </w:rPr>
            </w:r>
            <w:r>
              <w:rPr>
                <w:rFonts w:ascii="Georgia" w:hAnsi="Georgia"/>
                <w:b/>
                <w:color w:val="FFFFFF"/>
                <w:sz w:val="14"/>
              </w:rPr>
              <w:t>Period</w:t>
            </w:r>
          </w:p>
        </w:tc>
        <w:tc>
          <w:tcPr>
            <w:tcW w:type="dxa" w:w="2545"/>
            <w:shd w:val="clear" w:fill="0B2545"/>
          </w:tcPr>
          <w:p>
            <w:pPr>
              <w:spacing w:before="20" w:after="20"/>
            </w:pPr>
            <w:r>
              <w:rPr>
                <w:rFonts w:ascii="Georgia" w:hAnsi="Georgia"/>
                <w:b/>
                <w:color w:val="FFFFFF"/>
                <w:sz w:val="14"/>
              </w:rPr>
            </w:r>
            <w:r>
              <w:rPr>
                <w:rFonts w:ascii="Georgia" w:hAnsi="Georgia"/>
                <w:b/>
                <w:color w:val="FFFFFF"/>
                <w:sz w:val="14"/>
              </w:rPr>
              <w:t>Objective</w:t>
            </w:r>
          </w:p>
        </w:tc>
        <w:tc>
          <w:tcPr>
            <w:tcW w:type="dxa" w:w="2545"/>
            <w:shd w:val="clear" w:fill="0B2545"/>
          </w:tcPr>
          <w:p>
            <w:pPr>
              <w:spacing w:before="20" w:after="20"/>
            </w:pPr>
            <w:r>
              <w:rPr>
                <w:rFonts w:ascii="Georgia" w:hAnsi="Georgia"/>
                <w:b/>
                <w:color w:val="FFFFFF"/>
                <w:sz w:val="14"/>
              </w:rPr>
            </w:r>
            <w:r>
              <w:rPr>
                <w:rFonts w:ascii="Georgia" w:hAnsi="Georgia"/>
                <w:b/>
                <w:color w:val="FFFFFF"/>
                <w:sz w:val="14"/>
              </w:rPr>
              <w:t>Outcome and current status</w:t>
            </w:r>
          </w:p>
        </w:tc>
      </w:tr>
      <w:tr>
        <w:tc>
          <w:tcPr>
            <w:tcW w:type="dxa" w:w="2545"/>
          </w:tcPr>
          <w:p>
            <w:pPr>
              <w:spacing w:before="20" w:after="20"/>
            </w:pPr>
            <w:r>
              <w:rPr>
                <w:rFonts w:ascii="Georgia" w:hAnsi="Georgia"/>
                <w:sz w:val="14"/>
              </w:rPr>
            </w:r>
            <w:r>
              <w:rPr>
                <w:rFonts w:ascii="Georgia" w:hAnsi="Georgia"/>
                <w:b/>
                <w:sz w:val="14"/>
              </w:rPr>
              <w:t>Move up the value chain into consulting and design</w:t>
            </w:r>
          </w:p>
        </w:tc>
        <w:tc>
          <w:tcPr>
            <w:tcW w:type="dxa" w:w="2545"/>
          </w:tcPr>
          <w:p>
            <w:pPr>
              <w:spacing w:before="20" w:after="20"/>
            </w:pPr>
            <w:r>
              <w:rPr>
                <w:rFonts w:ascii="Georgia" w:hAnsi="Georgia"/>
                <w:sz w:val="14"/>
              </w:rPr>
            </w:r>
            <w:r>
              <w:rPr>
                <w:rFonts w:ascii="Georgia" w:hAnsi="Georgia"/>
                <w:sz w:val="14"/>
              </w:rPr>
              <w:t>2016–2020</w:t>
            </w:r>
          </w:p>
        </w:tc>
        <w:tc>
          <w:tcPr>
            <w:tcW w:type="dxa" w:w="2545"/>
          </w:tcPr>
          <w:p>
            <w:pPr>
              <w:spacing w:before="20" w:after="20"/>
            </w:pPr>
            <w:r>
              <w:rPr>
                <w:rFonts w:ascii="Georgia" w:hAnsi="Georgia"/>
                <w:sz w:val="14"/>
              </w:rPr>
            </w:r>
            <w:r>
              <w:rPr>
                <w:rFonts w:ascii="Georgia" w:hAnsi="Georgia"/>
                <w:sz w:val="14"/>
              </w:rPr>
              <w:t>Escape pure staff-augmentation pricing; acquire strategic seat at the client</w:t>
            </w:r>
          </w:p>
        </w:tc>
        <w:tc>
          <w:tcPr>
            <w:tcW w:type="dxa" w:w="2545"/>
          </w:tcPr>
          <w:p>
            <w:pPr>
              <w:spacing w:before="20" w:after="20"/>
            </w:pPr>
            <w:r>
              <w:rPr>
                <w:rFonts w:ascii="Georgia" w:hAnsi="Georgia"/>
                <w:sz w:val="14"/>
              </w:rPr>
            </w:r>
            <w:r>
              <w:rPr>
                <w:rFonts w:ascii="Georgia" w:hAnsi="Georgia"/>
                <w:b/>
                <w:sz w:val="14"/>
              </w:rPr>
              <w:t>Partially successful.</w:t>
            </w:r>
            <w:r>
              <w:rPr>
                <w:rFonts w:ascii="Georgia" w:hAnsi="Georgia"/>
                <w:sz w:val="14"/>
              </w:rPr>
              <w:t xml:space="preserve"> EPAM Continuum (via the Continuum acquisition, 2018) and Emakina gave genuine design and experience capability. But EPAM never displaced Accenture or Deloitte at the C-suite, and roughly 85–90% of revenue remains time-and-materials. </w:t>
            </w:r>
            <w:r>
              <w:rPr>
                <w:rFonts w:ascii="Georgia" w:hAnsi="Georgia"/>
                <w:i/>
                <w:sz w:val="14"/>
              </w:rPr>
              <w:t>Ongoing.</w:t>
            </w:r>
          </w:p>
        </w:tc>
      </w:tr>
      <w:tr>
        <w:tc>
          <w:tcPr>
            <w:tcW w:type="dxa" w:w="2545"/>
            <w:shd w:val="clear" w:fill="F4F7FA"/>
          </w:tcPr>
          <w:p>
            <w:pPr>
              <w:spacing w:before="20" w:after="20"/>
            </w:pPr>
            <w:r>
              <w:rPr>
                <w:rFonts w:ascii="Georgia" w:hAnsi="Georgia"/>
                <w:sz w:val="14"/>
              </w:rPr>
            </w:r>
            <w:r>
              <w:rPr>
                <w:rFonts w:ascii="Georgia" w:hAnsi="Georgia"/>
                <w:b/>
                <w:sz w:val="14"/>
              </w:rPr>
              <w:t>Vertical specialisation</w:t>
            </w:r>
          </w:p>
        </w:tc>
        <w:tc>
          <w:tcPr>
            <w:tcW w:type="dxa" w:w="2545"/>
            <w:shd w:val="clear" w:fill="F4F7FA"/>
          </w:tcPr>
          <w:p>
            <w:pPr>
              <w:spacing w:before="20" w:after="20"/>
            </w:pPr>
            <w:r>
              <w:rPr>
                <w:rFonts w:ascii="Georgia" w:hAnsi="Georgia"/>
                <w:sz w:val="14"/>
              </w:rPr>
            </w:r>
            <w:r>
              <w:rPr>
                <w:rFonts w:ascii="Georgia" w:hAnsi="Georgia"/>
                <w:sz w:val="14"/>
              </w:rPr>
              <w:t>2016–present</w:t>
            </w:r>
          </w:p>
        </w:tc>
        <w:tc>
          <w:tcPr>
            <w:tcW w:type="dxa" w:w="2545"/>
            <w:shd w:val="clear" w:fill="F4F7FA"/>
          </w:tcPr>
          <w:p>
            <w:pPr>
              <w:spacing w:before="20" w:after="20"/>
            </w:pPr>
            <w:r>
              <w:rPr>
                <w:rFonts w:ascii="Georgia" w:hAnsi="Georgia"/>
                <w:sz w:val="14"/>
              </w:rPr>
            </w:r>
            <w:r>
              <w:rPr>
                <w:rFonts w:ascii="Georgia" w:hAnsi="Georgia"/>
                <w:sz w:val="14"/>
              </w:rPr>
              <w:t>Build deep domain expertise across six industry verticals rather than selling generic engineering</w:t>
            </w:r>
          </w:p>
        </w:tc>
        <w:tc>
          <w:tcPr>
            <w:tcW w:type="dxa" w:w="2545"/>
            <w:shd w:val="clear" w:fill="F4F7FA"/>
          </w:tcPr>
          <w:p>
            <w:pPr>
              <w:spacing w:before="20" w:after="20"/>
            </w:pPr>
            <w:r>
              <w:rPr>
                <w:rFonts w:ascii="Georgia" w:hAnsi="Georgia"/>
                <w:sz w:val="14"/>
              </w:rPr>
            </w:r>
            <w:r>
              <w:rPr>
                <w:rFonts w:ascii="Georgia" w:hAnsi="Georgia"/>
                <w:b/>
                <w:sz w:val="14"/>
              </w:rPr>
              <w:t>Successful.</w:t>
            </w:r>
            <w:r>
              <w:rPr>
                <w:rFonts w:ascii="Georgia" w:hAnsi="Georgia"/>
                <w:sz w:val="14"/>
              </w:rPr>
              <w:t xml:space="preserve"> Financial Services is now 24.1% of revenue and the fastest-growing vertical at +11.5% in Q2 2026, materially aided by First Derivative. Life Sciences has been strengthened by Odysseus. </w:t>
            </w:r>
            <w:r>
              <w:rPr>
                <w:rFonts w:ascii="Georgia" w:hAnsi="Georgia"/>
                <w:i/>
                <w:sz w:val="14"/>
              </w:rPr>
              <w:t>Complete and working.</w:t>
            </w:r>
          </w:p>
        </w:tc>
      </w:tr>
      <w:tr>
        <w:tc>
          <w:tcPr>
            <w:tcW w:type="dxa" w:w="2545"/>
          </w:tcPr>
          <w:p>
            <w:pPr>
              <w:spacing w:before="20" w:after="20"/>
            </w:pPr>
            <w:r>
              <w:rPr>
                <w:rFonts w:ascii="Georgia" w:hAnsi="Georgia"/>
                <w:sz w:val="14"/>
              </w:rPr>
            </w:r>
            <w:r>
              <w:rPr>
                <w:rFonts w:ascii="Georgia" w:hAnsi="Georgia"/>
                <w:b/>
                <w:sz w:val="14"/>
              </w:rPr>
              <w:t>Geographic client diversification into Western Europe</w:t>
            </w:r>
          </w:p>
        </w:tc>
        <w:tc>
          <w:tcPr>
            <w:tcW w:type="dxa" w:w="2545"/>
          </w:tcPr>
          <w:p>
            <w:pPr>
              <w:spacing w:before="20" w:after="20"/>
            </w:pPr>
            <w:r>
              <w:rPr>
                <w:rFonts w:ascii="Georgia" w:hAnsi="Georgia"/>
                <w:sz w:val="14"/>
              </w:rPr>
            </w:r>
            <w:r>
              <w:rPr>
                <w:rFonts w:ascii="Georgia" w:hAnsi="Georgia"/>
                <w:sz w:val="14"/>
              </w:rPr>
              <w:t>2017–present</w:t>
            </w:r>
          </w:p>
        </w:tc>
        <w:tc>
          <w:tcPr>
            <w:tcW w:type="dxa" w:w="2545"/>
          </w:tcPr>
          <w:p>
            <w:pPr>
              <w:spacing w:before="20" w:after="20"/>
            </w:pPr>
            <w:r>
              <w:rPr>
                <w:rFonts w:ascii="Georgia" w:hAnsi="Georgia"/>
                <w:sz w:val="14"/>
              </w:rPr>
            </w:r>
            <w:r>
              <w:rPr>
                <w:rFonts w:ascii="Georgia" w:hAnsi="Georgia"/>
                <w:sz w:val="14"/>
              </w:rPr>
              <w:t>Reduce dependence on North America</w:t>
            </w:r>
          </w:p>
        </w:tc>
        <w:tc>
          <w:tcPr>
            <w:tcW w:type="dxa" w:w="2545"/>
          </w:tcPr>
          <w:p>
            <w:pPr>
              <w:spacing w:before="20" w:after="20"/>
            </w:pPr>
            <w:r>
              <w:rPr>
                <w:rFonts w:ascii="Georgia" w:hAnsi="Georgia"/>
                <w:sz w:val="14"/>
              </w:rPr>
            </w:r>
            <w:r>
              <w:rPr>
                <w:rFonts w:ascii="Georgia" w:hAnsi="Georgia"/>
                <w:b/>
                <w:sz w:val="14"/>
              </w:rPr>
              <w:t>Highly successful and now critical.</w:t>
            </w:r>
            <w:r>
              <w:rPr>
                <w:rFonts w:ascii="Georgia" w:hAnsi="Georgia"/>
                <w:sz w:val="14"/>
              </w:rPr>
              <w:t xml:space="preserve"> EMEA is roughly 39% of revenue and grew +10.9% in Q2 2026 while the Americas grew +0.5%. This diversification is single-handedly holding total growth positive. </w:t>
            </w:r>
            <w:r>
              <w:rPr>
                <w:rFonts w:ascii="Georgia" w:hAnsi="Georgia"/>
                <w:i/>
                <w:sz w:val="14"/>
              </w:rPr>
              <w:t>Complete.</w:t>
            </w:r>
          </w:p>
        </w:tc>
      </w:tr>
      <w:tr>
        <w:tc>
          <w:tcPr>
            <w:tcW w:type="dxa" w:w="2545"/>
            <w:shd w:val="clear" w:fill="F4F7FA"/>
          </w:tcPr>
          <w:p>
            <w:pPr>
              <w:spacing w:before="20" w:after="20"/>
            </w:pPr>
            <w:r>
              <w:rPr>
                <w:rFonts w:ascii="Georgia" w:hAnsi="Georgia"/>
                <w:sz w:val="14"/>
              </w:rPr>
            </w:r>
            <w:r>
              <w:rPr>
                <w:rFonts w:ascii="Georgia" w:hAnsi="Georgia"/>
                <w:b/>
                <w:sz w:val="14"/>
              </w:rPr>
              <w:t>IPO and public-market scaling</w:t>
            </w:r>
          </w:p>
        </w:tc>
        <w:tc>
          <w:tcPr>
            <w:tcW w:type="dxa" w:w="2545"/>
            <w:shd w:val="clear" w:fill="F4F7FA"/>
          </w:tcPr>
          <w:p>
            <w:pPr>
              <w:spacing w:before="20" w:after="20"/>
            </w:pPr>
            <w:r>
              <w:rPr>
                <w:rFonts w:ascii="Georgia" w:hAnsi="Georgia"/>
                <w:sz w:val="14"/>
              </w:rPr>
            </w:r>
            <w:r>
              <w:rPr>
                <w:rFonts w:ascii="Georgia" w:hAnsi="Georgia"/>
                <w:sz w:val="14"/>
              </w:rPr>
              <w:t>2012–2021</w:t>
            </w:r>
          </w:p>
        </w:tc>
        <w:tc>
          <w:tcPr>
            <w:tcW w:type="dxa" w:w="2545"/>
            <w:shd w:val="clear" w:fill="F4F7FA"/>
          </w:tcPr>
          <w:p>
            <w:pPr>
              <w:spacing w:before="20" w:after="20"/>
            </w:pPr>
            <w:r>
              <w:rPr>
                <w:rFonts w:ascii="Georgia" w:hAnsi="Georgia"/>
                <w:sz w:val="14"/>
              </w:rPr>
            </w:r>
            <w:r>
              <w:rPr>
                <w:rFonts w:ascii="Georgia" w:hAnsi="Georgia"/>
                <w:sz w:val="14"/>
              </w:rPr>
              <w:t>Fund growth, provide currency for M&amp;A and equity compensation</w:t>
            </w:r>
          </w:p>
        </w:tc>
        <w:tc>
          <w:tcPr>
            <w:tcW w:type="dxa" w:w="2545"/>
            <w:shd w:val="clear" w:fill="F4F7FA"/>
          </w:tcPr>
          <w:p>
            <w:pPr>
              <w:spacing w:before="20" w:after="20"/>
            </w:pPr>
            <w:r>
              <w:rPr>
                <w:rFonts w:ascii="Georgia" w:hAnsi="Georgia"/>
                <w:sz w:val="14"/>
              </w:rPr>
            </w:r>
            <w:r>
              <w:rPr>
                <w:rFonts w:ascii="Georgia" w:hAnsi="Georgia"/>
                <w:b/>
                <w:sz w:val="14"/>
              </w:rPr>
              <w:t>Successful.</w:t>
            </w:r>
            <w:r>
              <w:rPr>
                <w:rFonts w:ascii="Georgia" w:hAnsi="Georgia"/>
                <w:sz w:val="14"/>
              </w:rPr>
              <w:t xml:space="preserve"> Revenue grew from roughly $434m at IPO to $5.457bn; peak market capitalisation above $40bn. </w:t>
            </w:r>
            <w:r>
              <w:rPr>
                <w:rFonts w:ascii="Georgia" w:hAnsi="Georgia"/>
                <w:i/>
                <w:sz w:val="14"/>
              </w:rPr>
              <w:t>Complete.</w:t>
            </w:r>
          </w:p>
        </w:tc>
      </w:tr>
      <w:tr>
        <w:tc>
          <w:tcPr>
            <w:tcW w:type="dxa" w:w="2545"/>
          </w:tcPr>
          <w:p>
            <w:pPr>
              <w:spacing w:before="20" w:after="20"/>
            </w:pPr>
            <w:r>
              <w:rPr>
                <w:rFonts w:ascii="Georgia" w:hAnsi="Georgia"/>
                <w:sz w:val="14"/>
              </w:rPr>
            </w:r>
            <w:r>
              <w:rPr>
                <w:rFonts w:ascii="Georgia" w:hAnsi="Georgia"/>
                <w:b/>
                <w:sz w:val="14"/>
              </w:rPr>
              <w:t>Delivery relocation out of Russia, Belarus and Ukraine</w:t>
            </w:r>
          </w:p>
        </w:tc>
        <w:tc>
          <w:tcPr>
            <w:tcW w:type="dxa" w:w="2545"/>
          </w:tcPr>
          <w:p>
            <w:pPr>
              <w:spacing w:before="20" w:after="20"/>
            </w:pPr>
            <w:r>
              <w:rPr>
                <w:rFonts w:ascii="Georgia" w:hAnsi="Georgia"/>
                <w:sz w:val="14"/>
              </w:rPr>
            </w:r>
            <w:r>
              <w:rPr>
                <w:rFonts w:ascii="Georgia" w:hAnsi="Georgia"/>
                <w:sz w:val="14"/>
              </w:rPr>
              <w:t>2022–2024</w:t>
            </w:r>
          </w:p>
        </w:tc>
        <w:tc>
          <w:tcPr>
            <w:tcW w:type="dxa" w:w="2545"/>
          </w:tcPr>
          <w:p>
            <w:pPr>
              <w:spacing w:before="20" w:after="20"/>
            </w:pPr>
            <w:r>
              <w:rPr>
                <w:rFonts w:ascii="Georgia" w:hAnsi="Georgia"/>
                <w:sz w:val="14"/>
              </w:rPr>
            </w:r>
            <w:r>
              <w:rPr>
                <w:rFonts w:ascii="Georgia" w:hAnsi="Georgia"/>
                <w:sz w:val="14"/>
              </w:rPr>
              <w:t>Survive the war; rebuild delivery capacity outside the conflict zone</w:t>
            </w:r>
          </w:p>
        </w:tc>
        <w:tc>
          <w:tcPr>
            <w:tcW w:type="dxa" w:w="2545"/>
          </w:tcPr>
          <w:p>
            <w:pPr>
              <w:spacing w:before="20" w:after="20"/>
            </w:pPr>
            <w:r>
              <w:rPr>
                <w:rFonts w:ascii="Georgia" w:hAnsi="Georgia"/>
                <w:sz w:val="14"/>
              </w:rPr>
            </w:r>
            <w:r>
              <w:rPr>
                <w:rFonts w:ascii="Georgia" w:hAnsi="Georgia"/>
                <w:b/>
                <w:sz w:val="14"/>
              </w:rPr>
              <w:t>Outstanding success under extreme duress.</w:t>
            </w:r>
            <w:r>
              <w:rPr>
                <w:rFonts w:ascii="Georgia" w:hAnsi="Georgia"/>
                <w:sz w:val="14"/>
              </w:rPr>
              <w:t xml:space="preserve"> Exited Russia entirely, drastically reduced Belarus, relocated thousands of employees, and made </w:t>
            </w:r>
            <w:r>
              <w:rPr>
                <w:rFonts w:ascii="Georgia" w:hAnsi="Georgia"/>
                <w:b/>
                <w:sz w:val="14"/>
              </w:rPr>
              <w:t>India the largest delivery location (c.12,200 professionals)</w:t>
            </w:r>
            <w:r>
              <w:rPr>
                <w:rFonts w:ascii="Georgia" w:hAnsi="Georgia"/>
                <w:sz w:val="14"/>
              </w:rPr>
              <w:t xml:space="preserve"> alongside expansion in Latin America, Central Europe and the Caucasus. Margin cost of roughly 200bp, fully recovered. </w:t>
            </w:r>
            <w:r>
              <w:rPr>
                <w:rFonts w:ascii="Georgia" w:hAnsi="Georgia"/>
                <w:i/>
                <w:sz w:val="14"/>
              </w:rPr>
              <w:t>Complete.</w:t>
            </w:r>
          </w:p>
        </w:tc>
      </w:tr>
      <w:tr>
        <w:tc>
          <w:tcPr>
            <w:tcW w:type="dxa" w:w="2545"/>
            <w:shd w:val="clear" w:fill="F4F7FA"/>
          </w:tcPr>
          <w:p>
            <w:pPr>
              <w:spacing w:before="20" w:after="20"/>
            </w:pPr>
            <w:r>
              <w:rPr>
                <w:rFonts w:ascii="Georgia" w:hAnsi="Georgia"/>
                <w:sz w:val="14"/>
              </w:rPr>
            </w:r>
            <w:r>
              <w:rPr>
                <w:rFonts w:ascii="Georgia" w:hAnsi="Georgia"/>
                <w:b/>
                <w:sz w:val="14"/>
              </w:rPr>
              <w:t>Latin America nearshore build-out</w:t>
            </w:r>
          </w:p>
        </w:tc>
        <w:tc>
          <w:tcPr>
            <w:tcW w:type="dxa" w:w="2545"/>
            <w:shd w:val="clear" w:fill="F4F7FA"/>
          </w:tcPr>
          <w:p>
            <w:pPr>
              <w:spacing w:before="20" w:after="20"/>
            </w:pPr>
            <w:r>
              <w:rPr>
                <w:rFonts w:ascii="Georgia" w:hAnsi="Georgia"/>
                <w:sz w:val="14"/>
              </w:rPr>
            </w:r>
            <w:r>
              <w:rPr>
                <w:rFonts w:ascii="Georgia" w:hAnsi="Georgia"/>
                <w:sz w:val="14"/>
              </w:rPr>
              <w:t>2024–present</w:t>
            </w:r>
          </w:p>
        </w:tc>
        <w:tc>
          <w:tcPr>
            <w:tcW w:type="dxa" w:w="2545"/>
            <w:shd w:val="clear" w:fill="F4F7FA"/>
          </w:tcPr>
          <w:p>
            <w:pPr>
              <w:spacing w:before="20" w:after="20"/>
            </w:pPr>
            <w:r>
              <w:rPr>
                <w:rFonts w:ascii="Georgia" w:hAnsi="Georgia"/>
                <w:sz w:val="14"/>
              </w:rPr>
            </w:r>
            <w:r>
              <w:rPr>
                <w:rFonts w:ascii="Georgia" w:hAnsi="Georgia"/>
                <w:sz w:val="14"/>
              </w:rPr>
              <w:t>Time-zone-aligned, lower-cost delivery for US clients</w:t>
            </w:r>
          </w:p>
        </w:tc>
        <w:tc>
          <w:tcPr>
            <w:tcW w:type="dxa" w:w="2545"/>
            <w:shd w:val="clear" w:fill="F4F7FA"/>
          </w:tcPr>
          <w:p>
            <w:pPr>
              <w:spacing w:before="20" w:after="20"/>
              <w:jc w:val="right"/>
            </w:pPr>
            <w:r>
              <w:rPr>
                <w:rFonts w:ascii="Georgia" w:hAnsi="Georgia"/>
                <w:sz w:val="14"/>
              </w:rPr>
            </w:r>
            <w:r>
              <w:rPr>
                <w:rFonts w:ascii="Georgia" w:hAnsi="Georgia"/>
                <w:b/>
                <w:sz w:val="14"/>
              </w:rPr>
              <w:t>Executed; economics unproven.</w:t>
            </w:r>
            <w:r>
              <w:rPr>
                <w:rFonts w:ascii="Georgia" w:hAnsi="Georgia"/>
                <w:sz w:val="14"/>
              </w:rPr>
              <w:t xml:space="preserve"> Delivered via Vates (Mar 2024) and NEORIS ($626.3m, Nov 2024). The capability exists, but the Americas is growing +0.5%, so the demand to fill it has not materialised. </w:t>
            </w:r>
            <w:r>
              <w:rPr>
                <w:rFonts w:ascii="Georgia" w:hAnsi="Georgia"/>
                <w:i/>
                <w:sz w:val="14"/>
              </w:rPr>
              <w:t>Under pressure.</w:t>
            </w:r>
          </w:p>
        </w:tc>
      </w:tr>
      <w:tr>
        <w:tc>
          <w:tcPr>
            <w:tcW w:type="dxa" w:w="2545"/>
          </w:tcPr>
          <w:p>
            <w:pPr>
              <w:spacing w:before="20" w:after="20"/>
            </w:pPr>
            <w:r>
              <w:rPr>
                <w:rFonts w:ascii="Georgia" w:hAnsi="Georgia"/>
                <w:sz w:val="14"/>
              </w:rPr>
            </w:r>
            <w:r>
              <w:rPr>
                <w:rFonts w:ascii="Georgia" w:hAnsi="Georgia"/>
                <w:b/>
                <w:sz w:val="14"/>
              </w:rPr>
              <w:t>Capital-markets domain acquisition</w:t>
            </w:r>
          </w:p>
        </w:tc>
        <w:tc>
          <w:tcPr>
            <w:tcW w:type="dxa" w:w="2545"/>
          </w:tcPr>
          <w:p>
            <w:pPr>
              <w:spacing w:before="20" w:after="20"/>
            </w:pPr>
            <w:r>
              <w:rPr>
                <w:rFonts w:ascii="Georgia" w:hAnsi="Georgia"/>
                <w:sz w:val="14"/>
              </w:rPr>
            </w:r>
            <w:r>
              <w:rPr>
                <w:rFonts w:ascii="Georgia" w:hAnsi="Georgia"/>
                <w:sz w:val="14"/>
              </w:rPr>
              <w:t>2024</w:t>
            </w:r>
          </w:p>
        </w:tc>
        <w:tc>
          <w:tcPr>
            <w:tcW w:type="dxa" w:w="2545"/>
          </w:tcPr>
          <w:p>
            <w:pPr>
              <w:spacing w:before="20" w:after="20"/>
            </w:pPr>
            <w:r>
              <w:rPr>
                <w:rFonts w:ascii="Georgia" w:hAnsi="Georgia"/>
                <w:sz w:val="14"/>
              </w:rPr>
            </w:r>
            <w:r>
              <w:rPr>
                <w:rFonts w:ascii="Georgia" w:hAnsi="Georgia"/>
                <w:sz w:val="14"/>
              </w:rPr>
              <w:t>Buy genuine financial-services depth</w:t>
            </w:r>
          </w:p>
        </w:tc>
        <w:tc>
          <w:tcPr>
            <w:tcW w:type="dxa" w:w="2545"/>
          </w:tcPr>
          <w:p>
            <w:pPr>
              <w:spacing w:before="20" w:after="20"/>
            </w:pPr>
            <w:r>
              <w:rPr>
                <w:rFonts w:ascii="Georgia" w:hAnsi="Georgia"/>
                <w:sz w:val="14"/>
              </w:rPr>
            </w:r>
            <w:r>
              <w:rPr>
                <w:rFonts w:ascii="Georgia" w:hAnsi="Georgia"/>
                <w:b/>
                <w:sz w:val="14"/>
              </w:rPr>
              <w:t>Working.</w:t>
            </w:r>
            <w:r>
              <w:rPr>
                <w:rFonts w:ascii="Georgia" w:hAnsi="Georgia"/>
                <w:sz w:val="14"/>
              </w:rPr>
              <w:t xml:space="preserve"> First Derivative (c.$290m) underpins Financial Services growth of +28.7% in FY2025 and +11.5% in Q2 2026 — the best-performing part of the business. </w:t>
            </w:r>
            <w:r>
              <w:rPr>
                <w:rFonts w:ascii="Georgia" w:hAnsi="Georgia"/>
                <w:i/>
                <w:sz w:val="14"/>
              </w:rPr>
              <w:t>Complete and delivering.</w:t>
            </w:r>
          </w:p>
        </w:tc>
      </w:tr>
      <w:tr>
        <w:tc>
          <w:tcPr>
            <w:tcW w:type="dxa" w:w="2545"/>
            <w:shd w:val="clear" w:fill="F4F7FA"/>
          </w:tcPr>
          <w:p>
            <w:pPr>
              <w:spacing w:before="20" w:after="20"/>
            </w:pPr>
            <w:r>
              <w:rPr>
                <w:rFonts w:ascii="Georgia" w:hAnsi="Georgia"/>
                <w:sz w:val="14"/>
              </w:rPr>
            </w:r>
            <w:r>
              <w:rPr>
                <w:rFonts w:ascii="Georgia" w:hAnsi="Georgia"/>
                <w:b/>
                <w:sz w:val="14"/>
              </w:rPr>
              <w:t>AI-native transformation (AI/RUN, DIAL, MF Lens)</w:t>
            </w:r>
          </w:p>
        </w:tc>
        <w:tc>
          <w:tcPr>
            <w:tcW w:type="dxa" w:w="2545"/>
            <w:shd w:val="clear" w:fill="F4F7FA"/>
          </w:tcPr>
          <w:p>
            <w:pPr>
              <w:spacing w:before="20" w:after="20"/>
            </w:pPr>
            <w:r>
              <w:rPr>
                <w:rFonts w:ascii="Georgia" w:hAnsi="Georgia"/>
                <w:sz w:val="14"/>
              </w:rPr>
            </w:r>
            <w:r>
              <w:rPr>
                <w:rFonts w:ascii="Georgia" w:hAnsi="Georgia"/>
                <w:sz w:val="14"/>
              </w:rPr>
              <w:t>2024–present</w:t>
            </w:r>
          </w:p>
        </w:tc>
        <w:tc>
          <w:tcPr>
            <w:tcW w:type="dxa" w:w="2545"/>
            <w:shd w:val="clear" w:fill="F4F7FA"/>
          </w:tcPr>
          <w:p>
            <w:pPr>
              <w:spacing w:before="20" w:after="20"/>
            </w:pPr>
            <w:r>
              <w:rPr>
                <w:rFonts w:ascii="Georgia" w:hAnsi="Georgia"/>
                <w:sz w:val="14"/>
              </w:rPr>
            </w:r>
            <w:r>
              <w:rPr>
                <w:rFonts w:ascii="Georgia" w:hAnsi="Georgia"/>
                <w:sz w:val="14"/>
              </w:rPr>
              <w:t>Reposition from labour arbitrage to AI-native engineering; own proprietary delivery IP</w:t>
            </w:r>
          </w:p>
        </w:tc>
        <w:tc>
          <w:tcPr>
            <w:tcW w:type="dxa" w:w="2545"/>
            <w:shd w:val="clear" w:fill="F4F7FA"/>
          </w:tcPr>
          <w:p>
            <w:pPr>
              <w:spacing w:before="20" w:after="20"/>
              <w:jc w:val="right"/>
            </w:pPr>
            <w:r>
              <w:rPr>
                <w:rFonts w:ascii="Georgia" w:hAnsi="Georgia"/>
                <w:sz w:val="14"/>
              </w:rPr>
            </w:r>
            <w:r>
              <w:rPr>
                <w:rFonts w:ascii="Georgia" w:hAnsi="Georgia"/>
                <w:b/>
                <w:sz w:val="14"/>
              </w:rPr>
              <w:t>The defining initiative; genuinely too early to judge.</w:t>
            </w:r>
            <w:r>
              <w:rPr>
                <w:rFonts w:ascii="Georgia" w:hAnsi="Georgia"/>
                <w:sz w:val="14"/>
              </w:rPr>
              <w:t xml:space="preserve"> Evidence for: AI-native revenue above $160m in Q2 2026 (over 11% of revenue), six consecutive quarters of double-digit sequential growth, on track for $600m in 2026, gross margin +190bp. Evidence against: total revenue growth has decelerated to 4.5%, task-based erosion is running ahead of AI-native growth, and the large multi-year AI deals slipped to H1 2027. </w:t>
            </w:r>
            <w:r>
              <w:rPr>
                <w:rFonts w:ascii="Georgia" w:hAnsi="Georgia"/>
                <w:i/>
                <w:sz w:val="14"/>
              </w:rPr>
              <w:t>In progress — the entire equity case rests on this.</w:t>
            </w:r>
          </w:p>
        </w:tc>
      </w:tr>
      <w:tr>
        <w:tc>
          <w:tcPr>
            <w:tcW w:type="dxa" w:w="2545"/>
          </w:tcPr>
          <w:p>
            <w:pPr>
              <w:spacing w:before="20" w:after="20"/>
            </w:pPr>
            <w:r>
              <w:rPr>
                <w:rFonts w:ascii="Georgia" w:hAnsi="Georgia"/>
                <w:sz w:val="14"/>
              </w:rPr>
            </w:r>
            <w:r>
              <w:rPr>
                <w:rFonts w:ascii="Georgia" w:hAnsi="Georgia"/>
                <w:b/>
                <w:sz w:val="14"/>
              </w:rPr>
              <w:t>Founder-to-professional CEO succession</w:t>
            </w:r>
          </w:p>
        </w:tc>
        <w:tc>
          <w:tcPr>
            <w:tcW w:type="dxa" w:w="2545"/>
          </w:tcPr>
          <w:p>
            <w:pPr>
              <w:spacing w:before="20" w:after="20"/>
            </w:pPr>
            <w:r>
              <w:rPr>
                <w:rFonts w:ascii="Georgia" w:hAnsi="Georgia"/>
                <w:sz w:val="14"/>
              </w:rPr>
            </w:r>
            <w:r>
              <w:rPr>
                <w:rFonts w:ascii="Georgia" w:hAnsi="Georgia"/>
                <w:sz w:val="14"/>
              </w:rPr>
              <w:t>2025</w:t>
            </w:r>
          </w:p>
        </w:tc>
        <w:tc>
          <w:tcPr>
            <w:tcW w:type="dxa" w:w="2545"/>
          </w:tcPr>
          <w:p>
            <w:pPr>
              <w:spacing w:before="20" w:after="20"/>
            </w:pPr>
            <w:r>
              <w:rPr>
                <w:rFonts w:ascii="Georgia" w:hAnsi="Georgia"/>
                <w:sz w:val="14"/>
              </w:rPr>
            </w:r>
            <w:r>
              <w:rPr>
                <w:rFonts w:ascii="Georgia" w:hAnsi="Georgia"/>
                <w:sz w:val="14"/>
              </w:rPr>
              <w:t>Orderly generational transition</w:t>
            </w:r>
          </w:p>
        </w:tc>
        <w:tc>
          <w:tcPr>
            <w:tcW w:type="dxa" w:w="2545"/>
          </w:tcPr>
          <w:p>
            <w:pPr>
              <w:spacing w:before="20" w:after="20"/>
            </w:pPr>
            <w:r>
              <w:rPr>
                <w:rFonts w:ascii="Georgia" w:hAnsi="Georgia"/>
                <w:sz w:val="14"/>
              </w:rPr>
            </w:r>
            <w:r>
              <w:rPr>
                <w:rFonts w:ascii="Georgia" w:hAnsi="Georgia"/>
                <w:b/>
                <w:sz w:val="14"/>
              </w:rPr>
              <w:t>Executed cleanly.</w:t>
            </w:r>
            <w:r>
              <w:rPr>
                <w:rFonts w:ascii="Georgia" w:hAnsi="Georgia"/>
                <w:sz w:val="14"/>
              </w:rPr>
              <w:t xml:space="preserve"> Announced May 2025, effective 1 September 2025, with the founder retained as Executive Chairman. No disruption or departures observed. </w:t>
            </w:r>
            <w:r>
              <w:rPr>
                <w:rFonts w:ascii="Georgia" w:hAnsi="Georgia"/>
                <w:i/>
                <w:sz w:val="14"/>
              </w:rPr>
              <w:t>Complete.</w:t>
            </w:r>
          </w:p>
        </w:tc>
      </w:tr>
      <w:tr>
        <w:tc>
          <w:tcPr>
            <w:tcW w:type="dxa" w:w="2545"/>
            <w:shd w:val="clear" w:fill="F4F7FA"/>
          </w:tcPr>
          <w:p>
            <w:pPr>
              <w:spacing w:before="20" w:after="20"/>
            </w:pPr>
            <w:r>
              <w:rPr>
                <w:rFonts w:ascii="Georgia" w:hAnsi="Georgia"/>
                <w:sz w:val="14"/>
              </w:rPr>
            </w:r>
            <w:r>
              <w:rPr>
                <w:rFonts w:ascii="Georgia" w:hAnsi="Georgia"/>
                <w:b/>
                <w:sz w:val="14"/>
              </w:rPr>
              <w:t>Capital return programme</w:t>
            </w:r>
          </w:p>
        </w:tc>
        <w:tc>
          <w:tcPr>
            <w:tcW w:type="dxa" w:w="2545"/>
            <w:shd w:val="clear" w:fill="F4F7FA"/>
          </w:tcPr>
          <w:p>
            <w:pPr>
              <w:spacing w:before="20" w:after="20"/>
            </w:pPr>
            <w:r>
              <w:rPr>
                <w:rFonts w:ascii="Georgia" w:hAnsi="Georgia"/>
                <w:sz w:val="14"/>
              </w:rPr>
            </w:r>
            <w:r>
              <w:rPr>
                <w:rFonts w:ascii="Georgia" w:hAnsi="Georgia"/>
                <w:sz w:val="14"/>
              </w:rPr>
              <w:t>2023–present</w:t>
            </w:r>
          </w:p>
        </w:tc>
        <w:tc>
          <w:tcPr>
            <w:tcW w:type="dxa" w:w="2545"/>
            <w:shd w:val="clear" w:fill="F4F7FA"/>
          </w:tcPr>
          <w:p>
            <w:pPr>
              <w:spacing w:before="20" w:after="20"/>
            </w:pPr>
            <w:r>
              <w:rPr>
                <w:rFonts w:ascii="Georgia" w:hAnsi="Georgia"/>
                <w:sz w:val="14"/>
              </w:rPr>
            </w:r>
            <w:r>
              <w:rPr>
                <w:rFonts w:ascii="Georgia" w:hAnsi="Georgia"/>
                <w:sz w:val="14"/>
              </w:rPr>
              <w:t>Return excess cash; offset dilution; support the shares</w:t>
            </w:r>
          </w:p>
        </w:tc>
        <w:tc>
          <w:tcPr>
            <w:tcW w:type="dxa" w:w="2545"/>
            <w:shd w:val="clear" w:fill="F4F7FA"/>
          </w:tcPr>
          <w:p>
            <w:pPr>
              <w:spacing w:before="20" w:after="20"/>
            </w:pPr>
            <w:r>
              <w:rPr>
                <w:rFonts w:ascii="Georgia" w:hAnsi="Georgia"/>
                <w:sz w:val="14"/>
              </w:rPr>
            </w:r>
            <w:r>
              <w:rPr>
                <w:rFonts w:ascii="Georgia" w:hAnsi="Georgia"/>
                <w:b/>
                <w:sz w:val="14"/>
              </w:rPr>
              <w:t>Accelerating and well-timed.</w:t>
            </w:r>
            <w:r>
              <w:rPr>
                <w:rFonts w:ascii="Georgia" w:hAnsi="Georgia"/>
                <w:sz w:val="14"/>
              </w:rPr>
              <w:t xml:space="preserve"> $164.9m (2023), $398.0m (2024), $662.2m (2025), plus a $300m accelerated repurchase in March 2026 under the $1.0bn authorisation. Buying at 8–9x earnings is genuinely value-accretive. </w:t>
            </w:r>
            <w:r>
              <w:rPr>
                <w:rFonts w:ascii="Georgia" w:hAnsi="Georgia"/>
                <w:i/>
                <w:sz w:val="14"/>
              </w:rPr>
              <w:t>Ongoing.</w:t>
            </w:r>
          </w:p>
        </w:tc>
      </w:tr>
      <w:tr>
        <w:tc>
          <w:tcPr>
            <w:tcW w:type="dxa" w:w="2545"/>
          </w:tcPr>
          <w:p>
            <w:pPr>
              <w:spacing w:before="20" w:after="20"/>
            </w:pPr>
            <w:r>
              <w:rPr>
                <w:rFonts w:ascii="Georgia" w:hAnsi="Georgia"/>
                <w:sz w:val="14"/>
              </w:rPr>
            </w:r>
            <w:r>
              <w:rPr>
                <w:rFonts w:ascii="Georgia" w:hAnsi="Georgia"/>
                <w:b/>
                <w:sz w:val="14"/>
              </w:rPr>
              <w:t>2028 financial targets (Investor Day, 12 Mar 2026)</w:t>
            </w:r>
          </w:p>
        </w:tc>
        <w:tc>
          <w:tcPr>
            <w:tcW w:type="dxa" w:w="2545"/>
          </w:tcPr>
          <w:p>
            <w:pPr>
              <w:spacing w:before="20" w:after="20"/>
            </w:pPr>
            <w:r>
              <w:rPr>
                <w:rFonts w:ascii="Georgia" w:hAnsi="Georgia"/>
                <w:sz w:val="14"/>
              </w:rPr>
            </w:r>
            <w:r>
              <w:rPr>
                <w:rFonts w:ascii="Georgia" w:hAnsi="Georgia"/>
                <w:sz w:val="14"/>
              </w:rPr>
              <w:t>2026–2028</w:t>
            </w:r>
          </w:p>
        </w:tc>
        <w:tc>
          <w:tcPr>
            <w:tcW w:type="dxa" w:w="2545"/>
          </w:tcPr>
          <w:p>
            <w:pPr>
              <w:spacing w:before="20" w:after="20"/>
            </w:pPr>
            <w:r>
              <w:rPr>
                <w:rFonts w:ascii="Georgia" w:hAnsi="Georgia"/>
                <w:sz w:val="14"/>
              </w:rPr>
            </w:r>
            <w:r>
              <w:rPr>
                <w:rFonts w:ascii="Georgia" w:hAnsi="Georgia"/>
                <w:sz w:val="14"/>
              </w:rPr>
              <w:t>Return to double-digit organic growth; 16%+ non-GAAP margin; $1.8bn+ cumulative FCF</w:t>
            </w:r>
          </w:p>
        </w:tc>
        <w:tc>
          <w:tcPr>
            <w:tcW w:type="dxa" w:w="2545"/>
          </w:tcPr>
          <w:p>
            <w:pPr>
              <w:spacing w:before="20" w:after="20"/>
            </w:pPr>
            <w:r>
              <w:rPr>
                <w:rFonts w:ascii="Georgia" w:hAnsi="Georgia"/>
                <w:sz w:val="14"/>
              </w:rPr>
            </w:r>
            <w:r>
              <w:rPr>
                <w:rFonts w:ascii="Georgia" w:hAnsi="Georgia"/>
                <w:b/>
                <w:sz w:val="14"/>
              </w:rPr>
              <w:t>Already under strain.</w:t>
            </w:r>
            <w:r>
              <w:rPr>
                <w:rFonts w:ascii="Georgia" w:hAnsi="Georgia"/>
                <w:sz w:val="14"/>
              </w:rPr>
              <w:t xml:space="preserve"> Set in March 2026; by August 2026 full-year growth guidance had been cut to 3.2–4.2%. The margin and cash flow targets look achievable; the growth target does not, on current trajectory. </w:t>
            </w:r>
            <w:r>
              <w:rPr>
                <w:rFonts w:ascii="Georgia" w:hAnsi="Georgia"/>
                <w:i/>
                <w:sz w:val="14"/>
              </w:rPr>
              <w:t>At risk.</w:t>
            </w:r>
          </w:p>
        </w:tc>
      </w:tr>
    </w:tbl>
    <w:p>
      <w:pPr>
        <w:spacing w:after="60"/>
      </w:pPr>
    </w:p>
    <w:p>
      <w:pPr>
        <w:keepNext/>
        <w:spacing w:before="320" w:after="120"/>
        <w:pBdr>
          <w:bottom w:val="single" w:sz="12" w:space="2" w:color="0B2545"/>
        </w:pBdr>
      </w:pPr>
      <w:r>
        <w:rPr>
          <w:rFonts w:ascii="Georgia" w:hAnsi="Georgia"/>
          <w:b/>
          <w:color w:val="0B2545"/>
          <w:sz w:val="26"/>
        </w:rPr>
        <w:t>19. Stakes Held in Other Companies</w:t>
      </w:r>
    </w:p>
    <w:p>
      <w:pPr>
        <w:spacing w:before="0" w:after="80"/>
        <w:jc w:val="both"/>
      </w:pPr>
      <w:r>
        <w:rPr>
          <w:b/>
        </w:rPr>
        <w:t>EPAM does not hold material equity stakes in other listed companies</w:t>
      </w:r>
      <w:r>
        <w:rPr/>
        <w:t>, and no strategically significant minority investments were identified in available disclosure. This is consistent with its capital-allocation history: EPAM buys businesses outright to acquire capability, rather than taking minority positions.</w:t>
      </w:r>
    </w:p>
    <w:p>
      <w:pPr>
        <w:spacing w:before="0" w:after="80"/>
        <w:jc w:val="both"/>
      </w:pPr>
      <w:r>
        <w:rPr/>
        <w:t xml:space="preserve">The relevant holdings are therefore </w:t>
      </w:r>
      <w:r>
        <w:rPr>
          <w:b/>
        </w:rPr>
        <w:t>wholly-owned subsidiaries operating as distinct brands</w:t>
      </w:r>
      <w:r>
        <w:rPr/>
        <w:t>, which function as capability platforms rather than financial investments:</w:t>
      </w:r>
    </w:p>
    <w:tbl>
      <w:tblPr>
        <w:tblStyle w:val="TableGrid"/>
        <w:tblW w:type="auto" w:w="0"/>
        <w:jc w:val="center"/>
        <w:tblLayout w:type="autofit"/>
        <w:tblLook w:firstColumn="1" w:firstRow="1" w:lastColumn="0" w:lastRow="0" w:noHBand="0" w:noVBand="1" w:val="04A0"/>
      </w:tblPr>
      <w:tblGrid>
        <w:gridCol w:w="2545"/>
        <w:gridCol w:w="2545"/>
        <w:gridCol w:w="2545"/>
        <w:gridCol w:w="2545"/>
      </w:tblGrid>
      <w:tr>
        <w:tc>
          <w:tcPr>
            <w:tcW w:type="dxa" w:w="2545"/>
            <w:shd w:val="clear" w:fill="0B2545"/>
          </w:tcPr>
          <w:p>
            <w:pPr>
              <w:spacing w:before="20" w:after="20"/>
            </w:pPr>
            <w:r>
              <w:rPr>
                <w:rFonts w:ascii="Georgia" w:hAnsi="Georgia"/>
                <w:b/>
                <w:color w:val="FFFFFF"/>
                <w:sz w:val="14"/>
              </w:rPr>
            </w:r>
            <w:r>
              <w:rPr>
                <w:rFonts w:ascii="Georgia" w:hAnsi="Georgia"/>
                <w:b/>
                <w:color w:val="FFFFFF"/>
                <w:sz w:val="14"/>
              </w:rPr>
              <w:t>Entity</w:t>
            </w:r>
          </w:p>
        </w:tc>
        <w:tc>
          <w:tcPr>
            <w:tcW w:type="dxa" w:w="2545"/>
            <w:shd w:val="clear" w:fill="0B2545"/>
          </w:tcPr>
          <w:p>
            <w:pPr>
              <w:spacing w:before="20" w:after="20"/>
            </w:pPr>
            <w:r>
              <w:rPr>
                <w:rFonts w:ascii="Georgia" w:hAnsi="Georgia"/>
                <w:b/>
                <w:color w:val="FFFFFF"/>
                <w:sz w:val="14"/>
              </w:rPr>
            </w:r>
            <w:r>
              <w:rPr>
                <w:rFonts w:ascii="Georgia" w:hAnsi="Georgia"/>
                <w:b/>
                <w:color w:val="FFFFFF"/>
                <w:sz w:val="14"/>
              </w:rPr>
              <w:t>Ownership</w:t>
            </w:r>
          </w:p>
        </w:tc>
        <w:tc>
          <w:tcPr>
            <w:tcW w:type="dxa" w:w="2545"/>
            <w:shd w:val="clear" w:fill="0B2545"/>
          </w:tcPr>
          <w:p>
            <w:pPr>
              <w:spacing w:before="20" w:after="20"/>
            </w:pPr>
            <w:r>
              <w:rPr>
                <w:rFonts w:ascii="Georgia" w:hAnsi="Georgia"/>
                <w:b/>
                <w:color w:val="FFFFFF"/>
                <w:sz w:val="14"/>
              </w:rPr>
            </w:r>
            <w:r>
              <w:rPr>
                <w:rFonts w:ascii="Georgia" w:hAnsi="Georgia"/>
                <w:b/>
                <w:color w:val="FFFFFF"/>
                <w:sz w:val="14"/>
              </w:rPr>
              <w:t>Strategic relevance</w:t>
            </w:r>
          </w:p>
        </w:tc>
        <w:tc>
          <w:tcPr>
            <w:tcW w:type="dxa" w:w="2545"/>
            <w:shd w:val="clear" w:fill="0B2545"/>
          </w:tcPr>
          <w:p>
            <w:pPr>
              <w:spacing w:before="20" w:after="20"/>
            </w:pPr>
            <w:r>
              <w:rPr>
                <w:rFonts w:ascii="Georgia" w:hAnsi="Georgia"/>
                <w:b/>
                <w:color w:val="FFFFFF"/>
                <w:sz w:val="14"/>
              </w:rPr>
            </w:r>
            <w:r>
              <w:rPr>
                <w:rFonts w:ascii="Georgia" w:hAnsi="Georgia"/>
                <w:b/>
                <w:color w:val="FFFFFF"/>
                <w:sz w:val="14"/>
              </w:rPr>
              <w:t>Financial relevance</w:t>
            </w:r>
          </w:p>
        </w:tc>
      </w:tr>
      <w:tr>
        <w:tc>
          <w:tcPr>
            <w:tcW w:type="dxa" w:w="2545"/>
          </w:tcPr>
          <w:p>
            <w:pPr>
              <w:spacing w:before="20" w:after="20"/>
            </w:pPr>
            <w:r>
              <w:rPr>
                <w:rFonts w:ascii="Georgia" w:hAnsi="Georgia"/>
                <w:sz w:val="14"/>
              </w:rPr>
            </w:r>
            <w:r>
              <w:rPr>
                <w:rFonts w:ascii="Georgia" w:hAnsi="Georgia"/>
                <w:b/>
                <w:sz w:val="14"/>
              </w:rPr>
              <w:t>NEORIS</w:t>
            </w:r>
          </w:p>
        </w:tc>
        <w:tc>
          <w:tcPr>
            <w:tcW w:type="dxa" w:w="2545"/>
          </w:tcPr>
          <w:p>
            <w:pPr>
              <w:spacing w:before="20" w:after="20"/>
            </w:pPr>
            <w:r>
              <w:rPr>
                <w:rFonts w:ascii="Georgia" w:hAnsi="Georgia"/>
                <w:sz w:val="14"/>
              </w:rPr>
            </w:r>
            <w:r>
              <w:rPr>
                <w:rFonts w:ascii="Georgia" w:hAnsi="Georgia"/>
                <w:sz w:val="14"/>
              </w:rPr>
              <w:t>100% (99.7% Nov 2024; remainder Jan 2025)</w:t>
            </w:r>
          </w:p>
        </w:tc>
        <w:tc>
          <w:tcPr>
            <w:tcW w:type="dxa" w:w="2545"/>
          </w:tcPr>
          <w:p>
            <w:pPr>
              <w:spacing w:before="20" w:after="20"/>
            </w:pPr>
            <w:r>
              <w:rPr>
                <w:rFonts w:ascii="Georgia" w:hAnsi="Georgia"/>
                <w:sz w:val="14"/>
              </w:rPr>
            </w:r>
            <w:r>
              <w:rPr>
                <w:rFonts w:ascii="Georgia" w:hAnsi="Georgia"/>
                <w:sz w:val="14"/>
              </w:rPr>
              <w:t>High — Latin American and Spanish delivery scale; nearshore capacity for US clients; the post-Russia geographic hedge</w:t>
            </w:r>
          </w:p>
        </w:tc>
        <w:tc>
          <w:tcPr>
            <w:tcW w:type="dxa" w:w="2545"/>
          </w:tcPr>
          <w:p>
            <w:pPr>
              <w:spacing w:before="20" w:after="20"/>
            </w:pPr>
            <w:r>
              <w:rPr>
                <w:rFonts w:ascii="Georgia" w:hAnsi="Georgia"/>
                <w:sz w:val="14"/>
              </w:rPr>
            </w:r>
            <w:r>
              <w:rPr>
                <w:rFonts w:ascii="Georgia" w:hAnsi="Georgia"/>
                <w:sz w:val="14"/>
              </w:rPr>
              <w:t>High — $626.3m, the largest acquisition in EPAM's history; a substantial contributor to FY2025 reported growth</w:t>
            </w:r>
          </w:p>
        </w:tc>
      </w:tr>
      <w:tr>
        <w:tc>
          <w:tcPr>
            <w:tcW w:type="dxa" w:w="2545"/>
            <w:shd w:val="clear" w:fill="F4F7FA"/>
          </w:tcPr>
          <w:p>
            <w:pPr>
              <w:spacing w:before="20" w:after="20"/>
            </w:pPr>
            <w:r>
              <w:rPr>
                <w:rFonts w:ascii="Georgia" w:hAnsi="Georgia"/>
                <w:sz w:val="14"/>
              </w:rPr>
            </w:r>
            <w:r>
              <w:rPr>
                <w:rFonts w:ascii="Georgia" w:hAnsi="Georgia"/>
                <w:b/>
                <w:sz w:val="14"/>
              </w:rPr>
              <w:t>First Derivative</w:t>
            </w:r>
          </w:p>
        </w:tc>
        <w:tc>
          <w:tcPr>
            <w:tcW w:type="dxa" w:w="2545"/>
            <w:shd w:val="clear" w:fill="F4F7FA"/>
          </w:tcPr>
          <w:p>
            <w:pPr>
              <w:spacing w:before="20" w:after="20"/>
            </w:pPr>
            <w:r>
              <w:rPr>
                <w:rFonts w:ascii="Georgia" w:hAnsi="Georgia"/>
                <w:sz w:val="14"/>
              </w:rPr>
            </w:r>
            <w:r>
              <w:rPr>
                <w:rFonts w:ascii="Georgia" w:hAnsi="Georgia"/>
                <w:sz w:val="14"/>
              </w:rPr>
              <w:t>100% (Oct 2024)</w:t>
            </w:r>
          </w:p>
        </w:tc>
        <w:tc>
          <w:tcPr>
            <w:tcW w:type="dxa" w:w="2545"/>
            <w:shd w:val="clear" w:fill="F4F7FA"/>
          </w:tcPr>
          <w:p>
            <w:pPr>
              <w:spacing w:before="20" w:after="20"/>
            </w:pPr>
            <w:r>
              <w:rPr>
                <w:rFonts w:ascii="Georgia" w:hAnsi="Georgia"/>
                <w:sz w:val="14"/>
              </w:rPr>
            </w:r>
            <w:r>
              <w:rPr>
                <w:rFonts w:ascii="Georgia" w:hAnsi="Georgia"/>
                <w:sz w:val="14"/>
              </w:rPr>
              <w:t>High — capital-markets domain depth; underpins the best-performing vertical</w:t>
            </w:r>
          </w:p>
        </w:tc>
        <w:tc>
          <w:tcPr>
            <w:tcW w:type="dxa" w:w="2545"/>
            <w:shd w:val="clear" w:fill="F4F7FA"/>
          </w:tcPr>
          <w:p>
            <w:pPr>
              <w:spacing w:before="20" w:after="20"/>
            </w:pPr>
            <w:r>
              <w:rPr>
                <w:rFonts w:ascii="Georgia" w:hAnsi="Georgia"/>
                <w:sz w:val="14"/>
              </w:rPr>
            </w:r>
            <w:r>
              <w:rPr>
                <w:rFonts w:ascii="Georgia" w:hAnsi="Georgia"/>
                <w:sz w:val="14"/>
              </w:rPr>
              <w:t>High — c.$290m; visibly driving Financial Services growth</w:t>
            </w:r>
          </w:p>
        </w:tc>
      </w:tr>
      <w:tr>
        <w:tc>
          <w:tcPr>
            <w:tcW w:type="dxa" w:w="2545"/>
          </w:tcPr>
          <w:p>
            <w:pPr>
              <w:spacing w:before="20" w:after="20"/>
            </w:pPr>
            <w:r>
              <w:rPr>
                <w:rFonts w:ascii="Georgia" w:hAnsi="Georgia"/>
                <w:sz w:val="14"/>
              </w:rPr>
            </w:r>
            <w:r>
              <w:rPr>
                <w:rFonts w:ascii="Georgia" w:hAnsi="Georgia"/>
                <w:sz w:val="14"/>
              </w:rPr>
              <w:t>Emakina Group</w:t>
            </w:r>
          </w:p>
        </w:tc>
        <w:tc>
          <w:tcPr>
            <w:tcW w:type="dxa" w:w="2545"/>
          </w:tcPr>
          <w:p>
            <w:pPr>
              <w:spacing w:before="20" w:after="20"/>
            </w:pPr>
            <w:r>
              <w:rPr>
                <w:rFonts w:ascii="Georgia" w:hAnsi="Georgia"/>
                <w:sz w:val="14"/>
              </w:rPr>
            </w:r>
            <w:r>
              <w:rPr>
                <w:rFonts w:ascii="Georgia" w:hAnsi="Georgia"/>
                <w:sz w:val="14"/>
              </w:rPr>
              <w:t>100% (Nov 2021)</w:t>
            </w:r>
          </w:p>
        </w:tc>
        <w:tc>
          <w:tcPr>
            <w:tcW w:type="dxa" w:w="2545"/>
          </w:tcPr>
          <w:p>
            <w:pPr>
              <w:spacing w:before="20" w:after="20"/>
            </w:pPr>
            <w:r>
              <w:rPr>
                <w:rFonts w:ascii="Georgia" w:hAnsi="Georgia"/>
                <w:sz w:val="14"/>
              </w:rPr>
            </w:r>
            <w:r>
              <w:rPr>
                <w:rFonts w:ascii="Georgia" w:hAnsi="Georgia"/>
                <w:sz w:val="14"/>
              </w:rPr>
              <w:t>Moderate — European digital marketing and experience design</w:t>
            </w:r>
          </w:p>
        </w:tc>
        <w:tc>
          <w:tcPr>
            <w:tcW w:type="dxa" w:w="2545"/>
          </w:tcPr>
          <w:p>
            <w:pPr>
              <w:spacing w:before="20" w:after="20"/>
            </w:pPr>
            <w:r>
              <w:rPr>
                <w:rFonts w:ascii="Georgia" w:hAnsi="Georgia"/>
                <w:sz w:val="14"/>
              </w:rPr>
            </w:r>
            <w:r>
              <w:rPr>
                <w:rFonts w:ascii="Georgia" w:hAnsi="Georgia"/>
                <w:sz w:val="14"/>
              </w:rPr>
              <w:t>Moderate</w:t>
            </w:r>
          </w:p>
        </w:tc>
      </w:tr>
      <w:tr>
        <w:tc>
          <w:tcPr>
            <w:tcW w:type="dxa" w:w="2545"/>
            <w:shd w:val="clear" w:fill="F4F7FA"/>
          </w:tcPr>
          <w:p>
            <w:pPr>
              <w:spacing w:before="20" w:after="20"/>
            </w:pPr>
            <w:r>
              <w:rPr>
                <w:rFonts w:ascii="Georgia" w:hAnsi="Georgia"/>
                <w:sz w:val="14"/>
              </w:rPr>
            </w:r>
            <w:r>
              <w:rPr>
                <w:rFonts w:ascii="Georgia" w:hAnsi="Georgia"/>
                <w:sz w:val="14"/>
              </w:rPr>
              <w:t>Optiva Media</w:t>
            </w:r>
          </w:p>
        </w:tc>
        <w:tc>
          <w:tcPr>
            <w:tcW w:type="dxa" w:w="2545"/>
            <w:shd w:val="clear" w:fill="F4F7FA"/>
          </w:tcPr>
          <w:p>
            <w:pPr>
              <w:spacing w:before="20" w:after="20"/>
            </w:pPr>
            <w:r>
              <w:rPr>
                <w:rFonts w:ascii="Georgia" w:hAnsi="Georgia"/>
                <w:sz w:val="14"/>
              </w:rPr>
            </w:r>
            <w:r>
              <w:rPr>
                <w:rFonts w:ascii="Georgia" w:hAnsi="Georgia"/>
                <w:sz w:val="14"/>
              </w:rPr>
              <w:t>100% (Dec 2021)</w:t>
            </w:r>
          </w:p>
        </w:tc>
        <w:tc>
          <w:tcPr>
            <w:tcW w:type="dxa" w:w="2545"/>
            <w:shd w:val="clear" w:fill="F4F7FA"/>
          </w:tcPr>
          <w:p>
            <w:pPr>
              <w:spacing w:before="20" w:after="20"/>
            </w:pPr>
            <w:r>
              <w:rPr>
                <w:rFonts w:ascii="Georgia" w:hAnsi="Georgia"/>
                <w:sz w:val="14"/>
              </w:rPr>
            </w:r>
            <w:r>
              <w:rPr>
                <w:rFonts w:ascii="Georgia" w:hAnsi="Georgia"/>
                <w:sz w:val="14"/>
              </w:rPr>
              <w:t>Moderate — media and telecoms engineering, Spain and Latin America</w:t>
            </w:r>
          </w:p>
        </w:tc>
        <w:tc>
          <w:tcPr>
            <w:tcW w:type="dxa" w:w="2545"/>
            <w:shd w:val="clear" w:fill="F4F7FA"/>
          </w:tcPr>
          <w:p>
            <w:pPr>
              <w:spacing w:before="20" w:after="20"/>
            </w:pPr>
            <w:r>
              <w:rPr>
                <w:rFonts w:ascii="Georgia" w:hAnsi="Georgia"/>
                <w:sz w:val="14"/>
              </w:rPr>
            </w:r>
            <w:r>
              <w:rPr>
                <w:rFonts w:ascii="Georgia" w:hAnsi="Georgia"/>
                <w:sz w:val="14"/>
              </w:rPr>
              <w:t>Low</w:t>
            </w:r>
          </w:p>
        </w:tc>
      </w:tr>
      <w:tr>
        <w:tc>
          <w:tcPr>
            <w:tcW w:type="dxa" w:w="2545"/>
          </w:tcPr>
          <w:p>
            <w:pPr>
              <w:spacing w:before="20" w:after="20"/>
            </w:pPr>
            <w:r>
              <w:rPr>
                <w:rFonts w:ascii="Georgia" w:hAnsi="Georgia"/>
                <w:sz w:val="14"/>
              </w:rPr>
            </w:r>
            <w:r>
              <w:rPr>
                <w:rFonts w:ascii="Georgia" w:hAnsi="Georgia"/>
                <w:sz w:val="14"/>
              </w:rPr>
              <w:t>Vates</w:t>
            </w:r>
          </w:p>
        </w:tc>
        <w:tc>
          <w:tcPr>
            <w:tcW w:type="dxa" w:w="2545"/>
          </w:tcPr>
          <w:p>
            <w:pPr>
              <w:spacing w:before="20" w:after="20"/>
            </w:pPr>
            <w:r>
              <w:rPr>
                <w:rFonts w:ascii="Georgia" w:hAnsi="Georgia"/>
                <w:sz w:val="14"/>
              </w:rPr>
            </w:r>
            <w:r>
              <w:rPr>
                <w:rFonts w:ascii="Georgia" w:hAnsi="Georgia"/>
                <w:sz w:val="14"/>
              </w:rPr>
              <w:t>100% (Mar 2024)</w:t>
            </w:r>
          </w:p>
        </w:tc>
        <w:tc>
          <w:tcPr>
            <w:tcW w:type="dxa" w:w="2545"/>
          </w:tcPr>
          <w:p>
            <w:pPr>
              <w:spacing w:before="20" w:after="20"/>
            </w:pPr>
            <w:r>
              <w:rPr>
                <w:rFonts w:ascii="Georgia" w:hAnsi="Georgia"/>
                <w:sz w:val="14"/>
              </w:rPr>
            </w:r>
            <w:r>
              <w:rPr>
                <w:rFonts w:ascii="Georgia" w:hAnsi="Georgia"/>
                <w:sz w:val="14"/>
              </w:rPr>
              <w:t>Moderate — Argentina/Latin America delivery</w:t>
            </w:r>
          </w:p>
        </w:tc>
        <w:tc>
          <w:tcPr>
            <w:tcW w:type="dxa" w:w="2545"/>
          </w:tcPr>
          <w:p>
            <w:pPr>
              <w:spacing w:before="20" w:after="20"/>
            </w:pPr>
            <w:r>
              <w:rPr>
                <w:rFonts w:ascii="Georgia" w:hAnsi="Georgia"/>
                <w:sz w:val="14"/>
              </w:rPr>
            </w:r>
            <w:r>
              <w:rPr>
                <w:rFonts w:ascii="Georgia" w:hAnsi="Georgia"/>
                <w:sz w:val="14"/>
              </w:rPr>
              <w:t>Low</w:t>
            </w:r>
          </w:p>
        </w:tc>
      </w:tr>
      <w:tr>
        <w:tc>
          <w:tcPr>
            <w:tcW w:type="dxa" w:w="2545"/>
            <w:shd w:val="clear" w:fill="F4F7FA"/>
          </w:tcPr>
          <w:p>
            <w:pPr>
              <w:spacing w:before="20" w:after="20"/>
            </w:pPr>
            <w:r>
              <w:rPr>
                <w:rFonts w:ascii="Georgia" w:hAnsi="Georgia"/>
                <w:sz w:val="14"/>
              </w:rPr>
            </w:r>
            <w:r>
              <w:rPr>
                <w:rFonts w:ascii="Georgia" w:hAnsi="Georgia"/>
                <w:sz w:val="14"/>
              </w:rPr>
              <w:t>Odysseus Data Services</w:t>
            </w:r>
          </w:p>
        </w:tc>
        <w:tc>
          <w:tcPr>
            <w:tcW w:type="dxa" w:w="2545"/>
            <w:shd w:val="clear" w:fill="F4F7FA"/>
          </w:tcPr>
          <w:p>
            <w:pPr>
              <w:spacing w:before="20" w:after="20"/>
            </w:pPr>
            <w:r>
              <w:rPr>
                <w:rFonts w:ascii="Georgia" w:hAnsi="Georgia"/>
                <w:sz w:val="14"/>
              </w:rPr>
            </w:r>
            <w:r>
              <w:rPr>
                <w:rFonts w:ascii="Georgia" w:hAnsi="Georgia"/>
                <w:sz w:val="14"/>
              </w:rPr>
              <w:t>100% (Jun 2024)</w:t>
            </w:r>
          </w:p>
        </w:tc>
        <w:tc>
          <w:tcPr>
            <w:tcW w:type="dxa" w:w="2545"/>
            <w:shd w:val="clear" w:fill="F4F7FA"/>
          </w:tcPr>
          <w:p>
            <w:pPr>
              <w:spacing w:before="20" w:after="20"/>
            </w:pPr>
            <w:r>
              <w:rPr>
                <w:rFonts w:ascii="Georgia" w:hAnsi="Georgia"/>
                <w:sz w:val="14"/>
              </w:rPr>
            </w:r>
            <w:r>
              <w:rPr>
                <w:rFonts w:ascii="Georgia" w:hAnsi="Georgia"/>
                <w:sz w:val="14"/>
              </w:rPr>
              <w:t>Moderate — life-sciences real-world data, OHDSI/OMOP standards</w:t>
            </w:r>
          </w:p>
        </w:tc>
        <w:tc>
          <w:tcPr>
            <w:tcW w:type="dxa" w:w="2545"/>
            <w:shd w:val="clear" w:fill="F4F7FA"/>
          </w:tcPr>
          <w:p>
            <w:pPr>
              <w:spacing w:before="20" w:after="20"/>
            </w:pPr>
            <w:r>
              <w:rPr>
                <w:rFonts w:ascii="Georgia" w:hAnsi="Georgia"/>
                <w:sz w:val="14"/>
              </w:rPr>
            </w:r>
            <w:r>
              <w:rPr>
                <w:rFonts w:ascii="Georgia" w:hAnsi="Georgia"/>
                <w:sz w:val="14"/>
              </w:rPr>
              <w:t>Low</w:t>
            </w:r>
          </w:p>
        </w:tc>
      </w:tr>
      <w:tr>
        <w:tc>
          <w:tcPr>
            <w:tcW w:type="dxa" w:w="2545"/>
          </w:tcPr>
          <w:p>
            <w:pPr>
              <w:spacing w:before="20" w:after="20"/>
            </w:pPr>
            <w:r>
              <w:rPr>
                <w:rFonts w:ascii="Georgia" w:hAnsi="Georgia"/>
                <w:sz w:val="14"/>
              </w:rPr>
            </w:r>
            <w:r>
              <w:rPr>
                <w:rFonts w:ascii="Georgia" w:hAnsi="Georgia"/>
                <w:sz w:val="14"/>
              </w:rPr>
              <w:t>EPAM Continuum</w:t>
            </w:r>
          </w:p>
        </w:tc>
        <w:tc>
          <w:tcPr>
            <w:tcW w:type="dxa" w:w="2545"/>
          </w:tcPr>
          <w:p>
            <w:pPr>
              <w:spacing w:before="20" w:after="20"/>
            </w:pPr>
            <w:r>
              <w:rPr>
                <w:rFonts w:ascii="Georgia" w:hAnsi="Georgia"/>
                <w:sz w:val="14"/>
              </w:rPr>
            </w:r>
            <w:r>
              <w:rPr>
                <w:rFonts w:ascii="Georgia" w:hAnsi="Georgia"/>
                <w:sz w:val="14"/>
              </w:rPr>
              <w:t>100% (via Continuum, 2018)</w:t>
            </w:r>
          </w:p>
        </w:tc>
        <w:tc>
          <w:tcPr>
            <w:tcW w:type="dxa" w:w="2545"/>
          </w:tcPr>
          <w:p>
            <w:pPr>
              <w:spacing w:before="20" w:after="20"/>
            </w:pPr>
            <w:r>
              <w:rPr>
                <w:rFonts w:ascii="Georgia" w:hAnsi="Georgia"/>
                <w:sz w:val="14"/>
              </w:rPr>
            </w:r>
            <w:r>
              <w:rPr>
                <w:rFonts w:ascii="Georgia" w:hAnsi="Georgia"/>
                <w:sz w:val="14"/>
              </w:rPr>
              <w:t>Moderate — design and innovation consultancy; the "front end" of the value chain</w:t>
            </w:r>
          </w:p>
        </w:tc>
        <w:tc>
          <w:tcPr>
            <w:tcW w:type="dxa" w:w="2545"/>
          </w:tcPr>
          <w:p>
            <w:pPr>
              <w:spacing w:before="20" w:after="20"/>
            </w:pPr>
            <w:r>
              <w:rPr>
                <w:rFonts w:ascii="Georgia" w:hAnsi="Georgia"/>
                <w:sz w:val="14"/>
              </w:rPr>
            </w:r>
            <w:r>
              <w:rPr>
                <w:rFonts w:ascii="Georgia" w:hAnsi="Georgia"/>
                <w:sz w:val="14"/>
              </w:rPr>
              <w:t>Low</w:t>
            </w:r>
          </w:p>
        </w:tc>
      </w:tr>
    </w:tbl>
    <w:p>
      <w:pPr>
        <w:spacing w:after="60"/>
      </w:pPr>
    </w:p>
    <w:p>
      <w:pPr>
        <w:spacing w:before="0" w:after="120"/>
        <w:jc w:val="both"/>
      </w:pPr>
      <w:r>
        <w:rPr>
          <w:i/>
          <w:color w:val="555555"/>
          <w:sz w:val="15"/>
        </w:rPr>
        <w:t>EPAM does not separately report the financial contribution of acquired entities after integration, so revenue and profit attribution to each brand is not determinable from public disclosure.</w:t>
      </w:r>
    </w:p>
    <w:p>
      <w:pPr>
        <w:spacing w:before="0" w:after="80"/>
        <w:jc w:val="both"/>
      </w:pPr>
      <w:r>
        <w:rPr/>
        <w:t>The absence of a minority-investment portfolio is a mild positive: there is no opaque asset requiring mark-to-market, no equity-method income distorting earnings quality, and no hidden balance-sheet risk. Equally, there is no unrecognised hidden value.</w:t>
      </w:r>
    </w:p>
    <w:p>
      <w:pPr>
        <w:keepNext/>
        <w:spacing w:before="320" w:after="120"/>
        <w:pBdr>
          <w:bottom w:val="single" w:sz="12" w:space="2" w:color="0B2545"/>
        </w:pBdr>
      </w:pPr>
      <w:r>
        <w:rPr>
          <w:rFonts w:ascii="Georgia" w:hAnsi="Georgia"/>
          <w:b/>
          <w:color w:val="0B2545"/>
          <w:sz w:val="26"/>
        </w:rPr>
        <w:t>20. Dividends, Buybacks and Treasury Shares</w:t>
      </w:r>
    </w:p>
    <w:p>
      <w:pPr>
        <w:keepNext/>
        <w:spacing w:before="200" w:after="80"/>
      </w:pPr>
      <w:r>
        <w:rPr>
          <w:rFonts w:ascii="Georgia" w:hAnsi="Georgia"/>
          <w:b/>
          <w:color w:val="14487F"/>
          <w:sz w:val="21"/>
        </w:rPr>
        <w:t>Dividends</w:t>
      </w:r>
    </w:p>
    <w:p>
      <w:pPr>
        <w:spacing w:before="0" w:after="80"/>
        <w:jc w:val="both"/>
      </w:pPr>
      <w:r>
        <w:rPr>
          <w:b/>
        </w:rPr>
        <w:t>EPAM has never paid a dividend</w:t>
      </w:r>
      <w:r>
        <w:rPr/>
        <w:t xml:space="preserve"> since its 2012 NYSE listing and has no declared intention to initiate one. All capital return has been via share repurchase.</w:t>
      </w:r>
    </w:p>
    <w:p>
      <w:pPr>
        <w:keepNext/>
        <w:spacing w:before="200" w:after="80"/>
      </w:pPr>
      <w:r>
        <w:rPr>
          <w:rFonts w:ascii="Georgia" w:hAnsi="Georgia"/>
          <w:b/>
          <w:color w:val="14487F"/>
          <w:sz w:val="21"/>
        </w:rPr>
        <w:t>Repurchase programmes and activity</w:t>
      </w:r>
    </w:p>
    <w:tbl>
      <w:tblPr>
        <w:tblStyle w:val="TableGrid"/>
        <w:tblW w:type="auto" w:w="0"/>
        <w:jc w:val="center"/>
        <w:tblLayout w:type="autofit"/>
        <w:tblLook w:firstColumn="1" w:firstRow="1" w:lastColumn="0" w:lastRow="0" w:noHBand="0" w:noVBand="1" w:val="04A0"/>
      </w:tblPr>
      <w:tblGrid>
        <w:gridCol w:w="2545"/>
        <w:gridCol w:w="2545"/>
        <w:gridCol w:w="2545"/>
        <w:gridCol w:w="2545"/>
      </w:tblGrid>
      <w:tr>
        <w:tc>
          <w:tcPr>
            <w:tcW w:type="dxa" w:w="2545"/>
            <w:shd w:val="clear" w:fill="0B2545"/>
          </w:tcPr>
          <w:p>
            <w:pPr>
              <w:spacing w:before="20" w:after="20"/>
            </w:pPr>
            <w:r>
              <w:rPr>
                <w:rFonts w:ascii="Georgia" w:hAnsi="Georgia"/>
                <w:b/>
                <w:color w:val="FFFFFF"/>
                <w:sz w:val="14"/>
              </w:rPr>
            </w:r>
            <w:r>
              <w:rPr>
                <w:rFonts w:ascii="Georgia" w:hAnsi="Georgia"/>
                <w:b/>
                <w:color w:val="FFFFFF"/>
                <w:sz w:val="14"/>
              </w:rPr>
              <w:t>Date / period</w:t>
            </w:r>
          </w:p>
        </w:tc>
        <w:tc>
          <w:tcPr>
            <w:tcW w:type="dxa" w:w="2545"/>
            <w:shd w:val="clear" w:fill="0B2545"/>
          </w:tcPr>
          <w:p>
            <w:pPr>
              <w:spacing w:before="20" w:after="20"/>
            </w:pPr>
            <w:r>
              <w:rPr>
                <w:rFonts w:ascii="Georgia" w:hAnsi="Georgia"/>
                <w:b/>
                <w:color w:val="FFFFFF"/>
                <w:sz w:val="14"/>
              </w:rPr>
            </w:r>
            <w:r>
              <w:rPr>
                <w:rFonts w:ascii="Georgia" w:hAnsi="Georgia"/>
                <w:b/>
                <w:color w:val="FFFFFF"/>
                <w:sz w:val="14"/>
              </w:rPr>
              <w:t>Event</w:t>
            </w:r>
          </w:p>
        </w:tc>
        <w:tc>
          <w:tcPr>
            <w:tcW w:type="dxa" w:w="2545"/>
            <w:shd w:val="clear" w:fill="0B2545"/>
          </w:tcPr>
          <w:p>
            <w:pPr>
              <w:spacing w:before="20" w:after="20"/>
              <w:jc w:val="right"/>
            </w:pPr>
            <w:r>
              <w:rPr>
                <w:rFonts w:ascii="Georgia" w:hAnsi="Georgia"/>
                <w:b/>
                <w:color w:val="FFFFFF"/>
                <w:sz w:val="14"/>
              </w:rPr>
            </w:r>
            <w:r>
              <w:rPr>
                <w:rFonts w:ascii="Georgia" w:hAnsi="Georgia"/>
                <w:b/>
                <w:color w:val="FFFFFF"/>
                <w:sz w:val="14"/>
              </w:rPr>
              <w:t>Amount</w:t>
            </w:r>
          </w:p>
        </w:tc>
        <w:tc>
          <w:tcPr>
            <w:tcW w:type="dxa" w:w="2545"/>
            <w:shd w:val="clear" w:fill="0B2545"/>
          </w:tcPr>
          <w:p>
            <w:pPr>
              <w:spacing w:before="20" w:after="20"/>
            </w:pPr>
            <w:r>
              <w:rPr>
                <w:rFonts w:ascii="Georgia" w:hAnsi="Georgia"/>
                <w:b/>
                <w:color w:val="FFFFFF"/>
                <w:sz w:val="14"/>
              </w:rPr>
            </w:r>
            <w:r>
              <w:rPr>
                <w:rFonts w:ascii="Georgia" w:hAnsi="Georgia"/>
                <w:b/>
                <w:color w:val="FFFFFF"/>
                <w:sz w:val="14"/>
              </w:rPr>
              <w:t>Detail</w:t>
            </w:r>
          </w:p>
        </w:tc>
      </w:tr>
      <w:tr>
        <w:tc>
          <w:tcPr>
            <w:tcW w:type="dxa" w:w="2545"/>
          </w:tcPr>
          <w:p>
            <w:pPr>
              <w:spacing w:before="20" w:after="20"/>
            </w:pPr>
            <w:r>
              <w:rPr>
                <w:rFonts w:ascii="Georgia" w:hAnsi="Georgia"/>
                <w:sz w:val="14"/>
              </w:rPr>
            </w:r>
            <w:r>
              <w:rPr>
                <w:rFonts w:ascii="Georgia" w:hAnsi="Georgia"/>
                <w:sz w:val="14"/>
              </w:rPr>
              <w:t>16 Feb 2023</w:t>
            </w:r>
          </w:p>
        </w:tc>
        <w:tc>
          <w:tcPr>
            <w:tcW w:type="dxa" w:w="2545"/>
          </w:tcPr>
          <w:p>
            <w:pPr>
              <w:spacing w:before="20" w:after="20"/>
            </w:pPr>
            <w:r>
              <w:rPr>
                <w:rFonts w:ascii="Georgia" w:hAnsi="Georgia"/>
                <w:sz w:val="14"/>
              </w:rPr>
            </w:r>
            <w:r>
              <w:rPr>
                <w:rFonts w:ascii="Georgia" w:hAnsi="Georgia"/>
                <w:sz w:val="14"/>
              </w:rPr>
              <w:t>2023 repurchase programme authorised</w:t>
            </w:r>
          </w:p>
        </w:tc>
        <w:tc>
          <w:tcPr>
            <w:tcW w:type="dxa" w:w="2545"/>
          </w:tcPr>
          <w:p>
            <w:pPr>
              <w:spacing w:before="20" w:after="20"/>
              <w:jc w:val="right"/>
            </w:pPr>
            <w:r>
              <w:rPr>
                <w:rFonts w:ascii="Georgia" w:hAnsi="Georgia"/>
                <w:sz w:val="14"/>
              </w:rPr>
            </w:r>
            <w:r>
              <w:rPr>
                <w:rFonts w:ascii="Georgia" w:hAnsi="Georgia"/>
                <w:sz w:val="14"/>
              </w:rPr>
              <w:t>$500.0m</w:t>
            </w:r>
          </w:p>
        </w:tc>
        <w:tc>
          <w:tcPr>
            <w:tcW w:type="dxa" w:w="2545"/>
          </w:tcPr>
          <w:p>
            <w:pPr>
              <w:spacing w:before="20" w:after="20"/>
            </w:pPr>
            <w:r>
              <w:rPr>
                <w:rFonts w:ascii="Georgia" w:hAnsi="Georgia"/>
                <w:sz w:val="14"/>
              </w:rPr>
            </w:r>
            <w:r>
              <w:rPr>
                <w:rFonts w:ascii="Georgia" w:hAnsi="Georgia"/>
                <w:sz w:val="14"/>
              </w:rPr>
              <w:t>Announced alongside FY2022 results</w:t>
            </w:r>
          </w:p>
        </w:tc>
      </w:tr>
      <w:tr>
        <w:tc>
          <w:tcPr>
            <w:tcW w:type="dxa" w:w="2545"/>
            <w:shd w:val="clear" w:fill="F4F7FA"/>
          </w:tcPr>
          <w:p>
            <w:pPr>
              <w:spacing w:before="20" w:after="20"/>
            </w:pPr>
            <w:r>
              <w:rPr>
                <w:rFonts w:ascii="Georgia" w:hAnsi="Georgia"/>
                <w:sz w:val="14"/>
              </w:rPr>
            </w:r>
            <w:r>
              <w:rPr>
                <w:rFonts w:ascii="Georgia" w:hAnsi="Georgia"/>
                <w:sz w:val="14"/>
              </w:rPr>
              <w:t>FY2023</w:t>
            </w:r>
          </w:p>
        </w:tc>
        <w:tc>
          <w:tcPr>
            <w:tcW w:type="dxa" w:w="2545"/>
            <w:shd w:val="clear" w:fill="F4F7FA"/>
          </w:tcPr>
          <w:p>
            <w:pPr>
              <w:spacing w:before="20" w:after="20"/>
            </w:pPr>
            <w:r>
              <w:rPr>
                <w:rFonts w:ascii="Georgia" w:hAnsi="Georgia"/>
                <w:sz w:val="14"/>
              </w:rPr>
            </w:r>
            <w:r>
              <w:rPr>
                <w:rFonts w:ascii="Georgia" w:hAnsi="Georgia"/>
                <w:sz w:val="14"/>
              </w:rPr>
              <w:t>Shares repurchased</w:t>
            </w:r>
          </w:p>
        </w:tc>
        <w:tc>
          <w:tcPr>
            <w:tcW w:type="dxa" w:w="2545"/>
            <w:shd w:val="clear" w:fill="F4F7FA"/>
          </w:tcPr>
          <w:p>
            <w:pPr>
              <w:spacing w:before="20" w:after="20"/>
              <w:jc w:val="right"/>
            </w:pPr>
            <w:r>
              <w:rPr>
                <w:rFonts w:ascii="Georgia" w:hAnsi="Georgia"/>
                <w:sz w:val="14"/>
              </w:rPr>
            </w:r>
            <w:r>
              <w:rPr>
                <w:rFonts w:ascii="Georgia" w:hAnsi="Georgia"/>
                <w:sz w:val="14"/>
              </w:rPr>
              <w:t>$164.9m</w:t>
            </w:r>
          </w:p>
        </w:tc>
        <w:tc>
          <w:tcPr>
            <w:tcW w:type="dxa" w:w="2545"/>
            <w:shd w:val="clear" w:fill="F4F7FA"/>
          </w:tcPr>
          <w:p>
            <w:pPr>
              <w:spacing w:before="20" w:after="20"/>
            </w:pPr>
            <w:r>
              <w:rPr>
                <w:rFonts w:ascii="Georgia" w:hAnsi="Georgia"/>
                <w:sz w:val="14"/>
              </w:rPr>
            </w:r>
            <w:r>
              <w:rPr>
                <w:rFonts w:ascii="Georgia" w:hAnsi="Georgia"/>
                <w:sz w:val="14"/>
              </w:rPr>
              <w:t>Modest pace</w:t>
            </w:r>
          </w:p>
        </w:tc>
      </w:tr>
      <w:tr>
        <w:tc>
          <w:tcPr>
            <w:tcW w:type="dxa" w:w="2545"/>
          </w:tcPr>
          <w:p>
            <w:pPr>
              <w:spacing w:before="20" w:after="20"/>
            </w:pPr>
            <w:r>
              <w:rPr>
                <w:rFonts w:ascii="Georgia" w:hAnsi="Georgia"/>
                <w:sz w:val="14"/>
              </w:rPr>
            </w:r>
            <w:r>
              <w:rPr>
                <w:rFonts w:ascii="Georgia" w:hAnsi="Georgia"/>
                <w:sz w:val="14"/>
              </w:rPr>
              <w:t>1 Aug 2024</w:t>
            </w:r>
          </w:p>
        </w:tc>
        <w:tc>
          <w:tcPr>
            <w:tcW w:type="dxa" w:w="2545"/>
          </w:tcPr>
          <w:p>
            <w:pPr>
              <w:spacing w:before="20" w:after="20"/>
            </w:pPr>
            <w:r>
              <w:rPr>
                <w:rFonts w:ascii="Georgia" w:hAnsi="Georgia"/>
                <w:sz w:val="14"/>
              </w:rPr>
            </w:r>
            <w:r>
              <w:rPr>
                <w:rFonts w:ascii="Georgia" w:hAnsi="Georgia"/>
                <w:sz w:val="14"/>
              </w:rPr>
              <w:t>2024 repurchase programme authorised</w:t>
            </w:r>
          </w:p>
        </w:tc>
        <w:tc>
          <w:tcPr>
            <w:tcW w:type="dxa" w:w="2545"/>
          </w:tcPr>
          <w:p>
            <w:pPr>
              <w:spacing w:before="20" w:after="20"/>
              <w:jc w:val="right"/>
            </w:pPr>
            <w:r>
              <w:rPr>
                <w:rFonts w:ascii="Georgia" w:hAnsi="Georgia"/>
                <w:sz w:val="14"/>
              </w:rPr>
            </w:r>
            <w:r>
              <w:rPr>
                <w:rFonts w:ascii="Georgia" w:hAnsi="Georgia"/>
                <w:sz w:val="14"/>
              </w:rPr>
              <w:t>$500.0m</w:t>
            </w:r>
          </w:p>
        </w:tc>
        <w:tc>
          <w:tcPr>
            <w:tcW w:type="dxa" w:w="2545"/>
          </w:tcPr>
          <w:p>
            <w:pPr>
              <w:spacing w:before="20" w:after="20"/>
            </w:pPr>
            <w:r>
              <w:rPr>
                <w:rFonts w:ascii="Georgia" w:hAnsi="Georgia"/>
                <w:sz w:val="14"/>
              </w:rPr>
            </w:r>
            <w:r>
              <w:rPr>
                <w:rFonts w:ascii="Georgia" w:hAnsi="Georgia"/>
                <w:sz w:val="14"/>
              </w:rPr>
              <w:t>New authorisation by the Board</w:t>
            </w:r>
          </w:p>
        </w:tc>
      </w:tr>
      <w:tr>
        <w:tc>
          <w:tcPr>
            <w:tcW w:type="dxa" w:w="2545"/>
            <w:shd w:val="clear" w:fill="F4F7FA"/>
          </w:tcPr>
          <w:p>
            <w:pPr>
              <w:spacing w:before="20" w:after="20"/>
            </w:pPr>
            <w:r>
              <w:rPr>
                <w:rFonts w:ascii="Georgia" w:hAnsi="Georgia"/>
                <w:sz w:val="14"/>
              </w:rPr>
            </w:r>
            <w:r>
              <w:rPr>
                <w:rFonts w:ascii="Georgia" w:hAnsi="Georgia"/>
                <w:sz w:val="14"/>
              </w:rPr>
              <w:t>FY2024</w:t>
            </w:r>
          </w:p>
        </w:tc>
        <w:tc>
          <w:tcPr>
            <w:tcW w:type="dxa" w:w="2545"/>
            <w:shd w:val="clear" w:fill="F4F7FA"/>
          </w:tcPr>
          <w:p>
            <w:pPr>
              <w:spacing w:before="20" w:after="20"/>
            </w:pPr>
            <w:r>
              <w:rPr>
                <w:rFonts w:ascii="Georgia" w:hAnsi="Georgia"/>
                <w:sz w:val="14"/>
              </w:rPr>
            </w:r>
            <w:r>
              <w:rPr>
                <w:rFonts w:ascii="Georgia" w:hAnsi="Georgia"/>
                <w:sz w:val="14"/>
              </w:rPr>
              <w:t>Shares repurchased</w:t>
            </w:r>
          </w:p>
        </w:tc>
        <w:tc>
          <w:tcPr>
            <w:tcW w:type="dxa" w:w="2545"/>
            <w:shd w:val="clear" w:fill="F4F7FA"/>
          </w:tcPr>
          <w:p>
            <w:pPr>
              <w:spacing w:before="20" w:after="20"/>
              <w:jc w:val="right"/>
            </w:pPr>
            <w:r>
              <w:rPr>
                <w:rFonts w:ascii="Georgia" w:hAnsi="Georgia"/>
                <w:sz w:val="14"/>
              </w:rPr>
            </w:r>
            <w:r>
              <w:rPr>
                <w:rFonts w:ascii="Georgia" w:hAnsi="Georgia"/>
                <w:sz w:val="14"/>
              </w:rPr>
              <w:t>$398.0m</w:t>
            </w:r>
          </w:p>
        </w:tc>
        <w:tc>
          <w:tcPr>
            <w:tcW w:type="dxa" w:w="2545"/>
            <w:shd w:val="clear" w:fill="F4F7FA"/>
          </w:tcPr>
          <w:p>
            <w:pPr>
              <w:spacing w:before="20" w:after="20"/>
            </w:pPr>
            <w:r>
              <w:rPr>
                <w:rFonts w:ascii="Georgia" w:hAnsi="Georgia"/>
                <w:sz w:val="14"/>
              </w:rPr>
            </w:r>
            <w:r>
              <w:rPr>
                <w:rFonts w:ascii="Georgia" w:hAnsi="Georgia"/>
                <w:sz w:val="14"/>
              </w:rPr>
              <w:t>Pace accelerating</w:t>
            </w:r>
          </w:p>
        </w:tc>
      </w:tr>
      <w:tr>
        <w:tc>
          <w:tcPr>
            <w:tcW w:type="dxa" w:w="2545"/>
          </w:tcPr>
          <w:p>
            <w:pPr>
              <w:spacing w:before="20" w:after="20"/>
            </w:pPr>
            <w:r>
              <w:rPr>
                <w:rFonts w:ascii="Georgia" w:hAnsi="Georgia"/>
                <w:sz w:val="14"/>
              </w:rPr>
            </w:r>
            <w:r>
              <w:rPr>
                <w:rFonts w:ascii="Georgia" w:hAnsi="Georgia"/>
                <w:sz w:val="14"/>
              </w:rPr>
              <w:t>30 Sept 2025</w:t>
            </w:r>
          </w:p>
        </w:tc>
        <w:tc>
          <w:tcPr>
            <w:tcW w:type="dxa" w:w="2545"/>
          </w:tcPr>
          <w:p>
            <w:pPr>
              <w:spacing w:before="20" w:after="20"/>
            </w:pPr>
            <w:r>
              <w:rPr>
                <w:rFonts w:ascii="Georgia" w:hAnsi="Georgia"/>
                <w:sz w:val="14"/>
              </w:rPr>
            </w:r>
            <w:r>
              <w:rPr>
                <w:rFonts w:ascii="Georgia" w:hAnsi="Georgia"/>
                <w:sz w:val="14"/>
              </w:rPr>
              <w:t>2024 programme exhausted</w:t>
            </w:r>
          </w:p>
        </w:tc>
        <w:tc>
          <w:tcPr>
            <w:tcW w:type="dxa" w:w="2545"/>
          </w:tcPr>
          <w:p>
            <w:pPr>
              <w:spacing w:before="20" w:after="20"/>
              <w:jc w:val="right"/>
            </w:pPr>
            <w:r>
              <w:rPr>
                <w:rFonts w:ascii="Georgia" w:hAnsi="Georgia"/>
                <w:sz w:val="14"/>
              </w:rPr>
            </w:r>
            <w:r>
              <w:rPr>
                <w:rFonts w:ascii="Georgia" w:hAnsi="Georgia"/>
                <w:sz w:val="14"/>
              </w:rPr>
              <w:t>$500.0m fully used</w:t>
            </w:r>
          </w:p>
        </w:tc>
        <w:tc>
          <w:tcPr>
            <w:tcW w:type="dxa" w:w="2545"/>
          </w:tcPr>
          <w:p>
            <w:pPr>
              <w:spacing w:before="20" w:after="20"/>
            </w:pPr>
            <w:r>
              <w:rPr>
                <w:rFonts w:ascii="Georgia" w:hAnsi="Georgia"/>
                <w:sz w:val="14"/>
              </w:rPr>
            </w:r>
            <w:r>
              <w:rPr>
                <w:rFonts w:ascii="Georgia" w:hAnsi="Georgia"/>
                <w:sz w:val="14"/>
              </w:rPr>
              <w:t>Completed</w:t>
            </w:r>
          </w:p>
        </w:tc>
      </w:tr>
      <w:tr>
        <w:tc>
          <w:tcPr>
            <w:tcW w:type="dxa" w:w="2545"/>
            <w:shd w:val="clear" w:fill="F4F7FA"/>
          </w:tcPr>
          <w:p>
            <w:pPr>
              <w:spacing w:before="20" w:after="20"/>
            </w:pPr>
            <w:r>
              <w:rPr>
                <w:rFonts w:ascii="Georgia" w:hAnsi="Georgia"/>
                <w:sz w:val="14"/>
              </w:rPr>
            </w:r>
            <w:r>
              <w:rPr>
                <w:rFonts w:ascii="Georgia" w:hAnsi="Georgia"/>
                <w:sz w:val="14"/>
              </w:rPr>
              <w:t>16 Oct 2025</w:t>
            </w:r>
          </w:p>
        </w:tc>
        <w:tc>
          <w:tcPr>
            <w:tcW w:type="dxa" w:w="2545"/>
            <w:shd w:val="clear" w:fill="F4F7FA"/>
          </w:tcPr>
          <w:p>
            <w:pPr>
              <w:spacing w:before="20" w:after="20"/>
            </w:pPr>
            <w:r>
              <w:rPr>
                <w:rFonts w:ascii="Georgia" w:hAnsi="Georgia"/>
                <w:sz w:val="14"/>
              </w:rPr>
            </w:r>
            <w:r>
              <w:rPr>
                <w:rFonts w:ascii="Georgia" w:hAnsi="Georgia"/>
                <w:b/>
                <w:sz w:val="14"/>
              </w:rPr>
              <w:t>2025 repurchase programme authorised</w:t>
            </w:r>
          </w:p>
        </w:tc>
        <w:tc>
          <w:tcPr>
            <w:tcW w:type="dxa" w:w="2545"/>
            <w:shd w:val="clear" w:fill="F4F7FA"/>
          </w:tcPr>
          <w:p>
            <w:pPr>
              <w:spacing w:before="20" w:after="20"/>
              <w:jc w:val="right"/>
            </w:pPr>
            <w:r>
              <w:rPr>
                <w:rFonts w:ascii="Georgia" w:hAnsi="Georgia"/>
                <w:sz w:val="14"/>
              </w:rPr>
            </w:r>
            <w:r>
              <w:rPr>
                <w:rFonts w:ascii="Georgia" w:hAnsi="Georgia"/>
                <w:b/>
                <w:sz w:val="14"/>
              </w:rPr>
              <w:t>$1,000.0m</w:t>
            </w:r>
          </w:p>
        </w:tc>
        <w:tc>
          <w:tcPr>
            <w:tcW w:type="dxa" w:w="2545"/>
            <w:shd w:val="clear" w:fill="F4F7FA"/>
          </w:tcPr>
          <w:p>
            <w:pPr>
              <w:spacing w:before="20" w:after="20"/>
            </w:pPr>
            <w:r>
              <w:rPr>
                <w:rFonts w:ascii="Georgia" w:hAnsi="Georgia"/>
                <w:sz w:val="14"/>
              </w:rPr>
            </w:r>
            <w:r>
              <w:rPr>
                <w:rFonts w:ascii="Georgia" w:hAnsi="Georgia"/>
                <w:sz w:val="14"/>
              </w:rPr>
              <w:t>24-month duration; open market, privately negotiated or Rule 10b5-1 plans; suspendable at any time</w:t>
            </w:r>
          </w:p>
        </w:tc>
      </w:tr>
      <w:tr>
        <w:tc>
          <w:tcPr>
            <w:tcW w:type="dxa" w:w="2545"/>
          </w:tcPr>
          <w:p>
            <w:pPr>
              <w:spacing w:before="20" w:after="20"/>
            </w:pPr>
            <w:r>
              <w:rPr>
                <w:rFonts w:ascii="Georgia" w:hAnsi="Georgia"/>
                <w:sz w:val="14"/>
              </w:rPr>
            </w:r>
            <w:r>
              <w:rPr>
                <w:rFonts w:ascii="Georgia" w:hAnsi="Georgia"/>
                <w:sz w:val="14"/>
              </w:rPr>
              <w:t>FY2025</w:t>
            </w:r>
          </w:p>
        </w:tc>
        <w:tc>
          <w:tcPr>
            <w:tcW w:type="dxa" w:w="2545"/>
          </w:tcPr>
          <w:p>
            <w:pPr>
              <w:spacing w:before="20" w:after="20"/>
            </w:pPr>
            <w:r>
              <w:rPr>
                <w:rFonts w:ascii="Georgia" w:hAnsi="Georgia"/>
                <w:sz w:val="14"/>
              </w:rPr>
            </w:r>
            <w:r>
              <w:rPr>
                <w:rFonts w:ascii="Georgia" w:hAnsi="Georgia"/>
                <w:sz w:val="14"/>
              </w:rPr>
              <w:t>Shares repurchased</w:t>
            </w:r>
          </w:p>
        </w:tc>
        <w:tc>
          <w:tcPr>
            <w:tcW w:type="dxa" w:w="2545"/>
          </w:tcPr>
          <w:p>
            <w:pPr>
              <w:spacing w:before="20" w:after="20"/>
              <w:jc w:val="right"/>
            </w:pPr>
            <w:r>
              <w:rPr>
                <w:rFonts w:ascii="Georgia" w:hAnsi="Georgia"/>
                <w:sz w:val="14"/>
              </w:rPr>
            </w:r>
            <w:r>
              <w:rPr>
                <w:rFonts w:ascii="Georgia" w:hAnsi="Georgia"/>
                <w:b/>
                <w:sz w:val="14"/>
              </w:rPr>
              <w:t>$662.2m</w:t>
            </w:r>
          </w:p>
        </w:tc>
        <w:tc>
          <w:tcPr>
            <w:tcW w:type="dxa" w:w="2545"/>
          </w:tcPr>
          <w:p>
            <w:pPr>
              <w:spacing w:before="20" w:after="20"/>
            </w:pPr>
            <w:r>
              <w:rPr>
                <w:rFonts w:ascii="Georgia" w:hAnsi="Georgia"/>
                <w:sz w:val="14"/>
              </w:rPr>
            </w:r>
            <w:r>
              <w:rPr>
                <w:rFonts w:ascii="Georgia" w:hAnsi="Georgia"/>
                <w:sz w:val="14"/>
              </w:rPr>
              <w:t>Roughly 108% of FY2025 free cash flow of $612.7m</w:t>
            </w:r>
          </w:p>
        </w:tc>
      </w:tr>
      <w:tr>
        <w:tc>
          <w:tcPr>
            <w:tcW w:type="dxa" w:w="2545"/>
            <w:shd w:val="clear" w:fill="F4F7FA"/>
          </w:tcPr>
          <w:p>
            <w:pPr>
              <w:spacing w:before="20" w:after="20"/>
            </w:pPr>
            <w:r>
              <w:rPr>
                <w:rFonts w:ascii="Georgia" w:hAnsi="Georgia"/>
                <w:sz w:val="14"/>
              </w:rPr>
            </w:r>
            <w:r>
              <w:rPr>
                <w:rFonts w:ascii="Georgia" w:hAnsi="Georgia"/>
                <w:sz w:val="14"/>
              </w:rPr>
              <w:t>Mar 2026</w:t>
            </w:r>
          </w:p>
        </w:tc>
        <w:tc>
          <w:tcPr>
            <w:tcW w:type="dxa" w:w="2545"/>
            <w:shd w:val="clear" w:fill="F4F7FA"/>
          </w:tcPr>
          <w:p>
            <w:pPr>
              <w:spacing w:before="20" w:after="20"/>
            </w:pPr>
            <w:r>
              <w:rPr>
                <w:rFonts w:ascii="Georgia" w:hAnsi="Georgia"/>
                <w:sz w:val="14"/>
              </w:rPr>
            </w:r>
            <w:r>
              <w:rPr>
                <w:rFonts w:ascii="Georgia" w:hAnsi="Georgia"/>
                <w:b/>
                <w:sz w:val="14"/>
              </w:rPr>
              <w:t>Accelerated share repurchase (ASR)</w:t>
            </w:r>
          </w:p>
        </w:tc>
        <w:tc>
          <w:tcPr>
            <w:tcW w:type="dxa" w:w="2545"/>
            <w:shd w:val="clear" w:fill="F4F7FA"/>
          </w:tcPr>
          <w:p>
            <w:pPr>
              <w:spacing w:before="20" w:after="20"/>
              <w:jc w:val="right"/>
            </w:pPr>
            <w:r>
              <w:rPr>
                <w:rFonts w:ascii="Georgia" w:hAnsi="Georgia"/>
                <w:sz w:val="14"/>
              </w:rPr>
            </w:r>
            <w:r>
              <w:rPr>
                <w:rFonts w:ascii="Georgia" w:hAnsi="Georgia"/>
                <w:b/>
                <w:sz w:val="14"/>
              </w:rPr>
              <w:t>$300.0m</w:t>
            </w:r>
          </w:p>
        </w:tc>
        <w:tc>
          <w:tcPr>
            <w:tcW w:type="dxa" w:w="2545"/>
            <w:shd w:val="clear" w:fill="F4F7FA"/>
          </w:tcPr>
          <w:p>
            <w:pPr>
              <w:spacing w:before="20" w:after="20"/>
            </w:pPr>
            <w:r>
              <w:rPr>
                <w:rFonts w:ascii="Georgia" w:hAnsi="Georgia"/>
                <w:sz w:val="14"/>
              </w:rPr>
            </w:r>
            <w:r>
              <w:rPr>
                <w:rFonts w:ascii="Georgia" w:hAnsi="Georgia"/>
                <w:sz w:val="14"/>
              </w:rPr>
              <w:t>Executed under the $1.0bn authorisation; approximately $452.5m remained available thereafter</w:t>
            </w:r>
          </w:p>
        </w:tc>
      </w:tr>
      <w:tr>
        <w:tc>
          <w:tcPr>
            <w:tcW w:type="dxa" w:w="2545"/>
          </w:tcPr>
          <w:p>
            <w:pPr>
              <w:spacing w:before="20" w:after="20"/>
            </w:pPr>
            <w:r>
              <w:rPr>
                <w:rFonts w:ascii="Georgia" w:hAnsi="Georgia"/>
                <w:sz w:val="14"/>
              </w:rPr>
            </w:r>
            <w:r>
              <w:rPr>
                <w:rFonts w:ascii="Georgia" w:hAnsi="Georgia"/>
                <w:sz w:val="14"/>
              </w:rPr>
              <w:t>FY2026 year to date</w:t>
            </w:r>
          </w:p>
        </w:tc>
        <w:tc>
          <w:tcPr>
            <w:tcW w:type="dxa" w:w="2545"/>
          </w:tcPr>
          <w:p>
            <w:pPr>
              <w:spacing w:before="20" w:after="20"/>
            </w:pPr>
            <w:r>
              <w:rPr>
                <w:rFonts w:ascii="Georgia" w:hAnsi="Georgia"/>
                <w:sz w:val="14"/>
              </w:rPr>
            </w:r>
            <w:r>
              <w:rPr>
                <w:rFonts w:ascii="Georgia" w:hAnsi="Georgia"/>
                <w:sz w:val="14"/>
              </w:rPr>
              <w:t>Estimated repurchases</w:t>
            </w:r>
          </w:p>
        </w:tc>
        <w:tc>
          <w:tcPr>
            <w:tcW w:type="dxa" w:w="2545"/>
          </w:tcPr>
          <w:p>
            <w:pPr>
              <w:spacing w:before="20" w:after="20"/>
              <w:jc w:val="right"/>
            </w:pPr>
            <w:r>
              <w:rPr>
                <w:rFonts w:ascii="Georgia" w:hAnsi="Georgia"/>
                <w:sz w:val="14"/>
              </w:rPr>
            </w:r>
            <w:r>
              <w:rPr>
                <w:rFonts w:ascii="Georgia" w:hAnsi="Georgia"/>
                <w:sz w:val="14"/>
              </w:rPr>
              <w:t>c.$400–450m (est.)</w:t>
            </w:r>
          </w:p>
        </w:tc>
        <w:tc>
          <w:tcPr>
            <w:tcW w:type="dxa" w:w="2545"/>
          </w:tcPr>
          <w:p>
            <w:pPr>
              <w:spacing w:before="20" w:after="20"/>
            </w:pPr>
            <w:r>
              <w:rPr>
                <w:rFonts w:ascii="Georgia" w:hAnsi="Georgia"/>
                <w:sz w:val="14"/>
              </w:rPr>
            </w:r>
            <w:r>
              <w:rPr>
                <w:rFonts w:ascii="Georgia" w:hAnsi="Georgia"/>
                <w:sz w:val="14"/>
              </w:rPr>
              <w:t>Including the March ASR</w:t>
            </w:r>
          </w:p>
        </w:tc>
      </w:tr>
      <w:tr>
        <w:tc>
          <w:tcPr>
            <w:tcW w:type="dxa" w:w="2545"/>
            <w:shd w:val="clear" w:fill="F4F7FA"/>
          </w:tcPr>
          <w:p>
            <w:pPr>
              <w:spacing w:before="20" w:after="20"/>
            </w:pPr>
            <w:r>
              <w:rPr>
                <w:rFonts w:ascii="Georgia" w:hAnsi="Georgia"/>
                <w:sz w:val="14"/>
              </w:rPr>
            </w:r>
            <w:r>
              <w:rPr>
                <w:rFonts w:ascii="Georgia" w:hAnsi="Georgia"/>
                <w:sz w:val="14"/>
              </w:rPr>
              <w:t>Remaining authorisation</w:t>
            </w:r>
          </w:p>
        </w:tc>
        <w:tc>
          <w:tcPr>
            <w:tcW w:type="dxa" w:w="2545"/>
            <w:shd w:val="clear" w:fill="F4F7FA"/>
          </w:tcPr>
          <w:p>
            <w:pPr>
              <w:spacing w:before="20" w:after="20"/>
            </w:pPr>
            <w:r>
              <w:rPr>
                <w:rFonts w:ascii="Georgia" w:hAnsi="Georgia"/>
                <w:sz w:val="14"/>
              </w:rPr>
            </w:r>
            <w:r>
              <w:rPr>
                <w:rFonts w:ascii="Georgia" w:hAnsi="Georgia"/>
                <w:sz w:val="14"/>
              </w:rPr>
              <w:t>As at mid-2026</w:t>
            </w:r>
          </w:p>
        </w:tc>
        <w:tc>
          <w:tcPr>
            <w:tcW w:type="dxa" w:w="2545"/>
            <w:shd w:val="clear" w:fill="F4F7FA"/>
          </w:tcPr>
          <w:p>
            <w:pPr>
              <w:spacing w:before="20" w:after="20"/>
              <w:jc w:val="right"/>
            </w:pPr>
            <w:r>
              <w:rPr>
                <w:rFonts w:ascii="Georgia" w:hAnsi="Georgia"/>
                <w:sz w:val="14"/>
              </w:rPr>
            </w:r>
            <w:r>
              <w:rPr>
                <w:rFonts w:ascii="Georgia" w:hAnsi="Georgia"/>
                <w:sz w:val="14"/>
              </w:rPr>
              <w:t>c.$450m</w:t>
            </w:r>
          </w:p>
        </w:tc>
        <w:tc>
          <w:tcPr>
            <w:tcW w:type="dxa" w:w="2545"/>
            <w:shd w:val="clear" w:fill="F4F7FA"/>
          </w:tcPr>
          <w:p>
            <w:pPr>
              <w:spacing w:before="20" w:after="20"/>
            </w:pPr>
            <w:r>
              <w:rPr>
                <w:rFonts w:ascii="Georgia" w:hAnsi="Georgia"/>
                <w:sz w:val="14"/>
              </w:rPr>
            </w:r>
            <w:r>
              <w:rPr>
                <w:rFonts w:ascii="Georgia" w:hAnsi="Georgia"/>
                <w:sz w:val="14"/>
              </w:rPr>
              <w:t>Expires around October 2027 unless renewed</w:t>
            </w:r>
          </w:p>
        </w:tc>
      </w:tr>
    </w:tbl>
    <w:p>
      <w:pPr>
        <w:spacing w:after="60"/>
      </w:pPr>
    </w:p>
    <w:p>
      <w:pPr>
        <w:keepNext/>
        <w:spacing w:before="200" w:after="80"/>
      </w:pPr>
      <w:r>
        <w:rPr>
          <w:rFonts w:ascii="Georgia" w:hAnsi="Georgia"/>
          <w:b/>
          <w:color w:val="14487F"/>
          <w:sz w:val="21"/>
        </w:rPr>
        <w:t>Treasury shares and cancellations</w:t>
      </w:r>
    </w:p>
    <w:p>
      <w:pPr>
        <w:spacing w:before="0" w:after="80"/>
        <w:jc w:val="both"/>
      </w:pPr>
      <w:r>
        <w:rPr/>
        <w:t xml:space="preserve">EPAM repurchases into treasury rather than cancelling shares immediately; treasury stock is then used to satisfy stock-based compensation obligations under equity incentive and employee stock purchase plans. </w:t>
      </w:r>
      <w:r>
        <w:rPr>
          <w:b/>
        </w:rPr>
        <w:t>No material formal treasury share cancellation events were identified</w:t>
      </w:r>
      <w:r>
        <w:rPr/>
        <w:t xml:space="preserve"> in the last five years. The practical effect is that gross repurchases materially overstate net share-count reduction, because a meaningful portion is reissued to employees.</w:t>
      </w:r>
    </w:p>
    <w:p>
      <w:pPr>
        <w:keepNext/>
        <w:spacing w:before="200" w:after="80"/>
      </w:pPr>
      <w:r>
        <w:rPr>
          <w:rFonts w:ascii="Georgia" w:hAnsi="Georgia"/>
          <w:b/>
          <w:color w:val="14487F"/>
          <w:sz w:val="21"/>
        </w:rPr>
        <w:t>Effect on share count</w:t>
      </w:r>
    </w:p>
    <w:tbl>
      <w:tblPr>
        <w:tblStyle w:val="TableGrid"/>
        <w:tblW w:type="auto" w:w="0"/>
        <w:jc w:val="center"/>
        <w:tblLayout w:type="autofit"/>
        <w:tblLook w:firstColumn="1" w:firstRow="1" w:lastColumn="0" w:lastRow="0" w:noHBand="0" w:noVBand="1" w:val="04A0"/>
      </w:tblPr>
      <w:tblGrid>
        <w:gridCol w:w="2036"/>
        <w:gridCol w:w="2036"/>
        <w:gridCol w:w="2036"/>
        <w:gridCol w:w="2036"/>
        <w:gridCol w:w="2036"/>
      </w:tblGrid>
      <w:tr>
        <w:tc>
          <w:tcPr>
            <w:tcW w:type="dxa" w:w="2036"/>
            <w:shd w:val="clear" w:fill="0B2545"/>
          </w:tcPr>
          <w:p>
            <w:pPr>
              <w:spacing w:before="20" w:after="20"/>
            </w:pPr>
            <w:r>
              <w:rPr>
                <w:rFonts w:ascii="Georgia" w:hAnsi="Georgia"/>
                <w:b/>
                <w:color w:val="FFFFFF"/>
                <w:sz w:val="14"/>
              </w:rPr>
            </w:r>
            <w:r>
              <w:rPr>
                <w:rFonts w:ascii="Georgia" w:hAnsi="Georgia"/>
                <w:b/>
                <w:color w:val="FFFFFF"/>
                <w:sz w:val="14"/>
              </w:rPr>
              <w:t>Year</w:t>
            </w:r>
          </w:p>
        </w:tc>
        <w:tc>
          <w:tcPr>
            <w:tcW w:type="dxa" w:w="2036"/>
            <w:shd w:val="clear" w:fill="0B2545"/>
          </w:tcPr>
          <w:p>
            <w:pPr>
              <w:spacing w:before="20" w:after="20"/>
              <w:jc w:val="right"/>
            </w:pPr>
            <w:r>
              <w:rPr>
                <w:rFonts w:ascii="Georgia" w:hAnsi="Georgia"/>
                <w:b/>
                <w:color w:val="FFFFFF"/>
                <w:sz w:val="14"/>
              </w:rPr>
            </w:r>
            <w:r>
              <w:rPr>
                <w:rFonts w:ascii="Georgia" w:hAnsi="Georgia"/>
                <w:b/>
                <w:color w:val="FFFFFF"/>
                <w:sz w:val="14"/>
              </w:rPr>
              <w:t>Repurchases</w:t>
            </w:r>
          </w:p>
        </w:tc>
        <w:tc>
          <w:tcPr>
            <w:tcW w:type="dxa" w:w="2036"/>
            <w:shd w:val="clear" w:fill="0B2545"/>
          </w:tcPr>
          <w:p>
            <w:pPr>
              <w:spacing w:before="20" w:after="20"/>
              <w:jc w:val="right"/>
            </w:pPr>
            <w:r>
              <w:rPr>
                <w:rFonts w:ascii="Georgia" w:hAnsi="Georgia"/>
                <w:b/>
                <w:color w:val="FFFFFF"/>
                <w:sz w:val="14"/>
              </w:rPr>
            </w:r>
            <w:r>
              <w:rPr>
                <w:rFonts w:ascii="Georgia" w:hAnsi="Georgia"/>
                <w:b/>
                <w:color w:val="FFFFFF"/>
                <w:sz w:val="14"/>
              </w:rPr>
              <w:t>Est. diluted shares (m)</w:t>
            </w:r>
          </w:p>
        </w:tc>
        <w:tc>
          <w:tcPr>
            <w:tcW w:type="dxa" w:w="2036"/>
            <w:shd w:val="clear" w:fill="0B2545"/>
          </w:tcPr>
          <w:p>
            <w:pPr>
              <w:spacing w:before="20" w:after="20"/>
              <w:jc w:val="right"/>
            </w:pPr>
            <w:r>
              <w:rPr>
                <w:rFonts w:ascii="Georgia" w:hAnsi="Georgia"/>
                <w:b/>
                <w:color w:val="FFFFFF"/>
                <w:sz w:val="14"/>
              </w:rPr>
            </w:r>
            <w:r>
              <w:rPr>
                <w:rFonts w:ascii="Georgia" w:hAnsi="Georgia"/>
                <w:b/>
                <w:color w:val="FFFFFF"/>
                <w:sz w:val="14"/>
              </w:rPr>
              <w:t>Net change</w:t>
            </w:r>
          </w:p>
        </w:tc>
        <w:tc>
          <w:tcPr>
            <w:tcW w:type="dxa" w:w="2036"/>
            <w:shd w:val="clear" w:fill="0B2545"/>
          </w:tcPr>
          <w:p>
            <w:pPr>
              <w:spacing w:before="20" w:after="20"/>
            </w:pPr>
            <w:r>
              <w:rPr>
                <w:rFonts w:ascii="Georgia" w:hAnsi="Georgia"/>
                <w:b/>
                <w:color w:val="FFFFFF"/>
                <w:sz w:val="14"/>
              </w:rPr>
            </w:r>
            <w:r>
              <w:rPr>
                <w:rFonts w:ascii="Georgia" w:hAnsi="Georgia"/>
                <w:b/>
                <w:color w:val="FFFFFF"/>
                <w:sz w:val="14"/>
              </w:rPr>
              <w:t>Comment</w:t>
            </w:r>
          </w:p>
        </w:tc>
      </w:tr>
      <w:tr>
        <w:tc>
          <w:tcPr>
            <w:tcW w:type="dxa" w:w="2036"/>
          </w:tcPr>
          <w:p>
            <w:pPr>
              <w:spacing w:before="20" w:after="20"/>
            </w:pPr>
            <w:r>
              <w:rPr>
                <w:rFonts w:ascii="Georgia" w:hAnsi="Georgia"/>
                <w:sz w:val="14"/>
              </w:rPr>
            </w:r>
            <w:r>
              <w:rPr>
                <w:rFonts w:ascii="Georgia" w:hAnsi="Georgia"/>
                <w:sz w:val="14"/>
              </w:rPr>
              <w:t>FY2023</w:t>
            </w:r>
          </w:p>
        </w:tc>
        <w:tc>
          <w:tcPr>
            <w:tcW w:type="dxa" w:w="2036"/>
          </w:tcPr>
          <w:p>
            <w:pPr>
              <w:spacing w:before="20" w:after="20"/>
              <w:jc w:val="right"/>
            </w:pPr>
            <w:r>
              <w:rPr>
                <w:rFonts w:ascii="Georgia" w:hAnsi="Georgia"/>
                <w:sz w:val="14"/>
              </w:rPr>
            </w:r>
            <w:r>
              <w:rPr>
                <w:rFonts w:ascii="Georgia" w:hAnsi="Georgia"/>
                <w:sz w:val="14"/>
              </w:rPr>
              <w:t>$164.9m</w:t>
            </w:r>
          </w:p>
        </w:tc>
        <w:tc>
          <w:tcPr>
            <w:tcW w:type="dxa" w:w="2036"/>
          </w:tcPr>
          <w:p>
            <w:pPr>
              <w:spacing w:before="20" w:after="20"/>
              <w:jc w:val="right"/>
            </w:pPr>
            <w:r>
              <w:rPr>
                <w:rFonts w:ascii="Georgia" w:hAnsi="Georgia"/>
                <w:sz w:val="14"/>
              </w:rPr>
            </w:r>
            <w:r>
              <w:rPr>
                <w:rFonts w:ascii="Georgia" w:hAnsi="Georgia"/>
                <w:sz w:val="14"/>
              </w:rPr>
              <w:t>c.58.5</w:t>
            </w:r>
          </w:p>
        </w:tc>
        <w:tc>
          <w:tcPr>
            <w:tcW w:type="dxa" w:w="2036"/>
          </w:tcPr>
          <w:p>
            <w:pPr>
              <w:spacing w:before="20" w:after="20"/>
              <w:jc w:val="right"/>
            </w:pPr>
            <w:r>
              <w:rPr>
                <w:rFonts w:ascii="Georgia" w:hAnsi="Georgia"/>
                <w:sz w:val="14"/>
              </w:rPr>
            </w:r>
            <w:r>
              <w:rPr>
                <w:rFonts w:ascii="Georgia" w:hAnsi="Georgia"/>
                <w:sz w:val="14"/>
              </w:rPr>
              <w:t>—</w:t>
            </w:r>
          </w:p>
        </w:tc>
        <w:tc>
          <w:tcPr>
            <w:tcW w:type="dxa" w:w="2036"/>
          </w:tcPr>
          <w:p>
            <w:pPr>
              <w:spacing w:before="20" w:after="20"/>
            </w:pPr>
            <w:r>
              <w:rPr>
                <w:rFonts w:ascii="Georgia" w:hAnsi="Georgia"/>
                <w:sz w:val="14"/>
              </w:rPr>
            </w:r>
            <w:r>
              <w:rPr>
                <w:rFonts w:ascii="Georgia" w:hAnsi="Georgia"/>
                <w:sz w:val="14"/>
              </w:rPr>
              <w:t>Repurchases roughly offsetting dilution only</w:t>
            </w:r>
          </w:p>
        </w:tc>
      </w:tr>
      <w:tr>
        <w:tc>
          <w:tcPr>
            <w:tcW w:type="dxa" w:w="2036"/>
            <w:shd w:val="clear" w:fill="F4F7FA"/>
          </w:tcPr>
          <w:p>
            <w:pPr>
              <w:spacing w:before="20" w:after="20"/>
            </w:pPr>
            <w:r>
              <w:rPr>
                <w:rFonts w:ascii="Georgia" w:hAnsi="Georgia"/>
                <w:sz w:val="14"/>
              </w:rPr>
            </w:r>
            <w:r>
              <w:rPr>
                <w:rFonts w:ascii="Georgia" w:hAnsi="Georgia"/>
                <w:sz w:val="14"/>
              </w:rPr>
              <w:t>FY2024</w:t>
            </w:r>
          </w:p>
        </w:tc>
        <w:tc>
          <w:tcPr>
            <w:tcW w:type="dxa" w:w="2036"/>
            <w:shd w:val="clear" w:fill="F4F7FA"/>
          </w:tcPr>
          <w:p>
            <w:pPr>
              <w:spacing w:before="20" w:after="20"/>
              <w:jc w:val="right"/>
            </w:pPr>
            <w:r>
              <w:rPr>
                <w:rFonts w:ascii="Georgia" w:hAnsi="Georgia"/>
                <w:sz w:val="14"/>
              </w:rPr>
            </w:r>
            <w:r>
              <w:rPr>
                <w:rFonts w:ascii="Georgia" w:hAnsi="Georgia"/>
                <w:sz w:val="14"/>
              </w:rPr>
              <w:t>$398.0m</w:t>
            </w:r>
          </w:p>
        </w:tc>
        <w:tc>
          <w:tcPr>
            <w:tcW w:type="dxa" w:w="2036"/>
            <w:shd w:val="clear" w:fill="F4F7FA"/>
          </w:tcPr>
          <w:p>
            <w:pPr>
              <w:spacing w:before="20" w:after="20"/>
              <w:jc w:val="right"/>
            </w:pPr>
            <w:r>
              <w:rPr>
                <w:rFonts w:ascii="Georgia" w:hAnsi="Georgia"/>
                <w:sz w:val="14"/>
              </w:rPr>
            </w:r>
            <w:r>
              <w:rPr>
                <w:rFonts w:ascii="Georgia" w:hAnsi="Georgia"/>
                <w:sz w:val="14"/>
              </w:rPr>
              <w:t>c.57.3</w:t>
            </w:r>
          </w:p>
        </w:tc>
        <w:tc>
          <w:tcPr>
            <w:tcW w:type="dxa" w:w="2036"/>
            <w:shd w:val="clear" w:fill="F4F7FA"/>
          </w:tcPr>
          <w:p>
            <w:pPr>
              <w:spacing w:before="20" w:after="20"/>
              <w:jc w:val="right"/>
            </w:pPr>
            <w:r>
              <w:rPr>
                <w:rFonts w:ascii="Georgia" w:hAnsi="Georgia"/>
                <w:sz w:val="14"/>
              </w:rPr>
            </w:r>
            <w:r>
              <w:rPr>
                <w:rFonts w:ascii="Georgia" w:hAnsi="Georgia"/>
                <w:sz w:val="14"/>
              </w:rPr>
              <w:t>c.−1.2m</w:t>
            </w:r>
          </w:p>
        </w:tc>
        <w:tc>
          <w:tcPr>
            <w:tcW w:type="dxa" w:w="2036"/>
            <w:shd w:val="clear" w:fill="F4F7FA"/>
          </w:tcPr>
          <w:p>
            <w:pPr>
              <w:spacing w:before="20" w:after="20"/>
            </w:pPr>
            <w:r>
              <w:rPr>
                <w:rFonts w:ascii="Georgia" w:hAnsi="Georgia"/>
                <w:sz w:val="14"/>
              </w:rPr>
            </w:r>
            <w:r>
              <w:rPr>
                <w:rFonts w:ascii="Georgia" w:hAnsi="Georgia"/>
                <w:sz w:val="14"/>
              </w:rPr>
              <w:t>Net reduction begins</w:t>
            </w:r>
          </w:p>
        </w:tc>
      </w:tr>
      <w:tr>
        <w:tc>
          <w:tcPr>
            <w:tcW w:type="dxa" w:w="2036"/>
          </w:tcPr>
          <w:p>
            <w:pPr>
              <w:spacing w:before="20" w:after="20"/>
            </w:pPr>
            <w:r>
              <w:rPr>
                <w:rFonts w:ascii="Georgia" w:hAnsi="Georgia"/>
                <w:sz w:val="14"/>
              </w:rPr>
            </w:r>
            <w:r>
              <w:rPr>
                <w:rFonts w:ascii="Georgia" w:hAnsi="Georgia"/>
                <w:sz w:val="14"/>
              </w:rPr>
              <w:t>FY2025</w:t>
            </w:r>
          </w:p>
        </w:tc>
        <w:tc>
          <w:tcPr>
            <w:tcW w:type="dxa" w:w="2036"/>
          </w:tcPr>
          <w:p>
            <w:pPr>
              <w:spacing w:before="20" w:after="20"/>
              <w:jc w:val="right"/>
            </w:pPr>
            <w:r>
              <w:rPr>
                <w:rFonts w:ascii="Georgia" w:hAnsi="Georgia"/>
                <w:sz w:val="14"/>
              </w:rPr>
            </w:r>
            <w:r>
              <w:rPr>
                <w:rFonts w:ascii="Georgia" w:hAnsi="Georgia"/>
                <w:sz w:val="14"/>
              </w:rPr>
              <w:t>$662.2m</w:t>
            </w:r>
          </w:p>
        </w:tc>
        <w:tc>
          <w:tcPr>
            <w:tcW w:type="dxa" w:w="2036"/>
          </w:tcPr>
          <w:p>
            <w:pPr>
              <w:spacing w:before="20" w:after="20"/>
              <w:jc w:val="right"/>
            </w:pPr>
            <w:r>
              <w:rPr>
                <w:rFonts w:ascii="Georgia" w:hAnsi="Georgia"/>
                <w:sz w:val="14"/>
              </w:rPr>
            </w:r>
            <w:r>
              <w:rPr>
                <w:rFonts w:ascii="Georgia" w:hAnsi="Georgia"/>
                <w:sz w:val="14"/>
              </w:rPr>
              <w:t>c.56.6</w:t>
            </w:r>
          </w:p>
        </w:tc>
        <w:tc>
          <w:tcPr>
            <w:tcW w:type="dxa" w:w="2036"/>
          </w:tcPr>
          <w:p>
            <w:pPr>
              <w:spacing w:before="20" w:after="20"/>
              <w:jc w:val="right"/>
            </w:pPr>
            <w:r>
              <w:rPr>
                <w:rFonts w:ascii="Georgia" w:hAnsi="Georgia"/>
                <w:sz w:val="14"/>
              </w:rPr>
            </w:r>
            <w:r>
              <w:rPr>
                <w:rFonts w:ascii="Georgia" w:hAnsi="Georgia"/>
                <w:sz w:val="14"/>
              </w:rPr>
              <w:t>c.−0.7m</w:t>
            </w:r>
          </w:p>
        </w:tc>
        <w:tc>
          <w:tcPr>
            <w:tcW w:type="dxa" w:w="2036"/>
          </w:tcPr>
          <w:p>
            <w:pPr>
              <w:spacing w:before="20" w:after="20"/>
            </w:pPr>
            <w:r>
              <w:rPr>
                <w:rFonts w:ascii="Georgia" w:hAnsi="Georgia"/>
                <w:sz w:val="14"/>
              </w:rPr>
            </w:r>
            <w:r>
              <w:rPr>
                <w:rFonts w:ascii="Georgia" w:hAnsi="Georgia"/>
                <w:sz w:val="14"/>
              </w:rPr>
              <w:t>Large gross spend, modest net reduction — roughly $200m of stock-based compensation offsetting</w:t>
            </w:r>
          </w:p>
        </w:tc>
      </w:tr>
      <w:tr>
        <w:tc>
          <w:tcPr>
            <w:tcW w:type="dxa" w:w="2036"/>
            <w:shd w:val="clear" w:fill="F4F7FA"/>
          </w:tcPr>
          <w:p>
            <w:pPr>
              <w:spacing w:before="20" w:after="20"/>
            </w:pPr>
            <w:r>
              <w:rPr>
                <w:rFonts w:ascii="Georgia" w:hAnsi="Georgia"/>
                <w:sz w:val="14"/>
              </w:rPr>
            </w:r>
            <w:r>
              <w:rPr>
                <w:rFonts w:ascii="Georgia" w:hAnsi="Georgia"/>
                <w:sz w:val="14"/>
              </w:rPr>
              <w:t>FY2026E</w:t>
            </w:r>
          </w:p>
        </w:tc>
        <w:tc>
          <w:tcPr>
            <w:tcW w:type="dxa" w:w="2036"/>
            <w:shd w:val="clear" w:fill="F4F7FA"/>
          </w:tcPr>
          <w:p>
            <w:pPr>
              <w:spacing w:before="20" w:after="20"/>
              <w:jc w:val="right"/>
            </w:pPr>
            <w:r>
              <w:rPr>
                <w:rFonts w:ascii="Georgia" w:hAnsi="Georgia"/>
                <w:sz w:val="14"/>
              </w:rPr>
            </w:r>
            <w:r>
              <w:rPr>
                <w:rFonts w:ascii="Georgia" w:hAnsi="Georgia"/>
                <w:sz w:val="14"/>
              </w:rPr>
              <w:t>c.$425m</w:t>
            </w:r>
          </w:p>
        </w:tc>
        <w:tc>
          <w:tcPr>
            <w:tcW w:type="dxa" w:w="2036"/>
            <w:shd w:val="clear" w:fill="F4F7FA"/>
          </w:tcPr>
          <w:p>
            <w:pPr>
              <w:spacing w:before="20" w:after="20"/>
              <w:jc w:val="right"/>
            </w:pPr>
            <w:r>
              <w:rPr>
                <w:rFonts w:ascii="Georgia" w:hAnsi="Georgia"/>
                <w:sz w:val="14"/>
              </w:rPr>
            </w:r>
            <w:r>
              <w:rPr>
                <w:rFonts w:ascii="Georgia" w:hAnsi="Georgia"/>
                <w:sz w:val="14"/>
              </w:rPr>
              <w:t>c.53.0</w:t>
            </w:r>
          </w:p>
        </w:tc>
        <w:tc>
          <w:tcPr>
            <w:tcW w:type="dxa" w:w="2036"/>
            <w:shd w:val="clear" w:fill="F4F7FA"/>
          </w:tcPr>
          <w:p>
            <w:pPr>
              <w:spacing w:before="20" w:after="20"/>
              <w:jc w:val="right"/>
            </w:pPr>
            <w:r>
              <w:rPr>
                <w:rFonts w:ascii="Georgia" w:hAnsi="Georgia"/>
                <w:sz w:val="14"/>
              </w:rPr>
            </w:r>
            <w:r>
              <w:rPr>
                <w:rFonts w:ascii="Georgia" w:hAnsi="Georgia"/>
                <w:sz w:val="14"/>
              </w:rPr>
              <w:t>c.−3.6m</w:t>
            </w:r>
          </w:p>
        </w:tc>
        <w:tc>
          <w:tcPr>
            <w:tcW w:type="dxa" w:w="2036"/>
            <w:shd w:val="clear" w:fill="F4F7FA"/>
          </w:tcPr>
          <w:p>
            <w:pPr>
              <w:spacing w:before="20" w:after="20"/>
            </w:pPr>
            <w:r>
              <w:rPr>
                <w:rFonts w:ascii="Georgia" w:hAnsi="Georgia"/>
                <w:sz w:val="14"/>
              </w:rPr>
            </w:r>
            <w:r>
              <w:rPr>
                <w:rFonts w:ascii="Georgia" w:hAnsi="Georgia"/>
                <w:sz w:val="14"/>
              </w:rPr>
              <w:t>Much greater efficiency at a depressed share price</w:t>
            </w:r>
          </w:p>
        </w:tc>
      </w:tr>
    </w:tbl>
    <w:p>
      <w:pPr>
        <w:spacing w:after="60"/>
      </w:pPr>
    </w:p>
    <w:p>
      <w:pPr>
        <w:spacing w:before="0" w:after="120"/>
        <w:jc w:val="both"/>
      </w:pPr>
      <w:r>
        <w:rPr>
          <w:i/>
          <w:color w:val="555555"/>
          <w:sz w:val="15"/>
        </w:rPr>
        <w:t>Repurchase amounts for FY2023–25 and the March 2026 ASR are reported. Diluted share counts are author estimates derived from reported EPS and income figures; FY2026 is an estimate.</w:t>
      </w:r>
    </w:p>
    <w:p>
      <w:pPr>
        <w:spacing w:before="40" w:after="60"/>
        <w:ind w:left="173" w:right="115"/>
        <w:jc w:val="both"/>
        <w:pBdr>
          <w:left w:val="single" w:sz="18" w:space="6" w:color="0B2545"/>
        </w:pBdr>
        <w:shd w:val="clear" w:fill="F4F7FA"/>
      </w:pPr>
      <w:r>
        <w:rPr>
          <w:b/>
          <w:sz w:val="17"/>
        </w:rPr>
        <w:t>The buyback is now the single most reliable source of shareholder value creation at EPAM.</w:t>
      </w:r>
      <w:r>
        <w:rPr>
          <w:sz w:val="17"/>
        </w:rPr>
        <w:t xml:space="preserve"> The arithmetic has transformed: in FY2025, $662.2m of repurchases reduced the diluted count by only roughly 0.7m shares because the average purchase price was high and stock-based compensation of roughly $180–200m was diluting simultaneously. In FY2026, at an average price near $120, the same dollar spend retires roughly three times as many shares. </w:t>
      </w:r>
      <w:r>
        <w:rPr>
          <w:b/>
          <w:sz w:val="17"/>
        </w:rPr>
        <w:t>Every quarter the stock stays depressed, the buyback becomes more accretive.</w:t>
      </w:r>
    </w:p>
    <w:p>
      <w:pPr>
        <w:spacing w:before="40" w:after="60"/>
        <w:ind w:left="173" w:right="115"/>
        <w:jc w:val="both"/>
        <w:pBdr>
          <w:left w:val="single" w:sz="18" w:space="6" w:color="0B2545"/>
        </w:pBdr>
        <w:shd w:val="clear" w:fill="F4F7FA"/>
      </w:pPr>
      <w:r>
        <w:rPr>
          <w:sz w:val="17"/>
        </w:rPr>
        <w:t xml:space="preserve">The legitimate criticism is that gross repurchases have largely funded employee compensation rather than returning capital. Across FY2023–25, EPAM spent $1,225m on buybacks and reduced the diluted share count by roughly 1.9m shares — an effective cost of roughly $645 per net share retired against an average market price far below that. That gap </w:t>
      </w:r>
      <w:r>
        <w:rPr>
          <w:i/>
          <w:sz w:val="17"/>
        </w:rPr>
        <w:t>is</w:t>
      </w:r>
      <w:r>
        <w:rPr>
          <w:sz w:val="17"/>
        </w:rPr>
        <w:t xml:space="preserve"> the stock-based compensation expense, made visible. Investors should treat non-GAAP EPS, which excludes it, with appropriate scepticism.</w:t>
      </w:r>
    </w:p>
    <w:p>
      <w:r>
        <w:br w:type="page"/>
      </w:r>
    </w:p>
    <w:p>
      <w:pPr>
        <w:keepNext/>
        <w:spacing w:before="320" w:after="120"/>
        <w:pBdr>
          <w:bottom w:val="single" w:sz="12" w:space="2" w:color="0B2545"/>
        </w:pBdr>
      </w:pPr>
      <w:r>
        <w:rPr>
          <w:rFonts w:ascii="Georgia" w:hAnsi="Georgia"/>
          <w:b/>
          <w:color w:val="0B2545"/>
          <w:sz w:val="26"/>
        </w:rPr>
        <w:t>21. Adversarial Deep Dive: Bull Case, Bear Case, Pre-Mortem and Contrarian View</w:t>
      </w:r>
    </w:p>
    <w:p>
      <w:pPr>
        <w:keepNext/>
        <w:spacing w:before="200" w:after="80"/>
      </w:pPr>
      <w:r>
        <w:rPr>
          <w:rFonts w:ascii="Georgia" w:hAnsi="Georgia"/>
          <w:b/>
          <w:color w:val="14487F"/>
          <w:sz w:val="21"/>
        </w:rPr>
        <w:t>The bull case</w:t>
      </w:r>
    </w:p>
    <w:p>
      <w:pPr>
        <w:keepNext/>
        <w:spacing w:before="140" w:after="60"/>
      </w:pPr>
      <w:r>
        <w:rPr>
          <w:rFonts w:ascii="Georgia" w:hAnsi="Georgia"/>
          <w:b/>
          <w:color w:val="333333"/>
          <w:sz w:val="19"/>
        </w:rPr>
        <w:t>Competitive advantages and moat sustainability</w:t>
      </w:r>
    </w:p>
    <w:p>
      <w:pPr>
        <w:spacing w:before="0" w:after="80"/>
        <w:jc w:val="both"/>
      </w:pPr>
      <w:r>
        <w:rPr/>
        <w:t xml:space="preserve">EPAM's advantage is not structural — it is </w:t>
      </w:r>
      <w:r>
        <w:rPr>
          <w:i/>
        </w:rPr>
        <w:t>reputational and human</w:t>
      </w:r>
      <w:r>
        <w:rPr/>
        <w:t xml:space="preserve">. It is the firm enterprises call when the engineering is genuinely hard, and that reputation was earned over three decades and validated under fire in 2022. The moat that matters now is different from the one that mattered before: it is the ability to convert thirty years of accumulated delivery knowledge into </w:t>
      </w:r>
      <w:r>
        <w:rPr>
          <w:b/>
        </w:rPr>
        <w:t>proprietary AI IP</w:t>
      </w:r>
      <w:r>
        <w:rPr/>
        <w:t xml:space="preserve"> — the AI/RUN playbook, the DIAL orchestration layer, MF Lens, and a growing library of reusable agentic components. Each client deployment feeds that library. This is a knowledge-compounding effect that a new entrant cannot replicate quickly and that an Indian-heritage competitor, optimised for scale rather than engineering depth, is poorly positioned to build.</w:t>
      </w:r>
    </w:p>
    <w:p>
      <w:pPr>
        <w:spacing w:before="0" w:after="80"/>
        <w:jc w:val="both"/>
      </w:pPr>
      <w:r>
        <w:rPr/>
        <w:t>Second, the client relationships are stickier than the contract terms suggest. Embedded teams accumulate undocumented knowledge of client systems that is genuinely expensive to reconstruct. Top-10 concentration of only 21.6% means no single relationship loss is material, while the aggregate base is diversified across six verticals and roughly 55 countries.</w:t>
      </w:r>
    </w:p>
    <w:p>
      <w:pPr>
        <w:keepNext/>
        <w:spacing w:before="140" w:after="60"/>
      </w:pPr>
      <w:r>
        <w:rPr>
          <w:rFonts w:ascii="Georgia" w:hAnsi="Georgia"/>
          <w:b/>
          <w:color w:val="333333"/>
          <w:sz w:val="19"/>
        </w:rPr>
        <w:t>Growth levers and potential earnings surprises</w:t>
      </w:r>
    </w:p>
    <w:p>
      <w:pPr>
        <w:pStyle w:val="ListBullet"/>
        <w:spacing w:after="50"/>
        <w:ind w:left="403"/>
        <w:jc w:val="both"/>
      </w:pPr>
      <w:r>
        <w:rPr>
          <w:rFonts w:ascii="Georgia" w:hAnsi="Georgia"/>
          <w:b/>
          <w:sz w:val="17"/>
        </w:rPr>
        <w:t>AI-native revenue is compounding from a real base.</w:t>
      </w:r>
      <w:r>
        <w:rPr>
          <w:rFonts w:ascii="Georgia" w:hAnsi="Georgia"/>
          <w:sz w:val="17"/>
        </w:rPr>
        <w:t xml:space="preserve"> Over $125m in Q1 2026, over $160m in Q2, more than 11% of revenue, six consecutive quarters of double-digit sequential growth, tracking to $600m for the year. Extrapolating the current sequential rate produces roughly $900m in 2027 and roughly $1.25bn in 2028 — approaching 20% of revenue at higher margin.</w:t>
      </w:r>
    </w:p>
    <w:p>
      <w:pPr>
        <w:pStyle w:val="ListBullet"/>
        <w:spacing w:after="50"/>
        <w:ind w:left="403"/>
        <w:jc w:val="both"/>
      </w:pPr>
      <w:r>
        <w:rPr>
          <w:rFonts w:ascii="Georgia" w:hAnsi="Georgia"/>
          <w:b/>
          <w:sz w:val="17"/>
        </w:rPr>
        <w:t>The H1 2027 pipeline is real optionality.</w:t>
      </w:r>
      <w:r>
        <w:rPr>
          <w:rFonts w:ascii="Georgia" w:hAnsi="Georgia"/>
          <w:sz w:val="17"/>
        </w:rPr>
        <w:t xml:space="preserve"> Management has identified large multi-year AI transformation deals that failed to sign in late 2026. If even a portion converts, 2027 growth re-accelerates sharply from a base the market has already written down to zero.</w:t>
      </w:r>
    </w:p>
    <w:p>
      <w:pPr>
        <w:pStyle w:val="ListBullet"/>
        <w:spacing w:after="50"/>
        <w:ind w:left="403"/>
        <w:jc w:val="both"/>
      </w:pPr>
      <w:r>
        <w:rPr>
          <w:rFonts w:ascii="Georgia" w:hAnsi="Georgia"/>
          <w:b/>
          <w:sz w:val="17"/>
        </w:rPr>
        <w:t>Mainframe and core banking modernisation is a decade-long structural programme.</w:t>
      </w:r>
      <w:r>
        <w:rPr>
          <w:rFonts w:ascii="Georgia" w:hAnsi="Georgia"/>
          <w:sz w:val="17"/>
        </w:rPr>
        <w:t xml:space="preserve"> Financial Services grew +28.7% in FY2025 and +11.5% in Q2 2026, driven precisely by this. These are multi-year, board-mandated, non-discretionary programmes — the most defensible revenue EPAM has.</w:t>
      </w:r>
    </w:p>
    <w:p>
      <w:pPr>
        <w:pStyle w:val="ListBullet"/>
        <w:spacing w:after="50"/>
        <w:ind w:left="403"/>
        <w:jc w:val="both"/>
      </w:pPr>
      <w:r>
        <w:rPr>
          <w:rFonts w:ascii="Georgia" w:hAnsi="Georgia"/>
          <w:b/>
          <w:sz w:val="17"/>
        </w:rPr>
        <w:t>Pricing power is demonstrably intact.</w:t>
      </w:r>
      <w:r>
        <w:rPr>
          <w:rFonts w:ascii="Georgia" w:hAnsi="Georgia"/>
          <w:sz w:val="17"/>
        </w:rPr>
        <w:t xml:space="preserve"> The 190bp gross-margin expansion in Q2 2026 came from price increases. That is not what commoditisation looks like.</w:t>
      </w:r>
    </w:p>
    <w:p>
      <w:pPr>
        <w:pStyle w:val="ListBullet"/>
        <w:spacing w:after="50"/>
        <w:ind w:left="403"/>
        <w:jc w:val="both"/>
      </w:pPr>
      <w:r>
        <w:rPr>
          <w:rFonts w:ascii="Georgia" w:hAnsi="Georgia"/>
          <w:b/>
          <w:sz w:val="17"/>
        </w:rPr>
        <w:t>Operating leverage is finally arriving.</w:t>
      </w:r>
      <w:r>
        <w:rPr>
          <w:rFonts w:ascii="Georgia" w:hAnsi="Georgia"/>
          <w:sz w:val="17"/>
        </w:rPr>
        <w:t xml:space="preserve"> +4.5% revenue producing +22% non-GAAP EPS is the decoupling of revenue from headcount that bulls have awaited for a decade. If AI genuinely raises revenue per engineer, EPAM's historical margin ceiling of roughly 17% is no longer binding.</w:t>
      </w:r>
    </w:p>
    <w:p>
      <w:pPr>
        <w:pStyle w:val="ListBullet"/>
        <w:spacing w:after="50"/>
        <w:ind w:left="403"/>
        <w:jc w:val="both"/>
      </w:pPr>
      <w:r>
        <w:rPr>
          <w:rFonts w:ascii="Georgia" w:hAnsi="Georgia"/>
          <w:b/>
          <w:sz w:val="17"/>
        </w:rPr>
        <w:t>European data sovereignty and AI regulation</w:t>
      </w:r>
      <w:r>
        <w:rPr>
          <w:rFonts w:ascii="Georgia" w:hAnsi="Georgia"/>
          <w:sz w:val="17"/>
        </w:rPr>
        <w:t xml:space="preserve"> create demand that must be served locally — and EMEA is EPAM's strongest region at +10.9%.</w:t>
      </w:r>
    </w:p>
    <w:p>
      <w:pPr>
        <w:keepNext/>
        <w:spacing w:before="140" w:after="60"/>
      </w:pPr>
      <w:r>
        <w:rPr>
          <w:rFonts w:ascii="Georgia" w:hAnsi="Georgia"/>
          <w:b/>
          <w:color w:val="333333"/>
          <w:sz w:val="19"/>
        </w:rPr>
        <w:t>Capital allocation</w:t>
      </w:r>
    </w:p>
    <w:p>
      <w:pPr>
        <w:spacing w:before="0" w:after="80"/>
        <w:jc w:val="both"/>
      </w:pPr>
      <w:r>
        <w:rPr/>
        <w:t xml:space="preserve">Net cash of roughly $769m, a $675m undrawn revolver, no maturities until 2030, roughly $600m of annual free cash flow, and roughly $450m of remaining buyback authorisation being deployed at 8–9x earnings. At the current price, each $100m of repurchase retires roughly 0.87m shares, or roughly 1.7% of the company. </w:t>
      </w:r>
      <w:r>
        <w:rPr>
          <w:b/>
        </w:rPr>
        <w:t>Management can shrink the share count by 6–7% annually from free cash flow alone without touching the balance sheet.</w:t>
      </w:r>
    </w:p>
    <w:p>
      <w:pPr>
        <w:keepNext/>
        <w:spacing w:before="140" w:after="60"/>
      </w:pPr>
      <w:r>
        <w:rPr>
          <w:rFonts w:ascii="Georgia" w:hAnsi="Georgia"/>
          <w:b/>
          <w:color w:val="333333"/>
          <w:sz w:val="19"/>
        </w:rPr>
        <w:t>The bull arithmetic</w:t>
      </w:r>
    </w:p>
    <w:p>
      <w:pPr>
        <w:spacing w:before="0" w:after="80"/>
        <w:jc w:val="both"/>
      </w:pPr>
      <w:r>
        <w:rPr/>
        <w:t>EPAM needs only to grow revenue at 4–6%, hold a 16% non-GAAP margin, and keep repurchasing to compound EPS at 10–12% annually. On our estimates that produces $16.22 of non-GAAP EPS in 2028. A 15x multiple — still roughly half the ten-year median — implies approximately $243. That is the bull case, and it requires no heroic assumptions.</w:t>
      </w:r>
    </w:p>
    <w:p>
      <w:pPr>
        <w:keepNext/>
        <w:spacing w:before="200" w:after="80"/>
      </w:pPr>
      <w:r>
        <w:rPr>
          <w:rFonts w:ascii="Georgia" w:hAnsi="Georgia"/>
          <w:b/>
          <w:color w:val="14487F"/>
          <w:sz w:val="21"/>
        </w:rPr>
        <w:t>The bear case</w:t>
      </w:r>
    </w:p>
    <w:p>
      <w:pPr>
        <w:keepNext/>
        <w:spacing w:before="140" w:after="60"/>
      </w:pPr>
      <w:r>
        <w:rPr>
          <w:rFonts w:ascii="Georgia" w:hAnsi="Georgia"/>
          <w:b/>
          <w:color w:val="333333"/>
          <w:sz w:val="19"/>
        </w:rPr>
        <w:t>Risk 1: Structural revenue deflation — the model itself breaks</w:t>
      </w:r>
    </w:p>
    <w:p>
      <w:pPr>
        <w:spacing w:before="0" w:after="80"/>
        <w:jc w:val="both"/>
      </w:pPr>
      <w:r>
        <w:rPr/>
        <w:t xml:space="preserve">This is the risk that permanently impairs the business. EPAM sells engineering hours under time-and-materials contracts. If AI reduces the hours required to build software by 30–50%, and if competitive tendering forces EPAM to pass that productivity gain to clients, revenue deflates structurally regardless of execution quality. </w:t>
      </w:r>
      <w:r>
        <w:rPr>
          <w:b/>
        </w:rPr>
        <w:t>Management has already conceded this is happening</w:t>
      </w:r>
      <w:r>
        <w:rPr/>
        <w:t xml:space="preserve"> — the "faster-than-expected shift away from task-based services." The evidence is in the segment data: Software &amp; Hi-Tech −1.3%, Business Information &amp; Media −2.1%, Americas +0.5%, delivery headcount +1.5%. In this scenario EPAM does not go bankrupt — it becomes a slowly shrinking, cash-generative but terminally-declining business, and the correct comparator is DXC at roughly 3x EV/EBITDA, implying a share price near $60–70.</w:t>
      </w:r>
    </w:p>
    <w:p>
      <w:pPr>
        <w:keepNext/>
        <w:spacing w:before="140" w:after="60"/>
      </w:pPr>
      <w:r>
        <w:rPr>
          <w:rFonts w:ascii="Georgia" w:hAnsi="Georgia"/>
          <w:b/>
          <w:color w:val="333333"/>
          <w:sz w:val="19"/>
        </w:rPr>
        <w:t>Risk 2: Client insourcing destroys the value proposition</w:t>
      </w:r>
    </w:p>
    <w:p>
      <w:pPr>
        <w:spacing w:before="0" w:after="80"/>
        <w:jc w:val="both"/>
      </w:pPr>
      <w:r>
        <w:rPr/>
        <w:t xml:space="preserve">EPAM's existence is predicated on clients being unable to hire and manage enough good engineers. AI-augmented internal teams weaken that premise: a 20-person internal team with strong tooling can now do what previously required 60 people. The verticals shrinking fastest — Software &amp; Hi-Tech, Business Information &amp; Media — are precisely those whose clients are most technically capable and fastest to insource. </w:t>
      </w:r>
      <w:r>
        <w:rPr>
          <w:b/>
        </w:rPr>
        <w:t>This is not speculation; it is the observed pattern in the segment data.</w:t>
      </w:r>
      <w:r>
        <w:rPr/>
        <w:t xml:space="preserve"> If it propagates to Financial Services and Life Sciences, which are 35.6% of revenue combined, the growth engine fails entirely.</w:t>
      </w:r>
    </w:p>
    <w:p>
      <w:pPr>
        <w:keepNext/>
        <w:spacing w:before="140" w:after="60"/>
      </w:pPr>
      <w:r>
        <w:rPr>
          <w:rFonts w:ascii="Georgia" w:hAnsi="Georgia"/>
          <w:b/>
          <w:color w:val="333333"/>
          <w:sz w:val="19"/>
        </w:rPr>
        <w:t>Risk 3: Margin compression once pricing catches up</w:t>
      </w:r>
    </w:p>
    <w:p>
      <w:pPr>
        <w:spacing w:before="0" w:after="80"/>
        <w:jc w:val="both"/>
      </w:pPr>
      <w:r>
        <w:rPr/>
        <w:t xml:space="preserve">The current gross-margin expansion may be a </w:t>
      </w:r>
      <w:r>
        <w:rPr>
          <w:i/>
        </w:rPr>
        <w:t>timing artefact</w:t>
      </w:r>
      <w:r>
        <w:rPr/>
        <w:t xml:space="preserve">, not a structural gain. EPAM is capturing AI productivity gains today because contracts were priced before those gains existed. As contracts renew and sophisticated procurement functions benchmark AI-driven productivity, clients will demand the benefit. The 32% gross margin could then compress toward 27–28% while revenue simultaneously deflates — a double impairment. Note that Q2 2026 free cash flow was already </w:t>
      </w:r>
      <w:r>
        <w:rPr>
          <w:i/>
        </w:rPr>
        <w:t>negative</w:t>
      </w:r>
      <w:r>
        <w:rPr/>
        <w:t xml:space="preserve"> $18m.</w:t>
      </w:r>
    </w:p>
    <w:p>
      <w:pPr>
        <w:keepNext/>
        <w:spacing w:before="200" w:after="80"/>
      </w:pPr>
      <w:r>
        <w:rPr>
          <w:rFonts w:ascii="Georgia" w:hAnsi="Georgia"/>
          <w:b/>
          <w:color w:val="14487F"/>
          <w:sz w:val="21"/>
        </w:rPr>
        <w:t>Pre-mortem: it is August 2028 and EPAM trades at $55. What happened?</w:t>
      </w:r>
    </w:p>
    <w:p>
      <w:pPr>
        <w:pStyle w:val="ListNumber"/>
        <w:spacing w:after="50"/>
        <w:ind w:left="403"/>
        <w:jc w:val="both"/>
      </w:pPr>
      <w:r>
        <w:rPr>
          <w:rFonts w:ascii="Georgia" w:hAnsi="Georgia"/>
          <w:b/>
          <w:sz w:val="17"/>
        </w:rPr>
        <w:t>The H1 2027 AI deals never materialised at scale.</w:t>
      </w:r>
      <w:r>
        <w:rPr>
          <w:rFonts w:ascii="Georgia" w:hAnsi="Georgia"/>
          <w:sz w:val="17"/>
        </w:rPr>
        <w:t xml:space="preserve"> The large multi-year programmes management flagged in August 2026 slipped again, were descoped, or were won by Accenture, which bundled them into enterprise-wide transformation mandates EPAM was never invited to bid for. The re-acceleration story died quietly across two guidance cuts in 2027.</w:t>
      </w:r>
    </w:p>
    <w:p>
      <w:pPr>
        <w:pStyle w:val="ListNumber"/>
        <w:spacing w:after="50"/>
        <w:ind w:left="403"/>
        <w:jc w:val="both"/>
      </w:pPr>
      <w:r>
        <w:rPr>
          <w:rFonts w:ascii="Georgia" w:hAnsi="Georgia"/>
          <w:b/>
          <w:sz w:val="17"/>
        </w:rPr>
        <w:t>Task-based erosion accelerated from a trickle to a flood.</w:t>
      </w:r>
      <w:r>
        <w:rPr>
          <w:rFonts w:ascii="Georgia" w:hAnsi="Georgia"/>
          <w:sz w:val="17"/>
        </w:rPr>
        <w:t xml:space="preserve"> What was −1.3% in Software &amp; Hi-Tech in Q2 2026 became −12% by late 2027 and spread to Consumer/Retail/Travel and Emerging Verticals. Financial Services held longest but decelerated to low single digits as mainframe programmes completed and were not replaced.</w:t>
      </w:r>
    </w:p>
    <w:p>
      <w:pPr>
        <w:pStyle w:val="ListNumber"/>
        <w:spacing w:after="50"/>
        <w:ind w:left="403"/>
        <w:jc w:val="both"/>
      </w:pPr>
      <w:r>
        <w:rPr>
          <w:rFonts w:ascii="Georgia" w:hAnsi="Georgia"/>
          <w:b/>
          <w:sz w:val="17"/>
        </w:rPr>
        <w:t>Pricing reversed.</w:t>
      </w:r>
      <w:r>
        <w:rPr>
          <w:rFonts w:ascii="Georgia" w:hAnsi="Georgia"/>
          <w:sz w:val="17"/>
        </w:rPr>
        <w:t xml:space="preserve"> The 2026 gross-margin expansion proved to be a one-off repricing lag. Through 2027 procurement functions systematically benchmarked AI productivity and clawed back the gains. Gross margin fell from 32% to 27%; non-GAAP operating margin fell from 16.4% to roughly 11%.</w:t>
      </w:r>
    </w:p>
    <w:p>
      <w:pPr>
        <w:pStyle w:val="ListNumber"/>
        <w:spacing w:after="50"/>
        <w:ind w:left="403"/>
        <w:jc w:val="both"/>
      </w:pPr>
      <w:r>
        <w:rPr>
          <w:rFonts w:ascii="Georgia" w:hAnsi="Georgia"/>
          <w:b/>
          <w:sz w:val="17"/>
        </w:rPr>
        <w:t>Utilisation collapsed and the bench became a liability.</w:t>
      </w:r>
      <w:r>
        <w:rPr>
          <w:rFonts w:ascii="Georgia" w:hAnsi="Georgia"/>
          <w:sz w:val="17"/>
        </w:rPr>
        <w:t xml:space="preserve"> With headcount flat and revenue falling, utilisation dropped below 70%. EPAM was forced into restructuring charges — the first material ones in its history — destroying the "asset-light, no restructuring risk" argument.</w:t>
      </w:r>
    </w:p>
    <w:p>
      <w:pPr>
        <w:pStyle w:val="ListNumber"/>
        <w:spacing w:after="50"/>
        <w:ind w:left="403"/>
        <w:jc w:val="both"/>
      </w:pPr>
      <w:r>
        <w:rPr>
          <w:rFonts w:ascii="Georgia" w:hAnsi="Georgia"/>
          <w:b/>
          <w:sz w:val="17"/>
        </w:rPr>
        <w:t>Goodwill was impaired.</w:t>
      </w:r>
      <w:r>
        <w:rPr>
          <w:rFonts w:ascii="Georgia" w:hAnsi="Georgia"/>
          <w:sz w:val="17"/>
        </w:rPr>
        <w:t xml:space="preserve"> The roughly $1.21bn of goodwill, principally from NEORIS and First Derivative, was written down substantially as Latin American nearshore demand failed to appear, following exactly the path Endava took with its £364.6m impairment. GAAP results turned negative; the GAAP/non-GAAP credibility gap became untenable.</w:t>
      </w:r>
    </w:p>
    <w:p>
      <w:pPr>
        <w:pStyle w:val="ListNumber"/>
        <w:spacing w:after="50"/>
        <w:ind w:left="403"/>
        <w:jc w:val="both"/>
      </w:pPr>
      <w:r>
        <w:rPr>
          <w:rFonts w:ascii="Georgia" w:hAnsi="Georgia"/>
          <w:b/>
          <w:sz w:val="17"/>
        </w:rPr>
        <w:t>The buyback stopped.</w:t>
      </w:r>
      <w:r>
        <w:rPr>
          <w:rFonts w:ascii="Georgia" w:hAnsi="Georgia"/>
          <w:sz w:val="17"/>
        </w:rPr>
        <w:t xml:space="preserve"> With free cash flow deteriorating and cash depleted by repurchases made at $120–150 that were subsequently marked at $55, the board suspended the programme to preserve liquidity — removing the last support under the shares and confirming that management had destroyed value buying its own stock too early.</w:t>
      </w:r>
    </w:p>
    <w:p>
      <w:pPr>
        <w:pStyle w:val="ListNumber"/>
        <w:spacing w:after="50"/>
        <w:ind w:left="403"/>
        <w:jc w:val="both"/>
      </w:pPr>
      <w:r>
        <w:rPr>
          <w:rFonts w:ascii="Georgia" w:hAnsi="Georgia"/>
          <w:b/>
          <w:sz w:val="17"/>
        </w:rPr>
        <w:t>Talent left.</w:t>
      </w:r>
      <w:r>
        <w:rPr>
          <w:rFonts w:ascii="Georgia" w:hAnsi="Georgia"/>
          <w:sz w:val="17"/>
        </w:rPr>
        <w:t xml:space="preserve"> The best engineers — the actual asset — departed for AI-native product companies offering equity upside. Delivery quality degraded, the reputational moat eroded, and the premium bill rate that justified EPAM's existence disappeared.</w:t>
      </w:r>
    </w:p>
    <w:p>
      <w:pPr>
        <w:spacing w:before="0" w:after="80"/>
        <w:jc w:val="both"/>
      </w:pPr>
      <w:r>
        <w:rPr>
          <w:b/>
        </w:rPr>
        <w:t>Probability assessment.</w:t>
      </w:r>
      <w:r>
        <w:rPr/>
        <w:t xml:space="preserve"> We assign roughly 25–30% to a materially bad outcome of this type. It is not the base case, but it is far too plausible to dismiss, and steps 1 through 3 are already partially observable in the reported data.</w:t>
      </w:r>
    </w:p>
    <w:p>
      <w:pPr>
        <w:keepNext/>
        <w:spacing w:before="200" w:after="80"/>
      </w:pPr>
      <w:r>
        <w:rPr>
          <w:rFonts w:ascii="Georgia" w:hAnsi="Georgia"/>
          <w:b/>
          <w:color w:val="14487F"/>
          <w:sz w:val="21"/>
        </w:rPr>
        <w:t>Are current valuation multiples too high?</w:t>
      </w:r>
    </w:p>
    <w:p>
      <w:pPr>
        <w:spacing w:before="0" w:after="80"/>
        <w:jc w:val="both"/>
      </w:pPr>
      <w:r>
        <w:rPr>
          <w:b/>
        </w:rPr>
        <w:t>No — on any reasonable reading they are too low, unless the terminal-decline scenario is correct.</w:t>
      </w:r>
      <w:r>
        <w:rPr/>
        <w:t xml:space="preserve"> At 5.5x EV/EBITDA, 0.91x EV/Sales and 8.7x guided non-GAAP earnings with net cash, EPAM trades at roughly the level of Endava, which is shrinking 5–6% and has impaired goodwill, and near DXC, which is in structural decline. Yet EPAM grew revenue 4.5%, expanded gross margin 190bp and grew non-GAAP EPS 22% in its most recent quarter.</w:t>
      </w:r>
    </w:p>
    <w:p>
      <w:pPr>
        <w:spacing w:before="0" w:after="80"/>
        <w:jc w:val="both"/>
      </w:pPr>
      <w:r>
        <w:rPr/>
        <w:t xml:space="preserve">The honest formulation: the multiple is not too high, but it is </w:t>
      </w:r>
      <w:r>
        <w:rPr>
          <w:i/>
        </w:rPr>
        <w:t>correctly cheap</w:t>
      </w:r>
      <w:r>
        <w:rPr/>
        <w:t xml:space="preserve"> if the bear case is right. The market is pricing roughly a 40–50% probability of structural decline. Our assessment is 25–30%. That gap is the investment opportunity.</w:t>
      </w:r>
    </w:p>
    <w:p>
      <w:pPr>
        <w:keepNext/>
        <w:spacing w:before="200" w:after="80"/>
      </w:pPr>
      <w:r>
        <w:rPr>
          <w:rFonts w:ascii="Georgia" w:hAnsi="Georgia"/>
          <w:b/>
          <w:color w:val="14487F"/>
          <w:sz w:val="21"/>
        </w:rPr>
        <w:t>The contrarian view: what the market is refusing to see</w:t>
      </w:r>
    </w:p>
    <w:p>
      <w:pPr>
        <w:spacing w:before="40" w:after="60"/>
        <w:ind w:left="173" w:right="115"/>
        <w:jc w:val="both"/>
        <w:pBdr>
          <w:left w:val="single" w:sz="18" w:space="6" w:color="0B2545"/>
        </w:pBdr>
        <w:shd w:val="clear" w:fill="F4F7FA"/>
      </w:pPr>
      <w:r>
        <w:rPr>
          <w:b/>
          <w:sz w:val="17"/>
        </w:rPr>
        <w:t xml:space="preserve">The market has made a category error. It is treating AI as a substitute for EPAM's product when the evidence increasingly suggests AI is a substitute for EPAM's </w:t>
      </w:r>
      <w:r>
        <w:rPr>
          <w:b/>
          <w:i/>
          <w:sz w:val="17"/>
        </w:rPr>
        <w:t>cost base</w:t>
      </w:r>
      <w:r>
        <w:rPr>
          <w:b/>
          <w:sz w:val="17"/>
        </w:rPr>
        <w:t>.</w:t>
      </w:r>
    </w:p>
    <w:p>
      <w:pPr>
        <w:spacing w:before="40" w:after="60"/>
        <w:ind w:left="173" w:right="115"/>
        <w:jc w:val="both"/>
        <w:pBdr>
          <w:left w:val="single" w:sz="18" w:space="6" w:color="0B2545"/>
        </w:pBdr>
        <w:shd w:val="clear" w:fill="F4F7FA"/>
      </w:pPr>
      <w:r>
        <w:rPr>
          <w:sz w:val="17"/>
        </w:rPr>
        <w:t xml:space="preserve">Consider what Q2 2026 actually showed: revenue +4.5%, delivery headcount +1.5%, gross margin +190bp on </w:t>
      </w:r>
      <w:r>
        <w:rPr>
          <w:i/>
          <w:sz w:val="17"/>
        </w:rPr>
        <w:t>price increases</w:t>
      </w:r>
      <w:r>
        <w:rPr>
          <w:sz w:val="17"/>
        </w:rPr>
        <w:t xml:space="preserve">, non-GAAP EPS +22%. If AI were commoditising EPAM's output, prices would be falling and margins compressing. Instead EPAM is charging more per unit while adding fewer people. </w:t>
      </w:r>
      <w:r>
        <w:rPr>
          <w:b/>
          <w:sz w:val="17"/>
        </w:rPr>
        <w:t>That is the signature of a firm capturing AI productivity, not one being destroyed by it.</w:t>
      </w:r>
    </w:p>
    <w:p>
      <w:pPr>
        <w:spacing w:before="40" w:after="60"/>
        <w:ind w:left="173" w:right="115"/>
        <w:jc w:val="both"/>
        <w:pBdr>
          <w:left w:val="single" w:sz="18" w:space="6" w:color="0B2545"/>
        </w:pBdr>
        <w:shd w:val="clear" w:fill="F4F7FA"/>
      </w:pPr>
      <w:r>
        <w:rPr>
          <w:sz w:val="17"/>
        </w:rPr>
        <w:t>Three further things the market appears to be ignoring:</w:t>
      </w:r>
    </w:p>
    <w:p>
      <w:pPr>
        <w:pStyle w:val="ListBullet"/>
        <w:spacing w:after="50"/>
        <w:ind w:left="403"/>
        <w:jc w:val="both"/>
        <w:shd w:val="clear" w:fill="F4F7FA"/>
      </w:pPr>
      <w:r>
        <w:rPr>
          <w:rFonts w:ascii="Georgia" w:hAnsi="Georgia"/>
          <w:b/>
          <w:sz w:val="17"/>
        </w:rPr>
        <w:t>Enterprise AI is fundamentally a data-and-integration problem, not a code-generation problem.</w:t>
      </w:r>
      <w:r>
        <w:rPr>
          <w:rFonts w:ascii="Georgia" w:hAnsi="Georgia"/>
          <w:sz w:val="17"/>
        </w:rPr>
        <w:t xml:space="preserve"> Writing code was never the bottleneck in a global bank's transformation — untangling forty years of undocumented mainframe logic, satisfying regulators and migrating data without breaking production was. AI does not solve that; it makes solving it more valuable, because the prize on the other side is larger. Financial Services growing +11.5% on "AI-led modernisation and mainframe transformation" is exactly this thesis showing up in reported numbers.</w:t>
      </w:r>
    </w:p>
    <w:p>
      <w:pPr>
        <w:pStyle w:val="ListBullet"/>
        <w:spacing w:after="50"/>
        <w:ind w:left="403"/>
        <w:jc w:val="both"/>
        <w:shd w:val="clear" w:fill="F4F7FA"/>
      </w:pPr>
      <w:r>
        <w:rPr>
          <w:rFonts w:ascii="Georgia" w:hAnsi="Georgia"/>
          <w:b/>
          <w:sz w:val="17"/>
        </w:rPr>
        <w:t>The shorts are trading a theme, not a company.</w:t>
      </w:r>
      <w:r>
        <w:rPr>
          <w:rFonts w:ascii="Georgia" w:hAnsi="Georgia"/>
          <w:sz w:val="17"/>
        </w:rPr>
        <w:t xml:space="preserve"> There is no forensic short thesis on EPAM — no fraud allegation, no accounting report. The 15.8–18.9% short interest is a sector-beta position expressed through the most liquid name. Thematic shorts are structurally fragile: they cover on evidence, not on valuation, and they cover fast.</w:t>
      </w:r>
    </w:p>
    <w:p>
      <w:pPr>
        <w:pStyle w:val="ListBullet"/>
        <w:spacing w:after="50"/>
        <w:ind w:left="403"/>
        <w:jc w:val="both"/>
        <w:shd w:val="clear" w:fill="F4F7FA"/>
      </w:pPr>
      <w:r>
        <w:rPr>
          <w:rFonts w:ascii="Georgia" w:hAnsi="Georgia"/>
          <w:b/>
          <w:sz w:val="17"/>
        </w:rPr>
        <w:t>The buyback is a silent compounding machine the market is not modelling.</w:t>
      </w:r>
      <w:r>
        <w:rPr>
          <w:rFonts w:ascii="Georgia" w:hAnsi="Georgia"/>
          <w:sz w:val="17"/>
        </w:rPr>
        <w:t xml:space="preserve"> At current prices, free cash flow alone retires 6–7% of the share count annually. Even with zero revenue growth and flat margins, that produces 6–7% annual EPS growth. The market is pricing terminal decline in a business that is mathematically compounding per-share value.</w:t>
      </w:r>
    </w:p>
    <w:p>
      <w:pPr>
        <w:spacing w:before="40" w:after="60"/>
        <w:ind w:left="173" w:right="115"/>
        <w:jc w:val="both"/>
        <w:pBdr>
          <w:left w:val="single" w:sz="18" w:space="6" w:color="0B2545"/>
        </w:pBdr>
        <w:shd w:val="clear" w:fill="F4F7FA"/>
      </w:pPr>
      <w:r>
        <w:rPr>
          <w:b/>
          <w:sz w:val="17"/>
        </w:rPr>
        <w:t>The contrarian conclusion:</w:t>
      </w:r>
      <w:r>
        <w:rPr>
          <w:sz w:val="17"/>
        </w:rPr>
        <w:t xml:space="preserve"> EPAM is not the buggy-whip manufacturer at the dawn of the automobile. It is the firm that knows how every horse-drawn carriage in the Fortune 500 was assembled, at the moment those enterprises must convert their entire fleet. The transition is painful, the timing has slipped, and the market has confused a two-quarter delay with a terminal verdict.</w:t>
      </w:r>
    </w:p>
    <w:p>
      <w:pPr>
        <w:keepNext/>
        <w:spacing w:before="320" w:after="120"/>
        <w:pBdr>
          <w:bottom w:val="single" w:sz="12" w:space="2" w:color="0B2545"/>
        </w:pBdr>
      </w:pPr>
      <w:r>
        <w:rPr>
          <w:rFonts w:ascii="Georgia" w:hAnsi="Georgia"/>
          <w:b/>
          <w:color w:val="0B2545"/>
          <w:sz w:val="26"/>
        </w:rPr>
        <w:t>22. Scenario Analysis</w:t>
      </w:r>
    </w:p>
    <w:tbl>
      <w:tblPr>
        <w:tblStyle w:val="TableGrid"/>
        <w:tblW w:type="auto" w:w="0"/>
        <w:jc w:val="center"/>
        <w:tblLayout w:type="autofit"/>
        <w:tblLook w:firstColumn="1" w:firstRow="1" w:lastColumn="0" w:lastRow="0" w:noHBand="0" w:noVBand="1" w:val="04A0"/>
      </w:tblPr>
      <w:tblGrid>
        <w:gridCol w:w="2545"/>
        <w:gridCol w:w="2545"/>
        <w:gridCol w:w="2545"/>
        <w:gridCol w:w="2545"/>
      </w:tblGrid>
      <w:tr>
        <w:tc>
          <w:tcPr>
            <w:tcW w:type="dxa" w:w="2545"/>
            <w:shd w:val="clear" w:fill="0B2545"/>
          </w:tcPr>
          <w:p>
            <w:pPr>
              <w:spacing w:before="20" w:after="20"/>
            </w:pPr>
            <w:r>
              <w:rPr>
                <w:rFonts w:ascii="Georgia" w:hAnsi="Georgia"/>
                <w:b/>
                <w:color w:val="FFFFFF"/>
                <w:sz w:val="14"/>
              </w:rPr>
            </w:r>
            <w:r>
              <w:rPr>
                <w:rFonts w:ascii="Georgia" w:hAnsi="Georgia"/>
                <w:b/>
                <w:color w:val="FFFFFF"/>
                <w:sz w:val="14"/>
              </w:rPr>
              <w:t>Assumption</w:t>
            </w:r>
          </w:p>
        </w:tc>
        <w:tc>
          <w:tcPr>
            <w:tcW w:type="dxa" w:w="2545"/>
            <w:shd w:val="clear" w:fill="0B2545"/>
          </w:tcPr>
          <w:p>
            <w:pPr>
              <w:spacing w:before="20" w:after="20"/>
              <w:jc w:val="right"/>
            </w:pPr>
            <w:r>
              <w:rPr>
                <w:rFonts w:ascii="Georgia" w:hAnsi="Georgia"/>
                <w:b/>
                <w:color w:val="FFFFFF"/>
                <w:sz w:val="14"/>
              </w:rPr>
            </w:r>
            <w:r>
              <w:rPr>
                <w:rFonts w:ascii="Georgia" w:hAnsi="Georgia"/>
                <w:b/>
                <w:color w:val="FFFFFF"/>
                <w:sz w:val="14"/>
              </w:rPr>
              <w:t>Bear (25–30%)</w:t>
            </w:r>
          </w:p>
        </w:tc>
        <w:tc>
          <w:tcPr>
            <w:tcW w:type="dxa" w:w="2545"/>
            <w:shd w:val="clear" w:fill="0B2545"/>
          </w:tcPr>
          <w:p>
            <w:pPr>
              <w:spacing w:before="20" w:after="20"/>
              <w:jc w:val="right"/>
            </w:pPr>
            <w:r>
              <w:rPr>
                <w:rFonts w:ascii="Georgia" w:hAnsi="Georgia"/>
                <w:b/>
                <w:color w:val="FFFFFF"/>
                <w:sz w:val="14"/>
              </w:rPr>
            </w:r>
            <w:r>
              <w:rPr>
                <w:rFonts w:ascii="Georgia" w:hAnsi="Georgia"/>
                <w:b/>
                <w:color w:val="FFFFFF"/>
                <w:sz w:val="14"/>
              </w:rPr>
              <w:t>Base (50%)</w:t>
            </w:r>
          </w:p>
        </w:tc>
        <w:tc>
          <w:tcPr>
            <w:tcW w:type="dxa" w:w="2545"/>
            <w:shd w:val="clear" w:fill="0B2545"/>
          </w:tcPr>
          <w:p>
            <w:pPr>
              <w:spacing w:before="20" w:after="20"/>
              <w:jc w:val="right"/>
            </w:pPr>
            <w:r>
              <w:rPr>
                <w:rFonts w:ascii="Georgia" w:hAnsi="Georgia"/>
                <w:b/>
                <w:color w:val="FFFFFF"/>
                <w:sz w:val="14"/>
              </w:rPr>
            </w:r>
            <w:r>
              <w:rPr>
                <w:rFonts w:ascii="Georgia" w:hAnsi="Georgia"/>
                <w:b/>
                <w:color w:val="FFFFFF"/>
                <w:sz w:val="14"/>
              </w:rPr>
              <w:t>Bull (20–25%)</w:t>
            </w:r>
          </w:p>
        </w:tc>
      </w:tr>
      <w:tr>
        <w:tc>
          <w:tcPr>
            <w:tcW w:type="dxa" w:w="2545"/>
          </w:tcPr>
          <w:p>
            <w:pPr>
              <w:spacing w:before="20" w:after="20"/>
            </w:pPr>
            <w:r>
              <w:rPr>
                <w:rFonts w:ascii="Georgia" w:hAnsi="Georgia"/>
                <w:sz w:val="14"/>
              </w:rPr>
            </w:r>
            <w:r>
              <w:rPr>
                <w:rFonts w:ascii="Georgia" w:hAnsi="Georgia"/>
                <w:sz w:val="14"/>
              </w:rPr>
              <w:t>2026–2028 revenue CAGR</w:t>
            </w:r>
          </w:p>
        </w:tc>
        <w:tc>
          <w:tcPr>
            <w:tcW w:type="dxa" w:w="2545"/>
          </w:tcPr>
          <w:p>
            <w:pPr>
              <w:spacing w:before="20" w:after="20"/>
              <w:jc w:val="right"/>
            </w:pPr>
            <w:r>
              <w:rPr>
                <w:rFonts w:ascii="Georgia" w:hAnsi="Georgia"/>
                <w:sz w:val="14"/>
              </w:rPr>
            </w:r>
            <w:r>
              <w:rPr>
                <w:rFonts w:ascii="Georgia" w:hAnsi="Georgia"/>
                <w:sz w:val="14"/>
              </w:rPr>
              <w:t>−4% (decline to c.$5.0bn)</w:t>
            </w:r>
          </w:p>
        </w:tc>
        <w:tc>
          <w:tcPr>
            <w:tcW w:type="dxa" w:w="2545"/>
          </w:tcPr>
          <w:p>
            <w:pPr>
              <w:spacing w:before="20" w:after="20"/>
              <w:jc w:val="right"/>
            </w:pPr>
            <w:r>
              <w:rPr>
                <w:rFonts w:ascii="Georgia" w:hAnsi="Georgia"/>
                <w:sz w:val="14"/>
              </w:rPr>
            </w:r>
            <w:r>
              <w:rPr>
                <w:rFonts w:ascii="Georgia" w:hAnsi="Georgia"/>
                <w:sz w:val="14"/>
              </w:rPr>
              <w:t>+5.2% (to c.$6.33bn)</w:t>
            </w:r>
          </w:p>
        </w:tc>
        <w:tc>
          <w:tcPr>
            <w:tcW w:type="dxa" w:w="2545"/>
          </w:tcPr>
          <w:p>
            <w:pPr>
              <w:spacing w:before="20" w:after="20"/>
              <w:jc w:val="right"/>
            </w:pPr>
            <w:r>
              <w:rPr>
                <w:rFonts w:ascii="Georgia" w:hAnsi="Georgia"/>
                <w:sz w:val="14"/>
              </w:rPr>
            </w:r>
            <w:r>
              <w:rPr>
                <w:rFonts w:ascii="Georgia" w:hAnsi="Georgia"/>
                <w:sz w:val="14"/>
              </w:rPr>
              <w:t>+9% (to c.$6.9bn)</w:t>
            </w:r>
          </w:p>
        </w:tc>
      </w:tr>
      <w:tr>
        <w:tc>
          <w:tcPr>
            <w:tcW w:type="dxa" w:w="2545"/>
            <w:shd w:val="clear" w:fill="F4F7FA"/>
          </w:tcPr>
          <w:p>
            <w:pPr>
              <w:spacing w:before="20" w:after="20"/>
            </w:pPr>
            <w:r>
              <w:rPr>
                <w:rFonts w:ascii="Georgia" w:hAnsi="Georgia"/>
                <w:sz w:val="14"/>
              </w:rPr>
            </w:r>
            <w:r>
              <w:rPr>
                <w:rFonts w:ascii="Georgia" w:hAnsi="Georgia"/>
                <w:sz w:val="14"/>
              </w:rPr>
              <w:t>2028 revenue</w:t>
            </w:r>
          </w:p>
        </w:tc>
        <w:tc>
          <w:tcPr>
            <w:tcW w:type="dxa" w:w="2545"/>
            <w:shd w:val="clear" w:fill="F4F7FA"/>
          </w:tcPr>
          <w:p>
            <w:pPr>
              <w:spacing w:before="20" w:after="20"/>
              <w:jc w:val="right"/>
            </w:pPr>
            <w:r>
              <w:rPr>
                <w:rFonts w:ascii="Georgia" w:hAnsi="Georgia"/>
                <w:sz w:val="14"/>
              </w:rPr>
            </w:r>
            <w:r>
              <w:rPr>
                <w:rFonts w:ascii="Georgia" w:hAnsi="Georgia"/>
                <w:sz w:val="14"/>
              </w:rPr>
              <w:t>c.$5.0bn</w:t>
            </w:r>
          </w:p>
        </w:tc>
        <w:tc>
          <w:tcPr>
            <w:tcW w:type="dxa" w:w="2545"/>
            <w:shd w:val="clear" w:fill="F4F7FA"/>
          </w:tcPr>
          <w:p>
            <w:pPr>
              <w:spacing w:before="20" w:after="20"/>
              <w:jc w:val="right"/>
            </w:pPr>
            <w:r>
              <w:rPr>
                <w:rFonts w:ascii="Georgia" w:hAnsi="Georgia"/>
                <w:sz w:val="14"/>
              </w:rPr>
            </w:r>
            <w:r>
              <w:rPr>
                <w:rFonts w:ascii="Georgia" w:hAnsi="Georgia"/>
                <w:sz w:val="14"/>
              </w:rPr>
              <w:t>c.$6.33bn</w:t>
            </w:r>
          </w:p>
        </w:tc>
        <w:tc>
          <w:tcPr>
            <w:tcW w:type="dxa" w:w="2545"/>
            <w:shd w:val="clear" w:fill="F4F7FA"/>
          </w:tcPr>
          <w:p>
            <w:pPr>
              <w:spacing w:before="20" w:after="20"/>
              <w:jc w:val="right"/>
            </w:pPr>
            <w:r>
              <w:rPr>
                <w:rFonts w:ascii="Georgia" w:hAnsi="Georgia"/>
                <w:sz w:val="14"/>
              </w:rPr>
            </w:r>
            <w:r>
              <w:rPr>
                <w:rFonts w:ascii="Georgia" w:hAnsi="Georgia"/>
                <w:sz w:val="14"/>
              </w:rPr>
              <w:t>c.$6.9bn</w:t>
            </w:r>
          </w:p>
        </w:tc>
      </w:tr>
      <w:tr>
        <w:tc>
          <w:tcPr>
            <w:tcW w:type="dxa" w:w="2545"/>
          </w:tcPr>
          <w:p>
            <w:pPr>
              <w:spacing w:before="20" w:after="20"/>
            </w:pPr>
            <w:r>
              <w:rPr>
                <w:rFonts w:ascii="Georgia" w:hAnsi="Georgia"/>
                <w:sz w:val="14"/>
              </w:rPr>
            </w:r>
            <w:r>
              <w:rPr>
                <w:rFonts w:ascii="Georgia" w:hAnsi="Georgia"/>
                <w:sz w:val="14"/>
              </w:rPr>
              <w:t>2028 non-GAAP gross margin</w:t>
            </w:r>
          </w:p>
        </w:tc>
        <w:tc>
          <w:tcPr>
            <w:tcW w:type="dxa" w:w="2545"/>
          </w:tcPr>
          <w:p>
            <w:pPr>
              <w:spacing w:before="20" w:after="20"/>
              <w:jc w:val="right"/>
            </w:pPr>
            <w:r>
              <w:rPr>
                <w:rFonts w:ascii="Georgia" w:hAnsi="Georgia"/>
                <w:sz w:val="14"/>
              </w:rPr>
            </w:r>
            <w:r>
              <w:rPr>
                <w:rFonts w:ascii="Georgia" w:hAnsi="Georgia"/>
                <w:sz w:val="14"/>
              </w:rPr>
              <w:t>27.0%</w:t>
            </w:r>
          </w:p>
        </w:tc>
        <w:tc>
          <w:tcPr>
            <w:tcW w:type="dxa" w:w="2545"/>
          </w:tcPr>
          <w:p>
            <w:pPr>
              <w:spacing w:before="20" w:after="20"/>
              <w:jc w:val="right"/>
            </w:pPr>
            <w:r>
              <w:rPr>
                <w:rFonts w:ascii="Georgia" w:hAnsi="Georgia"/>
                <w:sz w:val="14"/>
              </w:rPr>
            </w:r>
            <w:r>
              <w:rPr>
                <w:rFonts w:ascii="Georgia" w:hAnsi="Georgia"/>
                <w:sz w:val="14"/>
              </w:rPr>
              <w:t>32.6%</w:t>
            </w:r>
          </w:p>
        </w:tc>
        <w:tc>
          <w:tcPr>
            <w:tcW w:type="dxa" w:w="2545"/>
          </w:tcPr>
          <w:p>
            <w:pPr>
              <w:spacing w:before="20" w:after="20"/>
              <w:jc w:val="right"/>
            </w:pPr>
            <w:r>
              <w:rPr>
                <w:rFonts w:ascii="Georgia" w:hAnsi="Georgia"/>
                <w:sz w:val="14"/>
              </w:rPr>
            </w:r>
            <w:r>
              <w:rPr>
                <w:rFonts w:ascii="Georgia" w:hAnsi="Georgia"/>
                <w:sz w:val="14"/>
              </w:rPr>
              <w:t>34.0%</w:t>
            </w:r>
          </w:p>
        </w:tc>
      </w:tr>
      <w:tr>
        <w:tc>
          <w:tcPr>
            <w:tcW w:type="dxa" w:w="2545"/>
            <w:shd w:val="clear" w:fill="F4F7FA"/>
          </w:tcPr>
          <w:p>
            <w:pPr>
              <w:spacing w:before="20" w:after="20"/>
            </w:pPr>
            <w:r>
              <w:rPr>
                <w:rFonts w:ascii="Georgia" w:hAnsi="Georgia"/>
                <w:sz w:val="14"/>
              </w:rPr>
            </w:r>
            <w:r>
              <w:rPr>
                <w:rFonts w:ascii="Georgia" w:hAnsi="Georgia"/>
                <w:sz w:val="14"/>
              </w:rPr>
              <w:t>2028 non-GAAP operating margin</w:t>
            </w:r>
          </w:p>
        </w:tc>
        <w:tc>
          <w:tcPr>
            <w:tcW w:type="dxa" w:w="2545"/>
            <w:shd w:val="clear" w:fill="F4F7FA"/>
          </w:tcPr>
          <w:p>
            <w:pPr>
              <w:spacing w:before="20" w:after="20"/>
              <w:jc w:val="right"/>
            </w:pPr>
            <w:r>
              <w:rPr>
                <w:rFonts w:ascii="Georgia" w:hAnsi="Georgia"/>
                <w:sz w:val="14"/>
              </w:rPr>
            </w:r>
            <w:r>
              <w:rPr>
                <w:rFonts w:ascii="Georgia" w:hAnsi="Georgia"/>
                <w:sz w:val="14"/>
              </w:rPr>
              <w:t>11.0%</w:t>
            </w:r>
          </w:p>
        </w:tc>
        <w:tc>
          <w:tcPr>
            <w:tcW w:type="dxa" w:w="2545"/>
            <w:shd w:val="clear" w:fill="F4F7FA"/>
          </w:tcPr>
          <w:p>
            <w:pPr>
              <w:spacing w:before="20" w:after="20"/>
              <w:jc w:val="right"/>
            </w:pPr>
            <w:r>
              <w:rPr>
                <w:rFonts w:ascii="Georgia" w:hAnsi="Georgia"/>
                <w:sz w:val="14"/>
              </w:rPr>
            </w:r>
            <w:r>
              <w:rPr>
                <w:rFonts w:ascii="Georgia" w:hAnsi="Georgia"/>
                <w:sz w:val="14"/>
              </w:rPr>
              <w:t>16.3%</w:t>
            </w:r>
          </w:p>
        </w:tc>
        <w:tc>
          <w:tcPr>
            <w:tcW w:type="dxa" w:w="2545"/>
            <w:shd w:val="clear" w:fill="F4F7FA"/>
          </w:tcPr>
          <w:p>
            <w:pPr>
              <w:spacing w:before="20" w:after="20"/>
              <w:jc w:val="right"/>
            </w:pPr>
            <w:r>
              <w:rPr>
                <w:rFonts w:ascii="Georgia" w:hAnsi="Georgia"/>
                <w:sz w:val="14"/>
              </w:rPr>
            </w:r>
            <w:r>
              <w:rPr>
                <w:rFonts w:ascii="Georgia" w:hAnsi="Georgia"/>
                <w:sz w:val="14"/>
              </w:rPr>
              <w:t>17.5%</w:t>
            </w:r>
          </w:p>
        </w:tc>
      </w:tr>
      <w:tr>
        <w:tc>
          <w:tcPr>
            <w:tcW w:type="dxa" w:w="2545"/>
          </w:tcPr>
          <w:p>
            <w:pPr>
              <w:spacing w:before="20" w:after="20"/>
            </w:pPr>
            <w:r>
              <w:rPr>
                <w:rFonts w:ascii="Georgia" w:hAnsi="Georgia"/>
                <w:sz w:val="14"/>
              </w:rPr>
            </w:r>
            <w:r>
              <w:rPr>
                <w:rFonts w:ascii="Georgia" w:hAnsi="Georgia"/>
                <w:sz w:val="14"/>
              </w:rPr>
              <w:t>2028 non-GAAP operating income</w:t>
            </w:r>
          </w:p>
        </w:tc>
        <w:tc>
          <w:tcPr>
            <w:tcW w:type="dxa" w:w="2545"/>
          </w:tcPr>
          <w:p>
            <w:pPr>
              <w:spacing w:before="20" w:after="20"/>
              <w:jc w:val="right"/>
            </w:pPr>
            <w:r>
              <w:rPr>
                <w:rFonts w:ascii="Georgia" w:hAnsi="Georgia"/>
                <w:sz w:val="14"/>
              </w:rPr>
            </w:r>
            <w:r>
              <w:rPr>
                <w:rFonts w:ascii="Georgia" w:hAnsi="Georgia"/>
                <w:sz w:val="14"/>
              </w:rPr>
              <w:t>c.$550m</w:t>
            </w:r>
          </w:p>
        </w:tc>
        <w:tc>
          <w:tcPr>
            <w:tcW w:type="dxa" w:w="2545"/>
          </w:tcPr>
          <w:p>
            <w:pPr>
              <w:spacing w:before="20" w:after="20"/>
              <w:jc w:val="right"/>
            </w:pPr>
            <w:r>
              <w:rPr>
                <w:rFonts w:ascii="Georgia" w:hAnsi="Georgia"/>
                <w:sz w:val="14"/>
              </w:rPr>
            </w:r>
            <w:r>
              <w:rPr>
                <w:rFonts w:ascii="Georgia" w:hAnsi="Georgia"/>
                <w:sz w:val="14"/>
              </w:rPr>
              <w:t>c.$1,031m</w:t>
            </w:r>
          </w:p>
        </w:tc>
        <w:tc>
          <w:tcPr>
            <w:tcW w:type="dxa" w:w="2545"/>
          </w:tcPr>
          <w:p>
            <w:pPr>
              <w:spacing w:before="20" w:after="20"/>
              <w:jc w:val="right"/>
            </w:pPr>
            <w:r>
              <w:rPr>
                <w:rFonts w:ascii="Georgia" w:hAnsi="Georgia"/>
                <w:sz w:val="14"/>
              </w:rPr>
            </w:r>
            <w:r>
              <w:rPr>
                <w:rFonts w:ascii="Georgia" w:hAnsi="Georgia"/>
                <w:sz w:val="14"/>
              </w:rPr>
              <w:t>c.$1,208m</w:t>
            </w:r>
          </w:p>
        </w:tc>
      </w:tr>
      <w:tr>
        <w:tc>
          <w:tcPr>
            <w:tcW w:type="dxa" w:w="2545"/>
            <w:shd w:val="clear" w:fill="F4F7FA"/>
          </w:tcPr>
          <w:p>
            <w:pPr>
              <w:spacing w:before="20" w:after="20"/>
            </w:pPr>
            <w:r>
              <w:rPr>
                <w:rFonts w:ascii="Georgia" w:hAnsi="Georgia"/>
                <w:sz w:val="14"/>
              </w:rPr>
            </w:r>
            <w:r>
              <w:rPr>
                <w:rFonts w:ascii="Georgia" w:hAnsi="Georgia"/>
                <w:sz w:val="14"/>
              </w:rPr>
              <w:t>2028 diluted shares</w:t>
            </w:r>
          </w:p>
        </w:tc>
        <w:tc>
          <w:tcPr>
            <w:tcW w:type="dxa" w:w="2545"/>
            <w:shd w:val="clear" w:fill="F4F7FA"/>
          </w:tcPr>
          <w:p>
            <w:pPr>
              <w:spacing w:before="20" w:after="20"/>
              <w:jc w:val="right"/>
            </w:pPr>
            <w:r>
              <w:rPr>
                <w:rFonts w:ascii="Georgia" w:hAnsi="Georgia"/>
                <w:sz w:val="14"/>
              </w:rPr>
            </w:r>
            <w:r>
              <w:rPr>
                <w:rFonts w:ascii="Georgia" w:hAnsi="Georgia"/>
                <w:sz w:val="14"/>
              </w:rPr>
              <w:t>c.52.0m (buyback suspended)</w:t>
            </w:r>
          </w:p>
        </w:tc>
        <w:tc>
          <w:tcPr>
            <w:tcW w:type="dxa" w:w="2545"/>
            <w:shd w:val="clear" w:fill="F4F7FA"/>
          </w:tcPr>
          <w:p>
            <w:pPr>
              <w:spacing w:before="20" w:after="20"/>
              <w:jc w:val="right"/>
            </w:pPr>
            <w:r>
              <w:rPr>
                <w:rFonts w:ascii="Georgia" w:hAnsi="Georgia"/>
                <w:sz w:val="14"/>
              </w:rPr>
            </w:r>
            <w:r>
              <w:rPr>
                <w:rFonts w:ascii="Georgia" w:hAnsi="Georgia"/>
                <w:sz w:val="14"/>
              </w:rPr>
              <w:t>c.49.5m</w:t>
            </w:r>
          </w:p>
        </w:tc>
        <w:tc>
          <w:tcPr>
            <w:tcW w:type="dxa" w:w="2545"/>
            <w:shd w:val="clear" w:fill="F4F7FA"/>
          </w:tcPr>
          <w:p>
            <w:pPr>
              <w:spacing w:before="20" w:after="20"/>
              <w:jc w:val="right"/>
            </w:pPr>
            <w:r>
              <w:rPr>
                <w:rFonts w:ascii="Georgia" w:hAnsi="Georgia"/>
                <w:sz w:val="14"/>
              </w:rPr>
            </w:r>
            <w:r>
              <w:rPr>
                <w:rFonts w:ascii="Georgia" w:hAnsi="Georgia"/>
                <w:sz w:val="14"/>
              </w:rPr>
              <w:t>c.47.5m</w:t>
            </w:r>
          </w:p>
        </w:tc>
      </w:tr>
      <w:tr>
        <w:tc>
          <w:tcPr>
            <w:tcW w:type="dxa" w:w="2545"/>
          </w:tcPr>
          <w:p>
            <w:pPr>
              <w:spacing w:before="20" w:after="20"/>
            </w:pPr>
            <w:r>
              <w:rPr>
                <w:rFonts w:ascii="Georgia" w:hAnsi="Georgia"/>
                <w:sz w:val="14"/>
              </w:rPr>
            </w:r>
            <w:r>
              <w:rPr>
                <w:rFonts w:ascii="Georgia" w:hAnsi="Georgia"/>
                <w:b/>
                <w:sz w:val="14"/>
              </w:rPr>
              <w:t>2028 non-GAAP EPS</w:t>
            </w:r>
          </w:p>
        </w:tc>
        <w:tc>
          <w:tcPr>
            <w:tcW w:type="dxa" w:w="2545"/>
          </w:tcPr>
          <w:p>
            <w:pPr>
              <w:spacing w:before="20" w:after="20"/>
              <w:jc w:val="right"/>
            </w:pPr>
            <w:r>
              <w:rPr>
                <w:rFonts w:ascii="Georgia" w:hAnsi="Georgia"/>
                <w:sz w:val="14"/>
              </w:rPr>
            </w:r>
            <w:r>
              <w:rPr>
                <w:rFonts w:ascii="Georgia" w:hAnsi="Georgia"/>
                <w:b/>
                <w:sz w:val="14"/>
              </w:rPr>
              <w:t>c.$8.40</w:t>
            </w:r>
          </w:p>
        </w:tc>
        <w:tc>
          <w:tcPr>
            <w:tcW w:type="dxa" w:w="2545"/>
          </w:tcPr>
          <w:p>
            <w:pPr>
              <w:spacing w:before="20" w:after="20"/>
              <w:jc w:val="right"/>
            </w:pPr>
            <w:r>
              <w:rPr>
                <w:rFonts w:ascii="Georgia" w:hAnsi="Georgia"/>
                <w:sz w:val="14"/>
              </w:rPr>
            </w:r>
            <w:r>
              <w:rPr>
                <w:rFonts w:ascii="Georgia" w:hAnsi="Georgia"/>
                <w:b/>
                <w:sz w:val="14"/>
              </w:rPr>
              <w:t>c.$16.22</w:t>
            </w:r>
          </w:p>
        </w:tc>
        <w:tc>
          <w:tcPr>
            <w:tcW w:type="dxa" w:w="2545"/>
          </w:tcPr>
          <w:p>
            <w:pPr>
              <w:spacing w:before="20" w:after="20"/>
              <w:jc w:val="right"/>
            </w:pPr>
            <w:r>
              <w:rPr>
                <w:rFonts w:ascii="Georgia" w:hAnsi="Georgia"/>
                <w:sz w:val="14"/>
              </w:rPr>
            </w:r>
            <w:r>
              <w:rPr>
                <w:rFonts w:ascii="Georgia" w:hAnsi="Georgia"/>
                <w:b/>
                <w:sz w:val="14"/>
              </w:rPr>
              <w:t>c.$19.70</w:t>
            </w:r>
          </w:p>
        </w:tc>
      </w:tr>
      <w:tr>
        <w:tc>
          <w:tcPr>
            <w:tcW w:type="dxa" w:w="2545"/>
            <w:shd w:val="clear" w:fill="F4F7FA"/>
          </w:tcPr>
          <w:p>
            <w:pPr>
              <w:spacing w:before="20" w:after="20"/>
            </w:pPr>
            <w:r>
              <w:rPr>
                <w:rFonts w:ascii="Georgia" w:hAnsi="Georgia"/>
                <w:sz w:val="14"/>
              </w:rPr>
            </w:r>
            <w:r>
              <w:rPr>
                <w:rFonts w:ascii="Georgia" w:hAnsi="Georgia"/>
                <w:sz w:val="14"/>
              </w:rPr>
              <w:t>Exit P/E multiple</w:t>
            </w:r>
          </w:p>
        </w:tc>
        <w:tc>
          <w:tcPr>
            <w:tcW w:type="dxa" w:w="2545"/>
            <w:shd w:val="clear" w:fill="F4F7FA"/>
          </w:tcPr>
          <w:p>
            <w:pPr>
              <w:spacing w:before="20" w:after="20"/>
              <w:jc w:val="right"/>
            </w:pPr>
            <w:r>
              <w:rPr>
                <w:rFonts w:ascii="Georgia" w:hAnsi="Georgia"/>
                <w:sz w:val="14"/>
              </w:rPr>
            </w:r>
            <w:r>
              <w:rPr>
                <w:rFonts w:ascii="Georgia" w:hAnsi="Georgia"/>
                <w:sz w:val="14"/>
              </w:rPr>
              <w:t>8.0x</w:t>
            </w:r>
          </w:p>
        </w:tc>
        <w:tc>
          <w:tcPr>
            <w:tcW w:type="dxa" w:w="2545"/>
            <w:shd w:val="clear" w:fill="F4F7FA"/>
          </w:tcPr>
          <w:p>
            <w:pPr>
              <w:spacing w:before="20" w:after="20"/>
              <w:jc w:val="right"/>
            </w:pPr>
            <w:r>
              <w:rPr>
                <w:rFonts w:ascii="Georgia" w:hAnsi="Georgia"/>
                <w:sz w:val="14"/>
              </w:rPr>
            </w:r>
            <w:r>
              <w:rPr>
                <w:rFonts w:ascii="Georgia" w:hAnsi="Georgia"/>
                <w:sz w:val="14"/>
              </w:rPr>
              <w:t>12.0x</w:t>
            </w:r>
          </w:p>
        </w:tc>
        <w:tc>
          <w:tcPr>
            <w:tcW w:type="dxa" w:w="2545"/>
            <w:shd w:val="clear" w:fill="F4F7FA"/>
          </w:tcPr>
          <w:p>
            <w:pPr>
              <w:spacing w:before="20" w:after="20"/>
              <w:jc w:val="right"/>
            </w:pPr>
            <w:r>
              <w:rPr>
                <w:rFonts w:ascii="Georgia" w:hAnsi="Georgia"/>
                <w:sz w:val="14"/>
              </w:rPr>
            </w:r>
            <w:r>
              <w:rPr>
                <w:rFonts w:ascii="Georgia" w:hAnsi="Georgia"/>
                <w:sz w:val="14"/>
              </w:rPr>
              <w:t>15.0x</w:t>
            </w:r>
          </w:p>
        </w:tc>
      </w:tr>
      <w:tr>
        <w:tc>
          <w:tcPr>
            <w:tcW w:type="dxa" w:w="2545"/>
          </w:tcPr>
          <w:p>
            <w:pPr>
              <w:spacing w:before="20" w:after="20"/>
            </w:pPr>
            <w:r>
              <w:rPr>
                <w:rFonts w:ascii="Georgia" w:hAnsi="Georgia"/>
                <w:sz w:val="14"/>
              </w:rPr>
            </w:r>
            <w:r>
              <w:rPr>
                <w:rFonts w:ascii="Georgia" w:hAnsi="Georgia"/>
                <w:sz w:val="14"/>
              </w:rPr>
              <w:t>Exit EV/EBITDA multiple</w:t>
            </w:r>
          </w:p>
        </w:tc>
        <w:tc>
          <w:tcPr>
            <w:tcW w:type="dxa" w:w="2545"/>
          </w:tcPr>
          <w:p>
            <w:pPr>
              <w:spacing w:before="20" w:after="20"/>
              <w:jc w:val="right"/>
            </w:pPr>
            <w:r>
              <w:rPr>
                <w:rFonts w:ascii="Georgia" w:hAnsi="Georgia"/>
                <w:sz w:val="14"/>
              </w:rPr>
            </w:r>
            <w:r>
              <w:rPr>
                <w:rFonts w:ascii="Georgia" w:hAnsi="Georgia"/>
                <w:sz w:val="14"/>
              </w:rPr>
              <w:t>4.0x</w:t>
            </w:r>
          </w:p>
        </w:tc>
        <w:tc>
          <w:tcPr>
            <w:tcW w:type="dxa" w:w="2545"/>
          </w:tcPr>
          <w:p>
            <w:pPr>
              <w:spacing w:before="20" w:after="20"/>
              <w:jc w:val="right"/>
            </w:pPr>
            <w:r>
              <w:rPr>
                <w:rFonts w:ascii="Georgia" w:hAnsi="Georgia"/>
                <w:sz w:val="14"/>
              </w:rPr>
            </w:r>
            <w:r>
              <w:rPr>
                <w:rFonts w:ascii="Georgia" w:hAnsi="Georgia"/>
                <w:sz w:val="14"/>
              </w:rPr>
              <w:t>7.5x</w:t>
            </w:r>
          </w:p>
        </w:tc>
        <w:tc>
          <w:tcPr>
            <w:tcW w:type="dxa" w:w="2545"/>
          </w:tcPr>
          <w:p>
            <w:pPr>
              <w:spacing w:before="20" w:after="20"/>
              <w:jc w:val="right"/>
            </w:pPr>
            <w:r>
              <w:rPr>
                <w:rFonts w:ascii="Georgia" w:hAnsi="Georgia"/>
                <w:sz w:val="14"/>
              </w:rPr>
            </w:r>
            <w:r>
              <w:rPr>
                <w:rFonts w:ascii="Georgia" w:hAnsi="Georgia"/>
                <w:sz w:val="14"/>
              </w:rPr>
              <w:t>10.0x</w:t>
            </w:r>
          </w:p>
        </w:tc>
      </w:tr>
      <w:tr>
        <w:tc>
          <w:tcPr>
            <w:tcW w:type="dxa" w:w="2545"/>
            <w:shd w:val="clear" w:fill="F4F7FA"/>
          </w:tcPr>
          <w:p>
            <w:pPr>
              <w:spacing w:before="20" w:after="20"/>
            </w:pPr>
            <w:r>
              <w:rPr>
                <w:rFonts w:ascii="Georgia" w:hAnsi="Georgia"/>
                <w:sz w:val="14"/>
              </w:rPr>
            </w:r>
            <w:r>
              <w:rPr>
                <w:rFonts w:ascii="Georgia" w:hAnsi="Georgia"/>
                <w:b/>
                <w:sz w:val="14"/>
              </w:rPr>
              <w:t>2028 implied value per share</w:t>
            </w:r>
          </w:p>
        </w:tc>
        <w:tc>
          <w:tcPr>
            <w:tcW w:type="dxa" w:w="2545"/>
            <w:shd w:val="clear" w:fill="F4F7FA"/>
          </w:tcPr>
          <w:p>
            <w:pPr>
              <w:spacing w:before="20" w:after="20"/>
              <w:jc w:val="right"/>
            </w:pPr>
            <w:r>
              <w:rPr>
                <w:rFonts w:ascii="Georgia" w:hAnsi="Georgia"/>
                <w:sz w:val="14"/>
              </w:rPr>
            </w:r>
            <w:r>
              <w:rPr>
                <w:rFonts w:ascii="Georgia" w:hAnsi="Georgia"/>
                <w:b/>
                <w:sz w:val="14"/>
              </w:rPr>
              <w:t>c.$67</w:t>
            </w:r>
          </w:p>
        </w:tc>
        <w:tc>
          <w:tcPr>
            <w:tcW w:type="dxa" w:w="2545"/>
            <w:shd w:val="clear" w:fill="F4F7FA"/>
          </w:tcPr>
          <w:p>
            <w:pPr>
              <w:spacing w:before="20" w:after="20"/>
              <w:jc w:val="right"/>
            </w:pPr>
            <w:r>
              <w:rPr>
                <w:rFonts w:ascii="Georgia" w:hAnsi="Georgia"/>
                <w:sz w:val="14"/>
              </w:rPr>
            </w:r>
            <w:r>
              <w:rPr>
                <w:rFonts w:ascii="Georgia" w:hAnsi="Georgia"/>
                <w:b/>
                <w:sz w:val="14"/>
              </w:rPr>
              <w:t>c.$195</w:t>
            </w:r>
          </w:p>
        </w:tc>
        <w:tc>
          <w:tcPr>
            <w:tcW w:type="dxa" w:w="2545"/>
            <w:shd w:val="clear" w:fill="F4F7FA"/>
          </w:tcPr>
          <w:p>
            <w:pPr>
              <w:spacing w:before="20" w:after="20"/>
              <w:jc w:val="right"/>
            </w:pPr>
            <w:r>
              <w:rPr>
                <w:rFonts w:ascii="Georgia" w:hAnsi="Georgia"/>
                <w:sz w:val="14"/>
              </w:rPr>
            </w:r>
            <w:r>
              <w:rPr>
                <w:rFonts w:ascii="Georgia" w:hAnsi="Georgia"/>
                <w:b/>
                <w:sz w:val="14"/>
              </w:rPr>
              <w:t>c.$296</w:t>
            </w:r>
          </w:p>
        </w:tc>
      </w:tr>
      <w:tr>
        <w:tc>
          <w:tcPr>
            <w:tcW w:type="dxa" w:w="2545"/>
          </w:tcPr>
          <w:p>
            <w:pPr>
              <w:spacing w:before="20" w:after="20"/>
            </w:pPr>
            <w:r>
              <w:rPr>
                <w:rFonts w:ascii="Georgia" w:hAnsi="Georgia"/>
                <w:sz w:val="14"/>
              </w:rPr>
            </w:r>
            <w:r>
              <w:rPr>
                <w:rFonts w:ascii="Georgia" w:hAnsi="Georgia"/>
                <w:sz w:val="14"/>
              </w:rPr>
              <w:t>Discounted to today at 10%</w:t>
            </w:r>
          </w:p>
        </w:tc>
        <w:tc>
          <w:tcPr>
            <w:tcW w:type="dxa" w:w="2545"/>
          </w:tcPr>
          <w:p>
            <w:pPr>
              <w:spacing w:before="20" w:after="20"/>
              <w:jc w:val="right"/>
            </w:pPr>
            <w:r>
              <w:rPr>
                <w:rFonts w:ascii="Georgia" w:hAnsi="Georgia"/>
                <w:sz w:val="14"/>
              </w:rPr>
            </w:r>
            <w:r>
              <w:rPr>
                <w:rFonts w:ascii="Georgia" w:hAnsi="Georgia"/>
                <w:sz w:val="14"/>
              </w:rPr>
              <w:t>c.$55</w:t>
            </w:r>
          </w:p>
        </w:tc>
        <w:tc>
          <w:tcPr>
            <w:tcW w:type="dxa" w:w="2545"/>
          </w:tcPr>
          <w:p>
            <w:pPr>
              <w:spacing w:before="20" w:after="20"/>
              <w:jc w:val="right"/>
            </w:pPr>
            <w:r>
              <w:rPr>
                <w:rFonts w:ascii="Georgia" w:hAnsi="Georgia"/>
                <w:sz w:val="14"/>
              </w:rPr>
            </w:r>
            <w:r>
              <w:rPr>
                <w:rFonts w:ascii="Georgia" w:hAnsi="Georgia"/>
                <w:sz w:val="14"/>
              </w:rPr>
              <w:t>c.$161</w:t>
            </w:r>
          </w:p>
        </w:tc>
        <w:tc>
          <w:tcPr>
            <w:tcW w:type="dxa" w:w="2545"/>
          </w:tcPr>
          <w:p>
            <w:pPr>
              <w:spacing w:before="20" w:after="20"/>
              <w:jc w:val="right"/>
            </w:pPr>
            <w:r>
              <w:rPr>
                <w:rFonts w:ascii="Georgia" w:hAnsi="Georgia"/>
                <w:sz w:val="14"/>
              </w:rPr>
            </w:r>
            <w:r>
              <w:rPr>
                <w:rFonts w:ascii="Georgia" w:hAnsi="Georgia"/>
                <w:sz w:val="14"/>
              </w:rPr>
              <w:t>c.$245</w:t>
            </w:r>
          </w:p>
        </w:tc>
      </w:tr>
      <w:tr>
        <w:tc>
          <w:tcPr>
            <w:tcW w:type="dxa" w:w="2545"/>
            <w:shd w:val="clear" w:fill="F4F7FA"/>
          </w:tcPr>
          <w:p>
            <w:pPr>
              <w:spacing w:before="20" w:after="20"/>
            </w:pPr>
            <w:r>
              <w:rPr>
                <w:rFonts w:ascii="Georgia" w:hAnsi="Georgia"/>
                <w:sz w:val="14"/>
              </w:rPr>
            </w:r>
            <w:r>
              <w:rPr>
                <w:rFonts w:ascii="Georgia" w:hAnsi="Georgia"/>
                <w:b/>
                <w:sz w:val="14"/>
              </w:rPr>
              <w:t>Return from $114.80</w:t>
            </w:r>
          </w:p>
        </w:tc>
        <w:tc>
          <w:tcPr>
            <w:tcW w:type="dxa" w:w="2545"/>
            <w:shd w:val="clear" w:fill="F4F7FA"/>
          </w:tcPr>
          <w:p>
            <w:pPr>
              <w:spacing w:before="20" w:after="20"/>
              <w:jc w:val="right"/>
            </w:pPr>
            <w:r>
              <w:rPr>
                <w:rFonts w:ascii="Georgia" w:hAnsi="Georgia"/>
                <w:sz w:val="14"/>
              </w:rPr>
            </w:r>
            <w:r>
              <w:rPr>
                <w:rFonts w:ascii="Georgia" w:hAnsi="Georgia"/>
                <w:b/>
                <w:sz w:val="14"/>
              </w:rPr>
              <w:t>−52%</w:t>
            </w:r>
          </w:p>
        </w:tc>
        <w:tc>
          <w:tcPr>
            <w:tcW w:type="dxa" w:w="2545"/>
            <w:shd w:val="clear" w:fill="F4F7FA"/>
          </w:tcPr>
          <w:p>
            <w:pPr>
              <w:spacing w:before="20" w:after="20"/>
              <w:jc w:val="right"/>
            </w:pPr>
            <w:r>
              <w:rPr>
                <w:rFonts w:ascii="Georgia" w:hAnsi="Georgia"/>
                <w:sz w:val="14"/>
              </w:rPr>
            </w:r>
            <w:r>
              <w:rPr>
                <w:rFonts w:ascii="Georgia" w:hAnsi="Georgia"/>
                <w:b/>
                <w:sz w:val="14"/>
              </w:rPr>
              <w:t>+40%</w:t>
            </w:r>
          </w:p>
        </w:tc>
        <w:tc>
          <w:tcPr>
            <w:tcW w:type="dxa" w:w="2545"/>
            <w:shd w:val="clear" w:fill="F4F7FA"/>
          </w:tcPr>
          <w:p>
            <w:pPr>
              <w:spacing w:before="20" w:after="20"/>
              <w:jc w:val="right"/>
            </w:pPr>
            <w:r>
              <w:rPr>
                <w:rFonts w:ascii="Georgia" w:hAnsi="Georgia"/>
                <w:sz w:val="14"/>
              </w:rPr>
            </w:r>
            <w:r>
              <w:rPr>
                <w:rFonts w:ascii="Georgia" w:hAnsi="Georgia"/>
                <w:b/>
                <w:sz w:val="14"/>
              </w:rPr>
              <w:t>+113%</w:t>
            </w:r>
          </w:p>
        </w:tc>
      </w:tr>
    </w:tbl>
    <w:p>
      <w:pPr>
        <w:spacing w:after="60"/>
      </w:pPr>
    </w:p>
    <w:p>
      <w:pPr>
        <w:keepNext/>
        <w:spacing w:before="140" w:after="60"/>
      </w:pPr>
      <w:r>
        <w:rPr>
          <w:rFonts w:ascii="Georgia" w:hAnsi="Georgia"/>
          <w:b/>
          <w:color w:val="333333"/>
          <w:sz w:val="19"/>
        </w:rPr>
        <w:t>Probability-weighted outcome</w:t>
      </w:r>
    </w:p>
    <w:p>
      <w:pPr>
        <w:spacing w:before="0" w:after="80"/>
        <w:jc w:val="both"/>
      </w:pPr>
      <w:r>
        <w:rPr/>
        <w:t xml:space="preserve">Applying probabilities of 27.5% bear, 50% base and 22.5% bull to the discounted values gives an expected value of approximately </w:t>
      </w:r>
      <w:r>
        <w:rPr>
          <w:b/>
        </w:rPr>
        <w:t>$151</w:t>
      </w:r>
      <w:r>
        <w:rPr/>
        <w:t>, roughly 32% above the reference price. This aligns with our 12-month fair value of $150.</w:t>
      </w:r>
    </w:p>
    <w:p>
      <w:pPr>
        <w:keepNext/>
        <w:spacing w:before="140" w:after="60"/>
      </w:pPr>
      <w:r>
        <w:rPr>
          <w:rFonts w:ascii="Georgia" w:hAnsi="Georgia"/>
          <w:b/>
          <w:color w:val="333333"/>
          <w:sz w:val="19"/>
        </w:rPr>
        <w:t>Key sensitivities</w:t>
      </w:r>
    </w:p>
    <w:p>
      <w:pPr>
        <w:pStyle w:val="ListBullet"/>
        <w:spacing w:after="50"/>
        <w:ind w:left="403"/>
        <w:jc w:val="both"/>
      </w:pPr>
      <w:r>
        <w:rPr>
          <w:rFonts w:ascii="Georgia" w:hAnsi="Georgia"/>
          <w:b/>
          <w:sz w:val="17"/>
        </w:rPr>
        <w:t>Every 100bp of non-GAAP operating margin is worth approximately $1.05 of 2028 EPS</w:t>
      </w:r>
      <w:r>
        <w:rPr>
          <w:rFonts w:ascii="Georgia" w:hAnsi="Georgia"/>
          <w:sz w:val="17"/>
        </w:rPr>
        <w:t>, or roughly $13 per share at a 12x multiple. Margin is the single most powerful variable.</w:t>
      </w:r>
    </w:p>
    <w:p>
      <w:pPr>
        <w:pStyle w:val="ListBullet"/>
        <w:spacing w:after="50"/>
        <w:ind w:left="403"/>
        <w:jc w:val="both"/>
      </w:pPr>
      <w:r>
        <w:rPr>
          <w:rFonts w:ascii="Georgia" w:hAnsi="Georgia"/>
          <w:b/>
          <w:sz w:val="17"/>
        </w:rPr>
        <w:t>Every 1pp of annual revenue growth over three years is worth roughly $0.55 of 2028 EPS</w:t>
      </w:r>
      <w:r>
        <w:rPr>
          <w:rFonts w:ascii="Georgia" w:hAnsi="Georgia"/>
          <w:sz w:val="17"/>
        </w:rPr>
        <w:t>, or roughly $7 per share.</w:t>
      </w:r>
    </w:p>
    <w:p>
      <w:pPr>
        <w:pStyle w:val="ListBullet"/>
        <w:spacing w:after="50"/>
        <w:ind w:left="403"/>
        <w:jc w:val="both"/>
      </w:pPr>
      <w:r>
        <w:rPr>
          <w:rFonts w:ascii="Georgia" w:hAnsi="Georgia"/>
          <w:b/>
          <w:sz w:val="17"/>
        </w:rPr>
        <w:t>Every 1x of multiple is worth roughly $16 per share</w:t>
      </w:r>
      <w:r>
        <w:rPr>
          <w:rFonts w:ascii="Georgia" w:hAnsi="Georgia"/>
          <w:sz w:val="17"/>
        </w:rPr>
        <w:t xml:space="preserve"> on base-case 2028 EPS. Given the range from the 4.8x ten-year low to the 24.9x median, multiple re-rating dominates all fundamental variables in the medium term.</w:t>
      </w:r>
    </w:p>
    <w:p>
      <w:pPr>
        <w:pStyle w:val="ListBullet"/>
        <w:spacing w:after="50"/>
        <w:ind w:left="403"/>
        <w:jc w:val="both"/>
      </w:pPr>
      <w:r>
        <w:rPr>
          <w:rFonts w:ascii="Georgia" w:hAnsi="Georgia"/>
          <w:b/>
          <w:sz w:val="17"/>
        </w:rPr>
        <w:t>If growth disappoints by 20–30%</w:t>
      </w:r>
      <w:r>
        <w:rPr>
          <w:rFonts w:ascii="Georgia" w:hAnsi="Georgia"/>
          <w:sz w:val="17"/>
        </w:rPr>
        <w:t xml:space="preserve"> relative to base — that is, roughly 3.6–4.2% rather than 5.2% CAGR — 2028 revenue falls to roughly $6.05–6.15bn and, holding margin, EPS falls to roughly $15.30–15.55. At 12x that is approximately $184–187, roughly 5% below base. </w:t>
      </w:r>
      <w:r>
        <w:rPr>
          <w:rFonts w:ascii="Georgia" w:hAnsi="Georgia"/>
          <w:b/>
          <w:sz w:val="17"/>
        </w:rPr>
        <w:t>Growth disappointment alone is not what breaks the equity — margin compression is.</w:t>
      </w:r>
      <w:r>
        <w:rPr>
          <w:rFonts w:ascii="Georgia" w:hAnsi="Georgia"/>
          <w:sz w:val="17"/>
        </w:rPr>
        <w:t xml:space="preserve"> Only if the growth shortfall is accompanied by margin decline does the value fall materially.</w:t>
      </w:r>
    </w:p>
    <w:p>
      <w:pPr>
        <w:keepNext/>
        <w:spacing w:before="320" w:after="120"/>
        <w:pBdr>
          <w:bottom w:val="single" w:sz="12" w:space="2" w:color="0B2545"/>
        </w:pBdr>
      </w:pPr>
      <w:r>
        <w:rPr>
          <w:rFonts w:ascii="Georgia" w:hAnsi="Georgia"/>
          <w:b/>
          <w:color w:val="0B2545"/>
          <w:sz w:val="26"/>
        </w:rPr>
        <w:t>23. Fifteen Questions for the CEO and Executive Chairman</w:t>
      </w:r>
    </w:p>
    <w:p>
      <w:pPr>
        <w:spacing w:before="0" w:after="80"/>
        <w:jc w:val="both"/>
      </w:pPr>
      <w:r>
        <w:rPr/>
        <w:t>Ordered by information value — that is, by how much the answer would change our estimate of intrinsic value.</w:t>
      </w:r>
    </w:p>
    <w:p>
      <w:pPr>
        <w:pStyle w:val="ListNumber"/>
        <w:spacing w:after="50"/>
        <w:ind w:left="403"/>
        <w:jc w:val="both"/>
      </w:pPr>
      <w:r>
        <w:rPr>
          <w:rFonts w:ascii="Georgia" w:hAnsi="Georgia"/>
          <w:b/>
          <w:sz w:val="17"/>
        </w:rPr>
        <w:t>On a like-for-like basis, how many billable hours did it take to deliver a representative project in Q2 2026 versus Q2 2025, and what happened to the price of that project?</w:t>
      </w:r>
      <w:r>
        <w:rPr>
          <w:rFonts w:ascii="Georgia" w:hAnsi="Georgia"/>
          <w:sz w:val="17"/>
        </w:rPr>
        <w:t xml:space="preserve"> This is the single question that resolves the entire investment debate. If hours fell 25% and price fell 10%, EPAM is capturing AI value. If hours fell 25% and price fell 25%, the model is deflating.</w:t>
      </w:r>
    </w:p>
    <w:p>
      <w:pPr>
        <w:pStyle w:val="ListNumber"/>
        <w:spacing w:after="50"/>
        <w:ind w:left="403"/>
        <w:jc w:val="both"/>
      </w:pPr>
      <w:r>
        <w:rPr>
          <w:rFonts w:ascii="Georgia" w:hAnsi="Georgia"/>
          <w:b/>
          <w:sz w:val="17"/>
        </w:rPr>
        <w:t>Define "AI-native revenue" precisely. What is included, what is excluded, who audits it, and how much of it is genuinely incremental rather than reclassified existing work?</w:t>
      </w:r>
      <w:r>
        <w:rPr>
          <w:rFonts w:ascii="Georgia" w:hAnsi="Georgia"/>
          <w:sz w:val="17"/>
        </w:rPr>
        <w:t xml:space="preserve"> This KPI now carries the equity story and is company-defined and unverifiable.</w:t>
      </w:r>
    </w:p>
    <w:p>
      <w:pPr>
        <w:pStyle w:val="ListNumber"/>
        <w:spacing w:after="50"/>
        <w:ind w:left="403"/>
        <w:jc w:val="both"/>
      </w:pPr>
      <w:r>
        <w:rPr>
          <w:rFonts w:ascii="Georgia" w:hAnsi="Georgia"/>
          <w:b/>
          <w:sz w:val="17"/>
        </w:rPr>
        <w:t>The large multi-year AI deals expected to sign in late 2026 did not close. Were they lost to a competitor, deferred by the client, or descoped — and what specifically has changed to give you confidence they close in H1 2027?</w:t>
      </w:r>
    </w:p>
    <w:p>
      <w:pPr>
        <w:pStyle w:val="ListNumber"/>
        <w:spacing w:after="50"/>
        <w:ind w:left="403"/>
        <w:jc w:val="both"/>
      </w:pPr>
      <w:r>
        <w:rPr>
          <w:rFonts w:ascii="Georgia" w:hAnsi="Georgia"/>
          <w:b/>
          <w:sz w:val="17"/>
        </w:rPr>
        <w:t>Q2 2026 operating cash flow was negative $2m against positive $53m a year earlier. Reconcile that precisely. How much is DSO extension, and are you seeing payment behaviour deteriorate at any client cohort?</w:t>
      </w:r>
    </w:p>
    <w:p>
      <w:pPr>
        <w:pStyle w:val="ListNumber"/>
        <w:spacing w:after="50"/>
        <w:ind w:left="403"/>
        <w:jc w:val="both"/>
      </w:pPr>
      <w:r>
        <w:rPr>
          <w:rFonts w:ascii="Georgia" w:hAnsi="Georgia"/>
          <w:b/>
          <w:sz w:val="17"/>
        </w:rPr>
        <w:t>You have cut full-year revenue guidance in 2024, 2025 and 2026. What has changed in your forecasting process, and what would you have to see to guide conservatively enough to raise rather than cut?</w:t>
      </w:r>
    </w:p>
    <w:p>
      <w:pPr>
        <w:pStyle w:val="ListNumber"/>
        <w:spacing w:after="50"/>
        <w:ind w:left="403"/>
        <w:jc w:val="both"/>
      </w:pPr>
      <w:r>
        <w:rPr>
          <w:rFonts w:ascii="Georgia" w:hAnsi="Georgia"/>
          <w:b/>
          <w:sz w:val="17"/>
        </w:rPr>
        <w:t>Software &amp; Hi-Tech and Business Information &amp; Media are both now declining — the two verticals whose clients are most technically capable. Is that insourcing, and what is your evidence it will not propagate to Financial Services and Life Sciences?</w:t>
      </w:r>
    </w:p>
    <w:p>
      <w:pPr>
        <w:pStyle w:val="ListNumber"/>
        <w:spacing w:after="50"/>
        <w:ind w:left="403"/>
        <w:jc w:val="both"/>
      </w:pPr>
      <w:r>
        <w:rPr>
          <w:rFonts w:ascii="Georgia" w:hAnsi="Georgia"/>
          <w:b/>
          <w:sz w:val="17"/>
        </w:rPr>
        <w:t>Gross margin rose 190bp on price increases. As contracts renew and procurement benchmarks AI-driven productivity, what proportion of that gain do you expect to retain in 2027 and 2028?</w:t>
      </w:r>
    </w:p>
    <w:p>
      <w:pPr>
        <w:pStyle w:val="ListNumber"/>
        <w:spacing w:after="50"/>
        <w:ind w:left="403"/>
        <w:jc w:val="both"/>
      </w:pPr>
      <w:r>
        <w:rPr>
          <w:rFonts w:ascii="Georgia" w:hAnsi="Georgia"/>
          <w:b/>
          <w:sz w:val="17"/>
        </w:rPr>
        <w:t>What is the durable revenue-per-delivery-professional trajectory?</w:t>
      </w:r>
      <w:r>
        <w:rPr>
          <w:rFonts w:ascii="Georgia" w:hAnsi="Georgia"/>
          <w:sz w:val="17"/>
        </w:rPr>
        <w:t xml:space="preserve"> Revenue grew 4.5% on headcount growth of 1.5%. Is that the new structural model, and what does it mean for the margin ceiling that has capped this business near 17% for a decade?</w:t>
      </w:r>
    </w:p>
    <w:p>
      <w:pPr>
        <w:pStyle w:val="ListNumber"/>
        <w:spacing w:after="50"/>
        <w:ind w:left="403"/>
        <w:jc w:val="both"/>
      </w:pPr>
      <w:r>
        <w:rPr>
          <w:rFonts w:ascii="Georgia" w:hAnsi="Georgia"/>
          <w:b/>
          <w:sz w:val="17"/>
        </w:rPr>
        <w:t>You spent roughly $920m on NEORIS and First Derivative in 2024. What is the revenue and ROIC of each today versus underwriting, and at what point would you consider goodwill impairment?</w:t>
      </w:r>
    </w:p>
    <w:p>
      <w:pPr>
        <w:pStyle w:val="ListNumber"/>
        <w:spacing w:after="50"/>
        <w:ind w:left="403"/>
        <w:jc w:val="both"/>
      </w:pPr>
      <w:r>
        <w:rPr>
          <w:rFonts w:ascii="Georgia" w:hAnsi="Georgia"/>
          <w:b/>
          <w:sz w:val="17"/>
        </w:rPr>
        <w:t>With net cash of $769m, an undrawn $675m revolver and the stock at 8.7x earnings, why is the balance sheet not levered to accelerate repurchases? What specific scenario is the cash being retained against?</w:t>
      </w:r>
    </w:p>
    <w:p>
      <w:pPr>
        <w:pStyle w:val="ListNumber"/>
        <w:spacing w:after="50"/>
        <w:ind w:left="403"/>
        <w:jc w:val="both"/>
      </w:pPr>
      <w:r>
        <w:rPr>
          <w:rFonts w:ascii="Georgia" w:hAnsi="Georgia"/>
          <w:b/>
          <w:sz w:val="17"/>
        </w:rPr>
        <w:t>Stock-based compensation runs at roughly $200m against roughly $425m of buyback. What proportion of repurchases is genuinely returning capital rather than funding compensation, and where do you want that ratio in 2028?</w:t>
      </w:r>
    </w:p>
    <w:p>
      <w:pPr>
        <w:pStyle w:val="ListNumber"/>
        <w:spacing w:after="50"/>
        <w:ind w:left="403"/>
        <w:jc w:val="both"/>
      </w:pPr>
      <w:r>
        <w:rPr>
          <w:rFonts w:ascii="Georgia" w:hAnsi="Georgia"/>
          <w:b/>
          <w:sz w:val="17"/>
        </w:rPr>
        <w:t>What is the actual competitive win/loss record against Accenture over the last four quarters, and is the loss rate on AI-led transformation mandates different from the historical average?</w:t>
      </w:r>
    </w:p>
    <w:p>
      <w:pPr>
        <w:pStyle w:val="ListNumber"/>
        <w:spacing w:after="50"/>
        <w:ind w:left="403"/>
        <w:jc w:val="both"/>
      </w:pPr>
      <w:r>
        <w:rPr>
          <w:rFonts w:ascii="Georgia" w:hAnsi="Georgia"/>
          <w:b/>
          <w:sz w:val="17"/>
        </w:rPr>
        <w:t>Mr Dobkin: as Executive Chairman, where do you and Mr Fejes disagree on the AI-native strategy, and how are those disagreements resolved?</w:t>
      </w:r>
      <w:r>
        <w:rPr>
          <w:rFonts w:ascii="Georgia" w:hAnsi="Georgia"/>
          <w:sz w:val="17"/>
        </w:rPr>
        <w:t xml:space="preserve"> Divided authority during a decisive transition is the principal governance risk.</w:t>
      </w:r>
    </w:p>
    <w:p>
      <w:pPr>
        <w:pStyle w:val="ListNumber"/>
        <w:spacing w:after="50"/>
        <w:ind w:left="403"/>
        <w:jc w:val="both"/>
      </w:pPr>
      <w:r>
        <w:rPr>
          <w:rFonts w:ascii="Georgia" w:hAnsi="Georgia"/>
          <w:b/>
          <w:sz w:val="17"/>
        </w:rPr>
        <w:t>The 2028 targets set in March 2026 assumed a return to double-digit organic growth. Five months later you guided to 2–3% organic. Are those targets withdrawn, deferred, or still live — and if live, what is the bridge?</w:t>
      </w:r>
    </w:p>
    <w:p>
      <w:pPr>
        <w:pStyle w:val="ListNumber"/>
        <w:spacing w:after="50"/>
        <w:ind w:left="403"/>
        <w:jc w:val="both"/>
      </w:pPr>
      <w:r>
        <w:rPr>
          <w:rFonts w:ascii="Georgia" w:hAnsi="Georgia"/>
          <w:b/>
          <w:sz w:val="17"/>
        </w:rPr>
        <w:t>If in 2028 revenue is flat and margins are at 16%, would you consider a sale of the company, and what would the board regard as fair value?</w:t>
      </w:r>
    </w:p>
    <w:p>
      <w:r>
        <w:br w:type="page"/>
      </w:r>
    </w:p>
    <w:p>
      <w:pPr>
        <w:keepNext/>
        <w:spacing w:before="320" w:after="120"/>
        <w:pBdr>
          <w:bottom w:val="single" w:sz="12" w:space="2" w:color="0B2545"/>
        </w:pBdr>
      </w:pPr>
      <w:r>
        <w:rPr>
          <w:rFonts w:ascii="Georgia" w:hAnsi="Georgia"/>
          <w:b/>
          <w:color w:val="0B2545"/>
          <w:sz w:val="26"/>
        </w:rPr>
        <w:t>24. Short-Seller and Forensic Analysis</w:t>
      </w:r>
    </w:p>
    <w:p>
      <w:pPr>
        <w:keepNext/>
        <w:spacing w:before="200" w:after="80"/>
      </w:pPr>
      <w:r>
        <w:rPr>
          <w:rFonts w:ascii="Georgia" w:hAnsi="Georgia"/>
          <w:b/>
          <w:color w:val="14487F"/>
          <w:sz w:val="21"/>
        </w:rPr>
        <w:t>What could structurally break the way EPAM makes money</w:t>
      </w:r>
    </w:p>
    <w:p>
      <w:pPr>
        <w:spacing w:before="0" w:after="80"/>
        <w:jc w:val="both"/>
      </w:pPr>
      <w:r>
        <w:rPr/>
        <w:t>EPAM converts engineer-hours into billings. Three mechanisms could break that conversion permanently:</w:t>
      </w:r>
    </w:p>
    <w:p>
      <w:pPr>
        <w:pStyle w:val="ListNumber"/>
        <w:spacing w:after="50"/>
        <w:ind w:left="403"/>
        <w:jc w:val="both"/>
      </w:pPr>
      <w:r>
        <w:rPr>
          <w:rFonts w:ascii="Georgia" w:hAnsi="Georgia"/>
          <w:b/>
          <w:sz w:val="17"/>
        </w:rPr>
        <w:t>Hours deflation without price compensation.</w:t>
      </w:r>
      <w:r>
        <w:rPr>
          <w:rFonts w:ascii="Georgia" w:hAnsi="Georgia"/>
          <w:sz w:val="17"/>
        </w:rPr>
        <w:t xml:space="preserve"> Under time-and-materials contracts, an AI-driven 40% reduction in hours mechanically reduces revenue 40% unless rates rise correspondingly. There is no contractual protection: no committed volumes, no minimum spend, termination on 30–90 days' notice.</w:t>
      </w:r>
    </w:p>
    <w:p>
      <w:pPr>
        <w:pStyle w:val="ListNumber"/>
        <w:spacing w:after="50"/>
        <w:ind w:left="403"/>
        <w:jc w:val="both"/>
      </w:pPr>
      <w:r>
        <w:rPr>
          <w:rFonts w:ascii="Georgia" w:hAnsi="Georgia"/>
          <w:b/>
          <w:sz w:val="17"/>
        </w:rPr>
        <w:t>The bill-rate premium disappears.</w:t>
      </w:r>
      <w:r>
        <w:rPr>
          <w:rFonts w:ascii="Georgia" w:hAnsi="Georgia"/>
          <w:sz w:val="17"/>
        </w:rPr>
        <w:t xml:space="preserve"> EPAM's entire economic rationale is that its engineers are worth more per hour than TCS's or Infosys's. If AI tooling raises the floor — making an average engineer with excellent tools nearly as productive as an excellent engineer — the premium collapses and EPAM converges to Indian-heritage pricing at a materially worse cost base, since its Central European and Latin American delivery is more expensive than Indian delivery.</w:t>
      </w:r>
    </w:p>
    <w:p>
      <w:pPr>
        <w:pStyle w:val="ListNumber"/>
        <w:spacing w:after="50"/>
        <w:ind w:left="403"/>
        <w:jc w:val="both"/>
      </w:pPr>
      <w:r>
        <w:rPr>
          <w:rFonts w:ascii="Georgia" w:hAnsi="Georgia"/>
          <w:b/>
          <w:sz w:val="17"/>
        </w:rPr>
        <w:t>Disintermediation by the platform providers.</w:t>
      </w:r>
      <w:r>
        <w:rPr>
          <w:rFonts w:ascii="Georgia" w:hAnsi="Georgia"/>
          <w:sz w:val="17"/>
        </w:rPr>
        <w:t xml:space="preserve"> If Microsoft, AWS, Google or the foundation-model providers ship agentic development platforms that enterprises operate directly, the systems-integrator layer is squeezed out. EPAM would become a reseller of someone else's productivity.</w:t>
      </w:r>
    </w:p>
    <w:p>
      <w:pPr>
        <w:keepNext/>
        <w:spacing w:before="200" w:after="80"/>
      </w:pPr>
      <w:r>
        <w:rPr>
          <w:rFonts w:ascii="Georgia" w:hAnsi="Georgia"/>
          <w:b/>
          <w:color w:val="14487F"/>
          <w:sz w:val="21"/>
        </w:rPr>
        <w:t>Where the revenue is concentrated, and what happens if it shifts</w:t>
      </w:r>
    </w:p>
    <w:p>
      <w:pPr>
        <w:spacing w:before="0" w:after="80"/>
        <w:jc w:val="both"/>
      </w:pPr>
      <w:r>
        <w:rPr/>
        <w:t xml:space="preserve">Client concentration is genuinely low — top five at 13.7%, top ten at 21.6%. </w:t>
      </w:r>
      <w:r>
        <w:rPr>
          <w:b/>
        </w:rPr>
        <w:t>The concentration that matters is not by client but by geography and contract type.</w:t>
      </w:r>
    </w:p>
    <w:p>
      <w:pPr>
        <w:pStyle w:val="ListBullet"/>
        <w:spacing w:after="50"/>
        <w:ind w:left="403"/>
        <w:jc w:val="both"/>
      </w:pPr>
      <w:r>
        <w:rPr>
          <w:rFonts w:ascii="Georgia" w:hAnsi="Georgia"/>
          <w:b/>
          <w:sz w:val="17"/>
        </w:rPr>
        <w:t>Americas: c.58.6% of revenue, growing +0.5%.</w:t>
      </w:r>
      <w:r>
        <w:rPr>
          <w:rFonts w:ascii="Georgia" w:hAnsi="Georgia"/>
          <w:sz w:val="17"/>
        </w:rPr>
        <w:t xml:space="preserve"> If the Americas turns negative — and it is 50bp from doing so — EMEA at +10.9% cannot hold total growth positive. Total revenue goes negative in 2027.</w:t>
      </w:r>
    </w:p>
    <w:p>
      <w:pPr>
        <w:pStyle w:val="ListBullet"/>
        <w:spacing w:after="50"/>
        <w:ind w:left="403"/>
        <w:jc w:val="both"/>
      </w:pPr>
      <w:r>
        <w:rPr>
          <w:rFonts w:ascii="Georgia" w:hAnsi="Georgia"/>
          <w:b/>
          <w:sz w:val="17"/>
        </w:rPr>
        <w:t>Time-and-materials: c.85–90% of revenue.</w:t>
      </w:r>
      <w:r>
        <w:rPr>
          <w:rFonts w:ascii="Georgia" w:hAnsi="Georgia"/>
          <w:sz w:val="17"/>
        </w:rPr>
        <w:t xml:space="preserve"> This is the true concentration risk. Almost the entire business sits in the contract structure most exposed to hours deflation and least protected against termination.</w:t>
      </w:r>
    </w:p>
    <w:p>
      <w:pPr>
        <w:pStyle w:val="ListBullet"/>
        <w:spacing w:after="50"/>
        <w:ind w:left="403"/>
        <w:jc w:val="both"/>
      </w:pPr>
      <w:r>
        <w:rPr>
          <w:rFonts w:ascii="Georgia" w:hAnsi="Georgia"/>
          <w:b/>
          <w:sz w:val="17"/>
        </w:rPr>
        <w:t>Two verticals already declining</w:t>
      </w:r>
      <w:r>
        <w:rPr>
          <w:rFonts w:ascii="Georgia" w:hAnsi="Georgia"/>
          <w:sz w:val="17"/>
        </w:rPr>
        <w:t>, representing 27.5% of FY2025 revenue.</w:t>
      </w:r>
    </w:p>
    <w:p>
      <w:pPr>
        <w:keepNext/>
        <w:spacing w:before="200" w:after="80"/>
      </w:pPr>
      <w:r>
        <w:rPr>
          <w:rFonts w:ascii="Georgia" w:hAnsi="Georgia"/>
          <w:b/>
          <w:color w:val="14487F"/>
          <w:sz w:val="21"/>
        </w:rPr>
        <w:t>Why the moat may be weaker than bulls think</w:t>
      </w:r>
    </w:p>
    <w:p>
      <w:pPr>
        <w:pStyle w:val="ListBullet"/>
        <w:spacing w:after="50"/>
        <w:ind w:left="403"/>
        <w:jc w:val="both"/>
      </w:pPr>
      <w:r>
        <w:rPr>
          <w:rFonts w:ascii="Georgia" w:hAnsi="Georgia"/>
          <w:b/>
          <w:sz w:val="17"/>
        </w:rPr>
        <w:t>Switching costs protect the incumbent team, not the rate.</w:t>
      </w:r>
      <w:r>
        <w:rPr>
          <w:rFonts w:ascii="Georgia" w:hAnsi="Georgia"/>
          <w:sz w:val="17"/>
        </w:rPr>
        <w:t xml:space="preserve"> Clients need not switch supplier to extract price — they simply renegotiate at renewal, and AI-assisted knowledge transfer lowers the cost of switching if they choose to.</w:t>
      </w:r>
    </w:p>
    <w:p>
      <w:pPr>
        <w:pStyle w:val="ListBullet"/>
        <w:spacing w:after="50"/>
        <w:ind w:left="403"/>
        <w:jc w:val="both"/>
      </w:pPr>
      <w:r>
        <w:rPr>
          <w:rFonts w:ascii="Georgia" w:hAnsi="Georgia"/>
          <w:b/>
          <w:sz w:val="17"/>
        </w:rPr>
        <w:t>The "engineering quality" brand is unmeasurable and therefore fragile.</w:t>
      </w:r>
      <w:r>
        <w:rPr>
          <w:rFonts w:ascii="Georgia" w:hAnsi="Georgia"/>
          <w:sz w:val="17"/>
        </w:rPr>
        <w:t xml:space="preserve"> It commands a premium only while procurement believes it. AI-driven output benchmarking makes quality newly measurable — and if EPAM's output proves only marginally better than a cheaper competitor's, the premium evaporates on the next tender.</w:t>
      </w:r>
    </w:p>
    <w:p>
      <w:pPr>
        <w:pStyle w:val="ListBullet"/>
        <w:spacing w:after="50"/>
        <w:ind w:left="403"/>
        <w:jc w:val="both"/>
      </w:pPr>
      <w:r>
        <w:rPr>
          <w:rFonts w:ascii="Georgia" w:hAnsi="Georgia"/>
          <w:b/>
          <w:sz w:val="17"/>
        </w:rPr>
        <w:t>AI/RUN and DIAL are not defensible IP in any legal sense.</w:t>
      </w:r>
      <w:r>
        <w:rPr>
          <w:rFonts w:ascii="Georgia" w:hAnsi="Georgia"/>
          <w:sz w:val="17"/>
        </w:rPr>
        <w:t xml:space="preserve"> They are methodologies and orchestration layers. Accenture, Infosys and TCS are building equivalents with vastly larger R&amp;D budgets. EPAM has a head start, not a patent.</w:t>
      </w:r>
    </w:p>
    <w:p>
      <w:pPr>
        <w:pStyle w:val="ListBullet"/>
        <w:spacing w:after="50"/>
        <w:ind w:left="403"/>
        <w:jc w:val="both"/>
      </w:pPr>
      <w:r>
        <w:rPr>
          <w:rFonts w:ascii="Georgia" w:hAnsi="Georgia"/>
          <w:b/>
          <w:sz w:val="17"/>
        </w:rPr>
        <w:t>No network effect, no regulatory barrier, no hard assets, no long-term contracts.</w:t>
      </w:r>
      <w:r>
        <w:rPr>
          <w:rFonts w:ascii="Georgia" w:hAnsi="Georgia"/>
          <w:sz w:val="17"/>
        </w:rPr>
        <w:t xml:space="preserve"> On four of the ten standard moat dimensions, EPAM scores at or near zero.</w:t>
      </w:r>
    </w:p>
    <w:p>
      <w:pPr>
        <w:keepNext/>
        <w:spacing w:before="200" w:after="80"/>
      </w:pPr>
      <w:r>
        <w:rPr>
          <w:rFonts w:ascii="Georgia" w:hAnsi="Georgia"/>
          <w:b/>
          <w:color w:val="14487F"/>
          <w:sz w:val="21"/>
        </w:rPr>
        <w:t>The most dangerous competitor bulls are underestimating</w:t>
      </w:r>
    </w:p>
    <w:p>
      <w:pPr>
        <w:spacing w:before="40" w:after="60"/>
        <w:ind w:left="173" w:right="115"/>
        <w:jc w:val="both"/>
        <w:pBdr>
          <w:left w:val="single" w:sz="18" w:space="6" w:color="0B2545"/>
        </w:pBdr>
        <w:shd w:val="clear" w:fill="F4F7FA"/>
      </w:pPr>
      <w:r>
        <w:rPr>
          <w:b/>
          <w:sz w:val="17"/>
        </w:rPr>
        <w:t>Accenture.</w:t>
      </w:r>
      <w:r>
        <w:rPr>
          <w:sz w:val="17"/>
        </w:rPr>
        <w:t xml:space="preserve"> Not Globant, not Endava, not the Indian majors — Accenture.</w:t>
      </w:r>
    </w:p>
    <w:p>
      <w:pPr>
        <w:spacing w:before="40" w:after="60"/>
        <w:ind w:left="173" w:right="115"/>
        <w:jc w:val="both"/>
        <w:pBdr>
          <w:left w:val="single" w:sz="18" w:space="6" w:color="0B2545"/>
        </w:pBdr>
        <w:shd w:val="clear" w:fill="F4F7FA"/>
      </w:pPr>
      <w:r>
        <w:rPr>
          <w:sz w:val="17"/>
        </w:rPr>
        <w:t xml:space="preserve">Bulls dismiss Accenture as a slow-moving strategy house that competes in a different tier. That is a misreading of how AI transformation budgets are being allocated. AI-native transformation is a </w:t>
      </w:r>
      <w:r>
        <w:rPr>
          <w:i/>
          <w:sz w:val="17"/>
        </w:rPr>
        <w:t>board-level, enterprise-wide</w:t>
      </w:r>
      <w:r>
        <w:rPr>
          <w:sz w:val="17"/>
        </w:rPr>
        <w:t xml:space="preserve"> decision, not a project-level engineering decision. It is precisely the kind of mandate Accenture is structurally built to win: it owns the C-suite relationship, it can bundle strategy, change management, engineering and managed services into a single programme, and at roughly $65bn of revenue it can invest more in AI capability in a single year than EPAM generates in total revenue.</w:t>
      </w:r>
    </w:p>
    <w:p>
      <w:pPr>
        <w:spacing w:before="40" w:after="60"/>
        <w:ind w:left="173" w:right="115"/>
        <w:jc w:val="both"/>
        <w:pBdr>
          <w:left w:val="single" w:sz="18" w:space="6" w:color="0B2545"/>
        </w:pBdr>
        <w:shd w:val="clear" w:fill="F4F7FA"/>
      </w:pPr>
      <w:r>
        <w:rPr>
          <w:sz w:val="17"/>
        </w:rPr>
        <w:t xml:space="preserve">The danger is not that Accenture beats EPAM in a competitive bid. It is that </w:t>
      </w:r>
      <w:r>
        <w:rPr>
          <w:b/>
          <w:sz w:val="17"/>
        </w:rPr>
        <w:t>Accenture wins the mandate before a bid ever happens</w:t>
      </w:r>
      <w:r>
        <w:rPr>
          <w:sz w:val="17"/>
        </w:rPr>
        <w:t>, and then subcontracts commodity engineering to whoever is cheapest — which is not EPAM. This is exactly the mechanism by which EPAM's largest AI opportunities could fail to close while the market for AI services grows rapidly. The Q2 2026 disclosure that large AI deals did not sign, combined with Americas growth of +0.5%, is consistent with this dynamic already operating.</w:t>
      </w:r>
    </w:p>
    <w:p>
      <w:pPr>
        <w:keepNext/>
        <w:spacing w:before="200" w:after="80"/>
      </w:pPr>
      <w:r>
        <w:rPr>
          <w:rFonts w:ascii="Georgia" w:hAnsi="Georgia"/>
          <w:b/>
          <w:color w:val="14487F"/>
          <w:sz w:val="21"/>
        </w:rPr>
        <w:t>The worst capital allocation decisions</w:t>
      </w:r>
    </w:p>
    <w:p>
      <w:pPr>
        <w:pStyle w:val="ListNumber"/>
        <w:spacing w:after="50"/>
        <w:ind w:left="403"/>
        <w:jc w:val="both"/>
      </w:pPr>
      <w:r>
        <w:rPr>
          <w:rFonts w:ascii="Georgia" w:hAnsi="Georgia"/>
          <w:b/>
          <w:sz w:val="17"/>
        </w:rPr>
        <w:t>NEORIS at $626.3m (November 2024).</w:t>
      </w:r>
      <w:r>
        <w:rPr>
          <w:rFonts w:ascii="Georgia" w:hAnsi="Georgia"/>
          <w:sz w:val="17"/>
        </w:rPr>
        <w:t xml:space="preserve"> The largest acquisition in EPAM's history, executed near the cycle peak, buying Latin American nearshore capacity to serve US clients — in a market where US demand subsequently grew +0.5%. It consumed the interest-earning cash pile, contributing to the FY2025 GAAP EPS decline of 14.3%, and added the bulk of roughly $1.21bn of goodwill.</w:t>
      </w:r>
    </w:p>
    <w:p>
      <w:pPr>
        <w:pStyle w:val="ListNumber"/>
        <w:spacing w:after="50"/>
        <w:ind w:left="403"/>
        <w:jc w:val="both"/>
      </w:pPr>
      <w:r>
        <w:rPr>
          <w:rFonts w:ascii="Georgia" w:hAnsi="Georgia"/>
          <w:b/>
          <w:sz w:val="17"/>
        </w:rPr>
        <w:t>Buybacks at elevated prices.</w:t>
      </w:r>
      <w:r>
        <w:rPr>
          <w:rFonts w:ascii="Georgia" w:hAnsi="Georgia"/>
          <w:sz w:val="17"/>
        </w:rPr>
        <w:t xml:space="preserve"> $662.2m repurchased in FY2025 at prices materially above today's $114.80. Value was destroyed on that tranche, and the FY2025 diluted count fell by only roughly 0.7m shares for that spend.</w:t>
      </w:r>
    </w:p>
    <w:p>
      <w:pPr>
        <w:pStyle w:val="ListNumber"/>
        <w:spacing w:after="50"/>
        <w:ind w:left="403"/>
        <w:jc w:val="both"/>
      </w:pPr>
      <w:r>
        <w:rPr>
          <w:rFonts w:ascii="Georgia" w:hAnsi="Georgia"/>
          <w:b/>
          <w:sz w:val="17"/>
        </w:rPr>
        <w:t>Excessive cash retention.</w:t>
      </w:r>
      <w:r>
        <w:rPr>
          <w:rFonts w:ascii="Georgia" w:hAnsi="Georgia"/>
          <w:sz w:val="17"/>
        </w:rPr>
        <w:t xml:space="preserve"> Holding $794m earning roughly 4% while the equity offers a roughly 10% free cash flow yield is a quantifiable, ongoing misallocation.</w:t>
      </w:r>
    </w:p>
    <w:p>
      <w:pPr>
        <w:pStyle w:val="ListNumber"/>
        <w:spacing w:after="50"/>
        <w:ind w:left="403"/>
        <w:jc w:val="both"/>
      </w:pPr>
      <w:r>
        <w:rPr>
          <w:rFonts w:ascii="Georgia" w:hAnsi="Georgia"/>
          <w:b/>
          <w:sz w:val="17"/>
        </w:rPr>
        <w:t>Roughly $1.2bn of gross buybacks across FY2023–25 reducing the share count by only roughly 1.9m shares.</w:t>
      </w:r>
      <w:r>
        <w:rPr>
          <w:rFonts w:ascii="Georgia" w:hAnsi="Georgia"/>
          <w:sz w:val="17"/>
        </w:rPr>
        <w:t xml:space="preserve"> The difference is stock-based compensation. Investors funded employee compensation while being told capital was being returned.</w:t>
      </w:r>
    </w:p>
    <w:p>
      <w:pPr>
        <w:keepNext/>
        <w:spacing w:before="200" w:after="80"/>
      </w:pPr>
      <w:r>
        <w:rPr>
          <w:rFonts w:ascii="Georgia" w:hAnsi="Georgia"/>
          <w:b/>
          <w:color w:val="14487F"/>
          <w:sz w:val="21"/>
        </w:rPr>
        <w:t>Related-party transactions, aggressive accounting and misaligned incentives</w:t>
      </w:r>
    </w:p>
    <w:p>
      <w:pPr>
        <w:pStyle w:val="ListBullet"/>
        <w:spacing w:after="50"/>
        <w:ind w:left="403"/>
        <w:jc w:val="both"/>
      </w:pPr>
      <w:r>
        <w:rPr>
          <w:rFonts w:ascii="Georgia" w:hAnsi="Georgia"/>
          <w:b/>
          <w:sz w:val="17"/>
        </w:rPr>
        <w:t>Related parties:</w:t>
      </w:r>
      <w:r>
        <w:rPr>
          <w:rFonts w:ascii="Georgia" w:hAnsi="Georgia"/>
          <w:sz w:val="17"/>
        </w:rPr>
        <w:t xml:space="preserve"> none of significance identified. This appears clean.</w:t>
      </w:r>
    </w:p>
    <w:p>
      <w:pPr>
        <w:pStyle w:val="ListBullet"/>
        <w:spacing w:after="50"/>
        <w:ind w:left="403"/>
        <w:jc w:val="both"/>
      </w:pPr>
      <w:r>
        <w:rPr>
          <w:rFonts w:ascii="Georgia" w:hAnsi="Georgia"/>
          <w:b/>
          <w:sz w:val="17"/>
        </w:rPr>
        <w:t>Aggressive accounting:</w:t>
      </w:r>
      <w:r>
        <w:rPr>
          <w:rFonts w:ascii="Georgia" w:hAnsi="Georgia"/>
          <w:sz w:val="17"/>
        </w:rPr>
        <w:t xml:space="preserve"> no evidence of revenue-recognition manipulation or channel stuffing was identified; a time-and-materials services model offers limited scope for either.</w:t>
      </w:r>
    </w:p>
    <w:p>
      <w:pPr>
        <w:pStyle w:val="ListBullet"/>
        <w:spacing w:after="50"/>
        <w:ind w:left="403"/>
        <w:jc w:val="both"/>
      </w:pPr>
      <w:r>
        <w:rPr>
          <w:rFonts w:ascii="Georgia" w:hAnsi="Georgia"/>
          <w:b/>
          <w:sz w:val="17"/>
        </w:rPr>
        <w:t>Misaligned incentives:</w:t>
      </w:r>
      <w:r>
        <w:rPr>
          <w:rFonts w:ascii="Georgia" w:hAnsi="Georgia"/>
          <w:sz w:val="17"/>
        </w:rPr>
        <w:t xml:space="preserve"> a genuine concern. Compensation is heavily equity-based (roughly $200m annually, approximately 3.5% of revenue), and if performance metrics are anchored to </w:t>
      </w:r>
      <w:r>
        <w:rPr>
          <w:rFonts w:ascii="Georgia" w:hAnsi="Georgia"/>
          <w:i/>
          <w:sz w:val="17"/>
        </w:rPr>
        <w:t>non-GAAP</w:t>
      </w:r>
      <w:r>
        <w:rPr>
          <w:rFonts w:ascii="Georgia" w:hAnsi="Georgia"/>
          <w:sz w:val="17"/>
        </w:rPr>
        <w:t xml:space="preserve"> EPS — which excludes that very compensation — management is rewarded on a measure that ignores the largest cost it controls. Insider ownership at 4.3%, with the founder's stake down from 12.1% to roughly 3.4%, provides progressively weaker alignment.</w:t>
      </w:r>
    </w:p>
    <w:p>
      <w:pPr>
        <w:keepNext/>
        <w:spacing w:before="200" w:after="80"/>
      </w:pPr>
      <w:r>
        <w:rPr>
          <w:rFonts w:ascii="Georgia" w:hAnsi="Georgia"/>
          <w:b/>
          <w:color w:val="14487F"/>
          <w:sz w:val="21"/>
        </w:rPr>
        <w:t>Red flags and accounting risks by statement</w:t>
      </w:r>
    </w:p>
    <w:tbl>
      <w:tblPr>
        <w:tblStyle w:val="TableGrid"/>
        <w:tblW w:type="auto" w:w="0"/>
        <w:jc w:val="center"/>
        <w:tblLayout w:type="autofit"/>
        <w:tblLook w:firstColumn="1" w:firstRow="1" w:lastColumn="0" w:lastRow="0" w:noHBand="0" w:noVBand="1" w:val="04A0"/>
      </w:tblPr>
      <w:tblGrid>
        <w:gridCol w:w="3394"/>
        <w:gridCol w:w="3394"/>
        <w:gridCol w:w="3394"/>
      </w:tblGrid>
      <w:tr>
        <w:tc>
          <w:tcPr>
            <w:tcW w:type="dxa" w:w="3394"/>
            <w:shd w:val="clear" w:fill="0B2545"/>
          </w:tcPr>
          <w:p>
            <w:pPr>
              <w:spacing w:before="20" w:after="20"/>
            </w:pPr>
            <w:r>
              <w:rPr>
                <w:rFonts w:ascii="Georgia" w:hAnsi="Georgia"/>
                <w:b/>
                <w:color w:val="FFFFFF"/>
                <w:sz w:val="14"/>
              </w:rPr>
            </w:r>
            <w:r>
              <w:rPr>
                <w:rFonts w:ascii="Georgia" w:hAnsi="Georgia"/>
                <w:b/>
                <w:color w:val="FFFFFF"/>
                <w:sz w:val="14"/>
              </w:rPr>
              <w:t>Area</w:t>
            </w:r>
          </w:p>
        </w:tc>
        <w:tc>
          <w:tcPr>
            <w:tcW w:type="dxa" w:w="3394"/>
            <w:shd w:val="clear" w:fill="0B2545"/>
          </w:tcPr>
          <w:p>
            <w:pPr>
              <w:spacing w:before="20" w:after="20"/>
            </w:pPr>
            <w:r>
              <w:rPr>
                <w:rFonts w:ascii="Georgia" w:hAnsi="Georgia"/>
                <w:b/>
                <w:color w:val="FFFFFF"/>
                <w:sz w:val="14"/>
              </w:rPr>
            </w:r>
            <w:r>
              <w:rPr>
                <w:rFonts w:ascii="Georgia" w:hAnsi="Georgia"/>
                <w:b/>
                <w:color w:val="FFFFFF"/>
                <w:sz w:val="14"/>
              </w:rPr>
              <w:t>Risk level</w:t>
            </w:r>
          </w:p>
        </w:tc>
        <w:tc>
          <w:tcPr>
            <w:tcW w:type="dxa" w:w="3394"/>
            <w:shd w:val="clear" w:fill="0B2545"/>
          </w:tcPr>
          <w:p>
            <w:pPr>
              <w:spacing w:before="20" w:after="20"/>
            </w:pPr>
            <w:r>
              <w:rPr>
                <w:rFonts w:ascii="Georgia" w:hAnsi="Georgia"/>
                <w:b/>
                <w:color w:val="FFFFFF"/>
                <w:sz w:val="14"/>
              </w:rPr>
            </w:r>
            <w:r>
              <w:rPr>
                <w:rFonts w:ascii="Georgia" w:hAnsi="Georgia"/>
                <w:b/>
                <w:color w:val="FFFFFF"/>
                <w:sz w:val="14"/>
              </w:rPr>
              <w:t>Assessment</w:t>
            </w:r>
          </w:p>
        </w:tc>
      </w:tr>
      <w:tr>
        <w:tc>
          <w:tcPr>
            <w:tcW w:type="dxa" w:w="3394"/>
          </w:tcPr>
          <w:p>
            <w:pPr>
              <w:spacing w:before="20" w:after="20"/>
            </w:pPr>
            <w:r>
              <w:rPr>
                <w:rFonts w:ascii="Georgia" w:hAnsi="Georgia"/>
                <w:sz w:val="14"/>
              </w:rPr>
            </w:r>
            <w:r>
              <w:rPr>
                <w:rFonts w:ascii="Georgia" w:hAnsi="Georgia"/>
                <w:b/>
                <w:sz w:val="14"/>
              </w:rPr>
              <w:t>Revenue recognition</w:t>
            </w:r>
          </w:p>
        </w:tc>
        <w:tc>
          <w:tcPr>
            <w:tcW w:type="dxa" w:w="3394"/>
          </w:tcPr>
          <w:p>
            <w:pPr>
              <w:spacing w:before="20" w:after="20"/>
            </w:pPr>
            <w:r>
              <w:rPr>
                <w:rFonts w:ascii="Georgia" w:hAnsi="Georgia"/>
                <w:sz w:val="14"/>
              </w:rPr>
            </w:r>
            <w:r>
              <w:rPr>
                <w:rFonts w:ascii="Georgia" w:hAnsi="Georgia"/>
                <w:sz w:val="14"/>
              </w:rPr>
              <w:t>Low</w:t>
            </w:r>
          </w:p>
        </w:tc>
        <w:tc>
          <w:tcPr>
            <w:tcW w:type="dxa" w:w="3394"/>
          </w:tcPr>
          <w:p>
            <w:pPr>
              <w:spacing w:before="20" w:after="20"/>
            </w:pPr>
            <w:r>
              <w:rPr>
                <w:rFonts w:ascii="Georgia" w:hAnsi="Georgia"/>
                <w:sz w:val="14"/>
              </w:rPr>
            </w:r>
            <w:r>
              <w:rPr>
                <w:rFonts w:ascii="Georgia" w:hAnsi="Georgia"/>
                <w:sz w:val="14"/>
              </w:rPr>
              <w:t>Roughly 85–90% time-and-materials, billed monthly in arrears for hours actually worked — among the cleanest revenue models in any sector. The residual risk sits in fixed-price work recognised on a proportional-performance basis, where estimated costs to complete are a management judgement. Watch this line: management cited "improved fixed-fee profitability" in Q2 2026, which is either genuine AI-driven efficiency or a favourable revision of completion estimates. The two are indistinguishable from outside.</w:t>
            </w:r>
          </w:p>
        </w:tc>
      </w:tr>
      <w:tr>
        <w:tc>
          <w:tcPr>
            <w:tcW w:type="dxa" w:w="3394"/>
            <w:shd w:val="clear" w:fill="F4F7FA"/>
          </w:tcPr>
          <w:p>
            <w:pPr>
              <w:spacing w:before="20" w:after="20"/>
            </w:pPr>
            <w:r>
              <w:rPr>
                <w:rFonts w:ascii="Georgia" w:hAnsi="Georgia"/>
                <w:sz w:val="14"/>
              </w:rPr>
            </w:r>
            <w:r>
              <w:rPr>
                <w:rFonts w:ascii="Georgia" w:hAnsi="Georgia"/>
                <w:b/>
                <w:sz w:val="14"/>
              </w:rPr>
              <w:t>Segment reporting</w:t>
            </w:r>
          </w:p>
        </w:tc>
        <w:tc>
          <w:tcPr>
            <w:tcW w:type="dxa" w:w="3394"/>
            <w:shd w:val="clear" w:fill="F4F7FA"/>
          </w:tcPr>
          <w:p>
            <w:pPr>
              <w:spacing w:before="20" w:after="20"/>
            </w:pPr>
            <w:r>
              <w:rPr>
                <w:rFonts w:ascii="Georgia" w:hAnsi="Georgia"/>
                <w:sz w:val="14"/>
              </w:rPr>
            </w:r>
            <w:r>
              <w:rPr>
                <w:rFonts w:ascii="Georgia" w:hAnsi="Georgia"/>
                <w:sz w:val="14"/>
              </w:rPr>
              <w:t>Moderate</w:t>
            </w:r>
          </w:p>
        </w:tc>
        <w:tc>
          <w:tcPr>
            <w:tcW w:type="dxa" w:w="3394"/>
            <w:shd w:val="clear" w:fill="F4F7FA"/>
          </w:tcPr>
          <w:p>
            <w:pPr>
              <w:spacing w:before="20" w:after="20"/>
            </w:pPr>
            <w:r>
              <w:rPr>
                <w:rFonts w:ascii="Georgia" w:hAnsi="Georgia"/>
                <w:sz w:val="14"/>
              </w:rPr>
            </w:r>
            <w:r>
              <w:rPr>
                <w:rFonts w:ascii="Georgia" w:hAnsi="Georgia"/>
                <w:b/>
                <w:sz w:val="14"/>
              </w:rPr>
              <w:t>The clearest disclosure weakness.</w:t>
            </w:r>
            <w:r>
              <w:rPr>
                <w:rFonts w:ascii="Georgia" w:hAnsi="Georgia"/>
                <w:sz w:val="14"/>
              </w:rPr>
              <w:t xml:space="preserve"> EPAM reports only two accounting segments (Americas and Europe) while managing through six verticals, and discloses </w:t>
            </w:r>
            <w:r>
              <w:rPr>
                <w:rFonts w:ascii="Georgia" w:hAnsi="Georgia"/>
                <w:i/>
                <w:sz w:val="14"/>
              </w:rPr>
              <w:t>no profitability by vertical</w:t>
            </w:r>
            <w:r>
              <w:rPr>
                <w:rFonts w:ascii="Georgia" w:hAnsi="Georgia"/>
                <w:sz w:val="14"/>
              </w:rPr>
              <w:t>. Investors cannot determine whether the declining verticals are also the least profitable. Further, EPAM excludes intangible amortisation, impairments, stock-based compensation, acquisition costs and one-off items from segment results — so reported segment profit is a non-GAAP construct not reconcilable to GAAP operating income at segment level.</w:t>
            </w:r>
          </w:p>
        </w:tc>
      </w:tr>
      <w:tr>
        <w:tc>
          <w:tcPr>
            <w:tcW w:type="dxa" w:w="3394"/>
          </w:tcPr>
          <w:p>
            <w:pPr>
              <w:spacing w:before="20" w:after="20"/>
            </w:pPr>
            <w:r>
              <w:rPr>
                <w:rFonts w:ascii="Georgia" w:hAnsi="Georgia"/>
                <w:sz w:val="14"/>
              </w:rPr>
            </w:r>
            <w:r>
              <w:rPr>
                <w:rFonts w:ascii="Georgia" w:hAnsi="Georgia"/>
                <w:b/>
                <w:sz w:val="14"/>
              </w:rPr>
              <w:t>Goodwill and intangibles</w:t>
            </w:r>
          </w:p>
        </w:tc>
        <w:tc>
          <w:tcPr>
            <w:tcW w:type="dxa" w:w="3394"/>
          </w:tcPr>
          <w:p>
            <w:pPr>
              <w:spacing w:before="20" w:after="20"/>
            </w:pPr>
            <w:r>
              <w:rPr>
                <w:rFonts w:ascii="Georgia" w:hAnsi="Georgia"/>
                <w:sz w:val="14"/>
              </w:rPr>
            </w:r>
            <w:r>
              <w:rPr>
                <w:rFonts w:ascii="Georgia" w:hAnsi="Georgia"/>
                <w:sz w:val="14"/>
              </w:rPr>
              <w:t>Moderate to high</w:t>
            </w:r>
          </w:p>
        </w:tc>
        <w:tc>
          <w:tcPr>
            <w:tcW w:type="dxa" w:w="3394"/>
          </w:tcPr>
          <w:p>
            <w:pPr>
              <w:spacing w:before="20" w:after="20"/>
            </w:pPr>
            <w:r>
              <w:rPr>
                <w:rFonts w:ascii="Georgia" w:hAnsi="Georgia"/>
                <w:sz w:val="14"/>
              </w:rPr>
            </w:r>
            <w:r>
              <w:rPr>
                <w:rFonts w:ascii="Georgia" w:hAnsi="Georgia"/>
                <w:sz w:val="14"/>
              </w:rPr>
              <w:t xml:space="preserve">Goodwill of approximately $1.21bn at 30 September 2025 (Americas $652.2m, Europe $556.7m) against a market capitalisation of roughly $5.9bn — roughly 20%. No impairment has ever been recorded. But NEORIS and First Derivative were acquired in 2024 at peak-cycle prices, and the Americas — where $652.2m of goodwill sits — is growing +0.5%. </w:t>
            </w:r>
            <w:r>
              <w:rPr>
                <w:rFonts w:ascii="Georgia" w:hAnsi="Georgia"/>
                <w:b/>
                <w:sz w:val="14"/>
              </w:rPr>
              <w:t>Endava has just impaired £364.6m on an almost identical thesis.</w:t>
            </w:r>
            <w:r>
              <w:rPr>
                <w:rFonts w:ascii="Georgia" w:hAnsi="Georgia"/>
                <w:sz w:val="14"/>
              </w:rPr>
              <w:t xml:space="preserve"> A sustained Americas decline would make impairment testing genuinely difficult to pass.</w:t>
            </w:r>
          </w:p>
        </w:tc>
      </w:tr>
      <w:tr>
        <w:tc>
          <w:tcPr>
            <w:tcW w:type="dxa" w:w="3394"/>
            <w:shd w:val="clear" w:fill="F4F7FA"/>
          </w:tcPr>
          <w:p>
            <w:pPr>
              <w:spacing w:before="20" w:after="20"/>
            </w:pPr>
            <w:r>
              <w:rPr>
                <w:rFonts w:ascii="Georgia" w:hAnsi="Georgia"/>
                <w:sz w:val="14"/>
              </w:rPr>
            </w:r>
            <w:r>
              <w:rPr>
                <w:rFonts w:ascii="Georgia" w:hAnsi="Georgia"/>
                <w:b/>
                <w:sz w:val="14"/>
              </w:rPr>
              <w:t>Stock-based compensation</w:t>
            </w:r>
          </w:p>
        </w:tc>
        <w:tc>
          <w:tcPr>
            <w:tcW w:type="dxa" w:w="3394"/>
            <w:shd w:val="clear" w:fill="F4F7FA"/>
          </w:tcPr>
          <w:p>
            <w:pPr>
              <w:spacing w:before="20" w:after="20"/>
            </w:pPr>
            <w:r>
              <w:rPr>
                <w:rFonts w:ascii="Georgia" w:hAnsi="Georgia"/>
                <w:sz w:val="14"/>
              </w:rPr>
            </w:r>
            <w:r>
              <w:rPr>
                <w:rFonts w:ascii="Georgia" w:hAnsi="Georgia"/>
                <w:sz w:val="14"/>
              </w:rPr>
              <w:t>High</w:t>
            </w:r>
          </w:p>
        </w:tc>
        <w:tc>
          <w:tcPr>
            <w:tcW w:type="dxa" w:w="3394"/>
            <w:shd w:val="clear" w:fill="F4F7FA"/>
          </w:tcPr>
          <w:p>
            <w:pPr>
              <w:spacing w:before="20" w:after="20"/>
            </w:pPr>
            <w:r>
              <w:rPr>
                <w:rFonts w:ascii="Georgia" w:hAnsi="Georgia"/>
                <w:sz w:val="14"/>
              </w:rPr>
            </w:r>
            <w:r>
              <w:rPr>
                <w:rFonts w:ascii="Georgia" w:hAnsi="Georgia"/>
                <w:sz w:val="14"/>
              </w:rPr>
              <w:t xml:space="preserve">Approximately $167.3m in FY2024, estimated near $200m in FY2026 — roughly 3–3.5% of revenue and approximately 30% of GAAP operating income. Excluded entirely from non-GAAP measures, which is standard practice but economically misleading. This is the principal driver of the FY2025 divergence between non-GAAP EPS of $11.50 (+5.9%) and GAAP EPS of $6.72 (−14.3%). </w:t>
            </w:r>
            <w:r>
              <w:rPr>
                <w:rFonts w:ascii="Georgia" w:hAnsi="Georgia"/>
                <w:b/>
                <w:sz w:val="14"/>
              </w:rPr>
              <w:t>Investors relying on the 8.7x non-GAAP multiple should note the GAAP multiple is 13.8x.</w:t>
            </w:r>
          </w:p>
        </w:tc>
      </w:tr>
      <w:tr>
        <w:tc>
          <w:tcPr>
            <w:tcW w:type="dxa" w:w="3394"/>
          </w:tcPr>
          <w:p>
            <w:pPr>
              <w:spacing w:before="20" w:after="20"/>
            </w:pPr>
            <w:r>
              <w:rPr>
                <w:rFonts w:ascii="Georgia" w:hAnsi="Georgia"/>
                <w:sz w:val="14"/>
              </w:rPr>
            </w:r>
            <w:r>
              <w:rPr>
                <w:rFonts w:ascii="Georgia" w:hAnsi="Georgia"/>
                <w:b/>
                <w:sz w:val="14"/>
              </w:rPr>
              <w:t>Cash flow</w:t>
            </w:r>
          </w:p>
        </w:tc>
        <w:tc>
          <w:tcPr>
            <w:tcW w:type="dxa" w:w="3394"/>
          </w:tcPr>
          <w:p>
            <w:pPr>
              <w:spacing w:before="20" w:after="20"/>
            </w:pPr>
            <w:r>
              <w:rPr>
                <w:rFonts w:ascii="Georgia" w:hAnsi="Georgia"/>
                <w:sz w:val="14"/>
              </w:rPr>
            </w:r>
            <w:r>
              <w:rPr>
                <w:rFonts w:ascii="Georgia" w:hAnsi="Georgia"/>
                <w:sz w:val="14"/>
              </w:rPr>
              <w:t>Elevated — monitor closely</w:t>
            </w:r>
          </w:p>
        </w:tc>
        <w:tc>
          <w:tcPr>
            <w:tcW w:type="dxa" w:w="3394"/>
          </w:tcPr>
          <w:p>
            <w:pPr>
              <w:spacing w:before="20" w:after="20"/>
            </w:pPr>
            <w:r>
              <w:rPr>
                <w:rFonts w:ascii="Georgia" w:hAnsi="Georgia"/>
                <w:sz w:val="14"/>
              </w:rPr>
            </w:r>
            <w:r>
              <w:rPr>
                <w:rFonts w:ascii="Georgia" w:hAnsi="Georgia"/>
                <w:sz w:val="14"/>
              </w:rPr>
              <w:t xml:space="preserve">Q2 2026 operating cash flow of </w:t>
            </w:r>
            <w:r>
              <w:rPr>
                <w:rFonts w:ascii="Georgia" w:hAnsi="Georgia"/>
                <w:b/>
                <w:sz w:val="14"/>
              </w:rPr>
              <w:t>negative $2m</w:t>
            </w:r>
            <w:r>
              <w:rPr>
                <w:rFonts w:ascii="Georgia" w:hAnsi="Georgia"/>
                <w:sz w:val="14"/>
              </w:rPr>
              <w:t xml:space="preserve"> versus positive $53m a year earlier, with free cash flow of negative $18m, in a quarter of 22% non-GAAP EPS growth. With roughly 1% capex intensity and no inventory, this can only be working capital — most plausibly receivables. If DSO is extending because clients are slow-paying, this precedes revenue deterioration. </w:t>
            </w:r>
            <w:r>
              <w:rPr>
                <w:rFonts w:ascii="Georgia" w:hAnsi="Georgia"/>
                <w:b/>
                <w:sz w:val="14"/>
              </w:rPr>
              <w:t>This is the highest-priority item for Q3 diligence.</w:t>
            </w:r>
          </w:p>
        </w:tc>
      </w:tr>
      <w:tr>
        <w:tc>
          <w:tcPr>
            <w:tcW w:type="dxa" w:w="3394"/>
            <w:shd w:val="clear" w:fill="F4F7FA"/>
          </w:tcPr>
          <w:p>
            <w:pPr>
              <w:spacing w:before="20" w:after="20"/>
            </w:pPr>
            <w:r>
              <w:rPr>
                <w:rFonts w:ascii="Georgia" w:hAnsi="Georgia"/>
                <w:sz w:val="14"/>
              </w:rPr>
            </w:r>
            <w:r>
              <w:rPr>
                <w:rFonts w:ascii="Georgia" w:hAnsi="Georgia"/>
                <w:b/>
                <w:sz w:val="14"/>
              </w:rPr>
              <w:t>Receivables</w:t>
            </w:r>
          </w:p>
        </w:tc>
        <w:tc>
          <w:tcPr>
            <w:tcW w:type="dxa" w:w="3394"/>
            <w:shd w:val="clear" w:fill="F4F7FA"/>
          </w:tcPr>
          <w:p>
            <w:pPr>
              <w:spacing w:before="20" w:after="20"/>
            </w:pPr>
            <w:r>
              <w:rPr>
                <w:rFonts w:ascii="Georgia" w:hAnsi="Georgia"/>
                <w:sz w:val="14"/>
              </w:rPr>
            </w:r>
            <w:r>
              <w:rPr>
                <w:rFonts w:ascii="Georgia" w:hAnsi="Georgia"/>
                <w:sz w:val="14"/>
              </w:rPr>
              <w:t>Moderate</w:t>
            </w:r>
          </w:p>
        </w:tc>
        <w:tc>
          <w:tcPr>
            <w:tcW w:type="dxa" w:w="3394"/>
            <w:shd w:val="clear" w:fill="F4F7FA"/>
          </w:tcPr>
          <w:p>
            <w:pPr>
              <w:spacing w:before="20" w:after="20"/>
            </w:pPr>
            <w:r>
              <w:rPr>
                <w:rFonts w:ascii="Georgia" w:hAnsi="Georgia"/>
                <w:sz w:val="14"/>
              </w:rPr>
            </w:r>
            <w:r>
              <w:rPr>
                <w:rFonts w:ascii="Georgia" w:hAnsi="Georgia"/>
                <w:sz w:val="14"/>
              </w:rPr>
              <w:t>Not separately verifiable in this environment, but the negative operating cash flow strongly implies deterioration. Enterprise clients under budget pressure routinely extend payment terms before cutting spend outright.</w:t>
            </w:r>
          </w:p>
        </w:tc>
      </w:tr>
      <w:tr>
        <w:tc>
          <w:tcPr>
            <w:tcW w:type="dxa" w:w="3394"/>
          </w:tcPr>
          <w:p>
            <w:pPr>
              <w:spacing w:before="20" w:after="20"/>
            </w:pPr>
            <w:r>
              <w:rPr>
                <w:rFonts w:ascii="Georgia" w:hAnsi="Georgia"/>
                <w:sz w:val="14"/>
              </w:rPr>
            </w:r>
            <w:r>
              <w:rPr>
                <w:rFonts w:ascii="Georgia" w:hAnsi="Georgia"/>
                <w:b/>
                <w:sz w:val="14"/>
              </w:rPr>
              <w:t>Leases</w:t>
            </w:r>
          </w:p>
        </w:tc>
        <w:tc>
          <w:tcPr>
            <w:tcW w:type="dxa" w:w="3394"/>
          </w:tcPr>
          <w:p>
            <w:pPr>
              <w:spacing w:before="20" w:after="20"/>
            </w:pPr>
            <w:r>
              <w:rPr>
                <w:rFonts w:ascii="Georgia" w:hAnsi="Georgia"/>
                <w:sz w:val="14"/>
              </w:rPr>
            </w:r>
            <w:r>
              <w:rPr>
                <w:rFonts w:ascii="Georgia" w:hAnsi="Georgia"/>
                <w:sz w:val="14"/>
              </w:rPr>
              <w:t>Low</w:t>
            </w:r>
          </w:p>
        </w:tc>
        <w:tc>
          <w:tcPr>
            <w:tcW w:type="dxa" w:w="3394"/>
          </w:tcPr>
          <w:p>
            <w:pPr>
              <w:spacing w:before="20" w:after="20"/>
            </w:pPr>
            <w:r>
              <w:rPr>
                <w:rFonts w:ascii="Georgia" w:hAnsi="Georgia"/>
                <w:sz w:val="14"/>
              </w:rPr>
            </w:r>
            <w:r>
              <w:rPr>
                <w:rFonts w:ascii="Georgia" w:hAnsi="Georgia"/>
                <w:sz w:val="14"/>
              </w:rPr>
              <w:t>Operating leases on delivery centres across roughly 55 countries. Asset-light and increasingly hybrid; no evidence of material off-balance-sheet obligation.</w:t>
            </w:r>
          </w:p>
        </w:tc>
      </w:tr>
      <w:tr>
        <w:tc>
          <w:tcPr>
            <w:tcW w:type="dxa" w:w="3394"/>
            <w:shd w:val="clear" w:fill="F4F7FA"/>
          </w:tcPr>
          <w:p>
            <w:pPr>
              <w:spacing w:before="20" w:after="20"/>
            </w:pPr>
            <w:r>
              <w:rPr>
                <w:rFonts w:ascii="Georgia" w:hAnsi="Georgia"/>
                <w:sz w:val="14"/>
              </w:rPr>
            </w:r>
            <w:r>
              <w:rPr>
                <w:rFonts w:ascii="Georgia" w:hAnsi="Georgia"/>
                <w:b/>
                <w:sz w:val="14"/>
              </w:rPr>
              <w:t>Related parties</w:t>
            </w:r>
          </w:p>
        </w:tc>
        <w:tc>
          <w:tcPr>
            <w:tcW w:type="dxa" w:w="3394"/>
            <w:shd w:val="clear" w:fill="F4F7FA"/>
          </w:tcPr>
          <w:p>
            <w:pPr>
              <w:spacing w:before="20" w:after="20"/>
            </w:pPr>
            <w:r>
              <w:rPr>
                <w:rFonts w:ascii="Georgia" w:hAnsi="Georgia"/>
                <w:sz w:val="14"/>
              </w:rPr>
            </w:r>
            <w:r>
              <w:rPr>
                <w:rFonts w:ascii="Georgia" w:hAnsi="Georgia"/>
                <w:sz w:val="14"/>
              </w:rPr>
              <w:t>Low</w:t>
            </w:r>
          </w:p>
        </w:tc>
        <w:tc>
          <w:tcPr>
            <w:tcW w:type="dxa" w:w="3394"/>
            <w:shd w:val="clear" w:fill="F4F7FA"/>
          </w:tcPr>
          <w:p>
            <w:pPr>
              <w:spacing w:before="20" w:after="20"/>
            </w:pPr>
            <w:r>
              <w:rPr>
                <w:rFonts w:ascii="Georgia" w:hAnsi="Georgia"/>
                <w:sz w:val="14"/>
              </w:rPr>
            </w:r>
            <w:r>
              <w:rPr>
                <w:rFonts w:ascii="Georgia" w:hAnsi="Georgia"/>
                <w:sz w:val="14"/>
              </w:rPr>
              <w:t>None of significance identified.</w:t>
            </w:r>
          </w:p>
        </w:tc>
      </w:tr>
      <w:tr>
        <w:tc>
          <w:tcPr>
            <w:tcW w:type="dxa" w:w="3394"/>
          </w:tcPr>
          <w:p>
            <w:pPr>
              <w:spacing w:before="20" w:after="20"/>
            </w:pPr>
            <w:r>
              <w:rPr>
                <w:rFonts w:ascii="Georgia" w:hAnsi="Georgia"/>
                <w:sz w:val="14"/>
              </w:rPr>
            </w:r>
            <w:r>
              <w:rPr>
                <w:rFonts w:ascii="Georgia" w:hAnsi="Georgia"/>
                <w:b/>
                <w:sz w:val="14"/>
              </w:rPr>
              <w:t>Contingencies</w:t>
            </w:r>
          </w:p>
        </w:tc>
        <w:tc>
          <w:tcPr>
            <w:tcW w:type="dxa" w:w="3394"/>
          </w:tcPr>
          <w:p>
            <w:pPr>
              <w:spacing w:before="20" w:after="20"/>
            </w:pPr>
            <w:r>
              <w:rPr>
                <w:rFonts w:ascii="Georgia" w:hAnsi="Georgia"/>
                <w:sz w:val="14"/>
              </w:rPr>
            </w:r>
            <w:r>
              <w:rPr>
                <w:rFonts w:ascii="Georgia" w:hAnsi="Georgia"/>
                <w:sz w:val="14"/>
              </w:rPr>
              <w:t>Moderate</w:t>
            </w:r>
          </w:p>
        </w:tc>
        <w:tc>
          <w:tcPr>
            <w:tcW w:type="dxa" w:w="3394"/>
          </w:tcPr>
          <w:p>
            <w:pPr>
              <w:spacing w:before="20" w:after="20"/>
            </w:pPr>
            <w:r>
              <w:rPr>
                <w:rFonts w:ascii="Georgia" w:hAnsi="Georgia"/>
                <w:sz w:val="14"/>
              </w:rPr>
            </w:r>
            <w:r>
              <w:rPr>
                <w:rFonts w:ascii="Georgia" w:hAnsi="Georgia"/>
                <w:sz w:val="14"/>
              </w:rPr>
              <w:t>Residual Ukraine and Russia exposure, sanctions compliance across roughly 55 jurisdictions, and multi-country tax exposure given the transfer-pricing complexity inherent in billing US clients for work performed in India, Poland and Georgia. Transfer pricing is the most likely source of a material future tax dispute.</w:t>
            </w:r>
          </w:p>
        </w:tc>
      </w:tr>
      <w:tr>
        <w:tc>
          <w:tcPr>
            <w:tcW w:type="dxa" w:w="3394"/>
            <w:shd w:val="clear" w:fill="F4F7FA"/>
          </w:tcPr>
          <w:p>
            <w:pPr>
              <w:spacing w:before="20" w:after="20"/>
            </w:pPr>
            <w:r>
              <w:rPr>
                <w:rFonts w:ascii="Georgia" w:hAnsi="Georgia"/>
                <w:sz w:val="14"/>
              </w:rPr>
            </w:r>
            <w:r>
              <w:rPr>
                <w:rFonts w:ascii="Georgia" w:hAnsi="Georgia"/>
                <w:b/>
                <w:sz w:val="14"/>
              </w:rPr>
              <w:t>Tax</w:t>
            </w:r>
          </w:p>
        </w:tc>
        <w:tc>
          <w:tcPr>
            <w:tcW w:type="dxa" w:w="3394"/>
            <w:shd w:val="clear" w:fill="F4F7FA"/>
          </w:tcPr>
          <w:p>
            <w:pPr>
              <w:spacing w:before="20" w:after="20"/>
            </w:pPr>
            <w:r>
              <w:rPr>
                <w:rFonts w:ascii="Georgia" w:hAnsi="Georgia"/>
                <w:sz w:val="14"/>
              </w:rPr>
            </w:r>
            <w:r>
              <w:rPr>
                <w:rFonts w:ascii="Georgia" w:hAnsi="Georgia"/>
                <w:sz w:val="14"/>
              </w:rPr>
              <w:t>Moderate</w:t>
            </w:r>
          </w:p>
        </w:tc>
        <w:tc>
          <w:tcPr>
            <w:tcW w:type="dxa" w:w="3394"/>
            <w:shd w:val="clear" w:fill="F4F7FA"/>
          </w:tcPr>
          <w:p>
            <w:pPr>
              <w:spacing w:before="20" w:after="20"/>
            </w:pPr>
            <w:r>
              <w:rPr>
                <w:rFonts w:ascii="Georgia" w:hAnsi="Georgia"/>
                <w:sz w:val="14"/>
              </w:rPr>
            </w:r>
            <w:r>
              <w:rPr>
                <w:rFonts w:ascii="Georgia" w:hAnsi="Georgia"/>
                <w:sz w:val="14"/>
              </w:rPr>
              <w:t>GAAP effective rate of roughly 30% against non-GAAP of roughly 24% — a wide gap. The GAAP rate increase contributed materially to the FY2025 GAAP EPS decline. Complex international structure creates ongoing rate volatility.</w:t>
            </w:r>
          </w:p>
        </w:tc>
      </w:tr>
      <w:tr>
        <w:tc>
          <w:tcPr>
            <w:tcW w:type="dxa" w:w="3394"/>
          </w:tcPr>
          <w:p>
            <w:pPr>
              <w:spacing w:before="20" w:after="20"/>
            </w:pPr>
            <w:r>
              <w:rPr>
                <w:rFonts w:ascii="Georgia" w:hAnsi="Georgia"/>
                <w:sz w:val="14"/>
              </w:rPr>
            </w:r>
            <w:r>
              <w:rPr>
                <w:rFonts w:ascii="Georgia" w:hAnsi="Georgia"/>
                <w:b/>
                <w:sz w:val="14"/>
              </w:rPr>
              <w:t>Inventory</w:t>
            </w:r>
          </w:p>
        </w:tc>
        <w:tc>
          <w:tcPr>
            <w:tcW w:type="dxa" w:w="3394"/>
          </w:tcPr>
          <w:p>
            <w:pPr>
              <w:spacing w:before="20" w:after="20"/>
            </w:pPr>
            <w:r>
              <w:rPr>
                <w:rFonts w:ascii="Georgia" w:hAnsi="Georgia"/>
                <w:sz w:val="14"/>
              </w:rPr>
            </w:r>
            <w:r>
              <w:rPr>
                <w:rFonts w:ascii="Georgia" w:hAnsi="Georgia"/>
                <w:sz w:val="14"/>
              </w:rPr>
              <w:t>N/A</w:t>
            </w:r>
          </w:p>
        </w:tc>
        <w:tc>
          <w:tcPr>
            <w:tcW w:type="dxa" w:w="3394"/>
          </w:tcPr>
          <w:p>
            <w:pPr>
              <w:spacing w:before="20" w:after="20"/>
            </w:pPr>
            <w:r>
              <w:rPr>
                <w:rFonts w:ascii="Georgia" w:hAnsi="Georgia"/>
                <w:sz w:val="14"/>
              </w:rPr>
            </w:r>
            <w:r>
              <w:rPr>
                <w:rFonts w:ascii="Georgia" w:hAnsi="Georgia"/>
                <w:sz w:val="14"/>
              </w:rPr>
              <w:t>Services business; no inventory.</w:t>
            </w:r>
          </w:p>
        </w:tc>
      </w:tr>
      <w:tr>
        <w:tc>
          <w:tcPr>
            <w:tcW w:type="dxa" w:w="3394"/>
            <w:shd w:val="clear" w:fill="F4F7FA"/>
          </w:tcPr>
          <w:p>
            <w:pPr>
              <w:spacing w:before="20" w:after="20"/>
            </w:pPr>
            <w:r>
              <w:rPr>
                <w:rFonts w:ascii="Georgia" w:hAnsi="Georgia"/>
                <w:sz w:val="14"/>
              </w:rPr>
            </w:r>
            <w:r>
              <w:rPr>
                <w:rFonts w:ascii="Georgia" w:hAnsi="Georgia"/>
                <w:b/>
                <w:sz w:val="14"/>
              </w:rPr>
              <w:t>Debt</w:t>
            </w:r>
          </w:p>
        </w:tc>
        <w:tc>
          <w:tcPr>
            <w:tcW w:type="dxa" w:w="3394"/>
            <w:shd w:val="clear" w:fill="F4F7FA"/>
          </w:tcPr>
          <w:p>
            <w:pPr>
              <w:spacing w:before="20" w:after="20"/>
            </w:pPr>
            <w:r>
              <w:rPr>
                <w:rFonts w:ascii="Georgia" w:hAnsi="Georgia"/>
                <w:sz w:val="14"/>
              </w:rPr>
            </w:r>
            <w:r>
              <w:rPr>
                <w:rFonts w:ascii="Georgia" w:hAnsi="Georgia"/>
                <w:sz w:val="14"/>
              </w:rPr>
              <w:t>Very low</w:t>
            </w:r>
          </w:p>
        </w:tc>
        <w:tc>
          <w:tcPr>
            <w:tcW w:type="dxa" w:w="3394"/>
            <w:shd w:val="clear" w:fill="F4F7FA"/>
          </w:tcPr>
          <w:p>
            <w:pPr>
              <w:spacing w:before="20" w:after="20"/>
            </w:pPr>
            <w:r>
              <w:rPr>
                <w:rFonts w:ascii="Georgia" w:hAnsi="Georgia"/>
                <w:sz w:val="14"/>
              </w:rPr>
            </w:r>
            <w:r>
              <w:rPr>
                <w:rFonts w:ascii="Georgia" w:hAnsi="Georgia"/>
                <w:sz w:val="14"/>
              </w:rPr>
              <w:t>$25.0m drawn on a $700m facility maturing 2030. In compliance with all covenants. No risk.</w:t>
            </w:r>
          </w:p>
        </w:tc>
      </w:tr>
    </w:tbl>
    <w:p>
      <w:pPr>
        <w:spacing w:after="60"/>
      </w:pPr>
    </w:p>
    <w:p>
      <w:pPr>
        <w:keepNext/>
        <w:spacing w:before="200" w:after="80"/>
      </w:pPr>
      <w:r>
        <w:rPr>
          <w:rFonts w:ascii="Georgia" w:hAnsi="Georgia"/>
          <w:b/>
          <w:color w:val="14487F"/>
          <w:sz w:val="21"/>
        </w:rPr>
        <w:t>What must hold for the current price to be justified — and what if growth disappoints 20–30%</w:t>
      </w:r>
    </w:p>
    <w:p>
      <w:pPr>
        <w:spacing w:before="0" w:after="80"/>
        <w:jc w:val="both"/>
      </w:pPr>
      <w:r>
        <w:rPr/>
        <w:t xml:space="preserve">At $114.80 the market requires remarkably little: roughly 0% real revenue growth, a non-GAAP operating margin sustained near 15%, and no impairment. On a simple perpetuity, roughly $540m of 2026 free cash flow capitalised at a 10% cost of capital with zero growth gives roughly $5.4bn of enterprise value plus $0.77bn of net cash, or approximately </w:t>
      </w:r>
      <w:r>
        <w:rPr>
          <w:b/>
        </w:rPr>
        <w:t>$119 per share</w:t>
      </w:r>
      <w:r>
        <w:rPr/>
        <w:t xml:space="preserve">. </w:t>
      </w:r>
      <w:r>
        <w:rPr>
          <w:b/>
        </w:rPr>
        <w:t>The current price implies literally zero growth in perpetuity.</w:t>
      </w:r>
    </w:p>
    <w:p>
      <w:pPr>
        <w:spacing w:before="0" w:after="80"/>
        <w:jc w:val="both"/>
      </w:pPr>
      <w:r>
        <w:rPr/>
        <w:t xml:space="preserve">If growth disappoints by 20–30% relative to our base case — roughly 3.6–4.2% CAGR rather than 5.2% — 2028 EPS falls to roughly $15.30–15.55 against a base of $16.22, and at 12x the value falls to roughly $184–187, only about 5% below base. </w:t>
      </w:r>
      <w:r>
        <w:rPr>
          <w:b/>
        </w:rPr>
        <w:t>Growth disappointment alone does not break this equity.</w:t>
      </w:r>
      <w:r>
        <w:rPr/>
        <w:t xml:space="preserve"> The dangerous combination is growth disappointment accompanied by margin compression: at 3.6% growth </w:t>
      </w:r>
      <w:r>
        <w:rPr>
          <w:i/>
        </w:rPr>
        <w:t>and</w:t>
      </w:r>
      <w:r>
        <w:rPr/>
        <w:t xml:space="preserve"> a 13% margin, 2028 EPS falls to roughly $12.10, and at a de-rated 9x multiple that is roughly $109 — slightly below today's price. The market is currently pricing that combined scenario as the base case.</w:t>
      </w:r>
    </w:p>
    <w:p>
      <w:pPr>
        <w:keepNext/>
        <w:spacing w:before="200" w:after="80"/>
      </w:pPr>
      <w:r>
        <w:rPr>
          <w:rFonts w:ascii="Georgia" w:hAnsi="Georgia"/>
          <w:b/>
          <w:color w:val="14487F"/>
          <w:sz w:val="21"/>
        </w:rPr>
        <w:t>The single scenario that would permanently impair the business</w:t>
      </w:r>
    </w:p>
    <w:p>
      <w:pPr>
        <w:spacing w:before="0" w:after="80"/>
        <w:jc w:val="both"/>
      </w:pPr>
      <w:r>
        <w:rPr>
          <w:b/>
        </w:rPr>
        <w:t>Enterprise clients concluding that AI-augmented internal teams can do what they previously outsourced — and acting on it at scale.</w:t>
      </w:r>
      <w:r>
        <w:rPr/>
        <w:t xml:space="preserve"> Not AI making EPAM's engineers faster (which helps EPAM), but AI making clients' own engineers sufficient (which removes the reason EPAM exists).</w:t>
      </w:r>
    </w:p>
    <w:p>
      <w:pPr>
        <w:spacing w:before="0" w:after="80"/>
        <w:jc w:val="both"/>
      </w:pPr>
      <w:r>
        <w:rPr/>
        <w:t>In that world EPAM does not fail dramatically. Revenue declines 5–10% annually, utilisation falls below 70%, restructuring charges appear for the first time, goodwill is impaired, the buyback is suspended to preserve cash, the best engineers leave for AI-native product companies, and the reputational premium erodes. The business remains cash-generative for years while shrinking — the DXC path — and the equity settles near $55–70.</w:t>
      </w:r>
    </w:p>
    <w:p>
      <w:pPr>
        <w:spacing w:before="0" w:after="80"/>
        <w:jc w:val="both"/>
      </w:pPr>
      <w:r>
        <w:rPr>
          <w:b/>
        </w:rPr>
        <w:t>Plausibility: roughly 25–30%.</w:t>
      </w:r>
      <w:r>
        <w:rPr/>
        <w:t xml:space="preserve"> The mechanism is already partially visible: the two verticals with the most technically sophisticated clients — Software &amp; Hi-Tech at −1.3% and Business Information &amp; Media at −2.1% — are the two that have turned negative first. That ordering is exactly what the insourcing thesis predicts and is difficult to explain by macro factors alone. The counter-evidence is equally specific: gross margin expanding 190bp on price increases, Financial Services accelerating to +11.5%, and AI-native revenue compounding for six consecutive quarters. Both datasets are real. The next four quarters will determine which one is the trend and which is the noise.</w:t>
      </w:r>
    </w:p>
    <w:p>
      <w:pPr>
        <w:keepNext/>
        <w:spacing w:before="320" w:after="120"/>
        <w:pBdr>
          <w:bottom w:val="single" w:sz="12" w:space="2" w:color="0B2545"/>
        </w:pBdr>
      </w:pPr>
      <w:r>
        <w:rPr>
          <w:rFonts w:ascii="Georgia" w:hAnsi="Georgia"/>
          <w:b/>
          <w:color w:val="0B2545"/>
          <w:sz w:val="26"/>
        </w:rPr>
        <w:t>25. Timeline of Key Events and Catalyst Calendar</w:t>
      </w:r>
    </w:p>
    <w:p>
      <w:pPr>
        <w:keepNext/>
        <w:spacing w:before="200" w:after="80"/>
      </w:pPr>
      <w:r>
        <w:rPr>
          <w:rFonts w:ascii="Georgia" w:hAnsi="Georgia"/>
          <w:b/>
          <w:color w:val="14487F"/>
          <w:sz w:val="21"/>
        </w:rPr>
        <w:t>Timeline of key past events</w:t>
      </w:r>
    </w:p>
    <w:tbl>
      <w:tblPr>
        <w:tblStyle w:val="TableGrid"/>
        <w:tblW w:type="auto" w:w="0"/>
        <w:jc w:val="center"/>
        <w:tblLayout w:type="autofit"/>
        <w:tblLook w:firstColumn="1" w:firstRow="1" w:lastColumn="0" w:lastRow="0" w:noHBand="0" w:noVBand="1" w:val="04A0"/>
      </w:tblPr>
      <w:tblGrid>
        <w:gridCol w:w="5090"/>
        <w:gridCol w:w="5090"/>
      </w:tblGrid>
      <w:tr>
        <w:tc>
          <w:tcPr>
            <w:tcW w:type="dxa" w:w="5090"/>
            <w:shd w:val="clear" w:fill="0B2545"/>
          </w:tcPr>
          <w:p>
            <w:pPr>
              <w:spacing w:before="20" w:after="20"/>
            </w:pPr>
            <w:r>
              <w:rPr>
                <w:rFonts w:ascii="Georgia" w:hAnsi="Georgia"/>
                <w:b/>
                <w:color w:val="FFFFFF"/>
                <w:sz w:val="14"/>
              </w:rPr>
            </w:r>
            <w:r>
              <w:rPr>
                <w:rFonts w:ascii="Georgia" w:hAnsi="Georgia"/>
                <w:b/>
                <w:color w:val="FFFFFF"/>
                <w:sz w:val="14"/>
              </w:rPr>
              <w:t>Date</w:t>
            </w:r>
          </w:p>
        </w:tc>
        <w:tc>
          <w:tcPr>
            <w:tcW w:type="dxa" w:w="5090"/>
            <w:shd w:val="clear" w:fill="0B2545"/>
          </w:tcPr>
          <w:p>
            <w:pPr>
              <w:spacing w:before="20" w:after="20"/>
            </w:pPr>
            <w:r>
              <w:rPr>
                <w:rFonts w:ascii="Georgia" w:hAnsi="Georgia"/>
                <w:b/>
                <w:color w:val="FFFFFF"/>
                <w:sz w:val="14"/>
              </w:rPr>
            </w:r>
            <w:r>
              <w:rPr>
                <w:rFonts w:ascii="Georgia" w:hAnsi="Georgia"/>
                <w:b/>
                <w:color w:val="FFFFFF"/>
                <w:sz w:val="14"/>
              </w:rPr>
              <w:t>Event</w:t>
            </w:r>
          </w:p>
        </w:tc>
      </w:tr>
      <w:tr>
        <w:tc>
          <w:tcPr>
            <w:tcW w:type="dxa" w:w="5090"/>
          </w:tcPr>
          <w:p>
            <w:pPr>
              <w:spacing w:before="20" w:after="20"/>
            </w:pPr>
            <w:r>
              <w:rPr>
                <w:rFonts w:ascii="Georgia" w:hAnsi="Georgia"/>
                <w:sz w:val="14"/>
              </w:rPr>
            </w:r>
            <w:r>
              <w:rPr>
                <w:rFonts w:ascii="Georgia" w:hAnsi="Georgia"/>
                <w:sz w:val="14"/>
              </w:rPr>
              <w:t>1993</w:t>
            </w:r>
          </w:p>
        </w:tc>
        <w:tc>
          <w:tcPr>
            <w:tcW w:type="dxa" w:w="5090"/>
          </w:tcPr>
          <w:p>
            <w:pPr>
              <w:spacing w:before="20" w:after="20"/>
            </w:pPr>
            <w:r>
              <w:rPr>
                <w:rFonts w:ascii="Georgia" w:hAnsi="Georgia"/>
                <w:sz w:val="14"/>
              </w:rPr>
            </w:r>
            <w:r>
              <w:rPr>
                <w:rFonts w:ascii="Georgia" w:hAnsi="Georgia"/>
                <w:sz w:val="14"/>
              </w:rPr>
              <w:t>EPAM founded by Arkadiy Dobkin and Leo Lozner</w:t>
            </w:r>
          </w:p>
        </w:tc>
      </w:tr>
      <w:tr>
        <w:tc>
          <w:tcPr>
            <w:tcW w:type="dxa" w:w="5090"/>
            <w:shd w:val="clear" w:fill="F4F7FA"/>
          </w:tcPr>
          <w:p>
            <w:pPr>
              <w:spacing w:before="20" w:after="20"/>
            </w:pPr>
            <w:r>
              <w:rPr>
                <w:rFonts w:ascii="Georgia" w:hAnsi="Georgia"/>
                <w:sz w:val="14"/>
              </w:rPr>
            </w:r>
            <w:r>
              <w:rPr>
                <w:rFonts w:ascii="Georgia" w:hAnsi="Georgia"/>
                <w:sz w:val="14"/>
              </w:rPr>
              <w:t>Feb 2012</w:t>
            </w:r>
          </w:p>
        </w:tc>
        <w:tc>
          <w:tcPr>
            <w:tcW w:type="dxa" w:w="5090"/>
            <w:shd w:val="clear" w:fill="F4F7FA"/>
          </w:tcPr>
          <w:p>
            <w:pPr>
              <w:spacing w:before="20" w:after="20"/>
            </w:pPr>
            <w:r>
              <w:rPr>
                <w:rFonts w:ascii="Georgia" w:hAnsi="Georgia"/>
                <w:sz w:val="14"/>
              </w:rPr>
            </w:r>
            <w:r>
              <w:rPr>
                <w:rFonts w:ascii="Georgia" w:hAnsi="Georgia"/>
                <w:sz w:val="14"/>
              </w:rPr>
              <w:t>NYSE IPO; revenue at listing approximately $434m</w:t>
            </w:r>
          </w:p>
        </w:tc>
      </w:tr>
      <w:tr>
        <w:tc>
          <w:tcPr>
            <w:tcW w:type="dxa" w:w="5090"/>
          </w:tcPr>
          <w:p>
            <w:pPr>
              <w:spacing w:before="20" w:after="20"/>
            </w:pPr>
            <w:r>
              <w:rPr>
                <w:rFonts w:ascii="Georgia" w:hAnsi="Georgia"/>
                <w:sz w:val="14"/>
              </w:rPr>
            </w:r>
            <w:r>
              <w:rPr>
                <w:rFonts w:ascii="Georgia" w:hAnsi="Georgia"/>
                <w:sz w:val="14"/>
              </w:rPr>
              <w:t>2018</w:t>
            </w:r>
          </w:p>
        </w:tc>
        <w:tc>
          <w:tcPr>
            <w:tcW w:type="dxa" w:w="5090"/>
          </w:tcPr>
          <w:p>
            <w:pPr>
              <w:spacing w:before="20" w:after="20"/>
            </w:pPr>
            <w:r>
              <w:rPr>
                <w:rFonts w:ascii="Georgia" w:hAnsi="Georgia"/>
                <w:sz w:val="14"/>
              </w:rPr>
            </w:r>
            <w:r>
              <w:rPr>
                <w:rFonts w:ascii="Georgia" w:hAnsi="Georgia"/>
                <w:sz w:val="14"/>
              </w:rPr>
              <w:t>Continuum acquired — design and innovation consulting capability</w:t>
            </w:r>
          </w:p>
        </w:tc>
      </w:tr>
      <w:tr>
        <w:tc>
          <w:tcPr>
            <w:tcW w:type="dxa" w:w="5090"/>
            <w:shd w:val="clear" w:fill="F4F7FA"/>
          </w:tcPr>
          <w:p>
            <w:pPr>
              <w:spacing w:before="20" w:after="20"/>
            </w:pPr>
            <w:r>
              <w:rPr>
                <w:rFonts w:ascii="Georgia" w:hAnsi="Georgia"/>
                <w:sz w:val="14"/>
              </w:rPr>
            </w:r>
            <w:r>
              <w:rPr>
                <w:rFonts w:ascii="Georgia" w:hAnsi="Georgia"/>
                <w:sz w:val="14"/>
              </w:rPr>
              <w:t>Nov 2021</w:t>
            </w:r>
          </w:p>
        </w:tc>
        <w:tc>
          <w:tcPr>
            <w:tcW w:type="dxa" w:w="5090"/>
            <w:shd w:val="clear" w:fill="F4F7FA"/>
          </w:tcPr>
          <w:p>
            <w:pPr>
              <w:spacing w:before="20" w:after="20"/>
            </w:pPr>
            <w:r>
              <w:rPr>
                <w:rFonts w:ascii="Georgia" w:hAnsi="Georgia"/>
                <w:sz w:val="14"/>
              </w:rPr>
            </w:r>
            <w:r>
              <w:rPr>
                <w:rFonts w:ascii="Georgia" w:hAnsi="Georgia"/>
                <w:sz w:val="14"/>
              </w:rPr>
              <w:t>All-time high share price of approximately $722; Emakina acquired</w:t>
            </w:r>
          </w:p>
        </w:tc>
      </w:tr>
      <w:tr>
        <w:tc>
          <w:tcPr>
            <w:tcW w:type="dxa" w:w="5090"/>
          </w:tcPr>
          <w:p>
            <w:pPr>
              <w:spacing w:before="20" w:after="20"/>
            </w:pPr>
            <w:r>
              <w:rPr>
                <w:rFonts w:ascii="Georgia" w:hAnsi="Georgia"/>
                <w:sz w:val="14"/>
              </w:rPr>
            </w:r>
            <w:r>
              <w:rPr>
                <w:rFonts w:ascii="Georgia" w:hAnsi="Georgia"/>
                <w:sz w:val="14"/>
              </w:rPr>
              <w:t>Dec 2021</w:t>
            </w:r>
          </w:p>
        </w:tc>
        <w:tc>
          <w:tcPr>
            <w:tcW w:type="dxa" w:w="5090"/>
          </w:tcPr>
          <w:p>
            <w:pPr>
              <w:spacing w:before="20" w:after="20"/>
            </w:pPr>
            <w:r>
              <w:rPr>
                <w:rFonts w:ascii="Georgia" w:hAnsi="Georgia"/>
                <w:sz w:val="14"/>
              </w:rPr>
            </w:r>
            <w:r>
              <w:rPr>
                <w:rFonts w:ascii="Georgia" w:hAnsi="Georgia"/>
                <w:sz w:val="14"/>
              </w:rPr>
              <w:t>Optiva Media acquired</w:t>
            </w:r>
          </w:p>
        </w:tc>
      </w:tr>
      <w:tr>
        <w:tc>
          <w:tcPr>
            <w:tcW w:type="dxa" w:w="5090"/>
            <w:shd w:val="clear" w:fill="F4F7FA"/>
          </w:tcPr>
          <w:p>
            <w:pPr>
              <w:spacing w:before="20" w:after="20"/>
            </w:pPr>
            <w:r>
              <w:rPr>
                <w:rFonts w:ascii="Georgia" w:hAnsi="Georgia"/>
                <w:sz w:val="14"/>
              </w:rPr>
            </w:r>
            <w:r>
              <w:rPr>
                <w:rFonts w:ascii="Georgia" w:hAnsi="Georgia"/>
                <w:sz w:val="14"/>
              </w:rPr>
              <w:t>24 Feb 2022</w:t>
            </w:r>
          </w:p>
        </w:tc>
        <w:tc>
          <w:tcPr>
            <w:tcW w:type="dxa" w:w="5090"/>
            <w:shd w:val="clear" w:fill="F4F7FA"/>
          </w:tcPr>
          <w:p>
            <w:pPr>
              <w:spacing w:before="20" w:after="20"/>
            </w:pPr>
            <w:r>
              <w:rPr>
                <w:rFonts w:ascii="Georgia" w:hAnsi="Georgia"/>
                <w:sz w:val="14"/>
              </w:rPr>
            </w:r>
            <w:r>
              <w:rPr>
                <w:rFonts w:ascii="Georgia" w:hAnsi="Georgia"/>
                <w:sz w:val="14"/>
              </w:rPr>
              <w:t>Russia invades Ukraine; shares open −16%, close −8.6%</w:t>
            </w:r>
          </w:p>
        </w:tc>
      </w:tr>
      <w:tr>
        <w:tc>
          <w:tcPr>
            <w:tcW w:type="dxa" w:w="5090"/>
          </w:tcPr>
          <w:p>
            <w:pPr>
              <w:spacing w:before="20" w:after="20"/>
            </w:pPr>
            <w:r>
              <w:rPr>
                <w:rFonts w:ascii="Georgia" w:hAnsi="Georgia"/>
                <w:sz w:val="14"/>
              </w:rPr>
            </w:r>
            <w:r>
              <w:rPr>
                <w:rFonts w:ascii="Georgia" w:hAnsi="Georgia"/>
                <w:sz w:val="14"/>
              </w:rPr>
              <w:t>Feb–Mar 2022</w:t>
            </w:r>
          </w:p>
        </w:tc>
        <w:tc>
          <w:tcPr>
            <w:tcW w:type="dxa" w:w="5090"/>
          </w:tcPr>
          <w:p>
            <w:pPr>
              <w:spacing w:before="20" w:after="20"/>
            </w:pPr>
            <w:r>
              <w:rPr>
                <w:rFonts w:ascii="Georgia" w:hAnsi="Georgia"/>
                <w:sz w:val="14"/>
              </w:rPr>
            </w:r>
            <w:r>
              <w:rPr>
                <w:rFonts w:ascii="Georgia" w:hAnsi="Georgia"/>
                <w:sz w:val="14"/>
              </w:rPr>
              <w:t>Guidance withdrawn; single-day fall of 45.7%; roughly $25bn of market value destroyed; announced exit from Russia</w:t>
            </w:r>
          </w:p>
        </w:tc>
      </w:tr>
      <w:tr>
        <w:tc>
          <w:tcPr>
            <w:tcW w:type="dxa" w:w="5090"/>
            <w:shd w:val="clear" w:fill="F4F7FA"/>
          </w:tcPr>
          <w:p>
            <w:pPr>
              <w:spacing w:before="20" w:after="20"/>
            </w:pPr>
            <w:r>
              <w:rPr>
                <w:rFonts w:ascii="Georgia" w:hAnsi="Georgia"/>
                <w:sz w:val="14"/>
              </w:rPr>
            </w:r>
            <w:r>
              <w:rPr>
                <w:rFonts w:ascii="Georgia" w:hAnsi="Georgia"/>
                <w:sz w:val="14"/>
              </w:rPr>
              <w:t>2022–2024</w:t>
            </w:r>
          </w:p>
        </w:tc>
        <w:tc>
          <w:tcPr>
            <w:tcW w:type="dxa" w:w="5090"/>
            <w:shd w:val="clear" w:fill="F4F7FA"/>
          </w:tcPr>
          <w:p>
            <w:pPr>
              <w:spacing w:before="20" w:after="20"/>
            </w:pPr>
            <w:r>
              <w:rPr>
                <w:rFonts w:ascii="Georgia" w:hAnsi="Georgia"/>
                <w:sz w:val="14"/>
              </w:rPr>
            </w:r>
            <w:r>
              <w:rPr>
                <w:rFonts w:ascii="Georgia" w:hAnsi="Georgia"/>
                <w:sz w:val="14"/>
              </w:rPr>
              <w:t>Delivery relocation programme: India becomes the largest delivery location; Latin America and Caucasus build-out</w:t>
            </w:r>
          </w:p>
        </w:tc>
      </w:tr>
      <w:tr>
        <w:tc>
          <w:tcPr>
            <w:tcW w:type="dxa" w:w="5090"/>
          </w:tcPr>
          <w:p>
            <w:pPr>
              <w:spacing w:before="20" w:after="20"/>
            </w:pPr>
            <w:r>
              <w:rPr>
                <w:rFonts w:ascii="Georgia" w:hAnsi="Georgia"/>
                <w:sz w:val="14"/>
              </w:rPr>
            </w:r>
            <w:r>
              <w:rPr>
                <w:rFonts w:ascii="Georgia" w:hAnsi="Georgia"/>
                <w:sz w:val="14"/>
              </w:rPr>
              <w:t>16 Feb 2023</w:t>
            </w:r>
          </w:p>
        </w:tc>
        <w:tc>
          <w:tcPr>
            <w:tcW w:type="dxa" w:w="5090"/>
          </w:tcPr>
          <w:p>
            <w:pPr>
              <w:spacing w:before="20" w:after="20"/>
            </w:pPr>
            <w:r>
              <w:rPr>
                <w:rFonts w:ascii="Georgia" w:hAnsi="Georgia"/>
                <w:sz w:val="14"/>
              </w:rPr>
            </w:r>
            <w:r>
              <w:rPr>
                <w:rFonts w:ascii="Georgia" w:hAnsi="Georgia"/>
                <w:sz w:val="14"/>
              </w:rPr>
              <w:t>$500m repurchase programme authorised alongside FY2022 results</w:t>
            </w:r>
          </w:p>
        </w:tc>
      </w:tr>
      <w:tr>
        <w:tc>
          <w:tcPr>
            <w:tcW w:type="dxa" w:w="5090"/>
            <w:shd w:val="clear" w:fill="F4F7FA"/>
          </w:tcPr>
          <w:p>
            <w:pPr>
              <w:spacing w:before="20" w:after="20"/>
            </w:pPr>
            <w:r>
              <w:rPr>
                <w:rFonts w:ascii="Georgia" w:hAnsi="Georgia"/>
                <w:sz w:val="14"/>
              </w:rPr>
            </w:r>
            <w:r>
              <w:rPr>
                <w:rFonts w:ascii="Georgia" w:hAnsi="Georgia"/>
                <w:sz w:val="14"/>
              </w:rPr>
              <w:t>May 2024</w:t>
            </w:r>
          </w:p>
        </w:tc>
        <w:tc>
          <w:tcPr>
            <w:tcW w:type="dxa" w:w="5090"/>
            <w:shd w:val="clear" w:fill="F4F7FA"/>
          </w:tcPr>
          <w:p>
            <w:pPr>
              <w:spacing w:before="20" w:after="20"/>
            </w:pPr>
            <w:r>
              <w:rPr>
                <w:rFonts w:ascii="Georgia" w:hAnsi="Georgia"/>
                <w:sz w:val="14"/>
              </w:rPr>
            </w:r>
            <w:r>
              <w:rPr>
                <w:rFonts w:ascii="Georgia" w:hAnsi="Georgia"/>
                <w:sz w:val="14"/>
              </w:rPr>
              <w:t>Q1 2024: EPS beat, FY guidance cut; shares fall 27%</w:t>
            </w:r>
          </w:p>
        </w:tc>
      </w:tr>
      <w:tr>
        <w:tc>
          <w:tcPr>
            <w:tcW w:type="dxa" w:w="5090"/>
          </w:tcPr>
          <w:p>
            <w:pPr>
              <w:spacing w:before="20" w:after="20"/>
            </w:pPr>
            <w:r>
              <w:rPr>
                <w:rFonts w:ascii="Georgia" w:hAnsi="Georgia"/>
                <w:sz w:val="14"/>
              </w:rPr>
            </w:r>
            <w:r>
              <w:rPr>
                <w:rFonts w:ascii="Georgia" w:hAnsi="Georgia"/>
                <w:sz w:val="14"/>
              </w:rPr>
              <w:t>1 Aug 2024</w:t>
            </w:r>
          </w:p>
        </w:tc>
        <w:tc>
          <w:tcPr>
            <w:tcW w:type="dxa" w:w="5090"/>
          </w:tcPr>
          <w:p>
            <w:pPr>
              <w:spacing w:before="20" w:after="20"/>
            </w:pPr>
            <w:r>
              <w:rPr>
                <w:rFonts w:ascii="Georgia" w:hAnsi="Georgia"/>
                <w:sz w:val="14"/>
              </w:rPr>
            </w:r>
            <w:r>
              <w:rPr>
                <w:rFonts w:ascii="Georgia" w:hAnsi="Georgia"/>
                <w:sz w:val="14"/>
              </w:rPr>
              <w:t>2024 repurchase programme authorised ($500m)</w:t>
            </w:r>
          </w:p>
        </w:tc>
      </w:tr>
      <w:tr>
        <w:tc>
          <w:tcPr>
            <w:tcW w:type="dxa" w:w="5090"/>
            <w:shd w:val="clear" w:fill="F4F7FA"/>
          </w:tcPr>
          <w:p>
            <w:pPr>
              <w:spacing w:before="20" w:after="20"/>
            </w:pPr>
            <w:r>
              <w:rPr>
                <w:rFonts w:ascii="Georgia" w:hAnsi="Georgia"/>
                <w:sz w:val="14"/>
              </w:rPr>
            </w:r>
            <w:r>
              <w:rPr>
                <w:rFonts w:ascii="Georgia" w:hAnsi="Georgia"/>
                <w:sz w:val="14"/>
              </w:rPr>
              <w:t>Oct 2024</w:t>
            </w:r>
          </w:p>
        </w:tc>
        <w:tc>
          <w:tcPr>
            <w:tcW w:type="dxa" w:w="5090"/>
            <w:shd w:val="clear" w:fill="F4F7FA"/>
          </w:tcPr>
          <w:p>
            <w:pPr>
              <w:spacing w:before="20" w:after="20"/>
            </w:pPr>
            <w:r>
              <w:rPr>
                <w:rFonts w:ascii="Georgia" w:hAnsi="Georgia"/>
                <w:sz w:val="14"/>
              </w:rPr>
            </w:r>
            <w:r>
              <w:rPr>
                <w:rFonts w:ascii="Georgia" w:hAnsi="Georgia"/>
                <w:sz w:val="14"/>
              </w:rPr>
              <w:t>First Derivative acquired for approximately $290m</w:t>
            </w:r>
          </w:p>
        </w:tc>
      </w:tr>
      <w:tr>
        <w:tc>
          <w:tcPr>
            <w:tcW w:type="dxa" w:w="5090"/>
          </w:tcPr>
          <w:p>
            <w:pPr>
              <w:spacing w:before="20" w:after="20"/>
            </w:pPr>
            <w:r>
              <w:rPr>
                <w:rFonts w:ascii="Georgia" w:hAnsi="Georgia"/>
                <w:sz w:val="14"/>
              </w:rPr>
            </w:r>
            <w:r>
              <w:rPr>
                <w:rFonts w:ascii="Georgia" w:hAnsi="Georgia"/>
                <w:sz w:val="14"/>
              </w:rPr>
              <w:t>Nov 2024</w:t>
            </w:r>
          </w:p>
        </w:tc>
        <w:tc>
          <w:tcPr>
            <w:tcW w:type="dxa" w:w="5090"/>
          </w:tcPr>
          <w:p>
            <w:pPr>
              <w:spacing w:before="20" w:after="20"/>
            </w:pPr>
            <w:r>
              <w:rPr>
                <w:rFonts w:ascii="Georgia" w:hAnsi="Georgia"/>
                <w:sz w:val="14"/>
              </w:rPr>
            </w:r>
            <w:r>
              <w:rPr>
                <w:rFonts w:ascii="Georgia" w:hAnsi="Georgia"/>
                <w:sz w:val="14"/>
              </w:rPr>
              <w:t>NEORIS acquired for $626.3m — largest deal in company history</w:t>
            </w:r>
          </w:p>
        </w:tc>
      </w:tr>
      <w:tr>
        <w:tc>
          <w:tcPr>
            <w:tcW w:type="dxa" w:w="5090"/>
            <w:shd w:val="clear" w:fill="F4F7FA"/>
          </w:tcPr>
          <w:p>
            <w:pPr>
              <w:spacing w:before="20" w:after="20"/>
            </w:pPr>
            <w:r>
              <w:rPr>
                <w:rFonts w:ascii="Georgia" w:hAnsi="Georgia"/>
                <w:sz w:val="14"/>
              </w:rPr>
            </w:r>
            <w:r>
              <w:rPr>
                <w:rFonts w:ascii="Georgia" w:hAnsi="Georgia"/>
                <w:sz w:val="14"/>
              </w:rPr>
              <w:t>May 2025</w:t>
            </w:r>
          </w:p>
        </w:tc>
        <w:tc>
          <w:tcPr>
            <w:tcW w:type="dxa" w:w="5090"/>
            <w:shd w:val="clear" w:fill="F4F7FA"/>
          </w:tcPr>
          <w:p>
            <w:pPr>
              <w:spacing w:before="20" w:after="20"/>
            </w:pPr>
            <w:r>
              <w:rPr>
                <w:rFonts w:ascii="Georgia" w:hAnsi="Georgia"/>
                <w:sz w:val="14"/>
              </w:rPr>
            </w:r>
            <w:r>
              <w:rPr>
                <w:rFonts w:ascii="Georgia" w:hAnsi="Georgia"/>
                <w:sz w:val="14"/>
              </w:rPr>
              <w:t>Leadership succession announced</w:t>
            </w:r>
          </w:p>
        </w:tc>
      </w:tr>
      <w:tr>
        <w:tc>
          <w:tcPr>
            <w:tcW w:type="dxa" w:w="5090"/>
          </w:tcPr>
          <w:p>
            <w:pPr>
              <w:spacing w:before="20" w:after="20"/>
            </w:pPr>
            <w:r>
              <w:rPr>
                <w:rFonts w:ascii="Georgia" w:hAnsi="Georgia"/>
                <w:sz w:val="14"/>
              </w:rPr>
            </w:r>
            <w:r>
              <w:rPr>
                <w:rFonts w:ascii="Georgia" w:hAnsi="Georgia"/>
                <w:sz w:val="14"/>
              </w:rPr>
              <w:t>1 Sept 2025</w:t>
            </w:r>
          </w:p>
        </w:tc>
        <w:tc>
          <w:tcPr>
            <w:tcW w:type="dxa" w:w="5090"/>
          </w:tcPr>
          <w:p>
            <w:pPr>
              <w:spacing w:before="20" w:after="20"/>
            </w:pPr>
            <w:r>
              <w:rPr>
                <w:rFonts w:ascii="Georgia" w:hAnsi="Georgia"/>
                <w:sz w:val="14"/>
              </w:rPr>
            </w:r>
            <w:r>
              <w:rPr>
                <w:rFonts w:ascii="Georgia" w:hAnsi="Georgia"/>
                <w:sz w:val="14"/>
              </w:rPr>
              <w:t>Balazs Fejes becomes CEO and President; Arkadiy Dobkin becomes Executive Chairman</w:t>
            </w:r>
          </w:p>
        </w:tc>
      </w:tr>
      <w:tr>
        <w:tc>
          <w:tcPr>
            <w:tcW w:type="dxa" w:w="5090"/>
            <w:shd w:val="clear" w:fill="F4F7FA"/>
          </w:tcPr>
          <w:p>
            <w:pPr>
              <w:spacing w:before="20" w:after="20"/>
            </w:pPr>
            <w:r>
              <w:rPr>
                <w:rFonts w:ascii="Georgia" w:hAnsi="Georgia"/>
                <w:sz w:val="14"/>
              </w:rPr>
            </w:r>
            <w:r>
              <w:rPr>
                <w:rFonts w:ascii="Georgia" w:hAnsi="Georgia"/>
                <w:sz w:val="14"/>
              </w:rPr>
              <w:t>3 Oct 2025</w:t>
            </w:r>
          </w:p>
        </w:tc>
        <w:tc>
          <w:tcPr>
            <w:tcW w:type="dxa" w:w="5090"/>
            <w:shd w:val="clear" w:fill="F4F7FA"/>
          </w:tcPr>
          <w:p>
            <w:pPr>
              <w:spacing w:before="20" w:after="20"/>
            </w:pPr>
            <w:r>
              <w:rPr>
                <w:rFonts w:ascii="Georgia" w:hAnsi="Georgia"/>
                <w:sz w:val="14"/>
              </w:rPr>
            </w:r>
            <w:r>
              <w:rPr>
                <w:rFonts w:ascii="Georgia" w:hAnsi="Georgia"/>
                <w:sz w:val="14"/>
              </w:rPr>
              <w:t>2025 Credit Agreement: $700m revolver, expandable to $1.2bn, maturing October 2030</w:t>
            </w:r>
          </w:p>
        </w:tc>
      </w:tr>
      <w:tr>
        <w:tc>
          <w:tcPr>
            <w:tcW w:type="dxa" w:w="5090"/>
          </w:tcPr>
          <w:p>
            <w:pPr>
              <w:spacing w:before="20" w:after="20"/>
            </w:pPr>
            <w:r>
              <w:rPr>
                <w:rFonts w:ascii="Georgia" w:hAnsi="Georgia"/>
                <w:sz w:val="14"/>
              </w:rPr>
            </w:r>
            <w:r>
              <w:rPr>
                <w:rFonts w:ascii="Georgia" w:hAnsi="Georgia"/>
                <w:sz w:val="14"/>
              </w:rPr>
              <w:t>16 Oct 2025</w:t>
            </w:r>
          </w:p>
        </w:tc>
        <w:tc>
          <w:tcPr>
            <w:tcW w:type="dxa" w:w="5090"/>
          </w:tcPr>
          <w:p>
            <w:pPr>
              <w:spacing w:before="20" w:after="20"/>
            </w:pPr>
            <w:r>
              <w:rPr>
                <w:rFonts w:ascii="Georgia" w:hAnsi="Georgia"/>
                <w:sz w:val="14"/>
              </w:rPr>
            </w:r>
            <w:r>
              <w:rPr>
                <w:rFonts w:ascii="Georgia" w:hAnsi="Georgia"/>
                <w:sz w:val="14"/>
              </w:rPr>
              <w:t>$1.0bn repurchase programme authorised</w:t>
            </w:r>
          </w:p>
        </w:tc>
      </w:tr>
      <w:tr>
        <w:tc>
          <w:tcPr>
            <w:tcW w:type="dxa" w:w="5090"/>
            <w:shd w:val="clear" w:fill="F4F7FA"/>
          </w:tcPr>
          <w:p>
            <w:pPr>
              <w:spacing w:before="20" w:after="20"/>
            </w:pPr>
            <w:r>
              <w:rPr>
                <w:rFonts w:ascii="Georgia" w:hAnsi="Georgia"/>
                <w:sz w:val="14"/>
              </w:rPr>
            </w:r>
            <w:r>
              <w:rPr>
                <w:rFonts w:ascii="Georgia" w:hAnsi="Georgia"/>
                <w:sz w:val="14"/>
              </w:rPr>
              <w:t>19 Feb 2026</w:t>
            </w:r>
          </w:p>
        </w:tc>
        <w:tc>
          <w:tcPr>
            <w:tcW w:type="dxa" w:w="5090"/>
            <w:shd w:val="clear" w:fill="F4F7FA"/>
          </w:tcPr>
          <w:p>
            <w:pPr>
              <w:spacing w:before="20" w:after="20"/>
            </w:pPr>
            <w:r>
              <w:rPr>
                <w:rFonts w:ascii="Georgia" w:hAnsi="Georgia"/>
                <w:sz w:val="14"/>
              </w:rPr>
            </w:r>
            <w:r>
              <w:rPr>
                <w:rFonts w:ascii="Georgia" w:hAnsi="Georgia"/>
                <w:sz w:val="14"/>
              </w:rPr>
              <w:t>FY2025 results: revenue $5.457bn (+15.4%), non-GAAP EPS $11.50, GAAP EPS $6.72 (−14.3%)</w:t>
            </w:r>
          </w:p>
        </w:tc>
      </w:tr>
      <w:tr>
        <w:tc>
          <w:tcPr>
            <w:tcW w:type="dxa" w:w="5090"/>
          </w:tcPr>
          <w:p>
            <w:pPr>
              <w:spacing w:before="20" w:after="20"/>
            </w:pPr>
            <w:r>
              <w:rPr>
                <w:rFonts w:ascii="Georgia" w:hAnsi="Georgia"/>
                <w:sz w:val="14"/>
              </w:rPr>
            </w:r>
            <w:r>
              <w:rPr>
                <w:rFonts w:ascii="Georgia" w:hAnsi="Georgia"/>
                <w:sz w:val="14"/>
              </w:rPr>
              <w:t>12 Mar 2026</w:t>
            </w:r>
          </w:p>
        </w:tc>
        <w:tc>
          <w:tcPr>
            <w:tcW w:type="dxa" w:w="5090"/>
          </w:tcPr>
          <w:p>
            <w:pPr>
              <w:spacing w:before="20" w:after="20"/>
            </w:pPr>
            <w:r>
              <w:rPr>
                <w:rFonts w:ascii="Georgia" w:hAnsi="Georgia"/>
                <w:sz w:val="14"/>
              </w:rPr>
            </w:r>
            <w:r>
              <w:rPr>
                <w:rFonts w:ascii="Georgia" w:hAnsi="Georgia"/>
                <w:sz w:val="14"/>
              </w:rPr>
              <w:t>Investor Day: AI-native strategy, AI/RUN launch, 2028 targets (16%+ margin, $1.8bn+ FCF)</w:t>
            </w:r>
          </w:p>
        </w:tc>
      </w:tr>
      <w:tr>
        <w:tc>
          <w:tcPr>
            <w:tcW w:type="dxa" w:w="5090"/>
            <w:shd w:val="clear" w:fill="F4F7FA"/>
          </w:tcPr>
          <w:p>
            <w:pPr>
              <w:spacing w:before="20" w:after="20"/>
            </w:pPr>
            <w:r>
              <w:rPr>
                <w:rFonts w:ascii="Georgia" w:hAnsi="Georgia"/>
                <w:sz w:val="14"/>
              </w:rPr>
            </w:r>
            <w:r>
              <w:rPr>
                <w:rFonts w:ascii="Georgia" w:hAnsi="Georgia"/>
                <w:sz w:val="14"/>
              </w:rPr>
              <w:t>Mar 2026</w:t>
            </w:r>
          </w:p>
        </w:tc>
        <w:tc>
          <w:tcPr>
            <w:tcW w:type="dxa" w:w="5090"/>
            <w:shd w:val="clear" w:fill="F4F7FA"/>
          </w:tcPr>
          <w:p>
            <w:pPr>
              <w:spacing w:before="20" w:after="20"/>
            </w:pPr>
            <w:r>
              <w:rPr>
                <w:rFonts w:ascii="Georgia" w:hAnsi="Georgia"/>
                <w:sz w:val="14"/>
              </w:rPr>
            </w:r>
            <w:r>
              <w:rPr>
                <w:rFonts w:ascii="Georgia" w:hAnsi="Georgia"/>
                <w:sz w:val="14"/>
              </w:rPr>
              <w:t>$300m accelerated share repurchase executed</w:t>
            </w:r>
          </w:p>
        </w:tc>
      </w:tr>
      <w:tr>
        <w:tc>
          <w:tcPr>
            <w:tcW w:type="dxa" w:w="5090"/>
          </w:tcPr>
          <w:p>
            <w:pPr>
              <w:spacing w:before="20" w:after="20"/>
            </w:pPr>
            <w:r>
              <w:rPr>
                <w:rFonts w:ascii="Georgia" w:hAnsi="Georgia"/>
                <w:sz w:val="14"/>
              </w:rPr>
            </w:r>
            <w:r>
              <w:rPr>
                <w:rFonts w:ascii="Georgia" w:hAnsi="Georgia"/>
                <w:sz w:val="14"/>
              </w:rPr>
              <w:t>6 Apr 2026</w:t>
            </w:r>
          </w:p>
        </w:tc>
        <w:tc>
          <w:tcPr>
            <w:tcW w:type="dxa" w:w="5090"/>
          </w:tcPr>
          <w:p>
            <w:pPr>
              <w:spacing w:before="20" w:after="20"/>
            </w:pPr>
            <w:r>
              <w:rPr>
                <w:rFonts w:ascii="Georgia" w:hAnsi="Georgia"/>
                <w:sz w:val="14"/>
              </w:rPr>
            </w:r>
            <w:r>
              <w:rPr>
                <w:rFonts w:ascii="Georgia" w:hAnsi="Georgia"/>
                <w:sz w:val="14"/>
              </w:rPr>
              <w:t>DEF 14A filed: board declassification, special-meeting rights proposals</w:t>
            </w:r>
          </w:p>
        </w:tc>
      </w:tr>
      <w:tr>
        <w:tc>
          <w:tcPr>
            <w:tcW w:type="dxa" w:w="5090"/>
            <w:shd w:val="clear" w:fill="F4F7FA"/>
          </w:tcPr>
          <w:p>
            <w:pPr>
              <w:spacing w:before="20" w:after="20"/>
            </w:pPr>
            <w:r>
              <w:rPr>
                <w:rFonts w:ascii="Georgia" w:hAnsi="Georgia"/>
                <w:sz w:val="14"/>
              </w:rPr>
            </w:r>
            <w:r>
              <w:rPr>
                <w:rFonts w:ascii="Georgia" w:hAnsi="Georgia"/>
                <w:sz w:val="14"/>
              </w:rPr>
              <w:t>May 2026</w:t>
            </w:r>
          </w:p>
        </w:tc>
        <w:tc>
          <w:tcPr>
            <w:tcW w:type="dxa" w:w="5090"/>
            <w:shd w:val="clear" w:fill="F4F7FA"/>
          </w:tcPr>
          <w:p>
            <w:pPr>
              <w:spacing w:before="20" w:after="20"/>
            </w:pPr>
            <w:r>
              <w:rPr>
                <w:rFonts w:ascii="Georgia" w:hAnsi="Georgia"/>
                <w:sz w:val="14"/>
              </w:rPr>
            </w:r>
            <w:r>
              <w:rPr>
                <w:rFonts w:ascii="Georgia" w:hAnsi="Georgia"/>
                <w:sz w:val="14"/>
              </w:rPr>
              <w:t>Q1 2026: revenue $1.4bn (+7.6%), EPS beat, FY guidance cut to 4.0–6.5%</w:t>
            </w:r>
          </w:p>
        </w:tc>
      </w:tr>
      <w:tr>
        <w:tc>
          <w:tcPr>
            <w:tcW w:type="dxa" w:w="5090"/>
          </w:tcPr>
          <w:p>
            <w:pPr>
              <w:spacing w:before="20" w:after="20"/>
            </w:pPr>
            <w:r>
              <w:rPr>
                <w:rFonts w:ascii="Georgia" w:hAnsi="Georgia"/>
                <w:sz w:val="14"/>
              </w:rPr>
            </w:r>
            <w:r>
              <w:rPr>
                <w:rFonts w:ascii="Georgia" w:hAnsi="Georgia"/>
                <w:sz w:val="14"/>
              </w:rPr>
              <w:t>21 May 2026</w:t>
            </w:r>
          </w:p>
        </w:tc>
        <w:tc>
          <w:tcPr>
            <w:tcW w:type="dxa" w:w="5090"/>
          </w:tcPr>
          <w:p>
            <w:pPr>
              <w:spacing w:before="20" w:after="20"/>
            </w:pPr>
            <w:r>
              <w:rPr>
                <w:rFonts w:ascii="Georgia" w:hAnsi="Georgia"/>
                <w:sz w:val="14"/>
              </w:rPr>
            </w:r>
            <w:r>
              <w:rPr>
                <w:rFonts w:ascii="Georgia" w:hAnsi="Georgia"/>
                <w:sz w:val="14"/>
              </w:rPr>
              <w:t>Virtual annual general meeting</w:t>
            </w:r>
          </w:p>
        </w:tc>
      </w:tr>
      <w:tr>
        <w:tc>
          <w:tcPr>
            <w:tcW w:type="dxa" w:w="5090"/>
            <w:shd w:val="clear" w:fill="F4F7FA"/>
          </w:tcPr>
          <w:p>
            <w:pPr>
              <w:spacing w:before="20" w:after="20"/>
            </w:pPr>
            <w:r>
              <w:rPr>
                <w:rFonts w:ascii="Georgia" w:hAnsi="Georgia"/>
                <w:sz w:val="14"/>
              </w:rPr>
            </w:r>
            <w:r>
              <w:rPr>
                <w:rFonts w:ascii="Georgia" w:hAnsi="Georgia"/>
                <w:sz w:val="14"/>
              </w:rPr>
              <w:t>Jun 2026</w:t>
            </w:r>
          </w:p>
        </w:tc>
        <w:tc>
          <w:tcPr>
            <w:tcW w:type="dxa" w:w="5090"/>
            <w:shd w:val="clear" w:fill="F4F7FA"/>
          </w:tcPr>
          <w:p>
            <w:pPr>
              <w:spacing w:before="20" w:after="20"/>
            </w:pPr>
            <w:r>
              <w:rPr>
                <w:rFonts w:ascii="Georgia" w:hAnsi="Georgia"/>
                <w:sz w:val="14"/>
              </w:rPr>
            </w:r>
            <w:r>
              <w:rPr>
                <w:rFonts w:ascii="Georgia" w:hAnsi="Georgia"/>
                <w:sz w:val="14"/>
              </w:rPr>
              <w:t>Sector-wide IT services de-rating on AI substitution fears</w:t>
            </w:r>
          </w:p>
        </w:tc>
      </w:tr>
      <w:tr>
        <w:tc>
          <w:tcPr>
            <w:tcW w:type="dxa" w:w="5090"/>
          </w:tcPr>
          <w:p>
            <w:pPr>
              <w:spacing w:before="20" w:after="20"/>
            </w:pPr>
            <w:r>
              <w:rPr>
                <w:rFonts w:ascii="Georgia" w:hAnsi="Georgia"/>
                <w:sz w:val="14"/>
              </w:rPr>
            </w:r>
            <w:r>
              <w:rPr>
                <w:rFonts w:ascii="Georgia" w:hAnsi="Georgia"/>
                <w:b/>
                <w:sz w:val="14"/>
              </w:rPr>
              <w:t>6 Aug 2026</w:t>
            </w:r>
          </w:p>
        </w:tc>
        <w:tc>
          <w:tcPr>
            <w:tcW w:type="dxa" w:w="5090"/>
          </w:tcPr>
          <w:p>
            <w:pPr>
              <w:spacing w:before="20" w:after="20"/>
            </w:pPr>
            <w:r>
              <w:rPr>
                <w:rFonts w:ascii="Georgia" w:hAnsi="Georgia"/>
                <w:sz w:val="14"/>
              </w:rPr>
            </w:r>
            <w:r>
              <w:rPr>
                <w:rFonts w:ascii="Georgia" w:hAnsi="Georgia"/>
                <w:b/>
                <w:sz w:val="14"/>
              </w:rPr>
              <w:t>Q2 2026: revenue $1.415bn (+4.5%), non-GAAP EPS $3.38 (+22%), margin 16.4% — FY guidance cut to 3.2–4.2%; shares fall 22%</w:t>
            </w:r>
          </w:p>
        </w:tc>
      </w:tr>
    </w:tbl>
    <w:p>
      <w:pPr>
        <w:spacing w:after="60"/>
      </w:pPr>
    </w:p>
    <w:p>
      <w:pPr>
        <w:keepNext/>
        <w:spacing w:before="200" w:after="80"/>
      </w:pPr>
      <w:r>
        <w:rPr>
          <w:rFonts w:ascii="Georgia" w:hAnsi="Georgia"/>
          <w:b/>
          <w:color w:val="14487F"/>
          <w:sz w:val="21"/>
        </w:rPr>
        <w:t>Upcoming catalyst calendar</w:t>
      </w:r>
    </w:p>
    <w:tbl>
      <w:tblPr>
        <w:tblStyle w:val="TableGrid"/>
        <w:tblW w:type="auto" w:w="0"/>
        <w:jc w:val="center"/>
        <w:tblLayout w:type="autofit"/>
        <w:tblLook w:firstColumn="1" w:firstRow="1" w:lastColumn="0" w:lastRow="0" w:noHBand="0" w:noVBand="1" w:val="04A0"/>
      </w:tblPr>
      <w:tblGrid>
        <w:gridCol w:w="2545"/>
        <w:gridCol w:w="2545"/>
        <w:gridCol w:w="2545"/>
        <w:gridCol w:w="2545"/>
      </w:tblGrid>
      <w:tr>
        <w:tc>
          <w:tcPr>
            <w:tcW w:type="dxa" w:w="2545"/>
            <w:shd w:val="clear" w:fill="0B2545"/>
          </w:tcPr>
          <w:p>
            <w:pPr>
              <w:spacing w:before="20" w:after="20"/>
            </w:pPr>
            <w:r>
              <w:rPr>
                <w:rFonts w:ascii="Georgia" w:hAnsi="Georgia"/>
                <w:b/>
                <w:color w:val="FFFFFF"/>
                <w:sz w:val="14"/>
              </w:rPr>
            </w:r>
            <w:r>
              <w:rPr>
                <w:rFonts w:ascii="Georgia" w:hAnsi="Georgia"/>
                <w:b/>
                <w:color w:val="FFFFFF"/>
                <w:sz w:val="14"/>
              </w:rPr>
              <w:t>Date</w:t>
            </w:r>
          </w:p>
        </w:tc>
        <w:tc>
          <w:tcPr>
            <w:tcW w:type="dxa" w:w="2545"/>
            <w:shd w:val="clear" w:fill="0B2545"/>
          </w:tcPr>
          <w:p>
            <w:pPr>
              <w:spacing w:before="20" w:after="20"/>
            </w:pPr>
            <w:r>
              <w:rPr>
                <w:rFonts w:ascii="Georgia" w:hAnsi="Georgia"/>
                <w:b/>
                <w:color w:val="FFFFFF"/>
                <w:sz w:val="14"/>
              </w:rPr>
            </w:r>
            <w:r>
              <w:rPr>
                <w:rFonts w:ascii="Georgia" w:hAnsi="Georgia"/>
                <w:b/>
                <w:color w:val="FFFFFF"/>
                <w:sz w:val="14"/>
              </w:rPr>
              <w:t>Catalyst</w:t>
            </w:r>
          </w:p>
        </w:tc>
        <w:tc>
          <w:tcPr>
            <w:tcW w:type="dxa" w:w="2545"/>
            <w:shd w:val="clear" w:fill="0B2545"/>
          </w:tcPr>
          <w:p>
            <w:pPr>
              <w:spacing w:before="20" w:after="20"/>
            </w:pPr>
            <w:r>
              <w:rPr>
                <w:rFonts w:ascii="Georgia" w:hAnsi="Georgia"/>
                <w:b/>
                <w:color w:val="FFFFFF"/>
                <w:sz w:val="14"/>
              </w:rPr>
            </w:r>
            <w:r>
              <w:rPr>
                <w:rFonts w:ascii="Georgia" w:hAnsi="Georgia"/>
                <w:b/>
                <w:color w:val="FFFFFF"/>
                <w:sz w:val="14"/>
              </w:rPr>
              <w:t>Importance</w:t>
            </w:r>
          </w:p>
        </w:tc>
        <w:tc>
          <w:tcPr>
            <w:tcW w:type="dxa" w:w="2545"/>
            <w:shd w:val="clear" w:fill="0B2545"/>
          </w:tcPr>
          <w:p>
            <w:pPr>
              <w:spacing w:before="20" w:after="20"/>
            </w:pPr>
            <w:r>
              <w:rPr>
                <w:rFonts w:ascii="Georgia" w:hAnsi="Georgia"/>
                <w:b/>
                <w:color w:val="FFFFFF"/>
                <w:sz w:val="14"/>
              </w:rPr>
            </w:r>
            <w:r>
              <w:rPr>
                <w:rFonts w:ascii="Georgia" w:hAnsi="Georgia"/>
                <w:b/>
                <w:color w:val="FFFFFF"/>
                <w:sz w:val="14"/>
              </w:rPr>
              <w:t>What to watch</w:t>
            </w:r>
          </w:p>
        </w:tc>
      </w:tr>
      <w:tr>
        <w:tc>
          <w:tcPr>
            <w:tcW w:type="dxa" w:w="2545"/>
          </w:tcPr>
          <w:p>
            <w:pPr>
              <w:spacing w:before="20" w:after="20"/>
            </w:pPr>
            <w:r>
              <w:rPr>
                <w:rFonts w:ascii="Georgia" w:hAnsi="Georgia"/>
                <w:sz w:val="14"/>
              </w:rPr>
            </w:r>
            <w:r>
              <w:rPr>
                <w:rFonts w:ascii="Georgia" w:hAnsi="Georgia"/>
                <w:b/>
                <w:sz w:val="14"/>
              </w:rPr>
              <w:t>29 Oct 2026</w:t>
            </w:r>
          </w:p>
        </w:tc>
        <w:tc>
          <w:tcPr>
            <w:tcW w:type="dxa" w:w="2545"/>
          </w:tcPr>
          <w:p>
            <w:pPr>
              <w:spacing w:before="20" w:after="20"/>
            </w:pPr>
            <w:r>
              <w:rPr>
                <w:rFonts w:ascii="Georgia" w:hAnsi="Georgia"/>
                <w:sz w:val="14"/>
              </w:rPr>
            </w:r>
            <w:r>
              <w:rPr>
                <w:rFonts w:ascii="Georgia" w:hAnsi="Georgia"/>
                <w:b/>
                <w:sz w:val="14"/>
              </w:rPr>
              <w:t>Q3 2026 results</w:t>
            </w:r>
          </w:p>
        </w:tc>
        <w:tc>
          <w:tcPr>
            <w:tcW w:type="dxa" w:w="2545"/>
          </w:tcPr>
          <w:p>
            <w:pPr>
              <w:spacing w:before="20" w:after="20"/>
            </w:pPr>
            <w:r>
              <w:rPr>
                <w:rFonts w:ascii="Georgia" w:hAnsi="Georgia"/>
                <w:sz w:val="14"/>
              </w:rPr>
            </w:r>
            <w:r>
              <w:rPr>
                <w:rFonts w:ascii="Georgia" w:hAnsi="Georgia"/>
                <w:b/>
                <w:sz w:val="14"/>
              </w:rPr>
              <w:t>Critical</w:t>
            </w:r>
          </w:p>
        </w:tc>
        <w:tc>
          <w:tcPr>
            <w:tcW w:type="dxa" w:w="2545"/>
          </w:tcPr>
          <w:p>
            <w:pPr>
              <w:spacing w:before="20" w:after="20"/>
            </w:pPr>
            <w:r>
              <w:rPr>
                <w:rFonts w:ascii="Georgia" w:hAnsi="Georgia"/>
                <w:sz w:val="14"/>
              </w:rPr>
            </w:r>
            <w:r>
              <w:rPr>
                <w:rFonts w:ascii="Georgia" w:hAnsi="Georgia"/>
                <w:sz w:val="14"/>
              </w:rPr>
              <w:t xml:space="preserve">Guidance is $1.410–1.425bn revenue, GAAP EPS $2.33–2.41, non-GAAP $3.38–3.46. The three questions that matter: (1) Does the Americas turn negative? (2) Does operating cash flow recover from negative $2m? (3) Is full-year guidance held rather than cut for a third time this year? </w:t>
            </w:r>
            <w:r>
              <w:rPr>
                <w:rFonts w:ascii="Georgia" w:hAnsi="Georgia"/>
                <w:b/>
                <w:sz w:val="14"/>
              </w:rPr>
              <w:t>A maintained guide is the specific catalyst for a re-rating.</w:t>
            </w:r>
          </w:p>
        </w:tc>
      </w:tr>
      <w:tr>
        <w:tc>
          <w:tcPr>
            <w:tcW w:type="dxa" w:w="2545"/>
            <w:shd w:val="clear" w:fill="F4F7FA"/>
          </w:tcPr>
          <w:p>
            <w:pPr>
              <w:spacing w:before="20" w:after="20"/>
            </w:pPr>
            <w:r>
              <w:rPr>
                <w:rFonts w:ascii="Georgia" w:hAnsi="Georgia"/>
                <w:sz w:val="14"/>
              </w:rPr>
            </w:r>
            <w:r>
              <w:rPr>
                <w:rFonts w:ascii="Georgia" w:hAnsi="Georgia"/>
                <w:sz w:val="14"/>
              </w:rPr>
              <w:t>Oct–Nov 2026</w:t>
            </w:r>
          </w:p>
        </w:tc>
        <w:tc>
          <w:tcPr>
            <w:tcW w:type="dxa" w:w="2545"/>
            <w:shd w:val="clear" w:fill="F4F7FA"/>
          </w:tcPr>
          <w:p>
            <w:pPr>
              <w:spacing w:before="20" w:after="20"/>
            </w:pPr>
            <w:r>
              <w:rPr>
                <w:rFonts w:ascii="Georgia" w:hAnsi="Georgia"/>
                <w:sz w:val="14"/>
              </w:rPr>
            </w:r>
            <w:r>
              <w:rPr>
                <w:rFonts w:ascii="Georgia" w:hAnsi="Georgia"/>
                <w:sz w:val="14"/>
              </w:rPr>
              <w:t>AI-native revenue milestone</w:t>
            </w:r>
          </w:p>
        </w:tc>
        <w:tc>
          <w:tcPr>
            <w:tcW w:type="dxa" w:w="2545"/>
            <w:shd w:val="clear" w:fill="F4F7FA"/>
          </w:tcPr>
          <w:p>
            <w:pPr>
              <w:spacing w:before="20" w:after="20"/>
            </w:pPr>
            <w:r>
              <w:rPr>
                <w:rFonts w:ascii="Georgia" w:hAnsi="Georgia"/>
                <w:sz w:val="14"/>
              </w:rPr>
            </w:r>
            <w:r>
              <w:rPr>
                <w:rFonts w:ascii="Georgia" w:hAnsi="Georgia"/>
                <w:sz w:val="14"/>
              </w:rPr>
              <w:t>High</w:t>
            </w:r>
          </w:p>
        </w:tc>
        <w:tc>
          <w:tcPr>
            <w:tcW w:type="dxa" w:w="2545"/>
            <w:shd w:val="clear" w:fill="F4F7FA"/>
          </w:tcPr>
          <w:p>
            <w:pPr>
              <w:spacing w:before="20" w:after="20"/>
            </w:pPr>
            <w:r>
              <w:rPr>
                <w:rFonts w:ascii="Georgia" w:hAnsi="Georgia"/>
                <w:sz w:val="14"/>
              </w:rPr>
            </w:r>
            <w:r>
              <w:rPr>
                <w:rFonts w:ascii="Georgia" w:hAnsi="Georgia"/>
                <w:sz w:val="14"/>
              </w:rPr>
              <w:t>Cumulative AI-native revenue should approach $450–480m by Q3 if the $600m full-year target holds. A miss here would severely damage the strategic narrative.</w:t>
            </w:r>
          </w:p>
        </w:tc>
      </w:tr>
      <w:tr>
        <w:tc>
          <w:tcPr>
            <w:tcW w:type="dxa" w:w="2545"/>
          </w:tcPr>
          <w:p>
            <w:pPr>
              <w:spacing w:before="20" w:after="20"/>
            </w:pPr>
            <w:r>
              <w:rPr>
                <w:rFonts w:ascii="Georgia" w:hAnsi="Georgia"/>
                <w:sz w:val="14"/>
              </w:rPr>
            </w:r>
            <w:r>
              <w:rPr>
                <w:rFonts w:ascii="Georgia" w:hAnsi="Georgia"/>
                <w:sz w:val="14"/>
              </w:rPr>
              <w:t>Q4 2026</w:t>
            </w:r>
          </w:p>
        </w:tc>
        <w:tc>
          <w:tcPr>
            <w:tcW w:type="dxa" w:w="2545"/>
          </w:tcPr>
          <w:p>
            <w:pPr>
              <w:spacing w:before="20" w:after="20"/>
            </w:pPr>
            <w:r>
              <w:rPr>
                <w:rFonts w:ascii="Georgia" w:hAnsi="Georgia"/>
                <w:sz w:val="14"/>
              </w:rPr>
            </w:r>
            <w:r>
              <w:rPr>
                <w:rFonts w:ascii="Georgia" w:hAnsi="Georgia"/>
                <w:sz w:val="14"/>
              </w:rPr>
              <w:t>Large multi-year AI deal signings</w:t>
            </w:r>
          </w:p>
        </w:tc>
        <w:tc>
          <w:tcPr>
            <w:tcW w:type="dxa" w:w="2545"/>
          </w:tcPr>
          <w:p>
            <w:pPr>
              <w:spacing w:before="20" w:after="20"/>
            </w:pPr>
            <w:r>
              <w:rPr>
                <w:rFonts w:ascii="Georgia" w:hAnsi="Georgia"/>
                <w:sz w:val="14"/>
              </w:rPr>
            </w:r>
            <w:r>
              <w:rPr>
                <w:rFonts w:ascii="Georgia" w:hAnsi="Georgia"/>
                <w:b/>
                <w:sz w:val="14"/>
              </w:rPr>
              <w:t>Critical</w:t>
            </w:r>
          </w:p>
        </w:tc>
        <w:tc>
          <w:tcPr>
            <w:tcW w:type="dxa" w:w="2545"/>
          </w:tcPr>
          <w:p>
            <w:pPr>
              <w:spacing w:before="20" w:after="20"/>
            </w:pPr>
            <w:r>
              <w:rPr>
                <w:rFonts w:ascii="Georgia" w:hAnsi="Georgia"/>
                <w:sz w:val="14"/>
              </w:rPr>
            </w:r>
            <w:r>
              <w:rPr>
                <w:rFonts w:ascii="Georgia" w:hAnsi="Georgia"/>
                <w:sz w:val="14"/>
              </w:rPr>
              <w:t>Management said these slipped to H1 2027. Any announced signing before year-end would be a significant positive surprise; further slippage would be materially negative.</w:t>
            </w:r>
          </w:p>
        </w:tc>
      </w:tr>
      <w:tr>
        <w:tc>
          <w:tcPr>
            <w:tcW w:type="dxa" w:w="2545"/>
            <w:shd w:val="clear" w:fill="F4F7FA"/>
          </w:tcPr>
          <w:p>
            <w:pPr>
              <w:spacing w:before="20" w:after="20"/>
            </w:pPr>
            <w:r>
              <w:rPr>
                <w:rFonts w:ascii="Georgia" w:hAnsi="Georgia"/>
                <w:sz w:val="14"/>
              </w:rPr>
            </w:r>
            <w:r>
              <w:rPr>
                <w:rFonts w:ascii="Georgia" w:hAnsi="Georgia"/>
                <w:sz w:val="14"/>
              </w:rPr>
              <w:t>Q4 2026 / Q1 2027</w:t>
            </w:r>
          </w:p>
        </w:tc>
        <w:tc>
          <w:tcPr>
            <w:tcW w:type="dxa" w:w="2545"/>
            <w:shd w:val="clear" w:fill="F4F7FA"/>
          </w:tcPr>
          <w:p>
            <w:pPr>
              <w:spacing w:before="20" w:after="20"/>
            </w:pPr>
            <w:r>
              <w:rPr>
                <w:rFonts w:ascii="Georgia" w:hAnsi="Georgia"/>
                <w:sz w:val="14"/>
              </w:rPr>
            </w:r>
            <w:r>
              <w:rPr>
                <w:rFonts w:ascii="Georgia" w:hAnsi="Georgia"/>
                <w:sz w:val="14"/>
              </w:rPr>
              <w:t>Buyback execution and possible new authorisation</w:t>
            </w:r>
          </w:p>
        </w:tc>
        <w:tc>
          <w:tcPr>
            <w:tcW w:type="dxa" w:w="2545"/>
            <w:shd w:val="clear" w:fill="F4F7FA"/>
          </w:tcPr>
          <w:p>
            <w:pPr>
              <w:spacing w:before="20" w:after="20"/>
            </w:pPr>
            <w:r>
              <w:rPr>
                <w:rFonts w:ascii="Georgia" w:hAnsi="Georgia"/>
                <w:sz w:val="14"/>
              </w:rPr>
            </w:r>
            <w:r>
              <w:rPr>
                <w:rFonts w:ascii="Georgia" w:hAnsi="Georgia"/>
                <w:sz w:val="14"/>
              </w:rPr>
              <w:t>Moderate</w:t>
            </w:r>
          </w:p>
        </w:tc>
        <w:tc>
          <w:tcPr>
            <w:tcW w:type="dxa" w:w="2545"/>
            <w:shd w:val="clear" w:fill="F4F7FA"/>
          </w:tcPr>
          <w:p>
            <w:pPr>
              <w:spacing w:before="20" w:after="20"/>
            </w:pPr>
            <w:r>
              <w:rPr>
                <w:rFonts w:ascii="Georgia" w:hAnsi="Georgia"/>
                <w:sz w:val="14"/>
              </w:rPr>
            </w:r>
            <w:r>
              <w:rPr>
                <w:rFonts w:ascii="Georgia" w:hAnsi="Georgia"/>
                <w:sz w:val="14"/>
              </w:rPr>
              <w:t>Roughly $450m remained available. Watch for acceleration at depressed prices, or a new/expanded authorisation — and note the existing programme expires around October 2027.</w:t>
            </w:r>
          </w:p>
        </w:tc>
      </w:tr>
      <w:tr>
        <w:tc>
          <w:tcPr>
            <w:tcW w:type="dxa" w:w="2545"/>
          </w:tcPr>
          <w:p>
            <w:pPr>
              <w:spacing w:before="20" w:after="20"/>
            </w:pPr>
            <w:r>
              <w:rPr>
                <w:rFonts w:ascii="Georgia" w:hAnsi="Georgia"/>
                <w:sz w:val="14"/>
              </w:rPr>
            </w:r>
            <w:r>
              <w:rPr>
                <w:rFonts w:ascii="Georgia" w:hAnsi="Georgia"/>
                <w:b/>
                <w:sz w:val="14"/>
              </w:rPr>
              <w:t>Feb 2027 (est.)</w:t>
            </w:r>
          </w:p>
        </w:tc>
        <w:tc>
          <w:tcPr>
            <w:tcW w:type="dxa" w:w="2545"/>
          </w:tcPr>
          <w:p>
            <w:pPr>
              <w:spacing w:before="20" w:after="20"/>
            </w:pPr>
            <w:r>
              <w:rPr>
                <w:rFonts w:ascii="Georgia" w:hAnsi="Georgia"/>
                <w:sz w:val="14"/>
              </w:rPr>
            </w:r>
            <w:r>
              <w:rPr>
                <w:rFonts w:ascii="Georgia" w:hAnsi="Georgia"/>
                <w:b/>
                <w:sz w:val="14"/>
              </w:rPr>
              <w:t>Q4 and FY2026 results, plus initial FY2027 guidance</w:t>
            </w:r>
          </w:p>
        </w:tc>
        <w:tc>
          <w:tcPr>
            <w:tcW w:type="dxa" w:w="2545"/>
          </w:tcPr>
          <w:p>
            <w:pPr>
              <w:spacing w:before="20" w:after="20"/>
            </w:pPr>
            <w:r>
              <w:rPr>
                <w:rFonts w:ascii="Georgia" w:hAnsi="Georgia"/>
                <w:sz w:val="14"/>
              </w:rPr>
            </w:r>
            <w:r>
              <w:rPr>
                <w:rFonts w:ascii="Georgia" w:hAnsi="Georgia"/>
                <w:b/>
                <w:sz w:val="14"/>
              </w:rPr>
              <w:t>Critical</w:t>
            </w:r>
          </w:p>
        </w:tc>
        <w:tc>
          <w:tcPr>
            <w:tcW w:type="dxa" w:w="2545"/>
          </w:tcPr>
          <w:p>
            <w:pPr>
              <w:spacing w:before="20" w:after="20"/>
            </w:pPr>
            <w:r>
              <w:rPr>
                <w:rFonts w:ascii="Georgia" w:hAnsi="Georgia"/>
                <w:sz w:val="14"/>
              </w:rPr>
            </w:r>
            <w:r>
              <w:rPr>
                <w:rFonts w:ascii="Georgia" w:hAnsi="Georgia"/>
                <w:sz w:val="14"/>
              </w:rPr>
              <w:t>The most important event in the calendar. Initial FY2027 guidance will reveal whether management believes the H1 2027 AI pipeline converts. Also the annual goodwill impairment assessment.</w:t>
            </w:r>
          </w:p>
        </w:tc>
      </w:tr>
      <w:tr>
        <w:tc>
          <w:tcPr>
            <w:tcW w:type="dxa" w:w="2545"/>
            <w:shd w:val="clear" w:fill="F4F7FA"/>
          </w:tcPr>
          <w:p>
            <w:pPr>
              <w:spacing w:before="20" w:after="20"/>
            </w:pPr>
            <w:r>
              <w:rPr>
                <w:rFonts w:ascii="Georgia" w:hAnsi="Georgia"/>
                <w:sz w:val="14"/>
              </w:rPr>
            </w:r>
            <w:r>
              <w:rPr>
                <w:rFonts w:ascii="Georgia" w:hAnsi="Georgia"/>
                <w:sz w:val="14"/>
              </w:rPr>
              <w:t>Feb–Mar 2027</w:t>
            </w:r>
          </w:p>
        </w:tc>
        <w:tc>
          <w:tcPr>
            <w:tcW w:type="dxa" w:w="2545"/>
            <w:shd w:val="clear" w:fill="F4F7FA"/>
          </w:tcPr>
          <w:p>
            <w:pPr>
              <w:spacing w:before="20" w:after="20"/>
            </w:pPr>
            <w:r>
              <w:rPr>
                <w:rFonts w:ascii="Georgia" w:hAnsi="Georgia"/>
                <w:sz w:val="14"/>
              </w:rPr>
            </w:r>
            <w:r>
              <w:rPr>
                <w:rFonts w:ascii="Georgia" w:hAnsi="Georgia"/>
                <w:sz w:val="14"/>
              </w:rPr>
              <w:t>FY2026 Form 10-K</w:t>
            </w:r>
          </w:p>
        </w:tc>
        <w:tc>
          <w:tcPr>
            <w:tcW w:type="dxa" w:w="2545"/>
            <w:shd w:val="clear" w:fill="F4F7FA"/>
          </w:tcPr>
          <w:p>
            <w:pPr>
              <w:spacing w:before="20" w:after="20"/>
            </w:pPr>
            <w:r>
              <w:rPr>
                <w:rFonts w:ascii="Georgia" w:hAnsi="Georgia"/>
                <w:sz w:val="14"/>
              </w:rPr>
            </w:r>
            <w:r>
              <w:rPr>
                <w:rFonts w:ascii="Georgia" w:hAnsi="Georgia"/>
                <w:sz w:val="14"/>
              </w:rPr>
              <w:t>High</w:t>
            </w:r>
          </w:p>
        </w:tc>
        <w:tc>
          <w:tcPr>
            <w:tcW w:type="dxa" w:w="2545"/>
            <w:shd w:val="clear" w:fill="F4F7FA"/>
          </w:tcPr>
          <w:p>
            <w:pPr>
              <w:spacing w:before="20" w:after="20"/>
            </w:pPr>
            <w:r>
              <w:rPr>
                <w:rFonts w:ascii="Georgia" w:hAnsi="Georgia"/>
                <w:sz w:val="14"/>
              </w:rPr>
            </w:r>
            <w:r>
              <w:rPr>
                <w:rFonts w:ascii="Georgia" w:hAnsi="Georgia"/>
                <w:sz w:val="14"/>
              </w:rPr>
              <w:t>Full-year receivables and DSO disclosure; goodwill impairment testing; updated contract-mix disclosure; stock-based compensation quantum.</w:t>
            </w:r>
          </w:p>
        </w:tc>
      </w:tr>
      <w:tr>
        <w:tc>
          <w:tcPr>
            <w:tcW w:type="dxa" w:w="2545"/>
          </w:tcPr>
          <w:p>
            <w:pPr>
              <w:spacing w:before="20" w:after="20"/>
            </w:pPr>
            <w:r>
              <w:rPr>
                <w:rFonts w:ascii="Georgia" w:hAnsi="Georgia"/>
                <w:sz w:val="14"/>
              </w:rPr>
            </w:r>
            <w:r>
              <w:rPr>
                <w:rFonts w:ascii="Georgia" w:hAnsi="Georgia"/>
                <w:sz w:val="14"/>
              </w:rPr>
              <w:t>Mar 2027 (est.)</w:t>
            </w:r>
          </w:p>
        </w:tc>
        <w:tc>
          <w:tcPr>
            <w:tcW w:type="dxa" w:w="2545"/>
          </w:tcPr>
          <w:p>
            <w:pPr>
              <w:spacing w:before="20" w:after="20"/>
            </w:pPr>
            <w:r>
              <w:rPr>
                <w:rFonts w:ascii="Georgia" w:hAnsi="Georgia"/>
                <w:sz w:val="14"/>
              </w:rPr>
            </w:r>
            <w:r>
              <w:rPr>
                <w:rFonts w:ascii="Georgia" w:hAnsi="Georgia"/>
                <w:sz w:val="14"/>
              </w:rPr>
              <w:t>Possible Investor Day</w:t>
            </w:r>
          </w:p>
        </w:tc>
        <w:tc>
          <w:tcPr>
            <w:tcW w:type="dxa" w:w="2545"/>
          </w:tcPr>
          <w:p>
            <w:pPr>
              <w:spacing w:before="20" w:after="20"/>
            </w:pPr>
            <w:r>
              <w:rPr>
                <w:rFonts w:ascii="Georgia" w:hAnsi="Georgia"/>
                <w:sz w:val="14"/>
              </w:rPr>
            </w:r>
            <w:r>
              <w:rPr>
                <w:rFonts w:ascii="Georgia" w:hAnsi="Georgia"/>
                <w:sz w:val="14"/>
              </w:rPr>
              <w:t>Moderate</w:t>
            </w:r>
          </w:p>
        </w:tc>
        <w:tc>
          <w:tcPr>
            <w:tcW w:type="dxa" w:w="2545"/>
          </w:tcPr>
          <w:p>
            <w:pPr>
              <w:spacing w:before="20" w:after="20"/>
            </w:pPr>
            <w:r>
              <w:rPr>
                <w:rFonts w:ascii="Georgia" w:hAnsi="Georgia"/>
                <w:sz w:val="14"/>
              </w:rPr>
            </w:r>
            <w:r>
              <w:rPr>
                <w:rFonts w:ascii="Georgia" w:hAnsi="Georgia"/>
                <w:sz w:val="14"/>
              </w:rPr>
              <w:t>Whether the March 2026 2028 targets are reaffirmed, revised or withdrawn.</w:t>
            </w:r>
          </w:p>
        </w:tc>
      </w:tr>
      <w:tr>
        <w:tc>
          <w:tcPr>
            <w:tcW w:type="dxa" w:w="2545"/>
            <w:shd w:val="clear" w:fill="F4F7FA"/>
          </w:tcPr>
          <w:p>
            <w:pPr>
              <w:spacing w:before="20" w:after="20"/>
            </w:pPr>
            <w:r>
              <w:rPr>
                <w:rFonts w:ascii="Georgia" w:hAnsi="Georgia"/>
                <w:sz w:val="14"/>
              </w:rPr>
            </w:r>
            <w:r>
              <w:rPr>
                <w:rFonts w:ascii="Georgia" w:hAnsi="Georgia"/>
                <w:sz w:val="14"/>
              </w:rPr>
              <w:t>Apr 2027</w:t>
            </w:r>
          </w:p>
        </w:tc>
        <w:tc>
          <w:tcPr>
            <w:tcW w:type="dxa" w:w="2545"/>
            <w:shd w:val="clear" w:fill="F4F7FA"/>
          </w:tcPr>
          <w:p>
            <w:pPr>
              <w:spacing w:before="20" w:after="20"/>
            </w:pPr>
            <w:r>
              <w:rPr>
                <w:rFonts w:ascii="Georgia" w:hAnsi="Georgia"/>
                <w:sz w:val="14"/>
              </w:rPr>
            </w:r>
            <w:r>
              <w:rPr>
                <w:rFonts w:ascii="Georgia" w:hAnsi="Georgia"/>
                <w:sz w:val="14"/>
              </w:rPr>
              <w:t>DEF 14A proxy filing</w:t>
            </w:r>
          </w:p>
        </w:tc>
        <w:tc>
          <w:tcPr>
            <w:tcW w:type="dxa" w:w="2545"/>
            <w:shd w:val="clear" w:fill="F4F7FA"/>
          </w:tcPr>
          <w:p>
            <w:pPr>
              <w:spacing w:before="20" w:after="20"/>
            </w:pPr>
            <w:r>
              <w:rPr>
                <w:rFonts w:ascii="Georgia" w:hAnsi="Georgia"/>
                <w:sz w:val="14"/>
              </w:rPr>
            </w:r>
            <w:r>
              <w:rPr>
                <w:rFonts w:ascii="Georgia" w:hAnsi="Georgia"/>
                <w:sz w:val="14"/>
              </w:rPr>
              <w:t>Moderate</w:t>
            </w:r>
          </w:p>
        </w:tc>
        <w:tc>
          <w:tcPr>
            <w:tcW w:type="dxa" w:w="2545"/>
            <w:shd w:val="clear" w:fill="F4F7FA"/>
          </w:tcPr>
          <w:p>
            <w:pPr>
              <w:spacing w:before="20" w:after="20"/>
            </w:pPr>
            <w:r>
              <w:rPr>
                <w:rFonts w:ascii="Georgia" w:hAnsi="Georgia"/>
                <w:sz w:val="14"/>
              </w:rPr>
            </w:r>
            <w:r>
              <w:rPr>
                <w:rFonts w:ascii="Georgia" w:hAnsi="Georgia"/>
                <w:sz w:val="14"/>
              </w:rPr>
              <w:t>Board refreshment, executive compensation metrics (particularly whether targets are GAAP or non-GAAP based), progress on declassification, any shareholder proposals.</w:t>
            </w:r>
          </w:p>
        </w:tc>
      </w:tr>
      <w:tr>
        <w:tc>
          <w:tcPr>
            <w:tcW w:type="dxa" w:w="2545"/>
          </w:tcPr>
          <w:p>
            <w:pPr>
              <w:spacing w:before="20" w:after="20"/>
            </w:pPr>
            <w:r>
              <w:rPr>
                <w:rFonts w:ascii="Georgia" w:hAnsi="Georgia"/>
                <w:sz w:val="14"/>
              </w:rPr>
            </w:r>
            <w:r>
              <w:rPr>
                <w:rFonts w:ascii="Georgia" w:hAnsi="Georgia"/>
                <w:sz w:val="14"/>
              </w:rPr>
              <w:t>May 2027 (est.)</w:t>
            </w:r>
          </w:p>
        </w:tc>
        <w:tc>
          <w:tcPr>
            <w:tcW w:type="dxa" w:w="2545"/>
          </w:tcPr>
          <w:p>
            <w:pPr>
              <w:spacing w:before="20" w:after="20"/>
            </w:pPr>
            <w:r>
              <w:rPr>
                <w:rFonts w:ascii="Georgia" w:hAnsi="Georgia"/>
                <w:sz w:val="14"/>
              </w:rPr>
            </w:r>
            <w:r>
              <w:rPr>
                <w:rFonts w:ascii="Georgia" w:hAnsi="Georgia"/>
                <w:sz w:val="14"/>
              </w:rPr>
              <w:t>Annual general meeting; Q1 2027 results</w:t>
            </w:r>
          </w:p>
        </w:tc>
        <w:tc>
          <w:tcPr>
            <w:tcW w:type="dxa" w:w="2545"/>
          </w:tcPr>
          <w:p>
            <w:pPr>
              <w:spacing w:before="20" w:after="20"/>
            </w:pPr>
            <w:r>
              <w:rPr>
                <w:rFonts w:ascii="Georgia" w:hAnsi="Georgia"/>
                <w:sz w:val="14"/>
              </w:rPr>
            </w:r>
            <w:r>
              <w:rPr>
                <w:rFonts w:ascii="Georgia" w:hAnsi="Georgia"/>
                <w:sz w:val="14"/>
              </w:rPr>
              <w:t>High</w:t>
            </w:r>
          </w:p>
        </w:tc>
        <w:tc>
          <w:tcPr>
            <w:tcW w:type="dxa" w:w="2545"/>
          </w:tcPr>
          <w:p>
            <w:pPr>
              <w:spacing w:before="20" w:after="20"/>
            </w:pPr>
            <w:r>
              <w:rPr>
                <w:rFonts w:ascii="Georgia" w:hAnsi="Georgia"/>
                <w:sz w:val="14"/>
              </w:rPr>
            </w:r>
            <w:r>
              <w:rPr>
                <w:rFonts w:ascii="Georgia" w:hAnsi="Georgia"/>
                <w:sz w:val="14"/>
              </w:rPr>
              <w:t>First evidence of whether H1 2027 AI revenue materialised.</w:t>
            </w:r>
          </w:p>
        </w:tc>
      </w:tr>
      <w:tr>
        <w:tc>
          <w:tcPr>
            <w:tcW w:type="dxa" w:w="2545"/>
            <w:shd w:val="clear" w:fill="F4F7FA"/>
          </w:tcPr>
          <w:p>
            <w:pPr>
              <w:spacing w:before="20" w:after="20"/>
            </w:pPr>
            <w:r>
              <w:rPr>
                <w:rFonts w:ascii="Georgia" w:hAnsi="Georgia"/>
                <w:sz w:val="14"/>
              </w:rPr>
            </w:r>
            <w:r>
              <w:rPr>
                <w:rFonts w:ascii="Georgia" w:hAnsi="Georgia"/>
                <w:sz w:val="14"/>
              </w:rPr>
              <w:t>Ongoing</w:t>
            </w:r>
          </w:p>
        </w:tc>
        <w:tc>
          <w:tcPr>
            <w:tcW w:type="dxa" w:w="2545"/>
            <w:shd w:val="clear" w:fill="F4F7FA"/>
          </w:tcPr>
          <w:p>
            <w:pPr>
              <w:spacing w:before="20" w:after="20"/>
            </w:pPr>
            <w:r>
              <w:rPr>
                <w:rFonts w:ascii="Georgia" w:hAnsi="Georgia"/>
                <w:sz w:val="14"/>
              </w:rPr>
            </w:r>
            <w:r>
              <w:rPr>
                <w:rFonts w:ascii="Georgia" w:hAnsi="Georgia"/>
                <w:sz w:val="14"/>
              </w:rPr>
              <w:t>Peer read-across</w:t>
            </w:r>
          </w:p>
        </w:tc>
        <w:tc>
          <w:tcPr>
            <w:tcW w:type="dxa" w:w="2545"/>
            <w:shd w:val="clear" w:fill="F4F7FA"/>
          </w:tcPr>
          <w:p>
            <w:pPr>
              <w:spacing w:before="20" w:after="20"/>
            </w:pPr>
            <w:r>
              <w:rPr>
                <w:rFonts w:ascii="Georgia" w:hAnsi="Georgia"/>
                <w:sz w:val="14"/>
              </w:rPr>
            </w:r>
            <w:r>
              <w:rPr>
                <w:rFonts w:ascii="Georgia" w:hAnsi="Georgia"/>
                <w:sz w:val="14"/>
              </w:rPr>
              <w:t>High</w:t>
            </w:r>
          </w:p>
        </w:tc>
        <w:tc>
          <w:tcPr>
            <w:tcW w:type="dxa" w:w="2545"/>
            <w:shd w:val="clear" w:fill="F4F7FA"/>
          </w:tcPr>
          <w:p>
            <w:pPr>
              <w:spacing w:before="20" w:after="20"/>
            </w:pPr>
            <w:r>
              <w:rPr>
                <w:rFonts w:ascii="Georgia" w:hAnsi="Georgia"/>
                <w:sz w:val="14"/>
              </w:rPr>
            </w:r>
            <w:r>
              <w:rPr>
                <w:rFonts w:ascii="Georgia" w:hAnsi="Georgia"/>
                <w:sz w:val="14"/>
              </w:rPr>
              <w:t>Accenture quarterly results (the sector bellwether), Cognizant, Globant, Endava, Infosys and TCS. Sector-wide evidence on AI's effect on services demand moves EPAM more than company-specific news, given the thematic short base.</w:t>
            </w:r>
          </w:p>
        </w:tc>
      </w:tr>
      <w:tr>
        <w:tc>
          <w:tcPr>
            <w:tcW w:type="dxa" w:w="2545"/>
          </w:tcPr>
          <w:p>
            <w:pPr>
              <w:spacing w:before="20" w:after="20"/>
            </w:pPr>
            <w:r>
              <w:rPr>
                <w:rFonts w:ascii="Georgia" w:hAnsi="Georgia"/>
                <w:sz w:val="14"/>
              </w:rPr>
            </w:r>
            <w:r>
              <w:rPr>
                <w:rFonts w:ascii="Georgia" w:hAnsi="Georgia"/>
                <w:sz w:val="14"/>
              </w:rPr>
              <w:t>Ongoing</w:t>
            </w:r>
          </w:p>
        </w:tc>
        <w:tc>
          <w:tcPr>
            <w:tcW w:type="dxa" w:w="2545"/>
          </w:tcPr>
          <w:p>
            <w:pPr>
              <w:spacing w:before="20" w:after="20"/>
            </w:pPr>
            <w:r>
              <w:rPr>
                <w:rFonts w:ascii="Georgia" w:hAnsi="Georgia"/>
                <w:sz w:val="14"/>
              </w:rPr>
            </w:r>
            <w:r>
              <w:rPr>
                <w:rFonts w:ascii="Georgia" w:hAnsi="Georgia"/>
                <w:sz w:val="14"/>
              </w:rPr>
              <w:t>M&amp;A and activism</w:t>
            </w:r>
          </w:p>
        </w:tc>
        <w:tc>
          <w:tcPr>
            <w:tcW w:type="dxa" w:w="2545"/>
          </w:tcPr>
          <w:p>
            <w:pPr>
              <w:spacing w:before="20" w:after="20"/>
            </w:pPr>
            <w:r>
              <w:rPr>
                <w:rFonts w:ascii="Georgia" w:hAnsi="Georgia"/>
                <w:sz w:val="14"/>
              </w:rPr>
            </w:r>
            <w:r>
              <w:rPr>
                <w:rFonts w:ascii="Georgia" w:hAnsi="Georgia"/>
                <w:sz w:val="14"/>
              </w:rPr>
              <w:t>Moderate</w:t>
            </w:r>
          </w:p>
        </w:tc>
        <w:tc>
          <w:tcPr>
            <w:tcW w:type="dxa" w:w="2545"/>
          </w:tcPr>
          <w:p>
            <w:pPr>
              <w:spacing w:before="20" w:after="20"/>
            </w:pPr>
            <w:r>
              <w:rPr>
                <w:rFonts w:ascii="Georgia" w:hAnsi="Georgia"/>
                <w:sz w:val="14"/>
              </w:rPr>
            </w:r>
            <w:r>
              <w:rPr>
                <w:rFonts w:ascii="Georgia" w:hAnsi="Georgia"/>
                <w:sz w:val="14"/>
              </w:rPr>
              <w:t>Any Schedule 13D filing, private-equity approach, or strategic-review announcement. The Thoughtworks and Perficient take-privates establish clear precedent.</w:t>
            </w:r>
          </w:p>
        </w:tc>
      </w:tr>
      <w:tr>
        <w:tc>
          <w:tcPr>
            <w:tcW w:type="dxa" w:w="2545"/>
            <w:shd w:val="clear" w:fill="F4F7FA"/>
          </w:tcPr>
          <w:p>
            <w:pPr>
              <w:spacing w:before="20" w:after="20"/>
            </w:pPr>
            <w:r>
              <w:rPr>
                <w:rFonts w:ascii="Georgia" w:hAnsi="Georgia"/>
                <w:sz w:val="14"/>
              </w:rPr>
            </w:r>
            <w:r>
              <w:rPr>
                <w:rFonts w:ascii="Georgia" w:hAnsi="Georgia"/>
                <w:sz w:val="14"/>
              </w:rPr>
              <w:t>Ongoing</w:t>
            </w:r>
          </w:p>
        </w:tc>
        <w:tc>
          <w:tcPr>
            <w:tcW w:type="dxa" w:w="2545"/>
            <w:shd w:val="clear" w:fill="F4F7FA"/>
          </w:tcPr>
          <w:p>
            <w:pPr>
              <w:spacing w:before="20" w:after="20"/>
            </w:pPr>
            <w:r>
              <w:rPr>
                <w:rFonts w:ascii="Georgia" w:hAnsi="Georgia"/>
                <w:sz w:val="14"/>
              </w:rPr>
            </w:r>
            <w:r>
              <w:rPr>
                <w:rFonts w:ascii="Georgia" w:hAnsi="Georgia"/>
                <w:sz w:val="14"/>
              </w:rPr>
              <w:t>Geopolitical developments</w:t>
            </w:r>
          </w:p>
        </w:tc>
        <w:tc>
          <w:tcPr>
            <w:tcW w:type="dxa" w:w="2545"/>
            <w:shd w:val="clear" w:fill="F4F7FA"/>
          </w:tcPr>
          <w:p>
            <w:pPr>
              <w:spacing w:before="20" w:after="20"/>
            </w:pPr>
            <w:r>
              <w:rPr>
                <w:rFonts w:ascii="Georgia" w:hAnsi="Georgia"/>
                <w:sz w:val="14"/>
              </w:rPr>
            </w:r>
            <w:r>
              <w:rPr>
                <w:rFonts w:ascii="Georgia" w:hAnsi="Georgia"/>
                <w:sz w:val="14"/>
              </w:rPr>
              <w:t>Moderate</w:t>
            </w:r>
          </w:p>
        </w:tc>
        <w:tc>
          <w:tcPr>
            <w:tcW w:type="dxa" w:w="2545"/>
            <w:shd w:val="clear" w:fill="F4F7FA"/>
          </w:tcPr>
          <w:p>
            <w:pPr>
              <w:spacing w:before="20" w:after="20"/>
            </w:pPr>
            <w:r>
              <w:rPr>
                <w:rFonts w:ascii="Georgia" w:hAnsi="Georgia"/>
                <w:sz w:val="14"/>
              </w:rPr>
            </w:r>
            <w:r>
              <w:rPr>
                <w:rFonts w:ascii="Georgia" w:hAnsi="Georgia"/>
                <w:sz w:val="14"/>
              </w:rPr>
              <w:t>Ukraine, sanctions regimes, visa and immigration policy, EU AI Act implementation.</w:t>
            </w:r>
          </w:p>
        </w:tc>
      </w:tr>
    </w:tbl>
    <w:p>
      <w:pPr>
        <w:spacing w:after="60"/>
      </w:pPr>
    </w:p>
    <w:p>
      <w:pPr>
        <w:keepNext/>
        <w:spacing w:before="320" w:after="120"/>
        <w:pBdr>
          <w:bottom w:val="single" w:sz="12" w:space="2" w:color="0B2545"/>
        </w:pBdr>
      </w:pPr>
      <w:r>
        <w:rPr>
          <w:rFonts w:ascii="Georgia" w:hAnsi="Georgia"/>
          <w:b/>
          <w:color w:val="0B2545"/>
          <w:sz w:val="26"/>
        </w:rPr>
        <w:t>26. Conclusion</w:t>
      </w:r>
    </w:p>
    <w:p>
      <w:pPr>
        <w:spacing w:before="40" w:after="60"/>
        <w:ind w:left="173" w:right="115"/>
        <w:jc w:val="both"/>
        <w:pBdr>
          <w:left w:val="single" w:sz="18" w:space="6" w:color="0B2545"/>
        </w:pBdr>
        <w:shd w:val="clear" w:fill="F4F7FA"/>
      </w:pPr>
      <w:r>
        <w:rPr>
          <w:b/>
          <w:sz w:val="17"/>
        </w:rPr>
        <w:t>EPAM is a genuinely good business trading at a distressed price because of a genuinely serious question.</w:t>
      </w:r>
    </w:p>
    <w:p>
      <w:pPr>
        <w:spacing w:before="40" w:after="60"/>
        <w:ind w:left="173" w:right="115"/>
        <w:jc w:val="both"/>
        <w:pBdr>
          <w:left w:val="single" w:sz="18" w:space="6" w:color="0B2545"/>
        </w:pBdr>
        <w:shd w:val="clear" w:fill="F4F7FA"/>
      </w:pPr>
      <w:r>
        <w:rPr>
          <w:sz w:val="17"/>
        </w:rPr>
        <w:t>The question — whether generative AI deflates or expands demand for enterprise software engineering — is not resolvable today by any amount of analysis. What is resolvable is the asymmetry. At 5.5x EV/EBITDA, 0.91x EV/Sales, 8.7x guided non-GAAP earnings and a roughly 10% free cash flow yield, with $769m of net cash, no debt maturities until 2030 and roughly $450m of buyback authorisation remaining, the market is pricing a business in terminal decline. The most recent quarter showed revenue up 4.5%, gross margin up 190bp on price increases, non-GAAP EPS up 22%, and AI-native revenue above $160m compounding for a sixth consecutive quarter.</w:t>
      </w:r>
    </w:p>
    <w:p>
      <w:pPr>
        <w:spacing w:before="40" w:after="60"/>
        <w:ind w:left="173" w:right="115"/>
        <w:jc w:val="both"/>
        <w:pBdr>
          <w:left w:val="single" w:sz="18" w:space="6" w:color="0B2545"/>
        </w:pBdr>
        <w:shd w:val="clear" w:fill="F4F7FA"/>
      </w:pPr>
      <w:r>
        <w:rPr>
          <w:sz w:val="17"/>
        </w:rPr>
        <w:t>Those two descriptions cannot both be right. Our judgement is that the truth sits closer to the second, with roughly a 25–30% probability that the first is correct — against a market that appears to be pricing 40–50%. That gap, combined with a balance sheet that pays investors to wait through a compounding buyback, is the investment case.</w:t>
      </w:r>
    </w:p>
    <w:p>
      <w:pPr>
        <w:spacing w:before="40" w:after="60"/>
        <w:ind w:left="173" w:right="115"/>
        <w:jc w:val="both"/>
        <w:pBdr>
          <w:left w:val="single" w:sz="18" w:space="6" w:color="0B2545"/>
        </w:pBdr>
        <w:shd w:val="clear" w:fill="F4F7FA"/>
      </w:pPr>
      <w:r>
        <w:rPr>
          <w:b/>
          <w:sz w:val="17"/>
        </w:rPr>
        <w:t>The risks are real and should not be minimised:</w:t>
      </w:r>
      <w:r>
        <w:rPr>
          <w:sz w:val="17"/>
        </w:rPr>
        <w:t xml:space="preserve"> two verticals are already shrinking, the Americas is 50bp from negative, Q2 operating cash flow was negative, management has cut guidance three years running, roughly $1.21bn of goodwill sits on the balance sheet against an Americas business growing +0.5%, and 15.8–18.9% of the shares are sold short. This is not a low-risk holding, and it should not be sized as one.</w:t>
      </w:r>
    </w:p>
    <w:p>
      <w:pPr>
        <w:spacing w:before="40" w:after="60"/>
        <w:ind w:left="173" w:right="115"/>
        <w:jc w:val="both"/>
        <w:pBdr>
          <w:left w:val="single" w:sz="18" w:space="6" w:color="0B2545"/>
        </w:pBdr>
        <w:shd w:val="clear" w:fill="F4F7FA"/>
      </w:pPr>
      <w:r>
        <w:rPr>
          <w:b/>
          <w:sz w:val="17"/>
        </w:rPr>
        <w:t>Recommendation: BUY, high variance.</w:t>
      </w:r>
      <w:r>
        <w:rPr>
          <w:sz w:val="17"/>
        </w:rPr>
        <w:t xml:space="preserve"> 12-month fair value $150 (+31%). The specific catalyst to watch is the Q3 2026 result on 29 October 2026 — not for an EPS beat, which is close to certain and will not move the stock, but for </w:t>
      </w:r>
      <w:r>
        <w:rPr>
          <w:i/>
          <w:sz w:val="17"/>
        </w:rPr>
        <w:t>maintained full-year guidance and a recovery in operating cash flow</w:t>
      </w:r>
      <w:r>
        <w:rPr>
          <w:sz w:val="17"/>
        </w:rPr>
        <w:t>. That combination would be the first evidence in three years that the deceleration has a floor.</w:t>
      </w:r>
    </w:p>
    <w:p>
      <w:pPr>
        <w:keepNext/>
        <w:spacing w:before="320" w:after="120"/>
        <w:pBdr>
          <w:bottom w:val="single" w:sz="12" w:space="2" w:color="0B2545"/>
        </w:pBdr>
      </w:pPr>
      <w:r>
        <w:rPr>
          <w:rFonts w:ascii="Georgia" w:hAnsi="Georgia"/>
          <w:b/>
          <w:color w:val="0B2545"/>
          <w:sz w:val="26"/>
        </w:rPr>
        <w:t>Appendix: Data Provenance</w:t>
      </w:r>
    </w:p>
    <w:p>
      <w:pPr>
        <w:spacing w:before="0" w:after="80"/>
        <w:jc w:val="both"/>
      </w:pPr>
      <w:r>
        <w:rPr>
          <w:b/>
        </w:rPr>
        <w:t>Reported figures</w:t>
      </w:r>
      <w:r>
        <w:rPr/>
        <w:t xml:space="preserve"> (high confidence, company-disclosed, sourced via web search of press releases, SEC filing content and earnings-call coverage): FY2019–FY2025 revenue; FY2024 and FY2025 GAAP and non-GAAP operating income, margins and EPS; FY2025 operating and free cash flow; FY2025 revenue by vertical; quarterly revenue by geography for Q1–Q3 2025 and Q2 2026; all Q1 and Q2 2026 income-statement and cash-flow figures; FY2026 and Q3 2026 guidance; cash and debt at 30 June 2026; credit facility terms; buyback authorisations and annual repurchase amounts; headcount, utilisation, attrition and India delivery scale; client concentration; goodwill by segment at 30 September 2025; NEORIS and First Derivative consideration; leadership succession dates and terms; short interest; the 2026 proxy nominee slate.</w:t>
      </w:r>
    </w:p>
    <w:p>
      <w:pPr>
        <w:spacing w:before="0" w:after="80"/>
        <w:jc w:val="both"/>
      </w:pPr>
      <w:r>
        <w:rPr>
          <w:b/>
        </w:rPr>
        <w:t>Author estimates and derivations</w:t>
      </w:r>
      <w:r>
        <w:rPr/>
        <w:t xml:space="preserve"> (treat as indicative): FY2019–FY2023 operating income, margins, non-GAAP EPS and cash flow; FY2025 geographic revenue split; FY2025 gross profit and adjusted EBITDA; segment EBIT by vertical (EPAM does not disclose this); share count and market capitalisation; enterprise value; all valuation multiples for EPAM and every peer; ROE and ROIC; current contract-type mix; all FY2026–FY2028 forecasts beyond company guidance; all scenario analysis; transaction multiples for M&amp;A comparables; individual shareholder stake percentages; board tenure other than for Dobkin, Robb and Mayoras.</w:t>
      </w:r>
    </w:p>
    <w:p>
      <w:pPr>
        <w:spacing w:before="0" w:after="80"/>
        <w:jc w:val="both"/>
      </w:pPr>
      <w:r>
        <w:rPr>
          <w:b/>
        </w:rPr>
        <w:t>Not obtainable in this environment:</w:t>
      </w:r>
      <w:r>
        <w:rPr/>
        <w:t xml:space="preserve"> direct access to SEC EDGAR, EPAM investor relations materials, the FY2025 Form 10-K, the Q2 2026 Form 10-Q, the 2026 DEF 14A, and terminal-quality peer valuation data. The network policy of the research environment permitted web search only. Any figure marked as an estimate should be verified against primary filings before it is relied upon for an investment decision.</w:t>
      </w:r>
    </w:p>
    <w:p>
      <w:pPr>
        <w:keepNext/>
        <w:spacing w:before="320" w:after="120"/>
        <w:pBdr>
          <w:bottom w:val="single" w:sz="12" w:space="2" w:color="0B2545"/>
        </w:pBdr>
      </w:pPr>
      <w:r>
        <w:rPr>
          <w:rFonts w:ascii="Georgia" w:hAnsi="Georgia"/>
          <w:b/>
          <w:color w:val="0B2545"/>
          <w:sz w:val="26"/>
        </w:rPr>
        <w:t>Disclaimer</w:t>
      </w:r>
    </w:p>
    <w:p>
      <w:pPr>
        <w:spacing w:before="0" w:after="120"/>
        <w:jc w:val="both"/>
      </w:pPr>
      <w:r>
        <w:rPr>
          <w:i/>
          <w:color w:val="555555"/>
          <w:sz w:val="15"/>
        </w:rPr>
        <w:t>This document has been prepared for informational and research purposes only. It does not constitute investment advice, an offer to sell, or a solicitation of an offer to buy any security. The analysis reflects the author's judgement as at 31 August 2026 and is subject to change without notice. Figures identified as estimates have not been verified against primary sources. Forecasts are inherently uncertain and actual results may differ materially. Past performance is not indicative of future results. Recipients should conduct their own due diligence and consult a qualified financial adviser before making any investment decision. The author holds no position in EPAM Systems, Inc. and has no business relationship with the company.</w:t>
      </w:r>
    </w:p>
    <w:sectPr w:rsidR="00FC693F" w:rsidRPr="0006063C" w:rsidSect="00034616">
      <w:footerReference w:type="default" r:id="rId9"/>
      <w:pgSz w:w="11909" w:h="16834"/>
      <w:pgMar w:top="936"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55555"/>
        <w:sz w:val="15"/>
      </w:rPr>
      <w:t xml:space="preserve">EPAM Systems, Inc. (NYSE: EPAM) — Institutional Research Note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Georgia" w:hAnsi="Georgia" w:eastAsia="Georgi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