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0F2A43"/>
          <w:sz w:val="52"/>
        </w:rPr>
        <w:t>Ubiquoss Holdings</w:t>
      </w:r>
    </w:p>
    <w:p>
      <w:pPr>
        <w:spacing w:after="40"/>
      </w:pPr>
      <w:r>
        <w:rPr>
          <w:b/>
          <w:color w:val="1F5C8A"/>
          <w:sz w:val="25"/>
        </w:rPr>
        <w:t>KOSDAQ: 078070  ·  Institutional Deep-Dive &amp; Adversarial Analysis</w:t>
      </w:r>
    </w:p>
    <w:p>
      <w:pPr>
        <w:spacing w:after="160"/>
      </w:pPr>
      <w:r>
        <w:rPr>
          <w:i/>
          <w:color w:val="555555"/>
          <w:sz w:val="18"/>
        </w:rPr>
        <w:t>Prepared August 2026  ·  Figures in Korean won (₩) unless noted  ·  FX ≈ ₩1,380/USD  ·  Research note — not investment advice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1.  Snapshot &amp; One-Line 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176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456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Ticker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KOSDAQ: 078070** (Ubiquoss Holdings)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Holding company</w:t>
            </w:r>
          </w:p>
        </w:tc>
      </w:tr>
      <w:tr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Key listed subsidiary</w:t>
            </w:r>
          </w:p>
        </w:tc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KOSDAQ: 264450 (Ubiquoss Inc.)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~32% direct / ~41% incl. affiliates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Share price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≈ ₩17,500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~$12.7</w:t>
            </w:r>
          </w:p>
        </w:tc>
      </w:tr>
      <w:tr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Market cap</w:t>
            </w:r>
          </w:p>
        </w:tc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≈ ₩181–194bn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~$130–140m (micro-cap)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Trailing P/E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≈ 7.3x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Consolidated; see §6 adjustment</w:t>
            </w:r>
          </w:p>
        </w:tc>
      </w:tr>
      <w:tr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Price / book</w:t>
            </w:r>
          </w:p>
        </w:tc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≈ 0.72x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Flattered by minority interest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Dividend / yield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₩240/sh · ~1.4–2.2%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Raised from ₩130 (+85%)</w:t>
            </w:r>
          </w:p>
        </w:tc>
      </w:tr>
      <w:tr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Net cash</w:t>
            </w:r>
          </w:p>
        </w:tc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~₩80bn+ ; ~8.7% D/E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~40%+ of market cap is cash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FY2025 revenue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/>
                <w:sz w:val="19"/>
              </w:rPr>
              <w:t>₩155.7bn (+23.9% YoY)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Consolidated</w:t>
            </w:r>
          </w:p>
        </w:tc>
      </w:tr>
      <w:tr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FY2025 operating profit</w:t>
            </w:r>
          </w:p>
        </w:tc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/>
                <w:sz w:val="19"/>
              </w:rPr>
              <w:t>₩30.6bn (+113.3% YoY)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OPM ~19.6%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FY2025 net income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/>
                <w:sz w:val="19"/>
              </w:rPr>
              <w:t>₩33.6bn (+57.1% YoY)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Consolidated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F2A43"/>
          <w:sz w:val="21"/>
        </w:rPr>
        <w:t xml:space="preserve">Thesis. </w:t>
      </w:r>
      <w:r>
        <w:rPr>
          <w:b w:val="0"/>
          <w:i w:val="0"/>
          <w:sz w:val="21"/>
        </w:rPr>
        <w:t xml:space="preserve">Ubiquoss Holdings is a cash-rich, founder-controlled Korean holding company whose value is the sum of (a) the domestic #1 wireline-network-equipment franchise (Ubiquoss Inc.) entering a multi-year telco-capex up-cycle, (b) a quietly emerging AI-memory test-equipment business (Nexight / SK Hynix), and (c) a fortress balance sheet — trading at ~7x earnings and below book because the market prices it as an illiquid, control-vehicle “value trap.” The debate is not whether it is cheap (it is), but whether anything will ever </w:t>
      </w:r>
      <w:r>
        <w:rPr>
          <w:b w:val="0"/>
          <w:i/>
          <w:sz w:val="21"/>
        </w:rPr>
        <w:t>force</w:t>
      </w:r>
      <w:r>
        <w:rPr>
          <w:b w:val="0"/>
          <w:i w:val="0"/>
          <w:sz w:val="21"/>
        </w:rPr>
        <w:t xml:space="preserve"> the value to be realized.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F2F7"/>
          </w:tcPr>
          <w:p>
            <w:pPr>
              <w:spacing w:before="60" w:after="60"/>
            </w:pPr>
            <w:r>
              <w:rPr>
                <w:b/>
                <w:i w:val="0"/>
                <w:color w:val="0F2A43"/>
                <w:sz w:val="21"/>
              </w:rPr>
              <w:t xml:space="preserve">Rating stance (this report): </w:t>
            </w:r>
            <w:r>
              <w:rPr>
                <w:b w:val="0"/>
                <w:i w:val="0"/>
                <w:sz w:val="21"/>
              </w:rPr>
              <w:t xml:space="preserve">Constructive special-situation — a cheap cyclical with hidden AI/growth optionality and asset-backed downside. Explicitly a patient-capital / special-situations holding, </w:t>
            </w:r>
            <w:r>
              <w:rPr>
                <w:b w:val="0"/>
                <w:i/>
                <w:sz w:val="21"/>
              </w:rPr>
              <w:t>not</w:t>
            </w:r>
            <w:r>
              <w:rPr>
                <w:b w:val="0"/>
                <w:i w:val="0"/>
                <w:sz w:val="21"/>
              </w:rPr>
              <w:t xml:space="preserve"> a momentum or quality-compounder name. Size for illiquidity and governance risk.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2.  What You Are Actually Buying (structure matters)</w:t>
      </w:r>
    </w:p>
    <w:p>
      <w:pPr>
        <w:spacing w:after="120"/>
      </w:pPr>
      <w:r>
        <w:rPr>
          <w:b w:val="0"/>
          <w:i w:val="0"/>
          <w:sz w:val="21"/>
        </w:rPr>
        <w:t xml:space="preserve">Ubiquoss Holdings is </w:t>
      </w:r>
      <w:r>
        <w:rPr>
          <w:b w:val="0"/>
          <w:i/>
          <w:sz w:val="21"/>
        </w:rPr>
        <w:t>not</w:t>
      </w:r>
      <w:r>
        <w:rPr>
          <w:b w:val="0"/>
          <w:i w:val="0"/>
          <w:sz w:val="21"/>
        </w:rPr>
        <w:t xml:space="preserve"> an operating company — it is a holding vehicle from the 2017–18 split of the original Ubiquoss, engineered around founder-CEO </w:t>
      </w:r>
      <w:r>
        <w:rPr>
          <w:b/>
          <w:i w:val="0"/>
          <w:sz w:val="21"/>
        </w:rPr>
        <w:t>Lee Sang-baek</w:t>
      </w:r>
      <w:r>
        <w:rPr>
          <w:b w:val="0"/>
          <w:i w:val="0"/>
          <w:sz w:val="21"/>
        </w:rPr>
        <w:t xml:space="preserve">, who owns roughly </w:t>
      </w:r>
      <w:r>
        <w:rPr>
          <w:b/>
          <w:i w:val="0"/>
          <w:sz w:val="21"/>
        </w:rPr>
        <w:t>50.1%</w:t>
      </w:r>
      <w:r>
        <w:rPr>
          <w:b w:val="0"/>
          <w:i w:val="0"/>
          <w:sz w:val="21"/>
        </w:rPr>
        <w:t xml:space="preserve"> of the holdco. The holdco controls a portfolio of very different assets: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Ubiquoss Inc. (264450, listed) — </w:t>
      </w:r>
      <w:r>
        <w:rPr>
          <w:b w:val="0"/>
          <w:i w:val="0"/>
          <w:sz w:val="21"/>
        </w:rPr>
        <w:t>the crown jewel. FTTH/optical access (OLT/ONU, 10G-PON), L2/L3/backbone Ethernet switches, mobile backhaul, xDSL for Korean telcos. Holdco owns ~32% directly, ~41% with affiliates. #1 domestic wireline-access share.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Nexight — </w:t>
      </w:r>
      <w:r>
        <w:rPr>
          <w:b w:val="0"/>
          <w:i w:val="0"/>
          <w:sz w:val="21"/>
        </w:rPr>
        <w:t>embedded/industrial computing that has broken into semiconductor test equipment (DDR5 server-memory testers for SK Hynix). FY2025 standalone revenue ₩34.3bn, +122.7% YoY — the fastest-growing leg.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Ubiquoss Investment — </w:t>
      </w:r>
      <w:r>
        <w:rPr>
          <w:b w:val="0"/>
          <w:i w:val="0"/>
          <w:sz w:val="21"/>
        </w:rPr>
        <w:t>VC/PEF arm; source of realized gains and NAV.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BiLab — </w:t>
      </w:r>
      <w:r>
        <w:rPr>
          <w:b w:val="0"/>
          <w:i w:val="0"/>
          <w:sz w:val="21"/>
        </w:rPr>
        <w:t xml:space="preserve">early-stage medical-device “seed” bet.  </w:t>
      </w:r>
      <w:r>
        <w:rPr>
          <w:b/>
          <w:i w:val="0"/>
          <w:sz w:val="21"/>
        </w:rPr>
        <w:t xml:space="preserve">Overseas: </w:t>
      </w:r>
      <w:r>
        <w:rPr>
          <w:b w:val="0"/>
          <w:i w:val="0"/>
          <w:sz w:val="21"/>
        </w:rPr>
        <w:t>Ubiquoss USA / Japan.</w:t>
      </w:r>
    </w:p>
    <w:p>
      <w:pPr>
        <w:spacing w:after="120"/>
      </w:pPr>
      <w:r>
        <w:rPr>
          <w:b w:val="0"/>
          <w:i w:val="0"/>
          <w:sz w:val="21"/>
        </w:rPr>
        <w:t xml:space="preserve">Management has re-branded the strategy as an </w:t>
      </w:r>
      <w:r>
        <w:rPr>
          <w:b/>
          <w:i w:val="0"/>
          <w:color w:val="1F5C8A"/>
          <w:sz w:val="21"/>
        </w:rPr>
        <w:t>“investment-type holding company,”</w:t>
      </w:r>
      <w:r>
        <w:rPr>
          <w:b w:val="0"/>
          <w:i w:val="0"/>
          <w:sz w:val="21"/>
        </w:rPr>
        <w:t xml:space="preserve"> with the parent as group CIO allocating across four buckets: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Bucket</w:t>
            </w:r>
          </w:p>
        </w:tc>
        <w:tc>
          <w:tcPr>
            <w:tcW w:type="dxa" w:w="1728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Target wt.</w:t>
            </w:r>
          </w:p>
        </w:tc>
        <w:tc>
          <w:tcPr>
            <w:tcW w:type="dxa" w:w="6048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b/>
                <w:sz w:val="19"/>
              </w:rPr>
              <w:t>Core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~40%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Ubiquoss Inc. + Ubiquoss Investment — stable cash flow</w:t>
            </w:r>
          </w:p>
        </w:tc>
      </w:tr>
      <w:tr>
        <w:tc>
          <w:tcPr>
            <w:tcW w:type="dxa" w:w="2304"/>
            <w:shd w:val="clear" w:fill="EDF2F7"/>
          </w:tcPr>
          <w:p>
            <w:pPr>
              <w:spacing w:after="40" w:before="40"/>
            </w:pPr>
            <w:r>
              <w:rPr>
                <w:b/>
                <w:sz w:val="19"/>
              </w:rPr>
              <w:t>Growth</w:t>
            </w:r>
          </w:p>
        </w:tc>
        <w:tc>
          <w:tcPr>
            <w:tcW w:type="dxa" w:w="172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~30%</w:t>
            </w:r>
          </w:p>
        </w:tc>
        <w:tc>
          <w:tcPr>
            <w:tcW w:type="dxa" w:w="60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Nexight — the NAV-compounding engine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b/>
                <w:sz w:val="19"/>
              </w:rPr>
              <w:t>Financial assets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~20%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Cash &amp; securities — deliberately being reduced</w:t>
            </w:r>
          </w:p>
        </w:tc>
      </w:tr>
      <w:tr>
        <w:tc>
          <w:tcPr>
            <w:tcW w:type="dxa" w:w="2304"/>
            <w:shd w:val="clear" w:fill="EDF2F7"/>
          </w:tcPr>
          <w:p>
            <w:pPr>
              <w:spacing w:after="40" w:before="40"/>
            </w:pPr>
            <w:r>
              <w:rPr>
                <w:b/>
                <w:sz w:val="19"/>
              </w:rPr>
              <w:t>Seed</w:t>
            </w:r>
          </w:p>
        </w:tc>
        <w:tc>
          <w:tcPr>
            <w:tcW w:type="dxa" w:w="172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~10%</w:t>
            </w:r>
          </w:p>
        </w:tc>
        <w:tc>
          <w:tcPr>
            <w:tcW w:type="dxa" w:w="60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BiLab &amp; other non-linear early bets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F2A43"/>
          <w:sz w:val="21"/>
        </w:rPr>
        <w:t xml:space="preserve">Implication: </w:t>
      </w:r>
      <w:r>
        <w:rPr>
          <w:b w:val="0"/>
          <w:i w:val="0"/>
          <w:sz w:val="21"/>
        </w:rPr>
        <w:t>you underwrite three risk profiles — a cyclical infrastructure supplier, a customer-concentrated semi-cap growth story, and a VC book — inside a low-liquidity controlled shell. Consolidation both hides the Nexight growth and flatters the balance-sheet optics (§6).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1B5E20"/>
          <w:sz w:val="32"/>
        </w:rPr>
        <w:t>3.  The Bull Case</w:t>
      </w:r>
    </w:p>
    <w:p>
      <w:pPr>
        <w:spacing w:before="280" w:after="80"/>
      </w:pPr>
      <w:r>
        <w:rPr>
          <w:rFonts w:ascii="Calibri" w:hAnsi="Calibri"/>
          <w:b/>
          <w:color w:val="1B5E20"/>
          <w:sz w:val="25"/>
        </w:rPr>
        <w:t>3.1  Competitive advantage &amp; moat</w:t>
      </w:r>
    </w:p>
    <w:p>
      <w:pPr>
        <w:spacing w:after="120"/>
      </w:pPr>
      <w:r>
        <w:rPr>
          <w:b/>
          <w:i w:val="0"/>
          <w:sz w:val="21"/>
        </w:rPr>
        <w:t xml:space="preserve">A.  Qualification moat + oligopsony base. </w:t>
      </w:r>
      <w:r>
        <w:rPr>
          <w:b w:val="0"/>
          <w:i w:val="0"/>
          <w:sz w:val="21"/>
        </w:rPr>
        <w:t>Selling into KT, LG U+ and SK Broadband access networks requires multi-year interoperability testing, security certification and reference deployments. Once designed into KT’s FTTH plant, a vendor enjoys years of pull-through (line cards, ONUs, spares, capacity adds). Ubiquoss is the domestic #1 and a long-standing KT FTTH partner. Switching costs and homologation cycles are a real, if unglamorous, moat.</w:t>
      </w:r>
    </w:p>
    <w:p>
      <w:pPr>
        <w:spacing w:after="120"/>
      </w:pPr>
      <w:r>
        <w:rPr>
          <w:b/>
          <w:i w:val="0"/>
          <w:sz w:val="21"/>
        </w:rPr>
        <w:t xml:space="preserve">B.  “Buy-Korean” import substitution. </w:t>
      </w:r>
      <w:r>
        <w:rPr>
          <w:b w:val="0"/>
          <w:i w:val="0"/>
          <w:sz w:val="21"/>
        </w:rPr>
        <w:t>Security/policy reasons push carriers toward domestic vendors for core access infrastructure (Huawei is effectively fenced out). The fight is a protected domestic oligopoly — Ubiquoss vs. Dasan vs. Coweaver/Woorinet — not price war with Cisco/Nokia/Ciena.</w:t>
      </w:r>
    </w:p>
    <w:p>
      <w:pPr>
        <w:spacing w:after="120"/>
      </w:pPr>
      <w:r>
        <w:rPr>
          <w:b/>
          <w:i w:val="0"/>
          <w:sz w:val="21"/>
        </w:rPr>
        <w:t xml:space="preserve">C.  Balance-sheet moat. </w:t>
      </w:r>
      <w:r>
        <w:rPr>
          <w:b w:val="0"/>
          <w:i w:val="0"/>
          <w:sz w:val="21"/>
        </w:rPr>
        <w:t>~₩80bn+ cash, ~8.7% D/E and ~800% current ratio let Ubiquoss fund R&amp;D and inventory through a capex trough that would strain leveraged peers. In a lumpy, tender-driven industry, survivorship is itself a moat.</w:t>
      </w:r>
    </w:p>
    <w:p>
      <w:pPr>
        <w:spacing w:before="280" w:after="80"/>
      </w:pPr>
      <w:r>
        <w:rPr>
          <w:rFonts w:ascii="Calibri" w:hAnsi="Calibri"/>
          <w:b/>
          <w:color w:val="1B5E20"/>
          <w:sz w:val="25"/>
        </w:rPr>
        <w:t>3.2  Moat sustainability</w:t>
      </w:r>
    </w:p>
    <w:p>
      <w:pPr>
        <w:spacing w:after="120"/>
      </w:pPr>
      <w:r>
        <w:rPr>
          <w:b/>
          <w:i w:val="0"/>
          <w:sz w:val="21"/>
        </w:rPr>
        <w:t xml:space="preserve">Defensible but not widening. </w:t>
      </w:r>
      <w:r>
        <w:rPr>
          <w:b w:val="0"/>
          <w:i w:val="0"/>
          <w:sz w:val="21"/>
        </w:rPr>
        <w:t>The moat rests on incumbency and certification, not proprietary silicon — Ubiquoss integrates merchant chips (Broadcom/Marvell). Sustainability needs (i) telcos to keep splitting awards among domestic vendors and (ii) Ubiquoss on the tech curve (10G-PON → 25/50G-PON, 400G switching). Its world-first AI-based next-gen optical transmission work with KT/NIA (1G+10G simultaneous transport; AI OLT diagnostics; 10G upgrade by equipment swap alone) shows the R&amp;D engine is still credible. Verdict: a narrow, durable moat — not a compounding one.</w:t>
      </w:r>
    </w:p>
    <w:p>
      <w:pPr>
        <w:spacing w:before="280" w:after="80"/>
      </w:pPr>
      <w:r>
        <w:rPr>
          <w:rFonts w:ascii="Calibri" w:hAnsi="Calibri"/>
          <w:b/>
          <w:color w:val="1B5E20"/>
          <w:sz w:val="25"/>
        </w:rPr>
        <w:t>3.3  Growth levers &amp; secular tailwinds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Telco capex inflection (the big one). </w:t>
      </w:r>
      <w:r>
        <w:rPr>
          <w:b w:val="0"/>
          <w:i w:val="0"/>
          <w:sz w:val="21"/>
        </w:rPr>
        <w:t>Carrier capex peaked at a record in 2019 (5G launch), fell four years, troughed in FY2024. Sell-side (Hana, Jan-2026) sees 2026 capex recovering toward the 2019 peak, FTTH +20–30%/yr, switches reverting to trend — restoring op-co revenue toward the ₩130bn level. Cyclicals earn on the turn, and this one is early.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Government-mandated fibre build-out. </w:t>
      </w:r>
      <w:r>
        <w:rPr>
          <w:b w:val="0"/>
          <w:i w:val="0"/>
          <w:sz w:val="21"/>
        </w:rPr>
        <w:t>MSIT targets optical-cable penetration ~91% → 98% by 2030 and ~4x backbone capacity — a legislated multi-year demand floor for exactly this product set.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“Physical AI” optical transport (secular kicker). </w:t>
      </w:r>
      <w:r>
        <w:rPr>
          <w:b w:val="0"/>
          <w:i w:val="0"/>
          <w:sz w:val="21"/>
        </w:rPr>
        <w:t>Hana frames Ubiquoss as “the domestic wireline vendor that most directly benefits from policy support” as edge/physical AI lifts demand for optical transport linking servers, base stations and the edge — re-casting a box-maker as an AI-infrastructure derivative.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Nexight → AI-memory test equipment (hidden engine). </w:t>
      </w:r>
      <w:r>
        <w:rPr>
          <w:b w:val="0"/>
          <w:i w:val="0"/>
          <w:sz w:val="21"/>
        </w:rPr>
        <w:t>DDR5 server-memory testers for SK Hynix more than doubled Nexight’s revenue in FY2025 — a back-door ride on the HBM/DDR5 AI-memory super-cycle, largely un-covered by the market.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10G-PON / 25G upgrade super-cycle. </w:t>
      </w:r>
      <w:r>
        <w:rPr>
          <w:b w:val="0"/>
          <w:i w:val="0"/>
          <w:sz w:val="21"/>
        </w:rPr>
        <w:t>The installed gigabit base is due for a 10G refresh; “swap-only 10G on existing plant” lowers carrier upgrade cost and pulls the cycle forward.</w:t>
      </w:r>
    </w:p>
    <w:p>
      <w:pPr>
        <w:spacing w:before="280" w:after="80"/>
      </w:pPr>
      <w:r>
        <w:rPr>
          <w:rFonts w:ascii="Calibri" w:hAnsi="Calibri"/>
          <w:b/>
          <w:color w:val="1B5E20"/>
          <w:sz w:val="25"/>
        </w:rPr>
        <w:t>3.4  Potential earnings surprises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Operating leverage: </w:t>
      </w:r>
      <w:r>
        <w:rPr>
          <w:b w:val="0"/>
          <w:i w:val="0"/>
          <w:sz w:val="21"/>
        </w:rPr>
        <w:t>FY2025 revenue +24% drove OP +113%. A capex year beating toward the 2019 peak could produce another triple-digit OP surprise.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Nexight order flow </w:t>
      </w:r>
      <w:r>
        <w:rPr>
          <w:b w:val="0"/>
          <w:i w:val="0"/>
          <w:sz w:val="21"/>
        </w:rPr>
        <w:t>from SK Hynix HBM/DDR5 capacity adds sits in almost no model.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Investment-book realizations </w:t>
      </w:r>
      <w:r>
        <w:rPr>
          <w:b w:val="0"/>
          <w:i w:val="0"/>
          <w:sz w:val="21"/>
        </w:rPr>
        <w:t>(VC exits) drop through as lumpy gains — part of why FY2025 NI (+57%) outgrew OP.</w:t>
      </w:r>
    </w:p>
    <w:p>
      <w:pPr>
        <w:spacing w:before="280" w:after="80"/>
      </w:pPr>
      <w:r>
        <w:rPr>
          <w:rFonts w:ascii="Calibri" w:hAnsi="Calibri"/>
          <w:b/>
          <w:color w:val="1B5E20"/>
          <w:sz w:val="25"/>
        </w:rPr>
        <w:t>3.5  Capital allocation &amp; shareholder returns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Dividend raised 85% </w:t>
      </w:r>
      <w:r>
        <w:rPr>
          <w:b w:val="0"/>
          <w:i w:val="0"/>
          <w:sz w:val="21"/>
        </w:rPr>
        <w:t>(₩130 → ₩240/sh) — a nascent shareholder-return posture.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Explicit NAV framework </w:t>
      </w:r>
      <w:r>
        <w:rPr>
          <w:b w:val="0"/>
          <w:i w:val="0"/>
          <w:sz w:val="21"/>
        </w:rPr>
        <w:t>(Core/Growth/Financial/Seed) with intent to shrink idle financial assets into Growth/Seed — rational use of the cash pile if executed.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Smart-money validation: </w:t>
      </w:r>
      <w:r>
        <w:rPr>
          <w:b w:val="0"/>
          <w:i w:val="0"/>
          <w:sz w:val="21"/>
        </w:rPr>
        <w:t>famed value investor Park Young-ok (“the stock farmer”) took a ~5% stake, becoming #2 holder — an endorsement of the NAV thesis and a mild governance counterweight.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8B1A1A"/>
          <w:sz w:val="32"/>
        </w:rPr>
        <w:t>4.  The Bear Case</w:t>
      </w:r>
    </w:p>
    <w:p>
      <w:pPr>
        <w:spacing w:before="280" w:after="80"/>
      </w:pPr>
      <w:r>
        <w:rPr>
          <w:rFonts w:ascii="Calibri" w:hAnsi="Calibri"/>
          <w:b/>
          <w:color w:val="8B1A1A"/>
          <w:sz w:val="25"/>
        </w:rPr>
        <w:t>4.1  Risk #1 — Oligopsony concentration + brutal cyclicality (permanent-impairment tail)</w:t>
      </w:r>
    </w:p>
    <w:p>
      <w:pPr>
        <w:spacing w:after="120"/>
      </w:pPr>
      <w:r>
        <w:rPr>
          <w:b w:val="0"/>
          <w:i w:val="0"/>
          <w:sz w:val="21"/>
        </w:rPr>
        <w:t>Three domestic customers control essentially all of the core business. The telcos dictate timing, price and volume — and cut wireline capex for four straight years after 2019. The bear read: the “recovery” merely returns the business to a structurally no-growth, price-pressured state as a captive supplier to buyers with all the leverage. Permanent-impairment version: carriers accelerate a shift to white-box/merchant hardware or single-vendor awards, eroding the design-in advantage to a commodity spread.</w:t>
      </w:r>
    </w:p>
    <w:p>
      <w:pPr>
        <w:spacing w:before="280" w:after="80"/>
      </w:pPr>
      <w:r>
        <w:rPr>
          <w:rFonts w:ascii="Calibri" w:hAnsi="Calibri"/>
          <w:b/>
          <w:color w:val="8B1A1A"/>
          <w:sz w:val="25"/>
        </w:rPr>
        <w:t>4.2  Risk #2 — A commodity integrator wrapped in a control vehicle (the value-trap risk)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No silicon, sub-scale. </w:t>
      </w:r>
      <w:r>
        <w:rPr>
          <w:b w:val="0"/>
          <w:i w:val="0"/>
          <w:sz w:val="21"/>
        </w:rPr>
        <w:t>Ubiquoss integrates merchant chips; it doesn’t own the defensible layer, under-indexes on exports (Dasan is larger by total revenue via exports/M&amp;A), and margins are hostage to component costs and carrier tenders.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“A holding company in name only.” </w:t>
      </w:r>
      <w:r>
        <w:rPr>
          <w:b w:val="0"/>
          <w:i w:val="0"/>
          <w:sz w:val="21"/>
        </w:rPr>
        <w:t>Korean press (TheBell) calls it “무늬만 지주사” — a holdco functioning mainly as Lee Sang-baek’s control-retention vehicle (50.1% → control of the op-co with far less economic capital). The deep discount may be deserved and permanent: minorities get cheap assets they can never force to realize, cash that is hoarded, and related-party dynamics favouring control over per-share value.</w:t>
      </w:r>
    </w:p>
    <w:p>
      <w:pPr>
        <w:spacing w:before="280" w:after="80"/>
      </w:pPr>
      <w:r>
        <w:rPr>
          <w:rFonts w:ascii="Calibri" w:hAnsi="Calibri"/>
          <w:b/>
          <w:color w:val="8B1A1A"/>
          <w:sz w:val="25"/>
        </w:rPr>
        <w:t>4.3  Risk #3 — The “growth” leg is itself concentrated and cyclical</w:t>
      </w:r>
    </w:p>
    <w:p>
      <w:pPr>
        <w:spacing w:after="120"/>
      </w:pPr>
      <w:r>
        <w:rPr>
          <w:b w:val="0"/>
          <w:i w:val="0"/>
          <w:sz w:val="21"/>
        </w:rPr>
        <w:t>Nexight’s surge is single-customer (SK Hynix) and single-application (DDR5 test) — memory-cycle beta, not a secular annuity. When DRAM/HBM rolls over, test-equipment orders are cut first, and a one-customer supplier has no cushion. Underwriting Nexight at a growth multiple stacks semiconductor-capex cyclicality on top of telecom-capex cyclicality — two cyclicals marketed as diversification.</w:t>
      </w:r>
    </w:p>
    <w:p>
      <w:pPr>
        <w:spacing w:before="280" w:after="80"/>
      </w:pPr>
      <w:r>
        <w:rPr>
          <w:rFonts w:ascii="Calibri" w:hAnsi="Calibri"/>
          <w:b/>
          <w:color w:val="8B1A1A"/>
          <w:sz w:val="25"/>
        </w:rPr>
        <w:t>4.4  Margin compression / deceleration &amp; the expectations bar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High comp: </w:t>
      </w:r>
      <w:r>
        <w:rPr>
          <w:b w:val="0"/>
          <w:i w:val="0"/>
          <w:sz w:val="21"/>
        </w:rPr>
        <w:t>FY2025’s +113% OP sets a punishing base. The op-co already ran from a ₩7,870 low to a ₩19,000 high in ~9 months — expectations are no longer trough-level.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Reverse leverage: </w:t>
      </w:r>
      <w:r>
        <w:rPr>
          <w:b w:val="0"/>
          <w:i w:val="0"/>
          <w:sz w:val="21"/>
        </w:rPr>
        <w:t>the incremental margins that flatter the up-cycle de-lever just as violently in a capex air-pocket, and the “AI beneficiary” multiple compresses with it.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Earnings quality: </w:t>
      </w:r>
      <w:r>
        <w:rPr>
          <w:b w:val="0"/>
          <w:i w:val="0"/>
          <w:sz w:val="21"/>
        </w:rPr>
        <w:t>FY2025 NI (+57%) was boosted by non-operating/investment gains that are neither recurring nor forecastable — reported EPS quality is lower than it looks.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5.  Pre-Mortem — it is 2029 and the stock is down ~50%. What happened?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The cycle was the story, and the cycle rolled. </w:t>
      </w:r>
      <w:r>
        <w:rPr>
          <w:b w:val="0"/>
          <w:i w:val="0"/>
          <w:sz w:val="21"/>
        </w:rPr>
        <w:t>2026–27 was the peak, not a plateau; orders normalized in 2028, OP halved off peak, and the “Physical AI” multiple de-rated to a mid-single-digit cyclical P/E. Buyers of the narrative at ~₩19,000 had bought the cycle at the top.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The discount never closed — because it was never meant to. </w:t>
      </w:r>
      <w:r>
        <w:rPr>
          <w:b w:val="0"/>
          <w:i w:val="0"/>
          <w:sz w:val="21"/>
        </w:rPr>
        <w:t>No buyback, no holdco/op-co merger, token dividend. Control stayed the priority; the NAV gap persisted for years and patient minority capital bled opportunity cost.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Nexight’s memory cycle turned. </w:t>
      </w:r>
      <w:r>
        <w:rPr>
          <w:b w:val="0"/>
          <w:i w:val="0"/>
          <w:sz w:val="21"/>
        </w:rPr>
        <w:t>SK Hynix cut test-equipment capex in a DRAM downturn; Nexight revenue fell a third, the “growth engine” reversed, and the SOTP re-rating unwound — exposing how concentrated the “diversification” was.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Capital was mis-allocated. </w:t>
      </w:r>
      <w:r>
        <w:rPr>
          <w:b w:val="0"/>
          <w:i w:val="0"/>
          <w:sz w:val="21"/>
        </w:rPr>
        <w:t>The investment-holdco pivot deployed the cash into Seed/VC bets that impaired — converting the one thing protecting downside (the fortress balance sheet) into write-downs.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A liquidity/governance accident. </w:t>
      </w:r>
      <w:r>
        <w:rPr>
          <w:b w:val="0"/>
          <w:i w:val="0"/>
          <w:sz w:val="21"/>
        </w:rPr>
        <w:t>A controlled nano-cap with ~5% foreign ownership and thin float gapped down on a block sale, index exclusion, or a related-party transaction minorities couldn’t stop.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EAEA"/>
          </w:tcPr>
          <w:p>
            <w:pPr>
              <w:spacing w:before="60" w:after="60"/>
            </w:pPr>
            <w:r>
              <w:rPr>
                <w:b/>
                <w:i w:val="0"/>
                <w:color w:val="0F2A43"/>
                <w:sz w:val="21"/>
              </w:rPr>
              <w:t xml:space="preserve">Pre-mortem takeaway: </w:t>
            </w:r>
            <w:r>
              <w:rPr>
                <w:b w:val="0"/>
                <w:i w:val="0"/>
                <w:sz w:val="21"/>
              </w:rPr>
              <w:t>the fatal risks are (a) mistaking a cyclical peak for a secular re-rating and (b) the discount being structurally permanent. Both argue for buying near cyclical/valuation troughs with the balance sheet as the margin of safety — not chasing the AI narrative after the run.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6.  Valuation — are the multiples too high?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F2F7"/>
          </w:tcPr>
          <w:p>
            <w:pPr>
              <w:spacing w:before="60" w:after="60"/>
            </w:pPr>
            <w:r>
              <w:rPr>
                <w:b/>
                <w:i w:val="0"/>
                <w:color w:val="0F2A43"/>
                <w:sz w:val="21"/>
              </w:rPr>
              <w:t xml:space="preserve">Headline answer: </w:t>
            </w:r>
            <w:r>
              <w:rPr>
                <w:b w:val="0"/>
                <w:i w:val="0"/>
                <w:sz w:val="21"/>
              </w:rPr>
              <w:t>No. If anything the reported multiples understate the price you actually pay. The real question is earnings normalization and the durability of the holdco discount — not multiple excess.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0F2A43"/>
          <w:sz w:val="25"/>
        </w:rPr>
        <w:t>6.1  The headline optics (and why they mislead)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Minority interest flatters P/B. </w:t>
      </w:r>
      <w:r>
        <w:rPr>
          <w:b w:val="0"/>
          <w:i w:val="0"/>
          <w:sz w:val="21"/>
        </w:rPr>
        <w:t>Consolidated equity (~₩356bn, FY2024) includes the ~68% of Ubiquoss Inc. the holdco does not own. Stripping the minority stake (~₩130bn+), controlling book ≈ ~₩220bn — so P/B on your equity is nearer ~0.8–0.85x, not 0.72x.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Earnings quality. </w:t>
      </w:r>
      <w:r>
        <w:rPr>
          <w:b w:val="0"/>
          <w:i w:val="0"/>
          <w:sz w:val="21"/>
        </w:rPr>
        <w:t>Consolidated NI includes minority profit and lumpy investment gains; the clean controlling/operating base is lower and more cyclical than ~7x implies.</w:t>
      </w:r>
    </w:p>
    <w:p>
      <w:pPr>
        <w:spacing w:after="120"/>
      </w:pPr>
      <w:r>
        <w:rPr>
          <w:b w:val="0"/>
          <w:i w:val="0"/>
          <w:sz w:val="21"/>
        </w:rPr>
        <w:t xml:space="preserve">Even after these haircuts the stock is </w:t>
      </w:r>
      <w:r>
        <w:rPr>
          <w:b/>
          <w:i w:val="0"/>
          <w:color w:val="1B5E20"/>
          <w:sz w:val="21"/>
        </w:rPr>
        <w:t>not expensive</w:t>
      </w:r>
      <w:r>
        <w:rPr>
          <w:b w:val="0"/>
          <w:i w:val="0"/>
          <w:sz w:val="21"/>
        </w:rPr>
        <w:t xml:space="preserve"> — modestly cheap on adjusted book, cheap on trough-to-mid-cycle earnings. The multiple is not the risk.</w:t>
      </w:r>
    </w:p>
    <w:p>
      <w:pPr>
        <w:spacing w:before="280" w:after="80"/>
      </w:pPr>
      <w:r>
        <w:rPr>
          <w:rFonts w:ascii="Calibri" w:hAnsi="Calibri"/>
          <w:b/>
          <w:color w:val="0F2A43"/>
          <w:sz w:val="25"/>
        </w:rPr>
        <w:t>6.2  Sum-of-the-parts / NAV (the right lens for a holdco)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48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Rough value</w:t>
            </w:r>
          </w:p>
        </w:tc>
        <w:tc>
          <w:tcPr>
            <w:tcW w:type="dxa" w:w="3456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Listed stake in Ubiquoss Inc. (264450), ~32%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/>
                <w:sz w:val="19"/>
              </w:rPr>
              <w:t>~₩48bn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264450 cap ≈ ₩149bn × ~32%</w:t>
            </w:r>
          </w:p>
        </w:tc>
      </w:tr>
      <w:tr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Net cash &amp; financial assets (group)</w:t>
            </w:r>
          </w:p>
        </w:tc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/>
                <w:sz w:val="19"/>
              </w:rPr>
              <w:t>~₩80bn+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FY2024 cash; low debt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Nexight (100%)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/>
                <w:sz w:val="19"/>
              </w:rPr>
              <w:t>~₩60–100bn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FY25 sales ₩34bn, +123%; SK Hynix growth premium</w:t>
            </w:r>
          </w:p>
        </w:tc>
      </w:tr>
      <w:tr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Ubiquoss Investment (VC/PEF)</w:t>
            </w:r>
          </w:p>
        </w:tc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positive, unquantified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Fund NAV + carry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BiLab + real estate / leasing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positive, unquantified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Seed + property</w:t>
            </w:r>
          </w:p>
        </w:tc>
      </w:tr>
      <w:tr>
        <w:tc>
          <w:tcPr>
            <w:tcW w:type="dxa" w:w="4176"/>
            <w:shd w:val="clear" w:fill="EDF2F7"/>
          </w:tcPr>
          <w:p>
            <w:pPr>
              <w:spacing w:after="40" w:before="40"/>
            </w:pPr>
            <w:r>
              <w:rPr>
                <w:b/>
                <w:sz w:val="19"/>
              </w:rPr>
              <w:t>Indicative gross NAV</w:t>
            </w:r>
          </w:p>
        </w:tc>
        <w:tc>
          <w:tcPr>
            <w:tcW w:type="dxa" w:w="2448"/>
            <w:shd w:val="clear" w:fill="EDF2F7"/>
          </w:tcPr>
          <w:p>
            <w:pPr>
              <w:spacing w:after="40" w:before="40"/>
            </w:pPr>
            <w:r>
              <w:rPr>
                <w:b/>
                <w:sz w:val="19"/>
              </w:rPr>
              <w:t>&gt; market cap (~₩181–194bn)</w:t>
            </w:r>
          </w:p>
        </w:tc>
        <w:tc>
          <w:tcPr>
            <w:tcW w:type="dxa" w:w="345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 xml:space="preserve">The pieces you </w:t>
      </w:r>
      <w:r>
        <w:rPr>
          <w:b w:val="0"/>
          <w:i/>
          <w:sz w:val="21"/>
        </w:rPr>
        <w:t>can</w:t>
      </w:r>
      <w:r>
        <w:rPr>
          <w:b w:val="0"/>
          <w:i w:val="0"/>
          <w:sz w:val="21"/>
        </w:rPr>
        <w:t xml:space="preserve"> mark — listed stake + net cash alone (~₩128bn) — already cover two-thirds of the market cap. That hands you Nexight, the VC book, BiLab and property for ~₩55–65bn, despite Nexight likely being worth more than that alone. A genuine holdco/NAV discount of 30%+, consistent with the sub-book multiple.</w:t>
      </w:r>
    </w:p>
    <w:p>
      <w:pPr>
        <w:spacing w:before="280" w:after="80"/>
      </w:pPr>
      <w:r>
        <w:rPr>
          <w:rFonts w:ascii="Calibri" w:hAnsi="Calibri"/>
          <w:b/>
          <w:color w:val="0F2A43"/>
          <w:sz w:val="25"/>
        </w:rPr>
        <w:t>6.3  Cross-checks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Op-co vs holdco: </w:t>
      </w:r>
      <w:r>
        <w:rPr>
          <w:b w:val="0"/>
          <w:i w:val="0"/>
          <w:sz w:val="21"/>
        </w:rPr>
        <w:t>Ubiquoss Inc. (264450) trades at ~6.2x P/E, 0.75x P/B, with a Hana Buy / ₩22,000 target (&gt;2x the ~₩10,170 price). If the op-co re-rates, the holdco’s marked stake and NAV rise mechanically.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Cyclical positioning: </w:t>
      </w:r>
      <w:r>
        <w:rPr>
          <w:b w:val="0"/>
          <w:i w:val="0"/>
          <w:sz w:val="21"/>
        </w:rPr>
        <w:t>on normalized earnings the multiple is unremarkable; on trough earnings, cheap; on peak-2026 earnings it looks optically cheap but is the print to distrust. Valuation is only “too high” if you assume FY2026 is the peak and pay a growth multiple on it — the trap in §5.</w:t>
      </w:r>
    </w:p>
    <w:p>
      <w:pPr>
        <w:spacing w:before="280" w:after="80"/>
      </w:pPr>
      <w:r>
        <w:rPr>
          <w:rFonts w:ascii="Calibri" w:hAnsi="Calibri"/>
          <w:b/>
          <w:color w:val="0F2A43"/>
          <w:sz w:val="25"/>
        </w:rPr>
        <w:t>6.4  Verdict</w:t>
      </w:r>
    </w:p>
    <w:p>
      <w:pPr>
        <w:spacing w:after="120"/>
      </w:pPr>
      <w:r>
        <w:rPr>
          <w:b/>
          <w:i w:val="0"/>
          <w:color w:val="1B5E20"/>
          <w:sz w:val="21"/>
        </w:rPr>
        <w:t xml:space="preserve">Multiples are not too high. </w:t>
      </w:r>
      <w:r>
        <w:rPr>
          <w:b w:val="0"/>
          <w:i w:val="0"/>
          <w:sz w:val="21"/>
        </w:rPr>
        <w:t>The stock is priced for a permanent holdco discount and no secular growth. You are paid to wait via net cash (~40%+ of cap) and a ~1.4–2.2% yield. The binding risks are realization and normalization, not overvaluation — and the asymmetry favours the buyer if purchased on price weakness rather than on the AI narrative.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1F5C8A"/>
          <w:sz w:val="32"/>
        </w:rPr>
        <w:t>7.  Contrarian View — what the market refuses to see</w:t>
      </w:r>
    </w:p>
    <w:p>
      <w:pPr>
        <w:spacing w:after="120"/>
      </w:pPr>
      <w:r>
        <w:rPr>
          <w:b w:val="0"/>
          <w:i w:val="0"/>
          <w:sz w:val="21"/>
        </w:rPr>
        <w:t>Consensus prices this as a sleepy, illiquid, founder-controlled box-maker — a permanent value trap. Four things that view is missing: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It has quietly become an AI-infrastructure derivative — on both ends. </w:t>
      </w:r>
      <w:r>
        <w:rPr>
          <w:b w:val="0"/>
          <w:i w:val="0"/>
          <w:sz w:val="21"/>
        </w:rPr>
        <w:t>Nexight is a back-door SK Hynix HBM/DDR5 test-equipment supplier and the core is a Physical-AI optical-transport play. Two AI vectors sit inside a company valued as a fibre-tender commodity; the catalyst is recognition, and coverage is nearly non-existent.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The cycle is multi-year; consensus models one year. </w:t>
      </w:r>
      <w:r>
        <w:rPr>
          <w:b w:val="0"/>
          <w:i w:val="0"/>
          <w:sz w:val="21"/>
        </w:rPr>
        <w:t>MSIT’s fibre mandate (91%→98% by 2030) and 4x backbone are a legislated multi-year demand floor, not a one-off bounce — the classic error at the start of a cyclical recovery.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The “Korea discount” is being actively targeted — with a value investor on the register. </w:t>
      </w:r>
      <w:r>
        <w:rPr>
          <w:b w:val="0"/>
          <w:i w:val="0"/>
          <w:sz w:val="21"/>
        </w:rPr>
        <w:t>Korea’s Value-Up / governance reform, management’s own NAV-compounding pivot + dividend hike, and Park Young-ok’s 5% stake create real (if slow) pressure toward realization. The “trap” thesis under-weights the odds any of these closes part of the gap.</w:t>
      </w:r>
    </w:p>
    <w:p>
      <w:pPr>
        <w:pStyle w:val="ListNumber"/>
        <w:spacing w:after="60"/>
      </w:pPr>
      <w:r>
        <w:rPr>
          <w:b/>
          <w:i w:val="0"/>
          <w:sz w:val="21"/>
        </w:rPr>
        <w:t xml:space="preserve">Downside is asset-backed — not a melting ice cube. </w:t>
      </w:r>
      <w:r>
        <w:rPr>
          <w:b w:val="0"/>
          <w:i w:val="0"/>
          <w:sz w:val="21"/>
        </w:rPr>
        <w:t>~40%+ of the cap is net cash and a marked listed stake covers most of the rest. The market treats balance-sheet-protected optionality as if it were operating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F2F7"/>
          </w:tcPr>
          <w:p>
            <w:pPr>
              <w:spacing w:before="60" w:after="60"/>
            </w:pPr>
            <w:r>
              <w:rPr>
                <w:b/>
                <w:i w:val="0"/>
                <w:color w:val="0F2A43"/>
                <w:sz w:val="21"/>
              </w:rPr>
              <w:t xml:space="preserve">The one thing the market most refuses to see: </w:t>
            </w:r>
            <w:r>
              <w:rPr>
                <w:b w:val="0"/>
                <w:i w:val="0"/>
                <w:sz w:val="21"/>
              </w:rPr>
              <w:t>that a boring, cheap, controlled Korean holdco can be simultaneously a deep-value NAV story and a genuine (second-derivative) AI-capex beneficiary — and that the very illiquidity and neglect keeping it cheap are what create the asymmetry.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8.  Scorecard, Rating &amp; What Would Change the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7344"/>
            <w:shd w:val="clear" w:fill="0F2A4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Read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Business quality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Narrow, durable (not widening) moat; cyclical; commodity-integrator</w:t>
            </w:r>
          </w:p>
        </w:tc>
      </w:tr>
      <w:tr>
        <w:tc>
          <w:tcPr>
            <w:tcW w:type="dxa" w:w="273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Balance sheet</w:t>
            </w:r>
          </w:p>
        </w:tc>
        <w:tc>
          <w:tcPr>
            <w:tcW w:type="dxa" w:w="7344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Fortress** — net cash ~40%+ of cap; downside protection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Growth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Real cyclical + secular optionality (telco capex, Physical AI, AI-memory test)</w:t>
            </w:r>
          </w:p>
        </w:tc>
      </w:tr>
      <w:tr>
        <w:tc>
          <w:tcPr>
            <w:tcW w:type="dxa" w:w="273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Capital allocation</w:t>
            </w:r>
          </w:p>
        </w:tc>
        <w:tc>
          <w:tcPr>
            <w:tcW w:type="dxa" w:w="7344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Improving (dividend +85%, NAV framework) but unproven; control-first risk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Governance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The core weakness** — founder control vehicle; realization risk</w:t>
            </w:r>
          </w:p>
        </w:tc>
      </w:tr>
      <w:tr>
        <w:tc>
          <w:tcPr>
            <w:tcW w:type="dxa" w:w="2736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7344"/>
            <w:shd w:val="clear" w:fill="EDF2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Cheap on NAV and mid-cycle earnings; discount may persist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9"/>
              </w:rPr>
              <w:t>Net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>
              <w:rPr>
                <w:b/>
                <w:sz w:val="19"/>
              </w:rPr>
              <w:t>Constructive special-situation; size for illiquidity &amp; governance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1B5E20"/>
          <w:sz w:val="21"/>
        </w:rPr>
        <w:t xml:space="preserve">Buy-more triggers: </w:t>
      </w:r>
      <w:r>
        <w:rPr>
          <w:b w:val="0"/>
          <w:i w:val="0"/>
          <w:sz w:val="21"/>
        </w:rPr>
        <w:t>a buyback or holdco/op-co simplification; Nexight disclosed as a standalone segment with SK Hynix visibility and &gt;20% margins; 2026 carrier capex confirmed toward the 2019 peak with multi-year FTTH backlog; purchase on price weakness (toward op-co lows / trough earnings), not on AI headlines.</w:t>
      </w:r>
    </w:p>
    <w:p>
      <w:pPr>
        <w:spacing w:after="120"/>
      </w:pPr>
      <w:r>
        <w:rPr>
          <w:b/>
          <w:i w:val="0"/>
          <w:color w:val="8B1A1A"/>
          <w:sz w:val="21"/>
        </w:rPr>
        <w:t xml:space="preserve">Thesis-breakers: </w:t>
      </w:r>
      <w:r>
        <w:rPr>
          <w:b w:val="0"/>
          <w:i w:val="0"/>
          <w:sz w:val="21"/>
        </w:rPr>
        <w:t>cash redeployed into value-destructive Seed/VC bets or related-party deals; carriers moving to white-box/single-vendor awards; a DRAM/HBM downcycle hitting Nexight with no offset; another multi-year capex air-pocket with the discount un-addressed.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9.  Catalysts &amp; Risks to Monitor</w:t>
      </w:r>
    </w:p>
    <w:p>
      <w:pPr>
        <w:spacing w:after="120"/>
      </w:pPr>
      <w:r>
        <w:rPr>
          <w:b/>
          <w:i w:val="0"/>
          <w:color w:val="1B5E20"/>
          <w:sz w:val="21"/>
        </w:rPr>
        <w:t xml:space="preserve">Positive catalysts: </w:t>
      </w:r>
      <w:r>
        <w:rPr>
          <w:b w:val="0"/>
          <w:i w:val="0"/>
          <w:sz w:val="21"/>
        </w:rPr>
        <w:t>2026 carrier capex guidance (KT/LGU+/SKB); MSIT fibre-program tenders; Nexight/SK Hynix order news; 264450 re-rating toward ₩22,000; Value-Up disclosure, buyback or dividend escalation; further Park Young-ok accumulation.</w:t>
      </w:r>
    </w:p>
    <w:p>
      <w:pPr>
        <w:spacing w:after="120"/>
      </w:pPr>
      <w:r>
        <w:rPr>
          <w:b/>
          <w:i w:val="0"/>
          <w:color w:val="8B1A1A"/>
          <w:sz w:val="21"/>
        </w:rPr>
        <w:t xml:space="preserve">Risks to monitor: </w:t>
      </w:r>
      <w:r>
        <w:rPr>
          <w:b w:val="0"/>
          <w:i w:val="0"/>
          <w:sz w:val="21"/>
        </w:rPr>
        <w:t>wireline capex trajectory; component/merchant-silicon cost inflation; DRAM/HBM cycle (Nexight); FX; KOSDAQ small-cap liquidity/flows; related-party transactions; export competitiveness vs. Dasan.</w:t>
      </w:r>
    </w:p>
    <w:p>
      <w:pPr>
        <w:spacing w:before="280" w:after="80"/>
        <w:pBdr>
          <w:bottom w:val="single" w:sz="6" w:space="2" w:color="1F5C8A"/>
        </w:pBdr>
      </w:pPr>
      <w:r>
        <w:rPr>
          <w:rFonts w:ascii="Calibri" w:hAnsi="Calibri"/>
          <w:b/>
          <w:color w:val="0F2A43"/>
          <w:sz w:val="32"/>
        </w:rPr>
        <w:t>10.  Data Confidence &amp; Sources</w:t>
      </w:r>
    </w:p>
    <w:p>
      <w:pPr>
        <w:spacing w:after="120"/>
      </w:pPr>
      <w:r>
        <w:rPr>
          <w:b/>
          <w:i w:val="0"/>
          <w:color w:val="0F2A43"/>
          <w:sz w:val="19"/>
        </w:rPr>
        <w:t xml:space="preserve">Confidence. </w:t>
      </w:r>
      <w:r>
        <w:rPr>
          <w:b w:val="0"/>
          <w:i w:val="0"/>
          <w:sz w:val="19"/>
        </w:rPr>
        <w:t>FY2025 consolidated results, balance-sheet magnitudes, ownership (Lee Sang-baek ~50.1%; Park Young-ok ~5%; ~41% of 264450), subsidiary results (Ubiquoss Inc. +12.2% rev; Nexight ₩34.3bn, +122.7%), the Hana Buy/₩22,000 thesis and current multiples are from Korean disclosures and financial media. Some third-party aggregator figures (a stale FY2024 consolidated revenue print, exact share counts) were inconsistent; where so, FY2024 magnitudes are shown as implied from disclosed growth rates, and the minority-interest / SOTP figures are the author’s clearly-flagged estimates. This is a research note for discussion, not investment advice; verify against primary DART filings before acting.</w:t>
      </w:r>
    </w:p>
    <w:p>
      <w:pPr>
        <w:spacing w:after="120"/>
      </w:pPr>
      <w:r>
        <w:rPr>
          <w:b/>
          <w:i w:val="0"/>
          <w:sz w:val="18"/>
        </w:rPr>
        <w:t xml:space="preserve">Selected sources: </w:t>
      </w:r>
      <w:r>
        <w:rPr>
          <w:b w:val="0"/>
          <w:i w:val="0"/>
          <w:sz w:val="18"/>
        </w:rPr>
        <w:t>StockAnalysis &amp; Namuwiki (overview); Hankyung, The Elec, ETNews, TheITplus (FY2025 results &amp; investment-holdco pivot); Hana Securities (Jan-2026 report, Buy/₩22,000, “undiscovered Physical AI beneficiary”); TheBell (governance / “holdco in name only”); G9 Inside (Park Young-ok 5% stake); FnGuide &amp; Investing.com (264450 valuation); The Elec (wireline-equipment revival); Wikipedia-KR (Dasan competitor context).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