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F5C4A"/>
          <w:sz w:val="26"/>
          <w:szCs w:val="26"/>
        </w:rPr>
        <w:t xml:space="preserve">Impax Asset Management (IPX LN) — Sustainable-Investing Peer Comparison</w:t>
      </w:r>
    </w:p>
    <w:p>
      <w:pPr>
        <w:pBdr>
          <w:bottom w:val="single" w:color="0F5C4A" w:sz="12"/>
        </w:pBd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6"/>
          <w:szCs w:val="16"/>
        </w:rPr>
        <w:t xml:space="preserve">Listed &amp; unlisted pure-play comparables · Current AUM and 5-year trajectory · As at 17 July 2026</w:t>
      </w:r>
    </w:p>
    <w:tbl>
      <w:tblPr>
        <w:tblW w:type="dxa" w:w="14400"/>
        <w:tblBorders>
          <w:top w:val="single" w:color="D5E3DD" w:sz="2"/>
          <w:left w:val="single" w:color="1F7A5C" w:sz="18"/>
          <w:bottom w:val="single" w:color="D5E3DD" w:sz="2"/>
          <w:right w:val="single" w:color="D5E3DD" w:sz="2"/>
          <w:insideH w:val="none" w:color="FFFFFF" w:sz="0"/>
          <w:insideV w:val="none" w:color="FFFFFF" w:sz="0"/>
        </w:tblBorders>
      </w:tblPr>
      <w:tblGrid>
        <w:gridCol w:w="14400"/>
      </w:tblGrid>
      <w:tr>
        <w:tc>
          <w:tcPr>
            <w:tcW w:type="dxa" w:w="14400"/>
            <w:shd w:fill="FDF6E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5C4A"/>
                <w:sz w:val="17"/>
                <w:szCs w:val="17"/>
              </w:rPr>
              <w:t xml:space="preserve">The subject — Impax Asset Management plc (IPX LN):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London-listed sustainable / environmental-markets specialist (long-only thematic + systematic equities, fixed income, private infrastructure). AUM peaked at £37.2bn in FY21 and has roughly halved — the decisive break was the loss of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St. James’s Place mandate (~£6.2bn)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, which drove a 30% drop in FY25.</w:t>
            </w:r>
          </w:p>
          <w:p>
            <w:pPr>
              <w:spacing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5C4A"/>
                <w:sz w:val="17"/>
                <w:szCs w:val="17"/>
              </w:rPr>
              <w:t xml:space="preserve">AUM (FY end 30 Sep):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£37.2bn (FY21) → £35.7 (FY22) → £37.4 (FY23) → £37.2 (FY24) → £26.1 (FY25) → £23.3bn (30 Jun 2026)</w:t>
            </w:r>
          </w:p>
        </w:tc>
      </w:tr>
    </w:tbl>
    <w:p>
      <w:pPr>
        <w:pBdr>
          <w:bottom w:val="single" w:color="1F7A5C" w:sz="6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5C4A"/>
          <w:sz w:val="21"/>
          <w:szCs w:val="21"/>
        </w:rPr>
        <w:t xml:space="preserve">1 · Listed pure-play / near-pure-play sustainable managers</w:t>
      </w:r>
    </w:p>
    <w:tbl>
      <w:tblPr>
        <w:tblW w:type="dxa" w:w="14400"/>
        <w:tblBorders>
          <w:top w:val="single" w:color="D5E3DD" w:sz="2"/>
          <w:left w:val="single" w:color="D5E3DD" w:sz="2"/>
          <w:bottom w:val="single" w:color="D5E3DD" w:sz="2"/>
          <w:right w:val="single" w:color="D5E3DD" w:sz="2"/>
          <w:insideH w:val="single" w:color="D5E3DD" w:sz="2"/>
          <w:insideV w:val="single" w:color="D5E3DD" w:sz="2"/>
        </w:tblBorders>
      </w:tblPr>
      <w:tblGrid>
        <w:gridCol w:w="2150"/>
        <w:gridCol w:w="1450"/>
        <w:gridCol w:w="1050"/>
        <w:gridCol w:w="4150"/>
        <w:gridCol w:w="2100"/>
        <w:gridCol w:w="3500"/>
      </w:tblGrid>
      <w:tr>
        <w:trPr>
          <w:tblHeader/>
        </w:trPr>
        <w:tc>
          <w:tcPr>
            <w:tcW w:type="dxa" w:w="21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4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Ticker / Owner</w:t>
            </w:r>
          </w:p>
        </w:tc>
        <w:tc>
          <w:tcPr>
            <w:tcW w:type="dxa" w:w="10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Listed</w:t>
            </w:r>
          </w:p>
        </w:tc>
        <w:tc>
          <w:tcPr>
            <w:tcW w:type="dxa" w:w="41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Investment area</w:t>
            </w:r>
          </w:p>
        </w:tc>
        <w:tc>
          <w:tcPr>
            <w:tcW w:type="dxa" w:w="210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Current AUM</w:t>
            </w:r>
          </w:p>
        </w:tc>
        <w:tc>
          <w:tcPr>
            <w:tcW w:type="dxa" w:w="350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AUM development — last 5 years</w:t>
            </w:r>
          </w:p>
        </w:tc>
      </w:tr>
      <w:tr>
        <w:tc>
          <w:tcPr>
            <w:tcW w:type="dxa" w:w="2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Australian Ethical Investment</w:t>
            </w:r>
          </w:p>
        </w:tc>
        <w:tc>
          <w:tcPr>
            <w:tcW w:type="dxa" w:w="1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ASX: AEF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Listed</w:t>
            </w:r>
          </w:p>
        </w:tc>
        <w:tc>
          <w:tcPr>
            <w:tcW w:type="dxa" w:w="4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True pure-play — ethical/sustainable super + managed funds, governed by its Ethical Charter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A$14.5bn (~£7bn)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Jun 2026 — record high</w:t>
            </w:r>
          </w:p>
        </w:tc>
        <w:tc>
          <w:tcPr>
            <w:tcW w:type="dxa" w:w="3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A$6.9bn (FY21) → 6.2 → 9.2 → 10.4 → 13.9 → 14.5. Strong growth: super inflows, Christian Super &amp; Altius mergers, CEFC deal.</w:t>
            </w:r>
          </w:p>
        </w:tc>
      </w:tr>
      <w:tr>
        <w:tc>
          <w:tcPr>
            <w:tcW w:type="dxa" w:w="2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Foresight Group</w:t>
            </w:r>
          </w:p>
        </w:tc>
        <w:tc>
          <w:tcPr>
            <w:tcW w:type="dxa" w:w="14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LSE: FSG</w:t>
            </w:r>
          </w:p>
        </w:tc>
        <w:tc>
          <w:tcPr>
            <w:tcW w:type="dxa" w:w="10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Listed</w:t>
            </w:r>
          </w:p>
        </w:tc>
        <w:tc>
          <w:tcPr>
            <w:tcW w:type="dxa" w:w="4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Near-pure-play — sustainability-led infrastructure / renewables + regional private equity (owns WHEB)</w:t>
            </w:r>
          </w:p>
        </w:tc>
        <w:tc>
          <w:tcPr>
            <w:tcW w:type="dxa" w:w="21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£13.0–13.1bn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FY26 (continuing ops)</w:t>
            </w:r>
          </w:p>
        </w:tc>
        <w:tc>
          <w:tcPr>
            <w:tcW w:type="dxa" w:w="35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£8.8bn (FY22) → 12.2 → 12.1 → 13.2 → 13.0. Steady growth. NB: FY26 on a continuing-ops basis (divesting public-equities arm).</w:t>
            </w:r>
          </w:p>
        </w:tc>
      </w:tr>
      <w:tr>
        <w:tc>
          <w:tcPr>
            <w:tcW w:type="dxa" w:w="2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Gresham House</w:t>
            </w:r>
          </w:p>
        </w:tc>
        <w:tc>
          <w:tcPr>
            <w:tcW w:type="dxa" w:w="1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was AIM: GHE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Private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(since Dec 2023)</w:t>
            </w:r>
          </w:p>
        </w:tc>
        <w:tc>
          <w:tcPr>
            <w:tcW w:type="dxa" w:w="4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Near-pure-play — sustainable real assets: forestry, renewables, battery storage, sustainable housing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~£8.5bn last reported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(Dec 2023)</w:t>
            </w:r>
          </w:p>
        </w:tc>
        <w:tc>
          <w:tcPr>
            <w:tcW w:type="dxa" w:w="3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~£2.8bn (FY19) → 4.0 → 6.5 → 7.8 → 8.5. Rapid growth, then taken private by Searchlight (£470m). Owner targets £20bn by 2030.</w:t>
            </w:r>
          </w:p>
        </w:tc>
      </w:tr>
    </w:tbl>
    <w:p>
      <w:pPr>
        <w:pBdr>
          <w:bottom w:val="single" w:color="1F7A5C" w:sz="6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5C4A"/>
          <w:sz w:val="21"/>
          <w:szCs w:val="21"/>
        </w:rPr>
        <w:t xml:space="preserve">2 · Unlisted / privately-held pure-play sustainable managers</w:t>
      </w:r>
    </w:p>
    <w:tbl>
      <w:tblPr>
        <w:tblW w:type="dxa" w:w="14400"/>
        <w:tblBorders>
          <w:top w:val="single" w:color="D5E3DD" w:sz="2"/>
          <w:left w:val="single" w:color="D5E3DD" w:sz="2"/>
          <w:bottom w:val="single" w:color="D5E3DD" w:sz="2"/>
          <w:right w:val="single" w:color="D5E3DD" w:sz="2"/>
          <w:insideH w:val="single" w:color="D5E3DD" w:sz="2"/>
          <w:insideV w:val="single" w:color="D5E3DD" w:sz="2"/>
        </w:tblBorders>
      </w:tblPr>
      <w:tblGrid>
        <w:gridCol w:w="2150"/>
        <w:gridCol w:w="1450"/>
        <w:gridCol w:w="1050"/>
        <w:gridCol w:w="4150"/>
        <w:gridCol w:w="2100"/>
        <w:gridCol w:w="3500"/>
      </w:tblGrid>
      <w:tr>
        <w:trPr>
          <w:tblHeader/>
        </w:trPr>
        <w:tc>
          <w:tcPr>
            <w:tcW w:type="dxa" w:w="21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4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Ticker / Owner</w:t>
            </w:r>
          </w:p>
        </w:tc>
        <w:tc>
          <w:tcPr>
            <w:tcW w:type="dxa" w:w="10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Listed</w:t>
            </w:r>
          </w:p>
        </w:tc>
        <w:tc>
          <w:tcPr>
            <w:tcW w:type="dxa" w:w="41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Investment area</w:t>
            </w:r>
          </w:p>
        </w:tc>
        <w:tc>
          <w:tcPr>
            <w:tcW w:type="dxa" w:w="210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Current AUM</w:t>
            </w:r>
          </w:p>
        </w:tc>
        <w:tc>
          <w:tcPr>
            <w:tcW w:type="dxa" w:w="350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AUM development — last 5 years</w:t>
            </w:r>
          </w:p>
        </w:tc>
      </w:tr>
      <w:tr>
        <w:tc>
          <w:tcPr>
            <w:tcW w:type="dxa" w:w="2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Generation Investment Mgmt</w:t>
            </w:r>
          </w:p>
        </w:tc>
        <w:tc>
          <w:tcPr>
            <w:tcW w:type="dxa" w:w="1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Private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(Gore / Blood)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Unlisted</w:t>
            </w:r>
          </w:p>
        </w:tc>
        <w:tc>
          <w:tcPr>
            <w:tcW w:type="dxa" w:w="4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Pure-play sustainability — global &amp; Asia equity, growth &amp; private equity, Just Climate platform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US$24.7bn (~£18bn)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Mar 2026</w:t>
            </w:r>
          </w:p>
        </w:tc>
        <w:tc>
          <w:tcPr>
            <w:tcW w:type="dxa" w:w="3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~$36bn peak (2022) → ~33.8 → ~31.3 (Jun 2025) → 24.7. Declining on ESG outflows + marks.</w:t>
            </w:r>
          </w:p>
        </w:tc>
      </w:tr>
      <w:tr>
        <w:tc>
          <w:tcPr>
            <w:tcW w:type="dxa" w:w="2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Osmosis Investment Mgmt</w:t>
            </w:r>
          </w:p>
        </w:tc>
        <w:tc>
          <w:tcPr>
            <w:tcW w:type="dxa" w:w="14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Private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(mgmt-owned)</w:t>
            </w:r>
          </w:p>
        </w:tc>
        <w:tc>
          <w:tcPr>
            <w:tcW w:type="dxa" w:w="10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Unlisted</w:t>
            </w:r>
          </w:p>
        </w:tc>
        <w:tc>
          <w:tcPr>
            <w:tcW w:type="dxa" w:w="4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Pure-play — systematic "Resource Efficiency" quant equities + climate credit</w:t>
            </w:r>
          </w:p>
        </w:tc>
        <w:tc>
          <w:tcPr>
            <w:tcW w:type="dxa" w:w="21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~US$17bn (~£13bn)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Jan 2026</w:t>
            </w:r>
          </w:p>
        </w:tc>
        <w:tc>
          <w:tcPr>
            <w:tcW w:type="dxa" w:w="35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~$2bn (2020) → ~$10bn (Oct 2024) → $17bn. Rapid growth.</w:t>
            </w:r>
          </w:p>
        </w:tc>
      </w:tr>
      <w:tr>
        <w:tc>
          <w:tcPr>
            <w:tcW w:type="dxa" w:w="2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Mirova</w:t>
            </w:r>
          </w:p>
        </w:tc>
        <w:tc>
          <w:tcPr>
            <w:tcW w:type="dxa" w:w="1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Natixis IM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(Groupe BPCE)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Unlisted</w:t>
            </w:r>
          </w:p>
        </w:tc>
        <w:tc>
          <w:tcPr>
            <w:tcW w:type="dxa" w:w="4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Pure-play affiliate — Article 9 equities, bonds, energy-transition infra, natural capital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€33bn (~£28bn)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Sep 2025</w:t>
            </w:r>
          </w:p>
        </w:tc>
        <w:tc>
          <w:tcPr>
            <w:tcW w:type="dxa" w:w="3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€23.9bn (Q1 2021) → 28 → 29.7 → ~33. Growth then plateau.</w:t>
            </w:r>
          </w:p>
        </w:tc>
      </w:tr>
      <w:tr>
        <w:tc>
          <w:tcPr>
            <w:tcW w:type="dxa" w:w="2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WHEB Asset Management</w:t>
            </w:r>
          </w:p>
        </w:tc>
        <w:tc>
          <w:tcPr>
            <w:tcW w:type="dxa" w:w="14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Foresight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(LSE: FSG)</w:t>
            </w:r>
          </w:p>
        </w:tc>
        <w:tc>
          <w:tcPr>
            <w:tcW w:type="dxa" w:w="10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Unlisted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(sub of FSG)</w:t>
            </w:r>
          </w:p>
        </w:tc>
        <w:tc>
          <w:tcPr>
            <w:tcW w:type="dxa" w:w="4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Pure-play — single global mid-cap sustainable / impact equity strategy</w:t>
            </w:r>
          </w:p>
        </w:tc>
        <w:tc>
          <w:tcPr>
            <w:tcW w:type="dxa" w:w="21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~£0.8bn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(at 2025 sale)</w:t>
            </w:r>
          </w:p>
        </w:tc>
        <w:tc>
          <w:tcPr>
            <w:tcW w:type="dxa" w:w="35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~£1bn (2021) → ~£0.8bn. Modest decline, then acquired by Foresight (early 2025).</w:t>
            </w:r>
          </w:p>
        </w:tc>
      </w:tr>
      <w:tr>
        <w:tc>
          <w:tcPr>
            <w:tcW w:type="dxa" w:w="2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Triodos Investment Mgmt</w:t>
            </w:r>
          </w:p>
        </w:tc>
        <w:tc>
          <w:tcPr>
            <w:tcW w:type="dxa" w:w="1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Triodos Bank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Unlisted</w:t>
            </w:r>
          </w:p>
        </w:tc>
        <w:tc>
          <w:tcPr>
            <w:tcW w:type="dxa" w:w="4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Pure-play impact — energy &amp; climate, inclusive finance, food &amp; agri, impact equities &amp; bonds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€5.4bn (~£4.6bn)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Jun 2025</w:t>
            </w:r>
          </w:p>
        </w:tc>
        <w:tc>
          <w:tcPr>
            <w:tcW w:type="dxa" w:w="3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~€5–6bn range throughout. Broadly flat (€5.8bn Dec-24 → €5.4bn Jun-25).</w:t>
            </w:r>
          </w:p>
        </w:tc>
      </w:tr>
      <w:tr>
        <w:tc>
          <w:tcPr>
            <w:tcW w:type="dxa" w:w="2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Parnassus Investments</w:t>
            </w:r>
          </w:p>
        </w:tc>
        <w:tc>
          <w:tcPr>
            <w:tcW w:type="dxa" w:w="14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AMG (NYSE)</w:t>
            </w:r>
          </w:p>
        </w:tc>
        <w:tc>
          <w:tcPr>
            <w:tcW w:type="dxa" w:w="10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Unlisted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(sub of AMG)</w:t>
            </w:r>
          </w:p>
        </w:tc>
        <w:tc>
          <w:tcPr>
            <w:tcW w:type="dxa" w:w="4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Largest US pure-play ESG fund house — concentrated ESG-integrated equities</w:t>
            </w:r>
          </w:p>
        </w:tc>
        <w:tc>
          <w:tcPr>
            <w:tcW w:type="dxa" w:w="21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~US$41bn (~£30bn)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early 2026</w:t>
            </w:r>
          </w:p>
        </w:tc>
        <w:tc>
          <w:tcPr>
            <w:tcW w:type="dxa" w:w="35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$47bn (2021) → ~50 (2024) → 45.6 → ~41. Declining on ESG-demand softness.</w:t>
            </w:r>
          </w:p>
        </w:tc>
      </w:tr>
      <w:tr>
        <w:tc>
          <w:tcPr>
            <w:tcW w:type="dxa" w:w="2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Calvert Research &amp; Mgmt</w:t>
            </w:r>
          </w:p>
        </w:tc>
        <w:tc>
          <w:tcPr>
            <w:tcW w:type="dxa" w:w="1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Morgan Stanley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(NYSE: MS)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Unlisted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(sub of MS)</w:t>
            </w:r>
          </w:p>
        </w:tc>
        <w:tc>
          <w:tcPr>
            <w:tcW w:type="dxa" w:w="4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Pure-play responsible-investing brand — active/passive equity, fixed income, 5 ETFs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~US$40bn (~£30bn)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2025</w:t>
            </w:r>
          </w:p>
        </w:tc>
        <w:tc>
          <w:tcPr>
            <w:tcW w:type="dxa" w:w="3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~$36bn (2023) → ~$40bn (2025). Modest growth.</w:t>
            </w:r>
          </w:p>
        </w:tc>
      </w:tr>
      <w:tr>
        <w:tc>
          <w:tcPr>
            <w:tcW w:type="dxa" w:w="2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Trillium Asset Management</w:t>
            </w:r>
          </w:p>
        </w:tc>
        <w:tc>
          <w:tcPr>
            <w:tcW w:type="dxa" w:w="14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Perpetual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(ASX: PPT)</w:t>
            </w:r>
          </w:p>
        </w:tc>
        <w:tc>
          <w:tcPr>
            <w:tcW w:type="dxa" w:w="10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Unlisted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(sub of PPT)</w:t>
            </w:r>
          </w:p>
        </w:tc>
        <w:tc>
          <w:tcPr>
            <w:tcW w:type="dxa" w:w="4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Pure-play SRI/ESG pioneer (est. 1982) — active equities + fixed income, shareholder advocacy</w:t>
            </w:r>
          </w:p>
        </w:tc>
        <w:tc>
          <w:tcPr>
            <w:tcW w:type="dxa" w:w="21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~US$4.8bn (~£3.6bn)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Sep 2025</w:t>
            </w:r>
          </w:p>
        </w:tc>
        <w:tc>
          <w:tcPr>
            <w:tcW w:type="dxa" w:w="35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~$3.3bn (2020) → 4.5 → ~4.8bn. Modest growth.</w:t>
            </w:r>
          </w:p>
        </w:tc>
      </w:tr>
    </w:tbl>
    <w:p>
      <w:pPr>
        <w:pBdr>
          <w:bottom w:val="single" w:color="1F7A5C" w:sz="6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5C4A"/>
          <w:sz w:val="21"/>
          <w:szCs w:val="21"/>
        </w:rPr>
        <w:t xml:space="preserve">3 · Diversified managers with large sustainable franchises  (context — not pure-play)</w:t>
      </w:r>
    </w:p>
    <w:tbl>
      <w:tblPr>
        <w:tblW w:type="dxa" w:w="14400"/>
        <w:tblBorders>
          <w:top w:val="single" w:color="D5E3DD" w:sz="2"/>
          <w:left w:val="single" w:color="D5E3DD" w:sz="2"/>
          <w:bottom w:val="single" w:color="D5E3DD" w:sz="2"/>
          <w:right w:val="single" w:color="D5E3DD" w:sz="2"/>
          <w:insideH w:val="single" w:color="D5E3DD" w:sz="2"/>
          <w:insideV w:val="single" w:color="D5E3DD" w:sz="2"/>
        </w:tblBorders>
      </w:tblPr>
      <w:tblGrid>
        <w:gridCol w:w="2150"/>
        <w:gridCol w:w="1450"/>
        <w:gridCol w:w="1050"/>
        <w:gridCol w:w="4150"/>
        <w:gridCol w:w="2100"/>
        <w:gridCol w:w="3500"/>
      </w:tblGrid>
      <w:tr>
        <w:trPr>
          <w:tblHeader/>
        </w:trPr>
        <w:tc>
          <w:tcPr>
            <w:tcW w:type="dxa" w:w="21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4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Ticker / Owner</w:t>
            </w:r>
          </w:p>
        </w:tc>
        <w:tc>
          <w:tcPr>
            <w:tcW w:type="dxa" w:w="10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Listed</w:t>
            </w:r>
          </w:p>
        </w:tc>
        <w:tc>
          <w:tcPr>
            <w:tcW w:type="dxa" w:w="415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Investment area</w:t>
            </w:r>
          </w:p>
        </w:tc>
        <w:tc>
          <w:tcPr>
            <w:tcW w:type="dxa" w:w="210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Current AUM</w:t>
            </w:r>
          </w:p>
        </w:tc>
        <w:tc>
          <w:tcPr>
            <w:tcW w:type="dxa" w:w="3500"/>
            <w:shd w:fill="0F5C4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1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AUM development — last 5 years</w:t>
            </w:r>
          </w:p>
        </w:tc>
      </w:tr>
      <w:tr>
        <w:tc>
          <w:tcPr>
            <w:tcW w:type="dxa" w:w="2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Liontrust Asset Mgmt</w:t>
            </w:r>
          </w:p>
        </w:tc>
        <w:tc>
          <w:tcPr>
            <w:tcW w:type="dxa" w:w="1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LSE: LIO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Listed</w:t>
            </w:r>
          </w:p>
        </w:tc>
        <w:tc>
          <w:tcPr>
            <w:tcW w:type="dxa" w:w="4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Sustainable Investment (~£8.1bn) is its largest fund range (~40%), but firm is diversified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£19.6bn AuMA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Mar 2026</w:t>
            </w:r>
          </w:p>
        </w:tc>
        <w:tc>
          <w:tcPr>
            <w:tcW w:type="dxa" w:w="3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£33.5bn (FY22) → 31.4 → 27.8 → 22.6 → 19.6. Persistent decline (retail outflows).</w:t>
            </w:r>
          </w:p>
        </w:tc>
      </w:tr>
      <w:tr>
        <w:tc>
          <w:tcPr>
            <w:tcW w:type="dxa" w:w="2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Ninety One</w:t>
            </w:r>
          </w:p>
        </w:tc>
        <w:tc>
          <w:tcPr>
            <w:tcW w:type="dxa" w:w="14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LSE: N91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JSE: NY1</w:t>
            </w:r>
          </w:p>
        </w:tc>
        <w:tc>
          <w:tcPr>
            <w:tcW w:type="dxa" w:w="10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Listed</w:t>
            </w:r>
          </w:p>
        </w:tc>
        <w:tc>
          <w:tcPr>
            <w:tcW w:type="dxa" w:w="4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Sustainability / transition-finance franchise, but a broadly diversified global manager</w:t>
            </w:r>
          </w:p>
        </w:tc>
        <w:tc>
          <w:tcPr>
            <w:tcW w:type="dxa" w:w="21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£171.8bn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Mar 2026</w:t>
            </w:r>
          </w:p>
        </w:tc>
        <w:tc>
          <w:tcPr>
            <w:tcW w:type="dxa" w:w="35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£143.9bn (FY22) → 129 → 126 → 131 → 171.8. Jump on £18.3bn Sanlam take-on.</w:t>
            </w:r>
          </w:p>
        </w:tc>
      </w:tr>
      <w:tr>
        <w:tc>
          <w:tcPr>
            <w:tcW w:type="dxa" w:w="2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Polar Capital</w:t>
            </w:r>
          </w:p>
        </w:tc>
        <w:tc>
          <w:tcPr>
            <w:tcW w:type="dxa" w:w="1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LSE: POLR</w:t>
            </w:r>
          </w:p>
        </w:tc>
        <w:tc>
          <w:tcPr>
            <w:tcW w:type="dxa" w:w="1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Listed</w:t>
            </w:r>
          </w:p>
        </w:tc>
        <w:tc>
          <w:tcPr>
            <w:tcW w:type="dxa" w:w="41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Smart Energy / Smart Mobility thematics, but growth is overwhelmingly tech/AI-driven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£45.0bn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Jun 2026</w:t>
            </w:r>
          </w:p>
        </w:tc>
        <w:tc>
          <w:tcPr>
            <w:tcW w:type="dxa" w:w="3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£22.1bn (FY22) → 19.2 → 21.9 → 21.4 → 30.6 → 45.0.</w:t>
            </w:r>
          </w:p>
        </w:tc>
      </w:tr>
      <w:tr>
        <w:tc>
          <w:tcPr>
            <w:tcW w:type="dxa" w:w="2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Robeco</w:t>
            </w:r>
          </w:p>
        </w:tc>
        <w:tc>
          <w:tcPr>
            <w:tcW w:type="dxa" w:w="14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ORIX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(TSE / NYSE)</w:t>
            </w:r>
          </w:p>
        </w:tc>
        <w:tc>
          <w:tcPr>
            <w:tcW w:type="dxa" w:w="10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Unlisted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(sub of ORIX)</w:t>
            </w:r>
          </w:p>
        </w:tc>
        <w:tc>
          <w:tcPr>
            <w:tcW w:type="dxa" w:w="415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Sustainability-integrated platform, but large &amp; broadly diversified (not pure-play)</w:t>
            </w:r>
          </w:p>
        </w:tc>
        <w:tc>
          <w:tcPr>
            <w:tcW w:type="dxa" w:w="21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0" w:before="8" w:line="17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€228bn AUM</w:t>
            </w:r>
          </w:p>
          <w:p>
            <w:pPr>
              <w:spacing w:after="8" w:before="0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(€337bn total), Dec 2025</w:t>
            </w:r>
          </w:p>
        </w:tc>
        <w:tc>
          <w:tcPr>
            <w:tcW w:type="dxa" w:w="3500"/>
            <w:shd w:fill="EAF3EF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pPr>
              <w:spacing w:after="8" w:before="8" w:line="17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~€200bn range → €228bn (+13% in 2025).</w:t>
            </w:r>
          </w:p>
        </w:tc>
      </w:tr>
    </w:tbl>
    <w:p>
      <w:pPr>
        <w:pBdr>
          <w:bottom w:val="single" w:color="1F7A5C" w:sz="6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5C4A"/>
          <w:sz w:val="21"/>
          <w:szCs w:val="21"/>
        </w:rPr>
        <w:t xml:space="preserve">How to read this</w:t>
      </w:r>
    </w:p>
    <w:p>
      <w:pPr>
        <w:pStyle w:val="ListParagraph"/>
        <w:numPr>
          <w:ilvl w:val="0"/>
          <w:numId w:val="2"/>
        </w:numPr>
        <w:spacing w:after="20" w:before="20" w:line="195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Closest pure-play comparables: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Australian Ethical (only true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16"/>
          <w:szCs w:val="16"/>
        </w:rPr>
        <w:t xml:space="preserve">listed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 pure-play), and among private / subsidiary names Generation, Osmosis, Mirova, Parnassus, Calvert, Trillium, Triodos and WHEB.</w:t>
      </w:r>
    </w:p>
    <w:p>
      <w:pPr>
        <w:pStyle w:val="ListParagraph"/>
        <w:numPr>
          <w:ilvl w:val="0"/>
          <w:numId w:val="2"/>
        </w:numPr>
        <w:spacing w:after="20" w:before="20" w:line="195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Sharp bifurcation (2024–26):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quant / resource-efficiency and diversified-growth names (Osmosis, AEF, Robeco) grew, while active fundamental sustainable-equity managers exposed to the ESG-outflow wave (Impax, Generation, Parnassus, Liontrust) contracted.</w:t>
      </w:r>
    </w:p>
    <w:p>
      <w:pPr>
        <w:pBdr>
          <w:top w:val="single" w:color="D5E3DD" w:sz="4"/>
        </w:pBdr>
        <w:spacing w:after="0" w:before="140" w:line="190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4"/>
          <w:szCs w:val="14"/>
        </w:rPr>
        <w:t xml:space="preserve">Caveats: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4"/>
          <w:szCs w:val="14"/>
        </w:rPr>
        <w:t xml:space="preserve">Figures are in native reporting currencies; indicative £ conversions are rough (mid-2026 FX). Fiscal year-ends differ (Impax 30 Sep; AEF 30 Jun; Foresight / Liontrust / Ninety One / Polar 31 Mar; Gresham 31 Dec). Private-firm AUM histories (Generation, Osmosis, Triodos, WHEB) are triangulated from press &amp; firm disclosures and are approximate. Sources: company IR / annual reports &amp; AUM updates, Investegate/RNS, FT, Reuters, Citywire, Investment Week, Portfolio Adviser, Morningstar.</w:t>
      </w:r>
    </w:p>
    <w:sectPr>
      <w:pgSz w:w="12240" w:h="15840" w:orient="landscape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  <w:rPr>
        <w:color w:val="1F7A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2026-07-17T16:41:55.188Z</dcterms:created>
  <dcterms:modified xsi:type="dcterms:W3CDTF">2026-07-17T16:41:55.194Z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